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C7F58" w:rsidRDefault="003A5C28" w:rsidP="003B2D29">
      <w:pPr>
        <w:pStyle w:val="NoSpacing"/>
      </w:pPr>
      <w:r w:rsidRPr="003A5C28">
        <w:rPr>
          <w:noProof/>
          <w:lang w:eastAsia="en-AU"/>
        </w:rPr>
        <w:drawing>
          <wp:anchor distT="0" distB="0" distL="114300" distR="114300" simplePos="0" relativeHeight="251725312" behindDoc="0" locked="0" layoutInCell="1" allowOverlap="1">
            <wp:simplePos x="0" y="0"/>
            <wp:positionH relativeFrom="page">
              <wp:posOffset>226868</wp:posOffset>
            </wp:positionH>
            <wp:positionV relativeFrom="page">
              <wp:posOffset>110836</wp:posOffset>
            </wp:positionV>
            <wp:extent cx="2876550" cy="1101437"/>
            <wp:effectExtent l="19050" t="0" r="0" b="0"/>
            <wp:wrapNone/>
            <wp:docPr id="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a:stretch>
                      <a:fillRect/>
                    </a:stretch>
                  </pic:blipFill>
                  <pic:spPr bwMode="auto">
                    <a:xfrm>
                      <a:off x="0" y="0"/>
                      <a:ext cx="2876550" cy="1101437"/>
                    </a:xfrm>
                    <a:prstGeom prst="rect">
                      <a:avLst/>
                    </a:prstGeom>
                    <a:noFill/>
                    <a:ln w="9525">
                      <a:noFill/>
                      <a:miter lim="800000"/>
                      <a:headEnd/>
                      <a:tailEnd/>
                    </a:ln>
                  </pic:spPr>
                </pic:pic>
              </a:graphicData>
            </a:graphic>
          </wp:anchor>
        </w:drawing>
      </w:r>
      <w:r w:rsidR="00D20FAE">
        <w:rPr>
          <w:noProof/>
          <w:lang w:eastAsia="en-AU"/>
        </w:rPr>
        <w:pict>
          <v:shapetype id="_x0000_t202" coordsize="21600,21600" o:spt="202" path="m,l,21600r21600,l21600,xe">
            <v:stroke joinstyle="miter"/>
            <v:path gradientshapeok="t" o:connecttype="rect"/>
          </v:shapetype>
          <v:shape id="_x0000_s1037" type="#_x0000_t202" style="position:absolute;left:0;text-align:left;margin-left:67.05pt;margin-top:5in;width:417pt;height:172.35pt;z-index:251648000;mso-position-horizontal-relative:text;mso-position-vertical-relative:text" filled="f" stroked="f">
            <v:textbox style="mso-next-textbox:#_x0000_s1037;mso-fit-shape-to-text:t">
              <w:txbxContent>
                <w:p w:rsidR="006E06FC" w:rsidRDefault="006E06FC" w:rsidP="00B80BE4">
                  <w:pPr>
                    <w:spacing w:line="240" w:lineRule="auto"/>
                    <w:jc w:val="left"/>
                    <w:rPr>
                      <w:b/>
                      <w:color w:val="FFFFFF"/>
                      <w:sz w:val="40"/>
                      <w:szCs w:val="40"/>
                    </w:rPr>
                  </w:pPr>
                  <w:bookmarkStart w:id="0" w:name="OLE_LINK1"/>
                  <w:bookmarkStart w:id="1" w:name="OLE_LINK2"/>
                  <w:bookmarkStart w:id="2" w:name="OLE_LINK3"/>
                  <w:bookmarkStart w:id="3" w:name="OLE_LINK4"/>
                  <w:bookmarkStart w:id="4" w:name="_Hlk415134306"/>
                  <w:r w:rsidRPr="00A974AB">
                    <w:rPr>
                      <w:b/>
                      <w:color w:val="FFFFFF"/>
                      <w:sz w:val="40"/>
                      <w:szCs w:val="40"/>
                    </w:rPr>
                    <w:t xml:space="preserve">Monitoring the ecological response of Commonwealth environmental water delivered in 2012-13 to the Murrumbidgee </w:t>
                  </w:r>
                  <w:r>
                    <w:rPr>
                      <w:b/>
                      <w:color w:val="FFFFFF"/>
                      <w:sz w:val="40"/>
                      <w:szCs w:val="40"/>
                    </w:rPr>
                    <w:t>r</w:t>
                  </w:r>
                  <w:r w:rsidRPr="00A974AB">
                    <w:rPr>
                      <w:b/>
                      <w:color w:val="FFFFFF"/>
                      <w:sz w:val="40"/>
                      <w:szCs w:val="40"/>
                    </w:rPr>
                    <w:t>iver</w:t>
                  </w:r>
                  <w:r>
                    <w:rPr>
                      <w:b/>
                      <w:color w:val="FFFFFF"/>
                      <w:sz w:val="40"/>
                      <w:szCs w:val="40"/>
                    </w:rPr>
                    <w:t xml:space="preserve"> system</w:t>
                  </w:r>
                </w:p>
                <w:bookmarkEnd w:id="0"/>
                <w:bookmarkEnd w:id="1"/>
                <w:p w:rsidR="006E06FC" w:rsidRDefault="006E06FC" w:rsidP="004C7F58">
                  <w:pPr>
                    <w:spacing w:line="240" w:lineRule="auto"/>
                    <w:rPr>
                      <w:b/>
                      <w:color w:val="FFFFFF"/>
                      <w:sz w:val="40"/>
                      <w:szCs w:val="40"/>
                    </w:rPr>
                  </w:pPr>
                </w:p>
                <w:p w:rsidR="006E06FC" w:rsidRPr="00A974AB" w:rsidRDefault="006E06FC" w:rsidP="004C7F58">
                  <w:pPr>
                    <w:spacing w:line="240" w:lineRule="auto"/>
                    <w:jc w:val="right"/>
                    <w:rPr>
                      <w:b/>
                      <w:color w:val="FFFFFF"/>
                      <w:sz w:val="40"/>
                      <w:szCs w:val="40"/>
                    </w:rPr>
                  </w:pPr>
                  <w:r>
                    <w:rPr>
                      <w:b/>
                      <w:color w:val="FFFFFF"/>
                      <w:sz w:val="40"/>
                      <w:szCs w:val="40"/>
                    </w:rPr>
                    <w:t xml:space="preserve">Final Report </w:t>
                  </w:r>
                  <w:bookmarkEnd w:id="2"/>
                  <w:bookmarkEnd w:id="3"/>
                  <w:bookmarkEnd w:id="4"/>
                </w:p>
              </w:txbxContent>
            </v:textbox>
          </v:shape>
        </w:pict>
      </w:r>
      <w:r w:rsidR="00D20FAE">
        <w:rPr>
          <w:noProof/>
          <w:lang w:eastAsia="en-AU"/>
        </w:rPr>
        <w:pict>
          <v:group id="_x0000_s1034" style="position:absolute;left:0;text-align:left;margin-left:-44.6pt;margin-top:23.55pt;width:544.65pt;height:639.6pt;z-index:-251669504;mso-position-horizontal-relative:text;mso-position-vertical-relative:text" coordorigin="1440,1440" coordsize="9364,111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35" type="#_x0000_t75" style="position:absolute;left:1440;top:6741;width:9364;height:5875;visibility:visible">
              <v:imagedata r:id="rId8" o:title=""/>
            </v:shape>
            <v:shape id="Picture 1" o:spid="_x0000_s1036" type="#_x0000_t75" style="position:absolute;left:1440;top:1440;width:9364;height:5301;visibility:visible">
              <v:imagedata r:id="rId9" o:title=""/>
            </v:shape>
          </v:group>
        </w:pict>
      </w:r>
      <w:r w:rsidR="0087202F">
        <w:rPr>
          <w:noProof/>
          <w:lang w:eastAsia="en-AU"/>
        </w:rPr>
        <w:drawing>
          <wp:anchor distT="0" distB="0" distL="114300" distR="114300" simplePos="0" relativeHeight="251645952" behindDoc="1" locked="0" layoutInCell="1" allowOverlap="1">
            <wp:simplePos x="0" y="0"/>
            <wp:positionH relativeFrom="column">
              <wp:posOffset>3927475</wp:posOffset>
            </wp:positionH>
            <wp:positionV relativeFrom="paragraph">
              <wp:posOffset>-462280</wp:posOffset>
            </wp:positionV>
            <wp:extent cx="2239010" cy="607060"/>
            <wp:effectExtent l="19050" t="0" r="8890" b="0"/>
            <wp:wrapNone/>
            <wp:docPr id="92"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0" cstate="print"/>
                    <a:srcRect/>
                    <a:stretch>
                      <a:fillRect/>
                    </a:stretch>
                  </pic:blipFill>
                  <pic:spPr bwMode="auto">
                    <a:xfrm>
                      <a:off x="0" y="0"/>
                      <a:ext cx="2239010" cy="607060"/>
                    </a:xfrm>
                    <a:prstGeom prst="rect">
                      <a:avLst/>
                    </a:prstGeom>
                    <a:noFill/>
                    <a:ln w="9525">
                      <a:noFill/>
                      <a:miter lim="800000"/>
                      <a:headEnd/>
                      <a:tailEnd/>
                    </a:ln>
                  </pic:spPr>
                </pic:pic>
              </a:graphicData>
            </a:graphic>
          </wp:anchor>
        </w:drawing>
      </w:r>
    </w:p>
    <w:p w:rsidR="004C7F58" w:rsidRDefault="004C7F58"/>
    <w:p w:rsidR="003A1EA1" w:rsidRDefault="003A1EA1">
      <w:r>
        <w:br w:type="page"/>
      </w:r>
    </w:p>
    <w:p w:rsidR="004C7F58" w:rsidRDefault="00B01C7B" w:rsidP="004C7F58">
      <w:pPr>
        <w:spacing w:line="240" w:lineRule="auto"/>
        <w:rPr>
          <w:bCs/>
        </w:rPr>
      </w:pPr>
      <w:r>
        <w:rPr>
          <w:bCs/>
          <w:noProof/>
          <w:lang w:eastAsia="en-AU"/>
        </w:rPr>
        <w:lastRenderedPageBreak/>
        <w:drawing>
          <wp:anchor distT="0" distB="0" distL="114300" distR="114300" simplePos="0" relativeHeight="251650048" behindDoc="1" locked="0" layoutInCell="1" allowOverlap="1">
            <wp:simplePos x="0" y="0"/>
            <wp:positionH relativeFrom="column">
              <wp:posOffset>19050</wp:posOffset>
            </wp:positionH>
            <wp:positionV relativeFrom="paragraph">
              <wp:posOffset>8792</wp:posOffset>
            </wp:positionV>
            <wp:extent cx="2249366" cy="606670"/>
            <wp:effectExtent l="19050" t="0" r="0" b="0"/>
            <wp:wrapNone/>
            <wp:docPr id="46"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0" cstate="print"/>
                    <a:srcRect/>
                    <a:stretch>
                      <a:fillRect/>
                    </a:stretch>
                  </pic:blipFill>
                  <pic:spPr bwMode="auto">
                    <a:xfrm>
                      <a:off x="0" y="0"/>
                      <a:ext cx="2249366" cy="606670"/>
                    </a:xfrm>
                    <a:prstGeom prst="rect">
                      <a:avLst/>
                    </a:prstGeom>
                    <a:noFill/>
                    <a:ln w="9525">
                      <a:noFill/>
                      <a:miter lim="800000"/>
                      <a:headEnd/>
                      <a:tailEnd/>
                    </a:ln>
                  </pic:spPr>
                </pic:pic>
              </a:graphicData>
            </a:graphic>
          </wp:anchor>
        </w:drawing>
      </w:r>
    </w:p>
    <w:p w:rsidR="004C7F58" w:rsidRDefault="004C7F58" w:rsidP="004C7F58">
      <w:pPr>
        <w:spacing w:line="240" w:lineRule="auto"/>
        <w:rPr>
          <w:bCs/>
        </w:rPr>
      </w:pPr>
    </w:p>
    <w:p w:rsidR="004C7F58" w:rsidRDefault="004C7F58" w:rsidP="004C7F58">
      <w:pPr>
        <w:spacing w:line="240" w:lineRule="auto"/>
        <w:rPr>
          <w:bCs/>
        </w:rPr>
      </w:pPr>
    </w:p>
    <w:p w:rsidR="008F6D38" w:rsidRDefault="005E6D6A">
      <w:pPr>
        <w:spacing w:line="240" w:lineRule="auto"/>
        <w:rPr>
          <w:bCs/>
        </w:rPr>
      </w:pPr>
      <w:bookmarkStart w:id="5" w:name="_Toc353887378"/>
      <w:bookmarkStart w:id="6" w:name="_Toc370738692"/>
      <w:r w:rsidRPr="005E6D6A">
        <w:rPr>
          <w:bCs/>
        </w:rPr>
        <w:t>Monitoring the ecological response of Commonwealth environmental water delivered in 2012-13 to the Murrumbidgee river system</w:t>
      </w:r>
      <w:r w:rsidR="004C7F58" w:rsidRPr="00B91EAF">
        <w:rPr>
          <w:bCs/>
        </w:rPr>
        <w:t>.</w:t>
      </w:r>
      <w:bookmarkEnd w:id="5"/>
      <w:bookmarkEnd w:id="6"/>
    </w:p>
    <w:p w:rsidR="004C7F58" w:rsidRDefault="004C7F58" w:rsidP="004C7F58">
      <w:pPr>
        <w:spacing w:line="240" w:lineRule="auto"/>
        <w:rPr>
          <w:bCs/>
        </w:rPr>
      </w:pPr>
    </w:p>
    <w:p w:rsidR="004C7F58" w:rsidRDefault="004C7F58" w:rsidP="004C7F58">
      <w:pPr>
        <w:spacing w:line="240" w:lineRule="auto"/>
      </w:pPr>
      <w:r>
        <w:rPr>
          <w:bCs/>
        </w:rPr>
        <w:t xml:space="preserve">Prepared by: </w:t>
      </w:r>
      <w:r w:rsidRPr="001B7EC3">
        <w:rPr>
          <w:bCs/>
        </w:rPr>
        <w:t>Wassens, S.</w:t>
      </w:r>
      <w:r w:rsidRPr="001B7EC3">
        <w:rPr>
          <w:bCs/>
          <w:vertAlign w:val="superscript"/>
        </w:rPr>
        <w:t>a</w:t>
      </w:r>
      <w:r>
        <w:rPr>
          <w:bCs/>
        </w:rPr>
        <w:t>, Jenkins, K.</w:t>
      </w:r>
      <w:r>
        <w:rPr>
          <w:bCs/>
          <w:vertAlign w:val="superscript"/>
        </w:rPr>
        <w:t>b</w:t>
      </w:r>
      <w:r>
        <w:rPr>
          <w:bCs/>
        </w:rPr>
        <w:t xml:space="preserve"> Spencer</w:t>
      </w:r>
      <w:r w:rsidRPr="00E55B0C">
        <w:rPr>
          <w:bCs/>
        </w:rPr>
        <w:t>, J</w:t>
      </w:r>
      <w:r>
        <w:rPr>
          <w:bCs/>
        </w:rPr>
        <w:t>.</w:t>
      </w:r>
      <w:r w:rsidR="00096FB0">
        <w:rPr>
          <w:bCs/>
          <w:vertAlign w:val="superscript"/>
        </w:rPr>
        <w:t>c</w:t>
      </w:r>
      <w:r>
        <w:rPr>
          <w:bCs/>
        </w:rPr>
        <w:t>, Bindokas, J.</w:t>
      </w:r>
      <w:r w:rsidR="00096FB0">
        <w:rPr>
          <w:bCs/>
          <w:vertAlign w:val="superscript"/>
        </w:rPr>
        <w:t>d</w:t>
      </w:r>
      <w:r>
        <w:rPr>
          <w:bCs/>
        </w:rPr>
        <w:t xml:space="preserve">, </w:t>
      </w:r>
      <w:r w:rsidR="00096FB0">
        <w:rPr>
          <w:bCs/>
        </w:rPr>
        <w:t xml:space="preserve">Kobyashi, </w:t>
      </w:r>
      <w:proofErr w:type="gramStart"/>
      <w:r w:rsidR="00096FB0">
        <w:rPr>
          <w:bCs/>
        </w:rPr>
        <w:t>T</w:t>
      </w:r>
      <w:r w:rsidR="00096FB0">
        <w:rPr>
          <w:bCs/>
          <w:vertAlign w:val="superscript"/>
        </w:rPr>
        <w:t>c</w:t>
      </w:r>
      <w:r w:rsidR="00096FB0">
        <w:rPr>
          <w:bCs/>
        </w:rPr>
        <w:t>.,</w:t>
      </w:r>
      <w:proofErr w:type="gramEnd"/>
      <w:r w:rsidR="00096FB0" w:rsidRPr="001B7EC3">
        <w:rPr>
          <w:bCs/>
        </w:rPr>
        <w:t xml:space="preserve"> </w:t>
      </w:r>
      <w:r w:rsidR="00096FB0">
        <w:rPr>
          <w:bCs/>
        </w:rPr>
        <w:t>Bino, G.</w:t>
      </w:r>
      <w:r w:rsidR="00096FB0">
        <w:rPr>
          <w:bCs/>
          <w:vertAlign w:val="superscript"/>
        </w:rPr>
        <w:t>b</w:t>
      </w:r>
      <w:r w:rsidR="00096FB0">
        <w:rPr>
          <w:bCs/>
        </w:rPr>
        <w:t xml:space="preserve">, </w:t>
      </w:r>
      <w:r w:rsidR="00574F0D" w:rsidRPr="001B7EC3">
        <w:rPr>
          <w:bCs/>
        </w:rPr>
        <w:t>Watts, R.J.</w:t>
      </w:r>
      <w:r w:rsidR="00574F0D" w:rsidRPr="001B7EC3">
        <w:rPr>
          <w:bCs/>
          <w:vertAlign w:val="superscript"/>
        </w:rPr>
        <w:t>a</w:t>
      </w:r>
      <w:r w:rsidR="00574F0D" w:rsidRPr="001B7EC3">
        <w:rPr>
          <w:bCs/>
        </w:rPr>
        <w:t>,</w:t>
      </w:r>
      <w:r w:rsidR="00574F0D">
        <w:rPr>
          <w:bCs/>
        </w:rPr>
        <w:t xml:space="preserve"> </w:t>
      </w:r>
      <w:r w:rsidR="00096FB0">
        <w:rPr>
          <w:bCs/>
        </w:rPr>
        <w:t>Lenon, E.</w:t>
      </w:r>
      <w:r w:rsidR="00096FB0" w:rsidRPr="00096FB0">
        <w:rPr>
          <w:bCs/>
          <w:vertAlign w:val="superscript"/>
        </w:rPr>
        <w:t>e</w:t>
      </w:r>
      <w:r w:rsidR="004131E1">
        <w:rPr>
          <w:bCs/>
        </w:rPr>
        <w:t>,</w:t>
      </w:r>
      <w:r w:rsidR="00CB3E3C">
        <w:rPr>
          <w:bCs/>
        </w:rPr>
        <w:t xml:space="preserve"> Thomas, R.</w:t>
      </w:r>
      <w:r w:rsidR="00CB3E3C">
        <w:rPr>
          <w:bCs/>
          <w:vertAlign w:val="superscript"/>
        </w:rPr>
        <w:t>c</w:t>
      </w:r>
      <w:r w:rsidR="00CB3E3C">
        <w:rPr>
          <w:bCs/>
        </w:rPr>
        <w:t xml:space="preserve">, </w:t>
      </w:r>
      <w:r w:rsidR="00CB3E3C" w:rsidRPr="001B7EC3">
        <w:rPr>
          <w:bCs/>
        </w:rPr>
        <w:t>Baumgartner</w:t>
      </w:r>
      <w:r w:rsidR="00CB3E3C">
        <w:rPr>
          <w:bCs/>
        </w:rPr>
        <w:t>,</w:t>
      </w:r>
      <w:r w:rsidR="00CB3E3C" w:rsidRPr="001B7EC3">
        <w:rPr>
          <w:bCs/>
        </w:rPr>
        <w:t xml:space="preserve"> L.</w:t>
      </w:r>
      <w:r w:rsidR="00CB3E3C">
        <w:rPr>
          <w:bCs/>
          <w:vertAlign w:val="superscript"/>
        </w:rPr>
        <w:t>d</w:t>
      </w:r>
      <w:r w:rsidR="00CB3E3C" w:rsidRPr="001B7EC3">
        <w:rPr>
          <w:bCs/>
        </w:rPr>
        <w:t xml:space="preserve"> </w:t>
      </w:r>
      <w:r w:rsidR="0085590E">
        <w:rPr>
          <w:bCs/>
        </w:rPr>
        <w:t xml:space="preserve">and </w:t>
      </w:r>
      <w:r>
        <w:rPr>
          <w:bCs/>
        </w:rPr>
        <w:t>Hall, A.</w:t>
      </w:r>
      <w:r>
        <w:rPr>
          <w:bCs/>
          <w:vertAlign w:val="superscript"/>
        </w:rPr>
        <w:t>a</w:t>
      </w:r>
      <w:r w:rsidR="000A2598">
        <w:rPr>
          <w:bCs/>
        </w:rPr>
        <w:t xml:space="preserve"> </w:t>
      </w:r>
    </w:p>
    <w:p w:rsidR="004C7F58" w:rsidRPr="00CA7724" w:rsidRDefault="004C7F58" w:rsidP="004C7F58">
      <w:pPr>
        <w:spacing w:line="240" w:lineRule="auto"/>
        <w:jc w:val="center"/>
        <w:rPr>
          <w:rFonts w:cs="Calibri"/>
          <w:sz w:val="20"/>
          <w:szCs w:val="20"/>
        </w:rPr>
      </w:pPr>
    </w:p>
    <w:tbl>
      <w:tblPr>
        <w:tblW w:w="0" w:type="auto"/>
        <w:tblLayout w:type="fixed"/>
        <w:tblLook w:val="04A0"/>
      </w:tblPr>
      <w:tblGrid>
        <w:gridCol w:w="3227"/>
        <w:gridCol w:w="6015"/>
      </w:tblGrid>
      <w:tr w:rsidR="004C7F58" w:rsidRPr="00CA1DD8" w:rsidTr="00CA1DD8">
        <w:trPr>
          <w:trHeight w:val="862"/>
        </w:trPr>
        <w:tc>
          <w:tcPr>
            <w:tcW w:w="3227" w:type="dxa"/>
          </w:tcPr>
          <w:p w:rsidR="004C7F58" w:rsidRPr="00CA1DD8" w:rsidRDefault="0087202F" w:rsidP="00CA1DD8">
            <w:pPr>
              <w:spacing w:line="240" w:lineRule="auto"/>
              <w:rPr>
                <w:rFonts w:cs="Calibri"/>
                <w:noProof/>
                <w:sz w:val="18"/>
                <w:szCs w:val="18"/>
                <w:lang w:eastAsia="en-AU"/>
              </w:rPr>
            </w:pPr>
            <w:r>
              <w:rPr>
                <w:rFonts w:cs="Calibri"/>
                <w:noProof/>
                <w:sz w:val="18"/>
                <w:szCs w:val="18"/>
                <w:lang w:eastAsia="en-AU"/>
              </w:rPr>
              <w:drawing>
                <wp:anchor distT="0" distB="0" distL="114300" distR="114300" simplePos="0" relativeHeight="251651072" behindDoc="1" locked="0" layoutInCell="1" allowOverlap="1">
                  <wp:simplePos x="0" y="0"/>
                  <wp:positionH relativeFrom="column">
                    <wp:posOffset>-66675</wp:posOffset>
                  </wp:positionH>
                  <wp:positionV relativeFrom="paragraph">
                    <wp:posOffset>13970</wp:posOffset>
                  </wp:positionV>
                  <wp:extent cx="1322070" cy="360045"/>
                  <wp:effectExtent l="19050" t="0" r="0" b="0"/>
                  <wp:wrapNone/>
                  <wp:docPr id="45"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0" cstate="print"/>
                          <a:srcRect/>
                          <a:stretch>
                            <a:fillRect/>
                          </a:stretch>
                        </pic:blipFill>
                        <pic:spPr bwMode="auto">
                          <a:xfrm>
                            <a:off x="0" y="0"/>
                            <a:ext cx="1322070" cy="360045"/>
                          </a:xfrm>
                          <a:prstGeom prst="rect">
                            <a:avLst/>
                          </a:prstGeom>
                          <a:noFill/>
                          <a:ln w="9525">
                            <a:noFill/>
                            <a:miter lim="800000"/>
                            <a:headEnd/>
                            <a:tailEnd/>
                          </a:ln>
                        </pic:spPr>
                      </pic:pic>
                    </a:graphicData>
                  </a:graphic>
                </wp:anchor>
              </w:drawing>
            </w:r>
          </w:p>
        </w:tc>
        <w:tc>
          <w:tcPr>
            <w:tcW w:w="6015" w:type="dxa"/>
          </w:tcPr>
          <w:p w:rsidR="004C7F58" w:rsidRPr="00CA1DD8" w:rsidRDefault="00096FB0" w:rsidP="00CA1DD8">
            <w:pPr>
              <w:spacing w:line="240" w:lineRule="auto"/>
              <w:rPr>
                <w:sz w:val="18"/>
                <w:szCs w:val="18"/>
                <w:vertAlign w:val="superscript"/>
              </w:rPr>
            </w:pPr>
            <w:proofErr w:type="gramStart"/>
            <w:r w:rsidRPr="00096FB0">
              <w:rPr>
                <w:bCs/>
                <w:sz w:val="18"/>
                <w:szCs w:val="18"/>
                <w:vertAlign w:val="superscript"/>
              </w:rPr>
              <w:t>a</w:t>
            </w:r>
            <w:proofErr w:type="gramEnd"/>
            <w:r>
              <w:rPr>
                <w:bCs/>
                <w:sz w:val="18"/>
                <w:szCs w:val="18"/>
              </w:rPr>
              <w:t xml:space="preserve"> </w:t>
            </w:r>
            <w:r w:rsidR="004C7F58" w:rsidRPr="00CA1DD8">
              <w:rPr>
                <w:bCs/>
                <w:sz w:val="18"/>
                <w:szCs w:val="18"/>
              </w:rPr>
              <w:t>Institute for Land, Water and Society</w:t>
            </w:r>
            <w:r w:rsidR="004C7F58" w:rsidRPr="00CA1DD8">
              <w:rPr>
                <w:sz w:val="18"/>
                <w:szCs w:val="18"/>
                <w:vertAlign w:val="superscript"/>
              </w:rPr>
              <w:t xml:space="preserve">. </w:t>
            </w:r>
            <w:r w:rsidR="004C7F58" w:rsidRPr="00CA1DD8">
              <w:rPr>
                <w:sz w:val="18"/>
                <w:szCs w:val="18"/>
              </w:rPr>
              <w:t>Charles Sturt University, PO Box</w:t>
            </w:r>
            <w:r w:rsidR="00E80F39">
              <w:rPr>
                <w:sz w:val="18"/>
                <w:szCs w:val="18"/>
              </w:rPr>
              <w:t xml:space="preserve"> </w:t>
            </w:r>
            <w:r w:rsidR="004C7F58" w:rsidRPr="00CA1DD8">
              <w:rPr>
                <w:sz w:val="18"/>
                <w:szCs w:val="18"/>
              </w:rPr>
              <w:t>789, Albury, NSW 2640</w:t>
            </w:r>
          </w:p>
        </w:tc>
      </w:tr>
      <w:tr w:rsidR="004C7F58" w:rsidRPr="00CA1DD8" w:rsidTr="00CA1DD8">
        <w:trPr>
          <w:trHeight w:val="862"/>
        </w:trPr>
        <w:tc>
          <w:tcPr>
            <w:tcW w:w="3227" w:type="dxa"/>
          </w:tcPr>
          <w:p w:rsidR="004C7F58" w:rsidRPr="00CA1DD8" w:rsidRDefault="0087202F" w:rsidP="00CA1DD8">
            <w:pPr>
              <w:spacing w:line="240" w:lineRule="auto"/>
              <w:rPr>
                <w:rFonts w:cs="Calibri"/>
                <w:noProof/>
                <w:sz w:val="18"/>
                <w:szCs w:val="18"/>
                <w:lang w:eastAsia="en-AU"/>
              </w:rPr>
            </w:pPr>
            <w:r>
              <w:rPr>
                <w:rFonts w:eastAsia="Times New Roman" w:cs="Calibri"/>
                <w:bCs/>
                <w:noProof/>
                <w:color w:val="000000"/>
                <w:sz w:val="18"/>
                <w:szCs w:val="18"/>
                <w:lang w:eastAsia="en-AU"/>
              </w:rPr>
              <w:drawing>
                <wp:inline distT="0" distB="0" distL="0" distR="0">
                  <wp:extent cx="967105" cy="360680"/>
                  <wp:effectExtent l="1905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967105" cy="360680"/>
                          </a:xfrm>
                          <a:prstGeom prst="rect">
                            <a:avLst/>
                          </a:prstGeom>
                          <a:noFill/>
                          <a:ln w="9525">
                            <a:noFill/>
                            <a:miter lim="800000"/>
                            <a:headEnd/>
                            <a:tailEnd/>
                          </a:ln>
                        </pic:spPr>
                      </pic:pic>
                    </a:graphicData>
                  </a:graphic>
                </wp:inline>
              </w:drawing>
            </w:r>
          </w:p>
        </w:tc>
        <w:tc>
          <w:tcPr>
            <w:tcW w:w="6015" w:type="dxa"/>
          </w:tcPr>
          <w:p w:rsidR="004C7F58" w:rsidRPr="00CA1DD8" w:rsidRDefault="00096FB0" w:rsidP="00CA1DD8">
            <w:pPr>
              <w:spacing w:line="240" w:lineRule="auto"/>
              <w:rPr>
                <w:rFonts w:eastAsia="Times New Roman"/>
                <w:color w:val="000000"/>
                <w:sz w:val="18"/>
                <w:szCs w:val="18"/>
              </w:rPr>
            </w:pPr>
            <w:r>
              <w:rPr>
                <w:rFonts w:eastAsia="Times New Roman"/>
                <w:color w:val="000000"/>
                <w:sz w:val="18"/>
                <w:szCs w:val="18"/>
                <w:vertAlign w:val="superscript"/>
              </w:rPr>
              <w:t xml:space="preserve">b </w:t>
            </w:r>
            <w:r w:rsidR="004C7F58" w:rsidRPr="00CA1DD8">
              <w:rPr>
                <w:rFonts w:eastAsia="Times New Roman"/>
                <w:color w:val="000000"/>
                <w:sz w:val="18"/>
                <w:szCs w:val="18"/>
              </w:rPr>
              <w:t>Australian Wetlands Rivers and Landscapes Centre, University of New South Wales, Sydney, NSW, 2052</w:t>
            </w:r>
          </w:p>
        </w:tc>
      </w:tr>
      <w:tr w:rsidR="00096FB0" w:rsidRPr="00CA1DD8" w:rsidTr="00105CD5">
        <w:trPr>
          <w:trHeight w:val="862"/>
        </w:trPr>
        <w:tc>
          <w:tcPr>
            <w:tcW w:w="3227" w:type="dxa"/>
          </w:tcPr>
          <w:p w:rsidR="00096FB0" w:rsidRPr="00CA1DD8" w:rsidRDefault="0087202F" w:rsidP="00105CD5">
            <w:pPr>
              <w:spacing w:line="240" w:lineRule="auto"/>
              <w:rPr>
                <w:rFonts w:cs="Calibri"/>
                <w:sz w:val="18"/>
                <w:szCs w:val="18"/>
              </w:rPr>
            </w:pPr>
            <w:r>
              <w:rPr>
                <w:rFonts w:cs="Calibri"/>
                <w:noProof/>
                <w:sz w:val="18"/>
                <w:szCs w:val="18"/>
                <w:lang w:eastAsia="en-AU"/>
              </w:rPr>
              <w:drawing>
                <wp:inline distT="0" distB="0" distL="0" distR="0">
                  <wp:extent cx="1019810" cy="360680"/>
                  <wp:effectExtent l="19050" t="0" r="8890" b="0"/>
                  <wp:docPr id="2"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2" cstate="print"/>
                          <a:srcRect/>
                          <a:stretch>
                            <a:fillRect/>
                          </a:stretch>
                        </pic:blipFill>
                        <pic:spPr bwMode="auto">
                          <a:xfrm>
                            <a:off x="0" y="0"/>
                            <a:ext cx="1019810" cy="360680"/>
                          </a:xfrm>
                          <a:prstGeom prst="rect">
                            <a:avLst/>
                          </a:prstGeom>
                          <a:noFill/>
                          <a:ln w="9525">
                            <a:noFill/>
                            <a:miter lim="800000"/>
                            <a:headEnd/>
                            <a:tailEnd/>
                          </a:ln>
                        </pic:spPr>
                      </pic:pic>
                    </a:graphicData>
                  </a:graphic>
                </wp:inline>
              </w:drawing>
            </w:r>
          </w:p>
        </w:tc>
        <w:tc>
          <w:tcPr>
            <w:tcW w:w="6015" w:type="dxa"/>
          </w:tcPr>
          <w:p w:rsidR="00096FB0" w:rsidRPr="00CA1DD8" w:rsidRDefault="00096FB0" w:rsidP="00105CD5">
            <w:pPr>
              <w:spacing w:line="240" w:lineRule="auto"/>
              <w:rPr>
                <w:sz w:val="18"/>
                <w:szCs w:val="18"/>
              </w:rPr>
            </w:pPr>
            <w:r w:rsidRPr="00096FB0">
              <w:rPr>
                <w:rFonts w:cs="Arial"/>
                <w:sz w:val="18"/>
                <w:szCs w:val="18"/>
                <w:vertAlign w:val="superscript"/>
              </w:rPr>
              <w:t>c</w:t>
            </w:r>
            <w:r>
              <w:rPr>
                <w:rFonts w:cs="Arial"/>
                <w:sz w:val="18"/>
                <w:szCs w:val="18"/>
              </w:rPr>
              <w:t xml:space="preserve"> </w:t>
            </w:r>
            <w:r w:rsidRPr="00CA1DD8">
              <w:rPr>
                <w:rFonts w:cs="Arial"/>
                <w:sz w:val="18"/>
                <w:szCs w:val="18"/>
              </w:rPr>
              <w:t>Water, Wetlands &amp; Coasts Science Branch, NSW Office of Environment and Heritage, Department of Premier and Cabinet, PO Box A290, Sydney South, NSW 1232</w:t>
            </w:r>
          </w:p>
        </w:tc>
      </w:tr>
      <w:tr w:rsidR="004C7F58" w:rsidRPr="00CA1DD8" w:rsidTr="00CA1DD8">
        <w:trPr>
          <w:trHeight w:val="862"/>
        </w:trPr>
        <w:tc>
          <w:tcPr>
            <w:tcW w:w="3227" w:type="dxa"/>
          </w:tcPr>
          <w:p w:rsidR="004C7F58" w:rsidRPr="00CA1DD8" w:rsidRDefault="0087202F" w:rsidP="00CA1DD8">
            <w:pPr>
              <w:spacing w:line="240" w:lineRule="auto"/>
              <w:rPr>
                <w:rFonts w:cs="Calibri"/>
                <w:noProof/>
                <w:sz w:val="18"/>
                <w:szCs w:val="18"/>
                <w:lang w:eastAsia="en-AU"/>
              </w:rPr>
            </w:pPr>
            <w:r>
              <w:rPr>
                <w:rFonts w:cs="Calibri"/>
                <w:noProof/>
                <w:sz w:val="18"/>
                <w:szCs w:val="18"/>
                <w:lang w:eastAsia="en-AU"/>
              </w:rPr>
              <w:drawing>
                <wp:anchor distT="0" distB="0" distL="114300" distR="114300" simplePos="0" relativeHeight="251649024" behindDoc="0" locked="0" layoutInCell="1" allowOverlap="1">
                  <wp:simplePos x="0" y="0"/>
                  <wp:positionH relativeFrom="column">
                    <wp:posOffset>0</wp:posOffset>
                  </wp:positionH>
                  <wp:positionV relativeFrom="paragraph">
                    <wp:posOffset>18415</wp:posOffset>
                  </wp:positionV>
                  <wp:extent cx="1098550" cy="360045"/>
                  <wp:effectExtent l="19050" t="0" r="6350" b="0"/>
                  <wp:wrapSquare wrapText="bothSides"/>
                  <wp:docPr id="43" name="Picture 23" descr="TI logo colour 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I logo colour rgb"/>
                          <pic:cNvPicPr>
                            <a:picLocks noChangeAspect="1" noChangeArrowheads="1"/>
                          </pic:cNvPicPr>
                        </pic:nvPicPr>
                        <pic:blipFill>
                          <a:blip r:embed="rId13" cstate="print"/>
                          <a:srcRect/>
                          <a:stretch>
                            <a:fillRect/>
                          </a:stretch>
                        </pic:blipFill>
                        <pic:spPr bwMode="auto">
                          <a:xfrm>
                            <a:off x="0" y="0"/>
                            <a:ext cx="1098550" cy="360045"/>
                          </a:xfrm>
                          <a:prstGeom prst="rect">
                            <a:avLst/>
                          </a:prstGeom>
                          <a:noFill/>
                          <a:ln w="9525">
                            <a:noFill/>
                            <a:miter lim="800000"/>
                            <a:headEnd/>
                            <a:tailEnd/>
                          </a:ln>
                        </pic:spPr>
                      </pic:pic>
                    </a:graphicData>
                  </a:graphic>
                </wp:anchor>
              </w:drawing>
            </w:r>
          </w:p>
        </w:tc>
        <w:tc>
          <w:tcPr>
            <w:tcW w:w="6015" w:type="dxa"/>
          </w:tcPr>
          <w:p w:rsidR="004C7F58" w:rsidRPr="00CA1DD8" w:rsidRDefault="00096FB0" w:rsidP="00CA1DD8">
            <w:pPr>
              <w:spacing w:line="240" w:lineRule="auto"/>
              <w:rPr>
                <w:sz w:val="18"/>
                <w:szCs w:val="18"/>
                <w:vertAlign w:val="superscript"/>
              </w:rPr>
            </w:pPr>
            <w:r>
              <w:rPr>
                <w:sz w:val="18"/>
                <w:szCs w:val="18"/>
                <w:vertAlign w:val="superscript"/>
              </w:rPr>
              <w:t xml:space="preserve">d </w:t>
            </w:r>
            <w:r w:rsidR="004C7F58" w:rsidRPr="00CA1DD8">
              <w:rPr>
                <w:sz w:val="18"/>
                <w:szCs w:val="18"/>
              </w:rPr>
              <w:t>NSW Trade and Investment Narrandera Fisheries Centre, PO Box 182, Narrandera NSW 2700</w:t>
            </w:r>
          </w:p>
        </w:tc>
      </w:tr>
      <w:tr w:rsidR="00096FB0" w:rsidRPr="00CA1DD8" w:rsidTr="00105CD5">
        <w:trPr>
          <w:trHeight w:val="862"/>
        </w:trPr>
        <w:tc>
          <w:tcPr>
            <w:tcW w:w="3227" w:type="dxa"/>
          </w:tcPr>
          <w:p w:rsidR="00096FB0" w:rsidRPr="00CA1DD8" w:rsidRDefault="0087202F" w:rsidP="00105CD5">
            <w:pPr>
              <w:spacing w:line="240" w:lineRule="auto"/>
              <w:rPr>
                <w:rFonts w:cs="Calibri"/>
                <w:noProof/>
                <w:sz w:val="18"/>
                <w:szCs w:val="18"/>
                <w:lang w:eastAsia="en-AU"/>
              </w:rPr>
            </w:pPr>
            <w:r>
              <w:rPr>
                <w:rFonts w:cs="Calibri"/>
                <w:noProof/>
                <w:sz w:val="18"/>
                <w:szCs w:val="18"/>
                <w:lang w:eastAsia="en-AU"/>
              </w:rPr>
              <w:drawing>
                <wp:inline distT="0" distB="0" distL="0" distR="0">
                  <wp:extent cx="1943100" cy="360680"/>
                  <wp:effectExtent l="19050" t="0" r="0" b="0"/>
                  <wp:docPr id="3" name="Picture 2" descr="MurrumbidgeeCMA_Text_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rrumbidgeeCMA_Text_Colour"/>
                          <pic:cNvPicPr>
                            <a:picLocks noChangeAspect="1" noChangeArrowheads="1"/>
                          </pic:cNvPicPr>
                        </pic:nvPicPr>
                        <pic:blipFill>
                          <a:blip r:embed="rId14" cstate="print"/>
                          <a:srcRect/>
                          <a:stretch>
                            <a:fillRect/>
                          </a:stretch>
                        </pic:blipFill>
                        <pic:spPr bwMode="auto">
                          <a:xfrm>
                            <a:off x="0" y="0"/>
                            <a:ext cx="1943100" cy="360680"/>
                          </a:xfrm>
                          <a:prstGeom prst="rect">
                            <a:avLst/>
                          </a:prstGeom>
                          <a:noFill/>
                          <a:ln w="9525">
                            <a:noFill/>
                            <a:miter lim="800000"/>
                            <a:headEnd/>
                            <a:tailEnd/>
                          </a:ln>
                        </pic:spPr>
                      </pic:pic>
                    </a:graphicData>
                  </a:graphic>
                </wp:inline>
              </w:drawing>
            </w:r>
          </w:p>
        </w:tc>
        <w:tc>
          <w:tcPr>
            <w:tcW w:w="6015" w:type="dxa"/>
          </w:tcPr>
          <w:p w:rsidR="00096FB0" w:rsidRPr="00CA1DD8" w:rsidRDefault="00096FB0" w:rsidP="00105CD5">
            <w:pPr>
              <w:spacing w:line="240" w:lineRule="auto"/>
              <w:rPr>
                <w:sz w:val="18"/>
                <w:szCs w:val="18"/>
              </w:rPr>
            </w:pPr>
            <w:proofErr w:type="gramStart"/>
            <w:r>
              <w:rPr>
                <w:sz w:val="18"/>
                <w:szCs w:val="18"/>
                <w:vertAlign w:val="superscript"/>
              </w:rPr>
              <w:t>e</w:t>
            </w:r>
            <w:proofErr w:type="gramEnd"/>
            <w:r>
              <w:rPr>
                <w:sz w:val="18"/>
                <w:szCs w:val="18"/>
              </w:rPr>
              <w:t xml:space="preserve"> </w:t>
            </w:r>
            <w:r w:rsidRPr="00CA1DD8">
              <w:rPr>
                <w:sz w:val="18"/>
                <w:szCs w:val="18"/>
              </w:rPr>
              <w:t xml:space="preserve">Murrumbidgee Catchment Management Authority, </w:t>
            </w:r>
            <w:r w:rsidRPr="00CA1DD8">
              <w:rPr>
                <w:sz w:val="18"/>
                <w:szCs w:val="18"/>
                <w:lang w:val="en-US"/>
              </w:rPr>
              <w:t>Level 1, 42-45 Johnston Street (PO Box 5224)</w:t>
            </w:r>
            <w:r w:rsidRPr="00CA1DD8">
              <w:rPr>
                <w:sz w:val="18"/>
                <w:szCs w:val="18"/>
              </w:rPr>
              <w:t xml:space="preserve">. </w:t>
            </w:r>
            <w:r w:rsidRPr="00CA1DD8">
              <w:rPr>
                <w:sz w:val="18"/>
                <w:szCs w:val="18"/>
                <w:lang w:val="en-US"/>
              </w:rPr>
              <w:t>Wagga Wagga NSW 2650</w:t>
            </w:r>
          </w:p>
        </w:tc>
      </w:tr>
    </w:tbl>
    <w:p w:rsidR="00655702" w:rsidRDefault="00655702" w:rsidP="00655702">
      <w:pPr>
        <w:pStyle w:val="BodyText1"/>
        <w:rPr>
          <w:sz w:val="18"/>
          <w:szCs w:val="18"/>
        </w:rPr>
      </w:pPr>
    </w:p>
    <w:p w:rsidR="004C7F58" w:rsidRPr="00655702" w:rsidRDefault="004C7F58" w:rsidP="00655702">
      <w:pPr>
        <w:pStyle w:val="BodyText1"/>
        <w:rPr>
          <w:sz w:val="18"/>
          <w:szCs w:val="18"/>
        </w:rPr>
      </w:pPr>
      <w:r w:rsidRPr="00655702">
        <w:rPr>
          <w:sz w:val="18"/>
          <w:szCs w:val="18"/>
        </w:rPr>
        <w:t>This monitoring project was commissioned and funded by Commonwealth Environmental Water Office with additional in-kind support from the NSW Office of Environment and Heritage</w:t>
      </w:r>
      <w:r w:rsidR="00DA6F16">
        <w:rPr>
          <w:sz w:val="18"/>
          <w:szCs w:val="18"/>
        </w:rPr>
        <w:t xml:space="preserve">, </w:t>
      </w:r>
      <w:r w:rsidRPr="00655702">
        <w:rPr>
          <w:sz w:val="18"/>
          <w:szCs w:val="18"/>
        </w:rPr>
        <w:t>Murrumbidgee Catchment Management Authority</w:t>
      </w:r>
      <w:r w:rsidR="00DA6F16">
        <w:rPr>
          <w:sz w:val="18"/>
          <w:szCs w:val="18"/>
        </w:rPr>
        <w:t xml:space="preserve"> and Charles Sturt University</w:t>
      </w:r>
      <w:r w:rsidRPr="00655702">
        <w:rPr>
          <w:sz w:val="18"/>
          <w:szCs w:val="18"/>
        </w:rPr>
        <w:t xml:space="preserve">. </w:t>
      </w:r>
    </w:p>
    <w:p w:rsidR="00655702" w:rsidRDefault="00655702" w:rsidP="00655702">
      <w:pPr>
        <w:pStyle w:val="BodyText1"/>
        <w:rPr>
          <w:sz w:val="18"/>
          <w:szCs w:val="18"/>
        </w:rPr>
      </w:pPr>
    </w:p>
    <w:p w:rsidR="00F64B38" w:rsidRDefault="00F64B38">
      <w:pPr>
        <w:spacing w:after="0" w:line="240" w:lineRule="auto"/>
        <w:jc w:val="left"/>
        <w:rPr>
          <w:rFonts w:eastAsia="Times New Roman" w:cs="Angsana New"/>
          <w:b/>
          <w:sz w:val="18"/>
          <w:szCs w:val="18"/>
          <w:lang w:eastAsia="zh-CN" w:bidi="th-TH"/>
        </w:rPr>
      </w:pPr>
      <w:r>
        <w:rPr>
          <w:b/>
          <w:sz w:val="18"/>
          <w:szCs w:val="18"/>
        </w:rPr>
        <w:br w:type="page"/>
      </w:r>
    </w:p>
    <w:p w:rsidR="00655702" w:rsidRPr="00F64B38" w:rsidRDefault="00655702" w:rsidP="00655702">
      <w:pPr>
        <w:pStyle w:val="BodyText1"/>
        <w:rPr>
          <w:sz w:val="20"/>
          <w:szCs w:val="18"/>
        </w:rPr>
      </w:pPr>
      <w:r w:rsidRPr="00F64B38">
        <w:rPr>
          <w:b/>
          <w:sz w:val="20"/>
          <w:szCs w:val="18"/>
        </w:rPr>
        <w:lastRenderedPageBreak/>
        <w:t>Copyright</w:t>
      </w:r>
      <w:r w:rsidRPr="00F64B38">
        <w:rPr>
          <w:b/>
          <w:sz w:val="20"/>
          <w:szCs w:val="18"/>
        </w:rPr>
        <w:br/>
      </w:r>
      <w:r w:rsidRPr="00F64B38">
        <w:rPr>
          <w:sz w:val="20"/>
          <w:szCs w:val="18"/>
        </w:rPr>
        <w:t>© Copyright Commonwealth of Australia, 2014</w:t>
      </w:r>
    </w:p>
    <w:p w:rsidR="00655702" w:rsidRPr="00F64B38" w:rsidRDefault="008F6D38" w:rsidP="00655702">
      <w:pPr>
        <w:pStyle w:val="BodyText1"/>
        <w:rPr>
          <w:sz w:val="20"/>
          <w:szCs w:val="18"/>
        </w:rPr>
      </w:pPr>
      <w:r w:rsidRPr="00F64B38">
        <w:rPr>
          <w:noProof/>
          <w:sz w:val="20"/>
          <w:szCs w:val="18"/>
          <w:lang w:eastAsia="en-AU" w:bidi="ar-SA"/>
        </w:rPr>
        <w:drawing>
          <wp:inline distT="0" distB="0" distL="0" distR="0">
            <wp:extent cx="1809750" cy="628650"/>
            <wp:effectExtent l="19050" t="0" r="0" b="0"/>
            <wp:docPr id="28"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5" cstate="print"/>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rsidR="00655702" w:rsidRPr="00F64B38" w:rsidRDefault="00655702" w:rsidP="00B91EAF">
      <w:pPr>
        <w:pStyle w:val="BodyText1"/>
        <w:rPr>
          <w:sz w:val="20"/>
          <w:szCs w:val="18"/>
        </w:rPr>
      </w:pPr>
      <w:r w:rsidRPr="00F64B38">
        <w:rPr>
          <w:sz w:val="20"/>
          <w:szCs w:val="18"/>
        </w:rPr>
        <w:t>‘</w:t>
      </w:r>
      <w:r w:rsidR="00B91EAF" w:rsidRPr="00F64B38">
        <w:rPr>
          <w:sz w:val="20"/>
          <w:szCs w:val="18"/>
        </w:rPr>
        <w:t>Monitoring the ecological response of Commonwealth environmental water delivered in 2012-13 to the Murrumbidgee River</w:t>
      </w:r>
      <w:r w:rsidRPr="00F64B38">
        <w:rPr>
          <w:sz w:val="20"/>
          <w:szCs w:val="18"/>
        </w:rPr>
        <w:t xml:space="preserve">’ 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6" w:history="1">
        <w:r w:rsidRPr="00F64B38">
          <w:rPr>
            <w:sz w:val="20"/>
            <w:szCs w:val="18"/>
          </w:rPr>
          <w:t>http://creativecommons.org/licenses/by/3.0/au/</w:t>
        </w:r>
      </w:hyperlink>
      <w:r w:rsidRPr="00F64B38">
        <w:rPr>
          <w:sz w:val="20"/>
          <w:szCs w:val="18"/>
        </w:rPr>
        <w:t xml:space="preserve"> </w:t>
      </w:r>
    </w:p>
    <w:p w:rsidR="00655702" w:rsidRPr="00F64B38" w:rsidRDefault="00655702" w:rsidP="00655702">
      <w:pPr>
        <w:pStyle w:val="BodyText1"/>
        <w:rPr>
          <w:sz w:val="20"/>
          <w:szCs w:val="18"/>
        </w:rPr>
      </w:pPr>
      <w:r w:rsidRPr="00F64B38">
        <w:rPr>
          <w:sz w:val="20"/>
          <w:szCs w:val="18"/>
        </w:rPr>
        <w:t>This report should be attributed as ‘</w:t>
      </w:r>
      <w:r w:rsidR="00B91EAF" w:rsidRPr="00F64B38">
        <w:rPr>
          <w:sz w:val="20"/>
          <w:szCs w:val="18"/>
        </w:rPr>
        <w:t>Monitoring the ecological response of Commonwealth environmental water delivered in 2012-13 to the Murrumbidgee River</w:t>
      </w:r>
      <w:r w:rsidRPr="00F64B38">
        <w:rPr>
          <w:sz w:val="20"/>
          <w:szCs w:val="18"/>
        </w:rPr>
        <w:t>, Commonwealth of Australia 2014’.</w:t>
      </w:r>
    </w:p>
    <w:p w:rsidR="00655702" w:rsidRPr="00F64B38" w:rsidRDefault="00655702" w:rsidP="00655702">
      <w:pPr>
        <w:pStyle w:val="BodyText1"/>
        <w:rPr>
          <w:sz w:val="20"/>
          <w:szCs w:val="18"/>
        </w:rPr>
      </w:pPr>
      <w:r w:rsidRPr="00F64B38">
        <w:rPr>
          <w:sz w:val="20"/>
          <w:szCs w:val="18"/>
        </w:rPr>
        <w:t>The Commonwealth of Australia has made all reasonable efforts to identify content supplied by third parties using the following format ‘© Copyright, [name of third party] ’.</w:t>
      </w:r>
    </w:p>
    <w:p w:rsidR="00655702" w:rsidRPr="00F64B38" w:rsidRDefault="00655702" w:rsidP="00655702">
      <w:pPr>
        <w:pStyle w:val="BodyText1"/>
        <w:rPr>
          <w:b/>
          <w:sz w:val="20"/>
          <w:szCs w:val="18"/>
        </w:rPr>
      </w:pPr>
      <w:r w:rsidRPr="00F64B38">
        <w:rPr>
          <w:b/>
          <w:sz w:val="20"/>
          <w:szCs w:val="18"/>
        </w:rPr>
        <w:t>Disclaimer</w:t>
      </w:r>
    </w:p>
    <w:p w:rsidR="00655702" w:rsidRPr="00F64B38" w:rsidRDefault="00655702" w:rsidP="00655702">
      <w:pPr>
        <w:pStyle w:val="BodyText1"/>
        <w:rPr>
          <w:sz w:val="20"/>
          <w:szCs w:val="18"/>
        </w:rPr>
      </w:pPr>
      <w:r w:rsidRPr="00F64B38">
        <w:rPr>
          <w:sz w:val="20"/>
          <w:szCs w:val="18"/>
        </w:rPr>
        <w:t xml:space="preserve">The views and opinions expressed in this publication are those of the authors and do not necessarily reflect those of the Australian Government or the Minister for the Environment. </w:t>
      </w:r>
    </w:p>
    <w:p w:rsidR="00F03FB6" w:rsidRPr="00F64B38" w:rsidRDefault="00655702" w:rsidP="00655702">
      <w:pPr>
        <w:pStyle w:val="BodyText1"/>
        <w:rPr>
          <w:sz w:val="20"/>
          <w:szCs w:val="18"/>
        </w:rPr>
      </w:pPr>
      <w:r w:rsidRPr="00F64B38">
        <w:rPr>
          <w:sz w:val="20"/>
          <w:szCs w:val="18"/>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rsidR="00F03FB6" w:rsidRPr="00F64B38" w:rsidRDefault="00F03FB6" w:rsidP="00F03FB6">
      <w:pPr>
        <w:pStyle w:val="TOCHeading"/>
        <w:rPr>
          <w:sz w:val="36"/>
          <w:lang w:eastAsia="zh-CN" w:bidi="th-TH"/>
        </w:rPr>
        <w:sectPr w:rsidR="00F03FB6" w:rsidRPr="00F64B38" w:rsidSect="00931ABE">
          <w:headerReference w:type="even" r:id="rId17"/>
          <w:headerReference w:type="default" r:id="rId18"/>
          <w:footerReference w:type="even" r:id="rId19"/>
          <w:footerReference w:type="default" r:id="rId20"/>
          <w:headerReference w:type="first" r:id="rId21"/>
          <w:footerReference w:type="first" r:id="rId22"/>
          <w:type w:val="continuous"/>
          <w:pgSz w:w="11907" w:h="16839" w:code="9"/>
          <w:pgMar w:top="1440" w:right="1440" w:bottom="1440" w:left="1440" w:header="708" w:footer="708" w:gutter="0"/>
          <w:pgNumType w:start="1"/>
          <w:cols w:space="708"/>
          <w:docGrid w:linePitch="360"/>
        </w:sectPr>
      </w:pPr>
    </w:p>
    <w:p w:rsidR="004C7F58" w:rsidRDefault="004C7F58" w:rsidP="00655702">
      <w:pPr>
        <w:pStyle w:val="BodyText1"/>
      </w:pPr>
      <w:r w:rsidRPr="00655702">
        <w:rPr>
          <w:sz w:val="18"/>
          <w:szCs w:val="18"/>
        </w:rPr>
        <w:br w:type="page"/>
      </w:r>
    </w:p>
    <w:p w:rsidR="00BB74DA" w:rsidRDefault="00BB74DA" w:rsidP="00BB74DA">
      <w:pPr>
        <w:pStyle w:val="Heading1"/>
        <w:numPr>
          <w:ilvl w:val="0"/>
          <w:numId w:val="0"/>
        </w:numPr>
      </w:pPr>
      <w:bookmarkStart w:id="7" w:name="_Toc378168500"/>
      <w:r>
        <w:t>Executive summary</w:t>
      </w:r>
      <w:bookmarkEnd w:id="7"/>
    </w:p>
    <w:p w:rsidR="00BB74DA" w:rsidRPr="00BB74DA" w:rsidRDefault="00BB74DA" w:rsidP="00BB74DA">
      <w:pPr>
        <w:pStyle w:val="bodytext10"/>
      </w:pPr>
      <w:r w:rsidRPr="00BB74DA">
        <w:t xml:space="preserve">Two key Commonwealth environmental watering actions were undertaken in the Murrumbidgee River system in 2012-13. The first action provided in-channel fresh flows from October to December 2012, targeting native large bodied fish, focussed on creating suitable nesting sites and spawning conditions </w:t>
      </w:r>
      <w:r w:rsidR="006E06FC">
        <w:t>for the iconic Murray cod.</w:t>
      </w:r>
      <w:r w:rsidRPr="00BB74DA">
        <w:t xml:space="preserve"> The second watering action targeted the Western Lakes system west of the Lowbidgee floodplain with the aim of reinstating flows that would normally have entered the lakes during naturally occurring flood events but </w:t>
      </w:r>
      <w:r w:rsidR="006E06FC">
        <w:t>have been</w:t>
      </w:r>
      <w:r w:rsidRPr="00BB74DA">
        <w:t xml:space="preserve"> prevented from doing so by the Paika levee.</w:t>
      </w:r>
    </w:p>
    <w:p w:rsidR="00BB74DA" w:rsidRPr="00BB74DA" w:rsidRDefault="00BB74DA" w:rsidP="00BB74DA">
      <w:pPr>
        <w:pStyle w:val="bodytext10"/>
      </w:pPr>
      <w:r w:rsidRPr="00BB74DA">
        <w:t xml:space="preserve">Monitoring activities to determine the success of Commonwealth environmental watering actions relative to the stated objectives were undertaken between August 2012 and June 2013. Overall, the expected outcomes of Commonwealth environmental watering actions were largely achieved. </w:t>
      </w:r>
    </w:p>
    <w:p w:rsidR="00BB74DA" w:rsidRPr="00BB74DA" w:rsidRDefault="00BB74DA" w:rsidP="00BB74DA">
      <w:pPr>
        <w:pStyle w:val="bodytext10"/>
      </w:pPr>
      <w:r w:rsidRPr="00BB74DA">
        <w:t xml:space="preserve">With respect to native fish reproduction and larval and juvenile recruitment, the following outcomes were achieved: Overall, </w:t>
      </w:r>
      <w:r w:rsidRPr="00BB74DA">
        <w:rPr>
          <w:b/>
          <w:bCs/>
        </w:rPr>
        <w:t>the total abundance and biomass of native fish increased significantly after the delivery of Commonwealth environmental water</w:t>
      </w:r>
      <w:r w:rsidRPr="00BB74DA">
        <w:t xml:space="preserve">, due to recruitment by some small-bodied native species (carp gudgeon and Australian smelt) and immigration of large bodied fish, in particular Golden perch. Wetland fish communities were dominated by small-bodied native fish species, which outnumbered exotic fish species such as carp, goldfish and gambusia by more than 100 to one. There was no evidence of significant carp recruitment in the Murrumbidgee River main channel following the delivery of Commonwealth environmental water. </w:t>
      </w:r>
    </w:p>
    <w:p w:rsidR="00BB74DA" w:rsidRPr="00BB74DA" w:rsidRDefault="00BB74DA" w:rsidP="00BB74DA">
      <w:pPr>
        <w:pStyle w:val="bodytext10"/>
      </w:pPr>
      <w:r w:rsidRPr="00BB74DA">
        <w:t>Twenty-seven Murray cod (</w:t>
      </w:r>
      <w:r w:rsidRPr="00BB74DA">
        <w:rPr>
          <w:i/>
          <w:iCs/>
        </w:rPr>
        <w:t>Maccullochella peelii</w:t>
      </w:r>
      <w:r w:rsidRPr="00BB74DA">
        <w:t>), six trout cod (</w:t>
      </w:r>
      <w:r w:rsidRPr="00BB74DA">
        <w:rPr>
          <w:i/>
          <w:iCs/>
        </w:rPr>
        <w:t>Macchullochella macquariensis</w:t>
      </w:r>
      <w:r w:rsidRPr="00BB74DA">
        <w:t>), five golden perch (</w:t>
      </w:r>
      <w:r w:rsidRPr="00BB74DA">
        <w:rPr>
          <w:i/>
          <w:iCs/>
        </w:rPr>
        <w:t>Macquaria ambigua</w:t>
      </w:r>
      <w:r w:rsidRPr="00BB74DA">
        <w:t>) and two silver perch (</w:t>
      </w:r>
      <w:r w:rsidRPr="00BB74DA">
        <w:rPr>
          <w:i/>
          <w:iCs/>
        </w:rPr>
        <w:t>Bidyanus bidyanus</w:t>
      </w:r>
      <w:r w:rsidRPr="00BB74DA">
        <w:t xml:space="preserve">) were implanted with acoustic tags to examine spawning related movement before, during and after delivery of the 2012-13 Commonwealth environmental fresh in the Murrumbidgee River. </w:t>
      </w:r>
      <w:r w:rsidRPr="00BB74DA">
        <w:rPr>
          <w:b/>
          <w:bCs/>
        </w:rPr>
        <w:t>Movement behaviours of tagged Murray cod were consistent with spawning related movements during Commonwealth environmental water delivery</w:t>
      </w:r>
      <w:r w:rsidRPr="00BB74DA">
        <w:t xml:space="preserve"> (which also coincided with the known spawning season of this species).  </w:t>
      </w:r>
      <w:r w:rsidRPr="00BB74DA">
        <w:rPr>
          <w:b/>
          <w:bCs/>
        </w:rPr>
        <w:t>Improved longitudinal connectivity provided by Commonwealth environmental water coincided with</w:t>
      </w:r>
      <w:r w:rsidRPr="00BB74DA">
        <w:t xml:space="preserve"> </w:t>
      </w:r>
      <w:r w:rsidRPr="00BB74DA">
        <w:rPr>
          <w:b/>
          <w:bCs/>
        </w:rPr>
        <w:t xml:space="preserve">reach scale movements by tagged silver perch, </w:t>
      </w:r>
      <w:r w:rsidRPr="00BB74DA">
        <w:t>throughout the mid-Murrumbidgee River. Larval fish communities were surveyed weekly in the Murrumbidgee River and Old Man Creek to assess fish spawning responses to Commonwealth environmental watering from September to December 2012. 519 cod larvae (</w:t>
      </w:r>
      <w:r w:rsidRPr="00BB74DA">
        <w:rPr>
          <w:i/>
          <w:iCs/>
        </w:rPr>
        <w:t xml:space="preserve">Maccullochella </w:t>
      </w:r>
      <w:r w:rsidRPr="00BB74DA">
        <w:t xml:space="preserve">spp.) were captured, with </w:t>
      </w:r>
      <w:r w:rsidRPr="00BB74DA">
        <w:rPr>
          <w:b/>
          <w:bCs/>
        </w:rPr>
        <w:t xml:space="preserve">a peak in abundance coinciding with the Commonwealth environmental water delivery period. </w:t>
      </w:r>
      <w:r w:rsidRPr="00BB74DA">
        <w:t>River blackfish (</w:t>
      </w:r>
      <w:r w:rsidRPr="00BB74DA">
        <w:rPr>
          <w:i/>
          <w:iCs/>
        </w:rPr>
        <w:t>Gadopsis marmoratus</w:t>
      </w:r>
      <w:r w:rsidRPr="00BB74DA">
        <w:t>), Australian smelt (</w:t>
      </w:r>
      <w:r w:rsidRPr="00BB74DA">
        <w:rPr>
          <w:i/>
          <w:iCs/>
        </w:rPr>
        <w:t>Retropinna semoni</w:t>
      </w:r>
      <w:r w:rsidRPr="00BB74DA">
        <w:t>) and carp gudgeon (</w:t>
      </w:r>
      <w:r w:rsidRPr="00BB74DA">
        <w:rPr>
          <w:i/>
          <w:iCs/>
        </w:rPr>
        <w:t xml:space="preserve">Hypseleotris </w:t>
      </w:r>
      <w:r w:rsidRPr="00BB74DA">
        <w:t>spp.) larvae were also collected during the sampling period in small numbers, as well as juvenile carp gudgeon and juvenile Australian smelt. Very few exotic fish larvae were collected.</w:t>
      </w:r>
    </w:p>
    <w:p w:rsidR="00BB74DA" w:rsidRPr="00BB74DA" w:rsidRDefault="00BB74DA" w:rsidP="00BB74DA">
      <w:pPr>
        <w:pStyle w:val="bodytext10"/>
        <w:rPr>
          <w:b/>
          <w:bCs/>
          <w:i/>
          <w:iCs/>
        </w:rPr>
      </w:pPr>
      <w:r w:rsidRPr="00BB74DA">
        <w:t>With respect to the Commonwealth environmental watering objective</w:t>
      </w:r>
      <w:r w:rsidRPr="00BB74DA">
        <w:rPr>
          <w:b/>
          <w:bCs/>
          <w:i/>
          <w:iCs/>
        </w:rPr>
        <w:t xml:space="preserve"> </w:t>
      </w:r>
      <w:r w:rsidRPr="00BB74DA">
        <w:rPr>
          <w:b/>
          <w:bCs/>
          <w:i/>
          <w:iCs/>
          <w:sz w:val="20"/>
          <w:szCs w:val="20"/>
        </w:rPr>
        <w:t>“</w:t>
      </w:r>
      <w:r w:rsidRPr="00BB74DA">
        <w:rPr>
          <w:b/>
          <w:bCs/>
          <w:i/>
          <w:iCs/>
        </w:rPr>
        <w:t xml:space="preserve">support habitat requirements of native fish in the Murrumbidgee River” </w:t>
      </w:r>
      <w:r w:rsidRPr="00BB74DA">
        <w:t>peaks in</w:t>
      </w:r>
      <w:r w:rsidRPr="00BB74DA">
        <w:rPr>
          <w:b/>
          <w:bCs/>
          <w:i/>
          <w:iCs/>
        </w:rPr>
        <w:t xml:space="preserve"> </w:t>
      </w:r>
      <w:r w:rsidRPr="00BB74DA">
        <w:t xml:space="preserve">nutrients, chlorophyll </w:t>
      </w:r>
      <w:r w:rsidRPr="00BB74DA">
        <w:rPr>
          <w:i/>
          <w:iCs/>
        </w:rPr>
        <w:t>a</w:t>
      </w:r>
      <w:r w:rsidRPr="00BB74DA">
        <w:t xml:space="preserve"> (primary productivity) and microcrustacea (a critical food source for native fish) were recorded during the Commonwealth environmental water delivery period. Generalised linear regression modelling demonstrated that the</w:t>
      </w:r>
      <w:r w:rsidRPr="00BB74DA">
        <w:rPr>
          <w:b/>
          <w:bCs/>
          <w:i/>
          <w:iCs/>
          <w:sz w:val="20"/>
          <w:szCs w:val="20"/>
        </w:rPr>
        <w:t xml:space="preserve"> </w:t>
      </w:r>
      <w:r w:rsidRPr="00BB74DA">
        <w:t xml:space="preserve">abundance of drifting cod larvae was positively related to the density of microcrustacea (a critical food source for native fish) which indicates that the Commonwealth environmental watering action was successful in </w:t>
      </w:r>
      <w:r w:rsidRPr="00BB74DA">
        <w:rPr>
          <w:b/>
          <w:bCs/>
          <w:i/>
          <w:iCs/>
        </w:rPr>
        <w:t xml:space="preserve">supporting habitat requirements of native fish in the Murrumbidgee River. </w:t>
      </w:r>
      <w:r w:rsidRPr="00BB74DA">
        <w:t xml:space="preserve">In wetlands, microcrustacean densities in benthic and pelagic habitats were </w:t>
      </w:r>
      <w:r w:rsidRPr="00BB74DA">
        <w:rPr>
          <w:b/>
          <w:bCs/>
        </w:rPr>
        <w:t>above the critical threshold of 100/L to</w:t>
      </w:r>
      <w:r w:rsidRPr="00BB74DA">
        <w:t xml:space="preserve"> </w:t>
      </w:r>
      <w:r w:rsidRPr="00BB74DA">
        <w:rPr>
          <w:b/>
          <w:bCs/>
        </w:rPr>
        <w:t>support larval fish feeding</w:t>
      </w:r>
      <w:r w:rsidRPr="00BB74DA">
        <w:t xml:space="preserve"> in August, October, February and April and there was a positive relationship between the number of high flow days and the density of microcrustacea.  The high densities of microcrustacea occurring during Commonwealth environmental watering actions were positively related to the abundance of the dominant small bodied native fish, carp gudgeon. These results demonstrate </w:t>
      </w:r>
      <w:r w:rsidRPr="00BB74DA">
        <w:rPr>
          <w:b/>
          <w:bCs/>
        </w:rPr>
        <w:t>that the Commonwealth environmental watering action was successful in achieving the goal of supporting habitat requirements of native fish (food supply).</w:t>
      </w:r>
      <w:r w:rsidRPr="00BB74DA">
        <w:t xml:space="preserve"> </w:t>
      </w:r>
    </w:p>
    <w:p w:rsidR="00BB74DA" w:rsidRPr="00BB74DA" w:rsidRDefault="00BB74DA" w:rsidP="00BB74DA">
      <w:pPr>
        <w:pStyle w:val="bodytext10"/>
      </w:pPr>
      <w:r w:rsidRPr="00BB74DA">
        <w:t xml:space="preserve">With respect to </w:t>
      </w:r>
      <w:r w:rsidRPr="00BB74DA">
        <w:rPr>
          <w:b/>
          <w:bCs/>
        </w:rPr>
        <w:t>biotic dispersal and the transport of sediments and nutrients</w:t>
      </w:r>
      <w:r w:rsidRPr="00BB74DA">
        <w:t>, the</w:t>
      </w:r>
      <w:r w:rsidRPr="00BB74DA">
        <w:rPr>
          <w:b/>
          <w:bCs/>
        </w:rPr>
        <w:t xml:space="preserve"> </w:t>
      </w:r>
      <w:r w:rsidRPr="00BB74DA">
        <w:t>change in concentrations of nutrients (nitrogen and phosphorus) and carbon during the Commonwealth environmental watering action was monitored fortnightly in the mid-Murrumbidgee River (from October to December 2012) and every two months from August 2012 to February 2013 in the mid-Murrumbidgee wetlands, Lowbidgee wetlands and Western Lakes.  There was evidence the Commonwealth environmental water release increased mobilisation of nutrient and carbon transport in the mid-Murrumbidgee River at some locations.</w:t>
      </w:r>
    </w:p>
    <w:p w:rsidR="00BB74DA" w:rsidRPr="00BB74DA" w:rsidRDefault="00BB74DA" w:rsidP="00BB74DA">
      <w:pPr>
        <w:pStyle w:val="bodytext10"/>
      </w:pPr>
      <w:r w:rsidRPr="00BB74DA">
        <w:t>There was also an indication of enhanced biological activities and interaction at the wetland sites, as reflected in greater concentrations of total nutrients and carbon. The results presented show that the in-channel fresh flows contributed to biotic dispersal and the transport of sediments and nutrients within the Murrumbidgee River.</w:t>
      </w:r>
    </w:p>
    <w:p w:rsidR="00BB74DA" w:rsidRPr="00BB74DA" w:rsidRDefault="00BB74DA" w:rsidP="00BB74DA">
      <w:pPr>
        <w:pStyle w:val="bodytext10"/>
      </w:pPr>
      <w:r w:rsidRPr="00BB74DA">
        <w:t xml:space="preserve">Throughout the monitoring period (September 2012-March 2013) the biomass of biofilms in the Murrumbidgee River was significantly higher than in the Goobarragandra River (which acted as a reference location). However, biofilm biomass in the Murrumbidgee River was lower during the Commonwealth environmental watering period compared to most other times during the study period. </w:t>
      </w:r>
      <w:r w:rsidRPr="00BB74DA">
        <w:rPr>
          <w:b/>
          <w:bCs/>
        </w:rPr>
        <w:t>This suggests that the Commonwealth environmental watering helped to reduce biofilm biomass in the Murrumbidgee River, bringing it closer to that in the reference river.</w:t>
      </w:r>
    </w:p>
    <w:p w:rsidR="00BB74DA" w:rsidRPr="00BB74DA" w:rsidRDefault="00BB74DA" w:rsidP="00BB74DA">
      <w:pPr>
        <w:pStyle w:val="bodytext10"/>
      </w:pPr>
      <w:r w:rsidRPr="00BB74DA">
        <w:t xml:space="preserve">Commonwealth environmental watering actions in the Murrumbidgee Catchment were also expected to contribute to </w:t>
      </w:r>
      <w:r w:rsidRPr="00BB74DA">
        <w:rPr>
          <w:b/>
          <w:bCs/>
          <w:i/>
          <w:iCs/>
        </w:rPr>
        <w:t xml:space="preserve">the condition of </w:t>
      </w:r>
      <w:r w:rsidR="006E06FC">
        <w:rPr>
          <w:b/>
          <w:bCs/>
          <w:i/>
          <w:iCs/>
        </w:rPr>
        <w:t xml:space="preserve">native </w:t>
      </w:r>
      <w:r w:rsidRPr="00BB74DA">
        <w:rPr>
          <w:b/>
          <w:bCs/>
          <w:i/>
          <w:iCs/>
        </w:rPr>
        <w:t>riparian, floodplain and wetland native vegetation</w:t>
      </w:r>
      <w:r w:rsidRPr="00BB74DA">
        <w:rPr>
          <w:i/>
          <w:iCs/>
        </w:rPr>
        <w:t xml:space="preserve">. </w:t>
      </w:r>
      <w:r w:rsidRPr="00BB74DA">
        <w:t xml:space="preserve">Rates of vegetation recovery in floodplain wetlands can be slow, and, as a result, we drew on data collected at 11 wetlands (8 treatment plus 3 control sites) in the mid-Murrumbidgee wetlands over the past three years. Commonwealth environmental water was utilised in 2011-12 with the aim of promoting the recovery of aquatic vegetation communities. However, structural and management constraints prevented river levels from reaching a height that would allow reconnection in 2012-13, and, as a </w:t>
      </w:r>
      <w:proofErr w:type="gramStart"/>
      <w:r w:rsidRPr="00BB74DA">
        <w:t>result,</w:t>
      </w:r>
      <w:proofErr w:type="gramEnd"/>
      <w:r w:rsidRPr="00BB74DA">
        <w:t xml:space="preserve"> the majority of the mid-Murrumbidgee wetlands </w:t>
      </w:r>
      <w:r w:rsidR="006E06FC">
        <w:t>were dry by early February 2013</w:t>
      </w:r>
      <w:r w:rsidRPr="00BB74DA">
        <w:t xml:space="preserve">.  Drying of key wetlands </w:t>
      </w:r>
      <w:r w:rsidR="006E06FC">
        <w:t xml:space="preserve">that did not receive Commonwealth environmental water </w:t>
      </w:r>
      <w:r w:rsidRPr="00BB74DA">
        <w:t xml:space="preserve">during 2012-13 had a negative impact on the </w:t>
      </w:r>
      <w:r w:rsidRPr="00BB74DA">
        <w:rPr>
          <w:b/>
          <w:bCs/>
          <w:i/>
          <w:iCs/>
        </w:rPr>
        <w:t xml:space="preserve">health and extent of existing riparian, floodplain and wetland native vegetation communities, </w:t>
      </w:r>
      <w:r w:rsidRPr="00BB74DA">
        <w:t>with</w:t>
      </w:r>
      <w:r w:rsidRPr="00BB74DA">
        <w:rPr>
          <w:b/>
          <w:bCs/>
          <w:i/>
          <w:iCs/>
        </w:rPr>
        <w:t xml:space="preserve"> </w:t>
      </w:r>
      <w:r w:rsidRPr="00BB74DA">
        <w:t>an increase in the percentage cover of terrestrial exotic vegetation species in 2012-13 as the wetlands dried out.</w:t>
      </w:r>
    </w:p>
    <w:p w:rsidR="00BB74DA" w:rsidRPr="00BB74DA" w:rsidRDefault="00BB74DA" w:rsidP="00BB74DA">
      <w:pPr>
        <w:pStyle w:val="BodyText1"/>
      </w:pPr>
      <w:r w:rsidRPr="00BB74DA">
        <w:t xml:space="preserve">The provision of Commonwealth environmental water to the Western Lakes was expected to contribute to the </w:t>
      </w:r>
      <w:r w:rsidRPr="006E06FC">
        <w:rPr>
          <w:b/>
        </w:rPr>
        <w:t>survival and condition of</w:t>
      </w:r>
      <w:r w:rsidRPr="00BB74DA">
        <w:t xml:space="preserve"> </w:t>
      </w:r>
      <w:r w:rsidRPr="00BB74DA">
        <w:rPr>
          <w:b/>
          <w:bCs/>
        </w:rPr>
        <w:t>waterbirds</w:t>
      </w:r>
      <w:r w:rsidRPr="00BB74DA">
        <w:t xml:space="preserve">, waterbird chicks and fledglings. In 2012–13, we undertook ground surveys for waterbirds in the mid-Murrumbidgee and Lowbidgee wetlands to assess waterbird responses in wetlands targeted for environmental watering and to complement long-term aerial waterbird surveys carried out each spring by the University of New South Wales. In the Western Lakes, which received Commonwealth environmental water, we recorded 48 waterbird species including two threatened species (NSW </w:t>
      </w:r>
      <w:r w:rsidRPr="00BB74DA">
        <w:rPr>
          <w:i/>
          <w:iCs/>
        </w:rPr>
        <w:t>TSC Act 1995</w:t>
      </w:r>
      <w:r w:rsidRPr="00BB74DA">
        <w:t xml:space="preserve">) and six species listed on one or more migratory bird agreements Australia has with Japan (JAMBA), China (CAMBA) and the Republic of Korea (ROKAMBA).  Colonial nesting waterbird breeding was limited at other wetlands in the Murrumbidgee river system </w:t>
      </w:r>
      <w:r w:rsidR="006E06FC">
        <w:t xml:space="preserve">that </w:t>
      </w:r>
      <w:r w:rsidRPr="00BB74DA">
        <w:t xml:space="preserve">did not receive Commonwealth environmental water in 2012-13. </w:t>
      </w:r>
    </w:p>
    <w:p w:rsidR="00BB74DA" w:rsidRPr="00BB74DA" w:rsidRDefault="00BB74DA" w:rsidP="00BB74DA">
      <w:pPr>
        <w:pStyle w:val="bodytext10"/>
      </w:pPr>
      <w:r w:rsidRPr="00BB74DA">
        <w:t xml:space="preserve">Commonwealth environmental water was also expected to contribute to reproduction of other vertebrates, including </w:t>
      </w:r>
      <w:r w:rsidRPr="00BB74DA">
        <w:rPr>
          <w:b/>
          <w:bCs/>
        </w:rPr>
        <w:t>frogs</w:t>
      </w:r>
      <w:r w:rsidRPr="00BB74DA">
        <w:t xml:space="preserve"> and turtles, by providing improved access to suitable habitat. Three key responses were examined with respect to frog populations and communities in the mid-Murrumbidgee, Lowbidgee and Western Lakes regions between August 2012 and April 2013. The responses were: the presence of adult frogs, calling activity and tadpole abundance. Overall, we recorded six frog species, including the vulnerable southern bell frog (</w:t>
      </w:r>
      <w:r w:rsidRPr="00BB74DA">
        <w:rPr>
          <w:i/>
          <w:iCs/>
        </w:rPr>
        <w:t>Litoria raniformis</w:t>
      </w:r>
      <w:r w:rsidRPr="00BB74DA">
        <w:t>) (EPBC act 1999). Breeding activity differed significantly among wetland regions with areas receiving either Commonwealth environmental water (Western Lakes) or natural overbank inundation (Lowbidgee), supporting higher numbers of tadpoles than the mid-Murrumbidgee wetlands, which did not receive inflows.</w:t>
      </w:r>
    </w:p>
    <w:p w:rsidR="00BB74DA" w:rsidRPr="00BB74DA" w:rsidRDefault="00BB74DA" w:rsidP="00BB74DA">
      <w:pPr>
        <w:pStyle w:val="bodytext10"/>
      </w:pPr>
      <w:r w:rsidRPr="00BB74DA">
        <w:t xml:space="preserve">We assessed the distribution, abundance and age structure of </w:t>
      </w:r>
      <w:r w:rsidRPr="00BB74DA">
        <w:rPr>
          <w:b/>
          <w:bCs/>
        </w:rPr>
        <w:t xml:space="preserve">freshwater turtles </w:t>
      </w:r>
      <w:r w:rsidRPr="00BB74DA">
        <w:t xml:space="preserve">in the mid-Murrumbidgee wetlands during August, October and December 2012. We recorded three freshwater turtle species across the five survey wetlands in the mid-Murrumbidgee: the Macquarie River turtle </w:t>
      </w:r>
      <w:r w:rsidRPr="00BB74DA">
        <w:rPr>
          <w:i/>
          <w:iCs/>
        </w:rPr>
        <w:t>Emydura macquarii macquarii</w:t>
      </w:r>
      <w:r w:rsidRPr="00BB74DA">
        <w:t xml:space="preserve">, broad-shelled turtle </w:t>
      </w:r>
      <w:r w:rsidRPr="00BB74DA">
        <w:rPr>
          <w:i/>
          <w:iCs/>
        </w:rPr>
        <w:t>Chelodina expansa</w:t>
      </w:r>
      <w:r w:rsidRPr="00BB74DA">
        <w:t xml:space="preserve"> and eastern long-necked turtle </w:t>
      </w:r>
      <w:r w:rsidRPr="00BB74DA">
        <w:rPr>
          <w:i/>
          <w:iCs/>
        </w:rPr>
        <w:t>Chelodina longicollis.</w:t>
      </w:r>
      <w:r w:rsidRPr="00BB74DA">
        <w:t>  Hatchlings of the Macquarie River turtle were detected in three of the five wetlands sampled in the mid-Murrumbidgee (Yarrada, Sunshower and McKennas lagoons), and hatchling Eastern long-necked turtles were detected breeding in McKennas lagoon.</w:t>
      </w:r>
    </w:p>
    <w:p w:rsidR="00BB74DA" w:rsidRPr="00BB74DA" w:rsidRDefault="00BB74DA" w:rsidP="00BB74DA">
      <w:pPr>
        <w:pStyle w:val="bodytext10"/>
      </w:pPr>
      <w:r w:rsidRPr="00BB74DA">
        <w:t xml:space="preserve">The outcomes of this monitoring demonstrate the critical role that Commonwealth environmental watering actions play in maintaining the health and sustainability of wetland and river ecosystems in the Murrumbidgee. Monitoring activities through 2013-14 and beyond will allow </w:t>
      </w:r>
      <w:r w:rsidR="00804759">
        <w:t>environmental water managers</w:t>
      </w:r>
      <w:r w:rsidRPr="00BB74DA">
        <w:t xml:space="preserve"> to refine water management strategies to optimise the positive benefits of Commonwealth environmental water </w:t>
      </w:r>
      <w:r w:rsidR="00804759">
        <w:t xml:space="preserve">and other environmental water </w:t>
      </w:r>
      <w:r w:rsidRPr="00BB74DA">
        <w:t>in future years.</w:t>
      </w:r>
    </w:p>
    <w:p w:rsidR="00A3708E" w:rsidRDefault="00A3708E">
      <w:pPr>
        <w:spacing w:after="0" w:line="240" w:lineRule="auto"/>
        <w:jc w:val="left"/>
        <w:rPr>
          <w:rFonts w:eastAsiaTheme="minorHAnsi"/>
          <w:b/>
          <w:bCs/>
          <w:lang w:eastAsia="en-AU"/>
        </w:rPr>
      </w:pPr>
      <w:r>
        <w:rPr>
          <w:b/>
          <w:bCs/>
        </w:rPr>
        <w:br w:type="page"/>
      </w:r>
    </w:p>
    <w:p w:rsidR="00BB74DA" w:rsidRPr="00BB74DA" w:rsidRDefault="00BB74DA" w:rsidP="00BB74DA">
      <w:pPr>
        <w:pStyle w:val="bodytext10"/>
        <w:rPr>
          <w:b/>
          <w:bCs/>
        </w:rPr>
      </w:pPr>
      <w:r w:rsidRPr="00BB74DA">
        <w:rPr>
          <w:b/>
          <w:bCs/>
        </w:rPr>
        <w:t xml:space="preserve">Implications for future environmental watering in the Murrumbidgee river system </w:t>
      </w:r>
    </w:p>
    <w:p w:rsidR="00F03FB6" w:rsidRDefault="00BB74DA" w:rsidP="00FF499A">
      <w:pPr>
        <w:pStyle w:val="bodytext10"/>
      </w:pPr>
      <w:r w:rsidRPr="00BB74DA">
        <w:t>Two key Commonwealth environmental watering actions were undertaken in the Murrumbidgee river system in 2012-13, 1) in-channel fresh flows from October to December 2012, targeting native large bodied fish, and 2) watering action targeted the Western Lakes system west of the Lowbidgee floodplain.</w:t>
      </w:r>
      <w:r w:rsidR="00FF499A">
        <w:t xml:space="preserve"> </w:t>
      </w:r>
    </w:p>
    <w:p w:rsidR="00BB74DA" w:rsidRPr="00BB74DA" w:rsidRDefault="00BB74DA" w:rsidP="00FF499A">
      <w:pPr>
        <w:pStyle w:val="bodytext10"/>
      </w:pPr>
      <w:r w:rsidRPr="00BB74DA">
        <w:t>With respect to in-channel fresh flows, the timing of environmental water delivery coincided with known breeding season of the target species (Murray cod) and triggered movement patterns that were consistent with known spawning behaviours.  There were also clear changes in fish community composition before and after the environmental release associated with large scale movement of fish throughout the middle reaches of the Murrumbidgee River.  The key assumption underpinning the Commonwealth environmental release was that a substantial rise in water level would increase the availability of nest locations for Murray cod leading to increased breeding activity and larval abundance. However we did not identify a clear, direct relationship between river height or discharge and larval abundance. While nest availability for Murray cod is important, differences in larval abundances between monitoring locations may indicate that other factors, such as adult abundance and channel morph</w:t>
      </w:r>
      <w:r w:rsidR="00720DB5">
        <w:t>ology played a stronger role tha</w:t>
      </w:r>
      <w:r w:rsidRPr="00BB74DA">
        <w:t xml:space="preserve">n discharge or river height. Given this, it may be possible to achieve similar spawning outcomes using smaller volumes of water provided that water levels are stable during the breeding period so that nests are not exposed. </w:t>
      </w:r>
    </w:p>
    <w:p w:rsidR="005B288B" w:rsidRPr="005B288B" w:rsidRDefault="00BB74DA" w:rsidP="00F03FB6">
      <w:pPr>
        <w:spacing w:before="100" w:beforeAutospacing="1"/>
      </w:pPr>
      <w:r w:rsidRPr="00BB74DA">
        <w:t>The second watering action targeted the Western Lakes and other wetlands across the Lowbidgee floodplain. Overall the positive outcomes of Commonwealth environmental watering varied between different wetland areas, for example the Western Lakes provided important habitat for waterbirds and contained significantly higher diversity</w:t>
      </w:r>
      <w:r w:rsidR="00720DB5">
        <w:t xml:space="preserve"> and abundance of waterbirds tha</w:t>
      </w:r>
      <w:r w:rsidRPr="00BB74DA">
        <w:t xml:space="preserve">n other wetlands in Murrumbidgee which in comparison were drying down over 2012-13. River red gum spike rush wetlands adjacent to the Western Lakes were also important in supporting frog breeding and recruitment. In this respect Commonwealth environmental watering </w:t>
      </w:r>
      <w:r>
        <w:t xml:space="preserve">actions that support a diversity of wetland types and aquatic communities can help to maximise biodiversity outcomes across the region. </w:t>
      </w:r>
    </w:p>
    <w:p w:rsidR="00F03FB6" w:rsidRDefault="00F03FB6">
      <w:pPr>
        <w:spacing w:after="0" w:line="240" w:lineRule="auto"/>
        <w:jc w:val="left"/>
        <w:rPr>
          <w:rFonts w:eastAsia="Times New Roman"/>
          <w:b/>
          <w:bCs/>
          <w:color w:val="07601F"/>
          <w:kern w:val="32"/>
          <w:sz w:val="32"/>
          <w:szCs w:val="32"/>
        </w:rPr>
        <w:sectPr w:rsidR="00F03FB6" w:rsidSect="00F03FB6">
          <w:headerReference w:type="default" r:id="rId23"/>
          <w:footerReference w:type="default" r:id="rId24"/>
          <w:type w:val="continuous"/>
          <w:pgSz w:w="11907" w:h="16839" w:code="9"/>
          <w:pgMar w:top="1440" w:right="1440" w:bottom="1440" w:left="1440" w:header="708" w:footer="708" w:gutter="0"/>
          <w:pgNumType w:fmt="lowerRoman" w:start="1"/>
          <w:cols w:space="708"/>
          <w:docGrid w:linePitch="360"/>
        </w:sectPr>
      </w:pPr>
    </w:p>
    <w:p w:rsidR="009038F3" w:rsidRDefault="009702FB">
      <w:pPr>
        <w:spacing w:after="0" w:line="240" w:lineRule="auto"/>
        <w:jc w:val="left"/>
        <w:rPr>
          <w:rFonts w:eastAsia="Times New Roman"/>
          <w:b/>
          <w:bCs/>
          <w:color w:val="07601F"/>
          <w:kern w:val="32"/>
          <w:sz w:val="32"/>
          <w:szCs w:val="32"/>
        </w:rPr>
      </w:pPr>
      <w:r w:rsidRPr="00B84A75">
        <w:rPr>
          <w:rFonts w:eastAsia="Times New Roman"/>
          <w:b/>
          <w:bCs/>
          <w:color w:val="07601F"/>
          <w:kern w:val="32"/>
          <w:sz w:val="32"/>
          <w:szCs w:val="32"/>
        </w:rPr>
        <w:t>Table of contents</w:t>
      </w:r>
    </w:p>
    <w:p w:rsidR="00B84A75" w:rsidRPr="00B84A75" w:rsidRDefault="00B84A75">
      <w:pPr>
        <w:spacing w:after="0" w:line="240" w:lineRule="auto"/>
        <w:jc w:val="left"/>
        <w:rPr>
          <w:rFonts w:eastAsia="Times New Roman"/>
          <w:b/>
          <w:bCs/>
          <w:color w:val="07601F"/>
          <w:kern w:val="32"/>
          <w:sz w:val="32"/>
          <w:szCs w:val="32"/>
        </w:rPr>
      </w:pPr>
    </w:p>
    <w:p w:rsidR="00931ABE" w:rsidRPr="00931ABE" w:rsidRDefault="00D20FAE" w:rsidP="00931ABE">
      <w:pPr>
        <w:pStyle w:val="TOC1"/>
        <w:tabs>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r w:rsidRPr="00D20FAE">
        <w:rPr>
          <w:rFonts w:ascii="Century Gothic" w:hAnsi="Century Gothic"/>
          <w:b w:val="0"/>
          <w:sz w:val="22"/>
          <w:szCs w:val="22"/>
          <w:lang w:eastAsia="zh-CN" w:bidi="th-TH"/>
        </w:rPr>
        <w:fldChar w:fldCharType="begin"/>
      </w:r>
      <w:r w:rsidR="009038F3" w:rsidRPr="00931ABE">
        <w:rPr>
          <w:rFonts w:ascii="Century Gothic" w:hAnsi="Century Gothic"/>
          <w:b w:val="0"/>
          <w:sz w:val="22"/>
          <w:szCs w:val="22"/>
          <w:lang w:eastAsia="zh-CN" w:bidi="th-TH"/>
        </w:rPr>
        <w:instrText xml:space="preserve"> TOC \o "3-3" \h \z \t "Heading 1,1,Heading 2,2" </w:instrText>
      </w:r>
      <w:r w:rsidRPr="00D20FAE">
        <w:rPr>
          <w:rFonts w:ascii="Century Gothic" w:hAnsi="Century Gothic"/>
          <w:b w:val="0"/>
          <w:sz w:val="22"/>
          <w:szCs w:val="22"/>
          <w:lang w:eastAsia="zh-CN" w:bidi="th-TH"/>
        </w:rPr>
        <w:fldChar w:fldCharType="separate"/>
      </w:r>
    </w:p>
    <w:p w:rsidR="00931ABE" w:rsidRPr="00931ABE" w:rsidRDefault="00D20FAE" w:rsidP="00931ABE">
      <w:pPr>
        <w:pStyle w:val="TOC1"/>
        <w:tabs>
          <w:tab w:val="left" w:pos="44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01" w:history="1">
        <w:r w:rsidR="00931ABE" w:rsidRPr="00931ABE">
          <w:rPr>
            <w:rStyle w:val="Hyperlink"/>
            <w:rFonts w:ascii="Century Gothic" w:hAnsi="Century Gothic"/>
            <w:noProof/>
            <w:sz w:val="22"/>
            <w:szCs w:val="22"/>
          </w:rPr>
          <w:t>1</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Introduction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_Toc378168501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02" w:history="1">
        <w:r w:rsidR="00931ABE" w:rsidRPr="00931ABE">
          <w:rPr>
            <w:rStyle w:val="Hyperlink"/>
            <w:rFonts w:ascii="Century Gothic" w:hAnsi="Century Gothic"/>
            <w:noProof/>
            <w:sz w:val="22"/>
            <w:szCs w:val="22"/>
          </w:rPr>
          <w:t>1.1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Background on the Murrumbidgee River</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_Toc378168502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03" w:history="1">
        <w:r w:rsidR="00931ABE" w:rsidRPr="00931ABE">
          <w:rPr>
            <w:rStyle w:val="Hyperlink"/>
            <w:rFonts w:ascii="Century Gothic" w:hAnsi="Century Gothic"/>
            <w:noProof/>
            <w:sz w:val="22"/>
            <w:szCs w:val="22"/>
          </w:rPr>
          <w:t>1.2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Commonwealth water use options and flow dependent ecological objectives 2012-2013</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_Toc378168503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04" w:history="1">
        <w:r w:rsidR="00931ABE" w:rsidRPr="00931ABE">
          <w:rPr>
            <w:rStyle w:val="Hyperlink"/>
            <w:rFonts w:ascii="Century Gothic" w:hAnsi="Century Gothic"/>
            <w:noProof/>
            <w:sz w:val="22"/>
            <w:szCs w:val="22"/>
          </w:rPr>
          <w:t>1.3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Monitoring locations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_Toc378168504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8</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05" w:history="1">
        <w:r w:rsidR="00931ABE" w:rsidRPr="00931ABE">
          <w:rPr>
            <w:rStyle w:val="Hyperlink"/>
            <w:rFonts w:ascii="Century Gothic" w:hAnsi="Century Gothic"/>
            <w:noProof/>
            <w:sz w:val="22"/>
            <w:szCs w:val="22"/>
          </w:rPr>
          <w:t>Murrumbidgee River</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_Toc378168505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8</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06" w:history="1">
        <w:r w:rsidR="00931ABE" w:rsidRPr="00931ABE">
          <w:rPr>
            <w:rStyle w:val="Hyperlink"/>
            <w:rFonts w:ascii="Century Gothic" w:hAnsi="Century Gothic"/>
            <w:noProof/>
            <w:sz w:val="22"/>
            <w:szCs w:val="22"/>
          </w:rPr>
          <w:t>Wetlands of the mid and lower Murrumbidgee and Western lakes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_Toc378168506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12</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07" w:history="1">
        <w:r w:rsidR="00931ABE" w:rsidRPr="00931ABE">
          <w:rPr>
            <w:rStyle w:val="Hyperlink"/>
            <w:rFonts w:ascii="Century Gothic" w:hAnsi="Century Gothic"/>
            <w:noProof/>
            <w:sz w:val="22"/>
            <w:szCs w:val="22"/>
          </w:rPr>
          <w:t>Mid-Murrumbidgee</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_Toc378168507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15</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08" w:history="1">
        <w:r w:rsidR="00931ABE" w:rsidRPr="00931ABE">
          <w:rPr>
            <w:rStyle w:val="Hyperlink"/>
            <w:rFonts w:ascii="Century Gothic" w:hAnsi="Century Gothic"/>
            <w:noProof/>
            <w:sz w:val="22"/>
            <w:szCs w:val="22"/>
          </w:rPr>
          <w:t>Western Lakes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_Toc378168508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16</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09" w:history="1">
        <w:r w:rsidR="00931ABE" w:rsidRPr="00931ABE">
          <w:rPr>
            <w:rStyle w:val="Hyperlink"/>
            <w:rFonts w:ascii="Century Gothic" w:hAnsi="Century Gothic"/>
            <w:noProof/>
            <w:sz w:val="22"/>
            <w:szCs w:val="22"/>
          </w:rPr>
          <w:t>Lowbidgee</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_Toc378168509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19</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44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10" w:history="1">
        <w:r w:rsidR="00931ABE" w:rsidRPr="00931ABE">
          <w:rPr>
            <w:rStyle w:val="Hyperlink"/>
            <w:rFonts w:ascii="Century Gothic" w:hAnsi="Century Gothic"/>
            <w:noProof/>
            <w:sz w:val="22"/>
            <w:szCs w:val="22"/>
          </w:rPr>
          <w:t>2</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Commonwealth environmental watering actions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22</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11" w:history="1">
        <w:r w:rsidR="00931ABE" w:rsidRPr="00931ABE">
          <w:rPr>
            <w:rStyle w:val="Hyperlink"/>
            <w:rFonts w:ascii="Century Gothic" w:hAnsi="Century Gothic"/>
            <w:noProof/>
            <w:sz w:val="22"/>
            <w:szCs w:val="22"/>
          </w:rPr>
          <w:t>Environmental Watering actions 2012-13</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22</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12" w:history="1">
        <w:r w:rsidR="00931ABE" w:rsidRPr="00931ABE">
          <w:rPr>
            <w:rStyle w:val="Hyperlink"/>
            <w:rFonts w:ascii="Century Gothic" w:hAnsi="Century Gothic"/>
            <w:noProof/>
            <w:sz w:val="22"/>
            <w:szCs w:val="22"/>
          </w:rPr>
          <w:t>Western lakes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24</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13" w:history="1">
        <w:r w:rsidR="00931ABE" w:rsidRPr="00931ABE">
          <w:rPr>
            <w:rStyle w:val="Hyperlink"/>
            <w:rFonts w:ascii="Century Gothic" w:hAnsi="Century Gothic"/>
            <w:noProof/>
            <w:sz w:val="22"/>
            <w:szCs w:val="22"/>
          </w:rPr>
          <w:t>Other wetlands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25</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44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14" w:history="1">
        <w:r w:rsidR="00931ABE" w:rsidRPr="00931ABE">
          <w:rPr>
            <w:rStyle w:val="Hyperlink"/>
            <w:rFonts w:ascii="Century Gothic" w:hAnsi="Century Gothic"/>
            <w:noProof/>
            <w:sz w:val="22"/>
            <w:szCs w:val="22"/>
            <w:lang w:eastAsia="en-AU" w:bidi="th-TH"/>
          </w:rPr>
          <w:t>3</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lang w:eastAsia="en-AU" w:bidi="th-TH"/>
          </w:rPr>
          <w:t>Monitoring activities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26</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44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15" w:history="1">
        <w:r w:rsidR="00931ABE" w:rsidRPr="00931ABE">
          <w:rPr>
            <w:rStyle w:val="Hyperlink"/>
            <w:rFonts w:ascii="Century Gothic" w:hAnsi="Century Gothic"/>
            <w:noProof/>
            <w:sz w:val="22"/>
            <w:szCs w:val="22"/>
            <w:lang w:eastAsia="en-AU"/>
          </w:rPr>
          <w:t>4</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lang w:eastAsia="en-AU"/>
          </w:rPr>
          <w:t>Water quality</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30</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16" w:history="1">
        <w:r w:rsidR="00931ABE" w:rsidRPr="00931ABE">
          <w:rPr>
            <w:rStyle w:val="Hyperlink"/>
            <w:rFonts w:ascii="Century Gothic" w:hAnsi="Century Gothic"/>
            <w:noProof/>
            <w:sz w:val="22"/>
            <w:szCs w:val="22"/>
            <w:lang w:eastAsia="en-AU"/>
          </w:rPr>
          <w:t>4.1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lang w:eastAsia="en-AU"/>
          </w:rPr>
          <w:t>Introduction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30</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17" w:history="1">
        <w:r w:rsidR="00931ABE" w:rsidRPr="00931ABE">
          <w:rPr>
            <w:rStyle w:val="Hyperlink"/>
            <w:rFonts w:ascii="Century Gothic" w:hAnsi="Century Gothic"/>
            <w:noProof/>
            <w:sz w:val="22"/>
            <w:szCs w:val="22"/>
            <w:lang w:eastAsia="en-AU"/>
          </w:rPr>
          <w:t>4.2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lang w:eastAsia="en-AU"/>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30</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18" w:history="1">
        <w:r w:rsidR="00931ABE" w:rsidRPr="00931ABE">
          <w:rPr>
            <w:rStyle w:val="Hyperlink"/>
            <w:rFonts w:ascii="Century Gothic" w:hAnsi="Century Gothic"/>
            <w:noProof/>
            <w:sz w:val="22"/>
            <w:szCs w:val="22"/>
          </w:rPr>
          <w:t>Rivers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30</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19" w:history="1">
        <w:r w:rsidR="00931ABE" w:rsidRPr="00931ABE">
          <w:rPr>
            <w:rStyle w:val="Hyperlink"/>
            <w:rFonts w:ascii="Century Gothic" w:hAnsi="Century Gothic"/>
            <w:noProof/>
            <w:sz w:val="22"/>
            <w:szCs w:val="22"/>
          </w:rPr>
          <w:t>Wetlands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_Toc378168519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33</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44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20" w:history="1">
        <w:r w:rsidR="00931ABE" w:rsidRPr="00931ABE">
          <w:rPr>
            <w:rStyle w:val="Hyperlink"/>
            <w:rFonts w:ascii="Century Gothic" w:hAnsi="Century Gothic"/>
            <w:noProof/>
            <w:sz w:val="22"/>
            <w:szCs w:val="22"/>
          </w:rPr>
          <w:t>5</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Nutrients and carbon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21" w:history="1">
        <w:r w:rsidR="00931ABE" w:rsidRPr="00931ABE">
          <w:rPr>
            <w:rStyle w:val="Hyperlink"/>
            <w:rFonts w:ascii="Century Gothic" w:hAnsi="Century Gothic"/>
            <w:noProof/>
            <w:sz w:val="22"/>
            <w:szCs w:val="22"/>
          </w:rPr>
          <w:t>5.1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Introduction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22" w:history="1">
        <w:r w:rsidR="00931ABE" w:rsidRPr="00931ABE">
          <w:rPr>
            <w:rStyle w:val="Hyperlink"/>
            <w:rFonts w:ascii="Century Gothic" w:hAnsi="Century Gothic"/>
            <w:noProof/>
            <w:sz w:val="22"/>
            <w:szCs w:val="22"/>
          </w:rPr>
          <w:t>5.2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23" w:history="1">
        <w:r w:rsidR="00931ABE" w:rsidRPr="00931ABE">
          <w:rPr>
            <w:rStyle w:val="Hyperlink"/>
            <w:rFonts w:ascii="Century Gothic" w:hAnsi="Century Gothic"/>
            <w:noProof/>
            <w:sz w:val="22"/>
            <w:szCs w:val="22"/>
          </w:rPr>
          <w:t>5.3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37</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24" w:history="1">
        <w:r w:rsidR="00931ABE" w:rsidRPr="00931ABE">
          <w:rPr>
            <w:rStyle w:val="Hyperlink"/>
            <w:rFonts w:ascii="Century Gothic" w:hAnsi="Century Gothic"/>
            <w:noProof/>
            <w:sz w:val="22"/>
            <w:szCs w:val="22"/>
          </w:rPr>
          <w:t>Mobilisation of Nutrients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39</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25" w:history="1">
        <w:r w:rsidR="00931ABE" w:rsidRPr="00931ABE">
          <w:rPr>
            <w:rStyle w:val="Hyperlink"/>
            <w:rFonts w:ascii="Century Gothic" w:hAnsi="Century Gothic"/>
            <w:noProof/>
            <w:sz w:val="22"/>
            <w:szCs w:val="22"/>
          </w:rPr>
          <w:t>5.4</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41</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44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26" w:history="1">
        <w:r w:rsidR="00931ABE" w:rsidRPr="00931ABE">
          <w:rPr>
            <w:rStyle w:val="Hyperlink"/>
            <w:rFonts w:ascii="Century Gothic" w:hAnsi="Century Gothic"/>
            <w:noProof/>
            <w:sz w:val="22"/>
            <w:szCs w:val="22"/>
          </w:rPr>
          <w:t>6</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Primary productivity</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43</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27" w:history="1">
        <w:r w:rsidR="00931ABE" w:rsidRPr="00931ABE">
          <w:rPr>
            <w:rStyle w:val="Hyperlink"/>
            <w:rFonts w:ascii="Century Gothic" w:hAnsi="Century Gothic"/>
            <w:noProof/>
            <w:sz w:val="22"/>
            <w:szCs w:val="22"/>
          </w:rPr>
          <w:t>6.1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Introduction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43</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28" w:history="1">
        <w:r w:rsidR="00931ABE" w:rsidRPr="00931ABE">
          <w:rPr>
            <w:rStyle w:val="Hyperlink"/>
            <w:rFonts w:ascii="Century Gothic" w:hAnsi="Century Gothic"/>
            <w:noProof/>
            <w:sz w:val="22"/>
            <w:szCs w:val="22"/>
          </w:rPr>
          <w:t>6.2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43</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29" w:history="1">
        <w:r w:rsidR="00931ABE" w:rsidRPr="00931ABE">
          <w:rPr>
            <w:rStyle w:val="Hyperlink"/>
            <w:rFonts w:ascii="Century Gothic" w:hAnsi="Century Gothic"/>
            <w:noProof/>
            <w:sz w:val="22"/>
            <w:szCs w:val="22"/>
          </w:rPr>
          <w:t>6.3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_Toc378168529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44</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30" w:history="1">
        <w:r w:rsidR="00931ABE" w:rsidRPr="00931ABE">
          <w:rPr>
            <w:rStyle w:val="Hyperlink"/>
            <w:rFonts w:ascii="Century Gothic" w:hAnsi="Century Gothic"/>
            <w:noProof/>
            <w:sz w:val="22"/>
            <w:szCs w:val="22"/>
          </w:rPr>
          <w:t>6.4</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45</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44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31" w:history="1">
        <w:r w:rsidR="00931ABE" w:rsidRPr="00931ABE">
          <w:rPr>
            <w:rStyle w:val="Hyperlink"/>
            <w:rFonts w:ascii="Century Gothic" w:hAnsi="Century Gothic"/>
            <w:noProof/>
            <w:sz w:val="22"/>
            <w:szCs w:val="22"/>
          </w:rPr>
          <w:t>7</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Biofilms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47</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32" w:history="1">
        <w:r w:rsidR="00931ABE" w:rsidRPr="00931ABE">
          <w:rPr>
            <w:rStyle w:val="Hyperlink"/>
            <w:rFonts w:ascii="Century Gothic" w:hAnsi="Century Gothic"/>
            <w:noProof/>
            <w:sz w:val="22"/>
            <w:szCs w:val="22"/>
            <w:lang w:eastAsia="en-AU"/>
          </w:rPr>
          <w:t>7.1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lang w:eastAsia="en-AU"/>
          </w:rPr>
          <w:t>Introduction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47</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33" w:history="1">
        <w:r w:rsidR="00931ABE" w:rsidRPr="00931ABE">
          <w:rPr>
            <w:rStyle w:val="Hyperlink"/>
            <w:rFonts w:ascii="Century Gothic" w:hAnsi="Century Gothic"/>
            <w:noProof/>
            <w:sz w:val="22"/>
            <w:szCs w:val="22"/>
          </w:rPr>
          <w:t>7.2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48</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34" w:history="1">
        <w:r w:rsidR="00931ABE" w:rsidRPr="00931ABE">
          <w:rPr>
            <w:rStyle w:val="Hyperlink"/>
            <w:rFonts w:ascii="Century Gothic" w:hAnsi="Century Gothic"/>
            <w:noProof/>
            <w:sz w:val="22"/>
            <w:szCs w:val="22"/>
          </w:rPr>
          <w:t>7.3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50</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35" w:history="1">
        <w:r w:rsidR="00931ABE" w:rsidRPr="00931ABE">
          <w:rPr>
            <w:rStyle w:val="Hyperlink"/>
            <w:rFonts w:ascii="Century Gothic" w:hAnsi="Century Gothic"/>
            <w:noProof/>
            <w:sz w:val="22"/>
            <w:szCs w:val="22"/>
          </w:rPr>
          <w:t>7.4</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53</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44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36" w:history="1">
        <w:r w:rsidR="00931ABE" w:rsidRPr="00931ABE">
          <w:rPr>
            <w:rStyle w:val="Hyperlink"/>
            <w:rFonts w:ascii="Century Gothic" w:hAnsi="Century Gothic"/>
            <w:noProof/>
            <w:sz w:val="22"/>
            <w:szCs w:val="22"/>
          </w:rPr>
          <w:t>8</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Microinvertebrates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56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37" w:history="1">
        <w:r w:rsidR="00931ABE" w:rsidRPr="00931ABE">
          <w:rPr>
            <w:rStyle w:val="Hyperlink"/>
            <w:rFonts w:ascii="Century Gothic" w:hAnsi="Century Gothic"/>
            <w:noProof/>
            <w:sz w:val="22"/>
            <w:szCs w:val="22"/>
          </w:rPr>
          <w:t>8.1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Introduction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56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38" w:history="1">
        <w:r w:rsidR="00931ABE" w:rsidRPr="00931ABE">
          <w:rPr>
            <w:rStyle w:val="Hyperlink"/>
            <w:rFonts w:ascii="Century Gothic" w:hAnsi="Century Gothic"/>
            <w:noProof/>
            <w:sz w:val="22"/>
            <w:szCs w:val="22"/>
          </w:rPr>
          <w:t>8.2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56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39" w:history="1">
        <w:r w:rsidR="00931ABE" w:rsidRPr="00931ABE">
          <w:rPr>
            <w:rStyle w:val="Hyperlink"/>
            <w:rFonts w:ascii="Century Gothic" w:hAnsi="Century Gothic"/>
            <w:noProof/>
            <w:sz w:val="22"/>
            <w:szCs w:val="22"/>
          </w:rPr>
          <w:t>8.3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_Toc378168539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57</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40" w:history="1">
        <w:r w:rsidR="00931ABE" w:rsidRPr="00931ABE">
          <w:rPr>
            <w:rStyle w:val="Hyperlink"/>
            <w:rFonts w:ascii="Century Gothic" w:hAnsi="Century Gothic"/>
            <w:noProof/>
            <w:sz w:val="22"/>
            <w:szCs w:val="22"/>
          </w:rPr>
          <w:t>Taxonomic richness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58</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41" w:history="1">
        <w:r w:rsidR="00931ABE" w:rsidRPr="00931ABE">
          <w:rPr>
            <w:rStyle w:val="Hyperlink"/>
            <w:rFonts w:ascii="Century Gothic" w:hAnsi="Century Gothic"/>
            <w:noProof/>
            <w:sz w:val="22"/>
            <w:szCs w:val="22"/>
          </w:rPr>
          <w:t>Community composition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60</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42" w:history="1">
        <w:r w:rsidR="00931ABE" w:rsidRPr="00931ABE">
          <w:rPr>
            <w:rStyle w:val="Hyperlink"/>
            <w:rFonts w:ascii="Century Gothic" w:hAnsi="Century Gothic"/>
            <w:noProof/>
            <w:sz w:val="22"/>
            <w:szCs w:val="22"/>
          </w:rPr>
          <w:t>Density</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62</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43" w:history="1">
        <w:r w:rsidR="00931ABE" w:rsidRPr="00931ABE">
          <w:rPr>
            <w:rStyle w:val="Hyperlink"/>
            <w:rFonts w:ascii="Century Gothic" w:hAnsi="Century Gothic"/>
            <w:noProof/>
            <w:sz w:val="22"/>
            <w:szCs w:val="22"/>
          </w:rPr>
          <w:t>8.4</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66</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44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44" w:history="1">
        <w:r w:rsidR="00931ABE" w:rsidRPr="00931ABE">
          <w:rPr>
            <w:rStyle w:val="Hyperlink"/>
            <w:rFonts w:ascii="Century Gothic" w:hAnsi="Century Gothic"/>
            <w:noProof/>
            <w:sz w:val="22"/>
            <w:szCs w:val="22"/>
          </w:rPr>
          <w:t>9</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Fish communities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70</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45" w:history="1">
        <w:r w:rsidR="00931ABE" w:rsidRPr="00931ABE">
          <w:rPr>
            <w:rStyle w:val="Hyperlink"/>
            <w:rFonts w:ascii="Century Gothic" w:hAnsi="Century Gothic"/>
            <w:noProof/>
            <w:sz w:val="22"/>
            <w:szCs w:val="22"/>
          </w:rPr>
          <w:t>9.1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71</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46" w:history="1">
        <w:r w:rsidR="00931ABE" w:rsidRPr="00931ABE">
          <w:rPr>
            <w:rStyle w:val="Hyperlink"/>
            <w:rFonts w:ascii="Century Gothic" w:hAnsi="Century Gothic"/>
            <w:noProof/>
            <w:sz w:val="22"/>
            <w:szCs w:val="22"/>
          </w:rPr>
          <w:t>Main channel sampling</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71</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47" w:history="1">
        <w:r w:rsidR="00931ABE" w:rsidRPr="00931ABE">
          <w:rPr>
            <w:rStyle w:val="Hyperlink"/>
            <w:rFonts w:ascii="Century Gothic" w:hAnsi="Century Gothic"/>
            <w:noProof/>
            <w:sz w:val="22"/>
            <w:szCs w:val="22"/>
          </w:rPr>
          <w:t>Wetland community sampling</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72</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48" w:history="1">
        <w:r w:rsidR="00931ABE" w:rsidRPr="00931ABE">
          <w:rPr>
            <w:rStyle w:val="Hyperlink"/>
            <w:rFonts w:ascii="Century Gothic" w:hAnsi="Century Gothic"/>
            <w:noProof/>
            <w:sz w:val="22"/>
            <w:szCs w:val="22"/>
          </w:rPr>
          <w:t>9.2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73</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49" w:history="1">
        <w:r w:rsidR="00931ABE" w:rsidRPr="00931ABE">
          <w:rPr>
            <w:rStyle w:val="Hyperlink"/>
            <w:rFonts w:ascii="Century Gothic" w:hAnsi="Century Gothic"/>
            <w:noProof/>
            <w:sz w:val="22"/>
            <w:szCs w:val="22"/>
          </w:rPr>
          <w:t>Main channel fish community composition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_Toc378168549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76</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50" w:history="1">
        <w:r w:rsidR="00931ABE" w:rsidRPr="00931ABE">
          <w:rPr>
            <w:rStyle w:val="Hyperlink"/>
            <w:rFonts w:ascii="Century Gothic" w:hAnsi="Century Gothic"/>
            <w:noProof/>
            <w:sz w:val="22"/>
            <w:szCs w:val="22"/>
          </w:rPr>
          <w:t>Wetland fish community composition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78</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51" w:history="1">
        <w:r w:rsidR="00931ABE" w:rsidRPr="00931ABE">
          <w:rPr>
            <w:rStyle w:val="Hyperlink"/>
            <w:rFonts w:ascii="Century Gothic" w:hAnsi="Century Gothic"/>
            <w:noProof/>
            <w:sz w:val="22"/>
            <w:szCs w:val="22"/>
          </w:rPr>
          <w:t>Fish sizes and recruitment</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79</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52" w:history="1">
        <w:r w:rsidR="00931ABE" w:rsidRPr="00931ABE">
          <w:rPr>
            <w:rStyle w:val="Hyperlink"/>
            <w:rFonts w:ascii="Century Gothic" w:hAnsi="Century Gothic"/>
            <w:noProof/>
            <w:sz w:val="22"/>
            <w:szCs w:val="22"/>
          </w:rPr>
          <w:t>9.3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82</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53" w:history="1">
        <w:r w:rsidR="00931ABE" w:rsidRPr="00931ABE">
          <w:rPr>
            <w:rStyle w:val="Hyperlink"/>
            <w:rFonts w:ascii="Century Gothic" w:hAnsi="Century Gothic"/>
            <w:noProof/>
            <w:sz w:val="22"/>
            <w:szCs w:val="22"/>
          </w:rPr>
          <w:t>10</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Fish movement in response to Commonwealth environmental water delivery in the Murrumbidgee River</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86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54" w:history="1">
        <w:r w:rsidR="00931ABE" w:rsidRPr="00931ABE">
          <w:rPr>
            <w:rStyle w:val="Hyperlink"/>
            <w:rFonts w:ascii="Century Gothic" w:hAnsi="Century Gothic"/>
            <w:noProof/>
            <w:sz w:val="22"/>
            <w:szCs w:val="22"/>
          </w:rPr>
          <w:t>10.1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87</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55" w:history="1">
        <w:r w:rsidR="00931ABE" w:rsidRPr="00931ABE">
          <w:rPr>
            <w:rStyle w:val="Hyperlink"/>
            <w:rFonts w:ascii="Century Gothic" w:hAnsi="Century Gothic"/>
            <w:noProof/>
            <w:sz w:val="22"/>
            <w:szCs w:val="22"/>
          </w:rPr>
          <w:t>Fish Collection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87</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56" w:history="1">
        <w:r w:rsidR="00931ABE" w:rsidRPr="00931ABE">
          <w:rPr>
            <w:rStyle w:val="Hyperlink"/>
            <w:rFonts w:ascii="Century Gothic" w:hAnsi="Century Gothic"/>
            <w:noProof/>
            <w:sz w:val="22"/>
            <w:szCs w:val="22"/>
          </w:rPr>
          <w:t>Deployment of Acoustic Array</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88</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57" w:history="1">
        <w:r w:rsidR="00931ABE" w:rsidRPr="00931ABE">
          <w:rPr>
            <w:rStyle w:val="Hyperlink"/>
            <w:rFonts w:ascii="Century Gothic" w:hAnsi="Century Gothic"/>
            <w:noProof/>
            <w:sz w:val="22"/>
            <w:szCs w:val="22"/>
          </w:rPr>
          <w:t>10.2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90</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58" w:history="1">
        <w:r w:rsidR="00931ABE" w:rsidRPr="00931ABE">
          <w:rPr>
            <w:rStyle w:val="Hyperlink"/>
            <w:rFonts w:ascii="Century Gothic" w:hAnsi="Century Gothic"/>
            <w:noProof/>
            <w:sz w:val="22"/>
            <w:szCs w:val="22"/>
          </w:rPr>
          <w:t>Murray cod</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90</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59" w:history="1">
        <w:r w:rsidR="00931ABE" w:rsidRPr="00931ABE">
          <w:rPr>
            <w:rStyle w:val="Hyperlink"/>
            <w:rFonts w:ascii="Century Gothic" w:hAnsi="Century Gothic"/>
            <w:noProof/>
            <w:sz w:val="22"/>
            <w:szCs w:val="22"/>
          </w:rPr>
          <w:t>Trout cod</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_Toc378168559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93</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60" w:history="1">
        <w:r w:rsidR="00931ABE" w:rsidRPr="00931ABE">
          <w:rPr>
            <w:rStyle w:val="Hyperlink"/>
            <w:rFonts w:ascii="Century Gothic" w:hAnsi="Century Gothic"/>
            <w:noProof/>
            <w:sz w:val="22"/>
            <w:szCs w:val="22"/>
          </w:rPr>
          <w:t>Silver perch</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95</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61" w:history="1">
        <w:r w:rsidR="00931ABE" w:rsidRPr="00931ABE">
          <w:rPr>
            <w:rStyle w:val="Hyperlink"/>
            <w:rFonts w:ascii="Century Gothic" w:hAnsi="Century Gothic"/>
            <w:noProof/>
            <w:sz w:val="22"/>
            <w:szCs w:val="22"/>
          </w:rPr>
          <w:t>Golden perch</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96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62" w:history="1">
        <w:r w:rsidR="00931ABE" w:rsidRPr="00931ABE">
          <w:rPr>
            <w:rStyle w:val="Hyperlink"/>
            <w:rFonts w:ascii="Century Gothic" w:hAnsi="Century Gothic"/>
            <w:noProof/>
            <w:sz w:val="22"/>
            <w:szCs w:val="22"/>
          </w:rPr>
          <w:t>10.3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97</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63" w:history="1">
        <w:r w:rsidR="00931ABE" w:rsidRPr="00931ABE">
          <w:rPr>
            <w:rStyle w:val="Hyperlink"/>
            <w:rFonts w:ascii="Century Gothic" w:hAnsi="Century Gothic"/>
            <w:noProof/>
            <w:sz w:val="22"/>
            <w:szCs w:val="22"/>
          </w:rPr>
          <w:t>11</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Support breeding and recruitment of native fish</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100</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64" w:history="1">
        <w:r w:rsidR="00931ABE" w:rsidRPr="00931ABE">
          <w:rPr>
            <w:rStyle w:val="Hyperlink"/>
            <w:rFonts w:ascii="Century Gothic" w:hAnsi="Century Gothic"/>
            <w:noProof/>
            <w:sz w:val="22"/>
            <w:szCs w:val="22"/>
          </w:rPr>
          <w:t>11.1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101</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65" w:history="1">
        <w:r w:rsidR="00931ABE" w:rsidRPr="00931ABE">
          <w:rPr>
            <w:rStyle w:val="Hyperlink"/>
            <w:rFonts w:ascii="Century Gothic" w:hAnsi="Century Gothic"/>
            <w:noProof/>
            <w:sz w:val="22"/>
            <w:szCs w:val="22"/>
          </w:rPr>
          <w:t>Collection of larvae and eggs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101</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66" w:history="1">
        <w:r w:rsidR="00931ABE" w:rsidRPr="00931ABE">
          <w:rPr>
            <w:rStyle w:val="Hyperlink"/>
            <w:rFonts w:ascii="Century Gothic" w:hAnsi="Century Gothic"/>
            <w:noProof/>
            <w:sz w:val="22"/>
            <w:szCs w:val="22"/>
          </w:rPr>
          <w:t>Collection of Young of Year fish</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101</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67" w:history="1">
        <w:r w:rsidR="00931ABE" w:rsidRPr="00931ABE">
          <w:rPr>
            <w:rStyle w:val="Hyperlink"/>
            <w:rFonts w:ascii="Century Gothic" w:hAnsi="Century Gothic"/>
            <w:noProof/>
            <w:sz w:val="22"/>
            <w:szCs w:val="22"/>
          </w:rPr>
          <w:t>Age estimation and back-dated spawning times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102</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68" w:history="1">
        <w:r w:rsidR="00931ABE" w:rsidRPr="00931ABE">
          <w:rPr>
            <w:rStyle w:val="Hyperlink"/>
            <w:rFonts w:ascii="Century Gothic" w:hAnsi="Century Gothic"/>
            <w:noProof/>
            <w:sz w:val="22"/>
            <w:szCs w:val="22"/>
          </w:rPr>
          <w:t>Data analysis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102</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69" w:history="1">
        <w:r w:rsidR="00931ABE" w:rsidRPr="00931ABE">
          <w:rPr>
            <w:rStyle w:val="Hyperlink"/>
            <w:rFonts w:ascii="Century Gothic" w:hAnsi="Century Gothic"/>
            <w:noProof/>
            <w:sz w:val="22"/>
            <w:szCs w:val="22"/>
          </w:rPr>
          <w:t>11.2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_Toc378168569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103</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70" w:history="1">
        <w:r w:rsidR="00931ABE" w:rsidRPr="00931ABE">
          <w:rPr>
            <w:rStyle w:val="Hyperlink"/>
            <w:rFonts w:ascii="Century Gothic" w:hAnsi="Century Gothic"/>
            <w:noProof/>
            <w:sz w:val="22"/>
            <w:szCs w:val="22"/>
          </w:rPr>
          <w:t>Occurrence and abundance of larvae</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103</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71" w:history="1">
        <w:r w:rsidR="00931ABE" w:rsidRPr="00931ABE">
          <w:rPr>
            <w:rStyle w:val="Hyperlink"/>
            <w:rFonts w:ascii="Century Gothic" w:hAnsi="Century Gothic"/>
            <w:noProof/>
            <w:sz w:val="22"/>
            <w:szCs w:val="22"/>
          </w:rPr>
          <w:t>Timing of larval cod drift</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106</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72" w:history="1">
        <w:r w:rsidR="00931ABE" w:rsidRPr="00931ABE">
          <w:rPr>
            <w:rStyle w:val="Hyperlink"/>
            <w:rFonts w:ascii="Century Gothic" w:hAnsi="Century Gothic"/>
            <w:noProof/>
            <w:sz w:val="22"/>
            <w:szCs w:val="22"/>
          </w:rPr>
          <w:t>Relationships between larval cod abundance, flow and other co-variates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107</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73" w:history="1">
        <w:r w:rsidR="00931ABE" w:rsidRPr="00931ABE">
          <w:rPr>
            <w:rStyle w:val="Hyperlink"/>
            <w:rFonts w:ascii="Century Gothic" w:hAnsi="Century Gothic"/>
            <w:noProof/>
            <w:sz w:val="22"/>
            <w:szCs w:val="22"/>
          </w:rPr>
          <w:t>Young-of-year fish</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108</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74" w:history="1">
        <w:r w:rsidR="00931ABE" w:rsidRPr="00931ABE">
          <w:rPr>
            <w:rStyle w:val="Hyperlink"/>
            <w:rFonts w:ascii="Century Gothic" w:hAnsi="Century Gothic"/>
            <w:noProof/>
            <w:sz w:val="22"/>
            <w:szCs w:val="22"/>
          </w:rPr>
          <w:t>11.3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110</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75" w:history="1">
        <w:r w:rsidR="00931ABE" w:rsidRPr="00931ABE">
          <w:rPr>
            <w:rStyle w:val="Hyperlink"/>
            <w:rFonts w:ascii="Century Gothic" w:hAnsi="Century Gothic"/>
            <w:noProof/>
            <w:sz w:val="22"/>
            <w:szCs w:val="22"/>
          </w:rPr>
          <w:t>12</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Maintain health of existing extent of riparian, floodplain and wetland native vegetation communities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114</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76" w:history="1">
        <w:r w:rsidR="00931ABE" w:rsidRPr="00931ABE">
          <w:rPr>
            <w:rStyle w:val="Hyperlink"/>
            <w:rFonts w:ascii="Century Gothic" w:hAnsi="Century Gothic"/>
            <w:noProof/>
            <w:sz w:val="22"/>
            <w:szCs w:val="22"/>
          </w:rPr>
          <w:t>12.1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116</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77" w:history="1">
        <w:r w:rsidR="00931ABE" w:rsidRPr="00931ABE">
          <w:rPr>
            <w:rStyle w:val="Hyperlink"/>
            <w:rFonts w:ascii="Century Gothic" w:hAnsi="Century Gothic"/>
            <w:noProof/>
            <w:sz w:val="22"/>
            <w:szCs w:val="22"/>
          </w:rPr>
          <w:t>12.2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116</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78" w:history="1">
        <w:r w:rsidR="00931ABE" w:rsidRPr="00931ABE">
          <w:rPr>
            <w:rStyle w:val="Hyperlink"/>
            <w:rFonts w:ascii="Century Gothic" w:hAnsi="Century Gothic"/>
            <w:noProof/>
            <w:sz w:val="22"/>
            <w:szCs w:val="22"/>
          </w:rPr>
          <w:t>Maintenance of vegetation community</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116</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left" w:pos="1100"/>
          <w:tab w:val="right" w:leader="dot" w:pos="9017"/>
        </w:tabs>
        <w:spacing w:line="240" w:lineRule="auto"/>
        <w:rPr>
          <w:rFonts w:ascii="Century Gothic" w:eastAsiaTheme="minorEastAsia" w:hAnsi="Century Gothic" w:cstheme="minorBidi"/>
          <w:noProof/>
          <w:sz w:val="22"/>
          <w:szCs w:val="22"/>
          <w:lang w:eastAsia="en-AU"/>
        </w:rPr>
      </w:pPr>
      <w:hyperlink w:anchor="_Toc378168579" w:history="1">
        <w:r w:rsidR="00931ABE" w:rsidRPr="00931ABE">
          <w:rPr>
            <w:rStyle w:val="Hyperlink"/>
            <w:rFonts w:ascii="Century Gothic" w:hAnsi="Century Gothic"/>
            <w:noProof/>
            <w:sz w:val="22"/>
            <w:szCs w:val="22"/>
          </w:rPr>
          <w:t>12.2.1</w:t>
        </w:r>
        <w:r w:rsidR="00931ABE" w:rsidRPr="00931ABE">
          <w:rPr>
            <w:rFonts w:ascii="Century Gothic" w:eastAsiaTheme="minorEastAsia" w:hAnsi="Century Gothic" w:cstheme="minorBidi"/>
            <w:noProof/>
            <w:sz w:val="22"/>
            <w:szCs w:val="22"/>
            <w:lang w:eastAsia="en-AU"/>
          </w:rPr>
          <w:tab/>
        </w:r>
        <w:r w:rsidR="00931ABE" w:rsidRPr="00931ABE">
          <w:rPr>
            <w:rStyle w:val="Hyperlink"/>
            <w:rFonts w:ascii="Century Gothic" w:hAnsi="Century Gothic"/>
            <w:noProof/>
            <w:sz w:val="22"/>
            <w:szCs w:val="22"/>
          </w:rPr>
          <w:t>Native species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_Toc378168579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118</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80" w:history="1">
        <w:r w:rsidR="00931ABE" w:rsidRPr="00931ABE">
          <w:rPr>
            <w:rStyle w:val="Hyperlink"/>
            <w:rFonts w:ascii="Century Gothic" w:hAnsi="Century Gothic"/>
            <w:noProof/>
            <w:sz w:val="22"/>
            <w:szCs w:val="22"/>
          </w:rPr>
          <w:t>12.3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120</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81" w:history="1">
        <w:r w:rsidR="00931ABE" w:rsidRPr="00931ABE">
          <w:rPr>
            <w:rStyle w:val="Hyperlink"/>
            <w:rFonts w:ascii="Century Gothic" w:hAnsi="Century Gothic" w:cs="Calibri"/>
            <w:noProof/>
            <w:sz w:val="22"/>
            <w:szCs w:val="22"/>
          </w:rPr>
          <w:t>13</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Support the habitats, breeding and recruitment of waterbirds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122</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82" w:history="1">
        <w:r w:rsidR="00931ABE" w:rsidRPr="00931ABE">
          <w:rPr>
            <w:rStyle w:val="Hyperlink"/>
            <w:rFonts w:ascii="Century Gothic" w:hAnsi="Century Gothic"/>
            <w:noProof/>
            <w:sz w:val="22"/>
            <w:szCs w:val="22"/>
          </w:rPr>
          <w:t>13.1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Introduction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122</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83" w:history="1">
        <w:r w:rsidR="00931ABE" w:rsidRPr="00931ABE">
          <w:rPr>
            <w:rStyle w:val="Hyperlink"/>
            <w:rFonts w:ascii="Century Gothic" w:hAnsi="Century Gothic"/>
            <w:noProof/>
            <w:sz w:val="22"/>
            <w:szCs w:val="22"/>
          </w:rPr>
          <w:t>13.2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123</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84" w:history="1">
        <w:r w:rsidR="00931ABE" w:rsidRPr="00931ABE">
          <w:rPr>
            <w:rStyle w:val="Hyperlink"/>
            <w:rFonts w:ascii="Century Gothic" w:hAnsi="Century Gothic"/>
            <w:noProof/>
            <w:sz w:val="22"/>
            <w:szCs w:val="22"/>
          </w:rPr>
          <w:t>13.3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124</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85" w:history="1">
        <w:r w:rsidR="00931ABE" w:rsidRPr="00931ABE">
          <w:rPr>
            <w:rStyle w:val="Hyperlink"/>
            <w:rFonts w:ascii="Century Gothic" w:hAnsi="Century Gothic"/>
            <w:noProof/>
            <w:sz w:val="22"/>
            <w:szCs w:val="22"/>
          </w:rPr>
          <w:t>13.4</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127</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86" w:history="1">
        <w:r w:rsidR="00931ABE" w:rsidRPr="00931ABE">
          <w:rPr>
            <w:rStyle w:val="Hyperlink"/>
            <w:rFonts w:ascii="Century Gothic" w:hAnsi="Century Gothic"/>
            <w:noProof/>
            <w:sz w:val="22"/>
            <w:szCs w:val="22"/>
          </w:rPr>
          <w:t>14</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Supporting, habitat, breeding and recruitment of other native aquatic species: Frogs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129</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87" w:history="1">
        <w:r w:rsidR="00931ABE" w:rsidRPr="00931ABE">
          <w:rPr>
            <w:rStyle w:val="Hyperlink"/>
            <w:rFonts w:ascii="Century Gothic" w:hAnsi="Century Gothic"/>
            <w:noProof/>
            <w:sz w:val="22"/>
            <w:szCs w:val="22"/>
          </w:rPr>
          <w:t>14.1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Introduction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129</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88" w:history="1">
        <w:r w:rsidR="00931ABE" w:rsidRPr="00931ABE">
          <w:rPr>
            <w:rStyle w:val="Hyperlink"/>
            <w:rFonts w:ascii="Century Gothic" w:hAnsi="Century Gothic"/>
            <w:noProof/>
            <w:sz w:val="22"/>
            <w:szCs w:val="22"/>
          </w:rPr>
          <w:t>14.2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130</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89" w:history="1">
        <w:r w:rsidR="00931ABE" w:rsidRPr="00931ABE">
          <w:rPr>
            <w:rStyle w:val="Hyperlink"/>
            <w:rFonts w:ascii="Century Gothic" w:hAnsi="Century Gothic"/>
            <w:noProof/>
            <w:sz w:val="22"/>
            <w:szCs w:val="22"/>
          </w:rPr>
          <w:t>Recruitment</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_Toc378168589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130</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90" w:history="1">
        <w:r w:rsidR="00931ABE" w:rsidRPr="00931ABE">
          <w:rPr>
            <w:rStyle w:val="Hyperlink"/>
            <w:rFonts w:ascii="Century Gothic" w:hAnsi="Century Gothic"/>
            <w:noProof/>
            <w:sz w:val="22"/>
            <w:szCs w:val="22"/>
          </w:rPr>
          <w:t>14.3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131</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91" w:history="1">
        <w:r w:rsidR="00931ABE" w:rsidRPr="00931ABE">
          <w:rPr>
            <w:rStyle w:val="Hyperlink"/>
            <w:rFonts w:ascii="Century Gothic" w:hAnsi="Century Gothic"/>
            <w:noProof/>
            <w:sz w:val="22"/>
            <w:szCs w:val="22"/>
            <w:lang w:eastAsia="en-AU"/>
          </w:rPr>
          <w:t>Calling and breeding activity</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134</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92" w:history="1">
        <w:r w:rsidR="00931ABE" w:rsidRPr="00931ABE">
          <w:rPr>
            <w:rStyle w:val="Hyperlink"/>
            <w:rFonts w:ascii="Century Gothic" w:hAnsi="Century Gothic"/>
            <w:noProof/>
            <w:sz w:val="22"/>
            <w:szCs w:val="22"/>
          </w:rPr>
          <w:t>14.4</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138</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93" w:history="1">
        <w:r w:rsidR="00931ABE" w:rsidRPr="00931ABE">
          <w:rPr>
            <w:rStyle w:val="Hyperlink"/>
            <w:rFonts w:ascii="Century Gothic" w:hAnsi="Century Gothic"/>
            <w:noProof/>
            <w:sz w:val="22"/>
            <w:szCs w:val="22"/>
          </w:rPr>
          <w:t>15</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lang w:eastAsia="en-AU"/>
          </w:rPr>
          <w:t>S</w:t>
        </w:r>
        <w:r w:rsidR="00931ABE" w:rsidRPr="00931ABE">
          <w:rPr>
            <w:rStyle w:val="Hyperlink"/>
            <w:rFonts w:ascii="Century Gothic" w:hAnsi="Century Gothic"/>
            <w:noProof/>
            <w:sz w:val="22"/>
            <w:szCs w:val="22"/>
          </w:rPr>
          <w:t>upporting habitat, breeding and recruitment of other native aquatic species: Freshwater turtles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140</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94" w:history="1">
        <w:r w:rsidR="00931ABE" w:rsidRPr="00931ABE">
          <w:rPr>
            <w:rStyle w:val="Hyperlink"/>
            <w:rFonts w:ascii="Century Gothic" w:hAnsi="Century Gothic"/>
            <w:noProof/>
            <w:sz w:val="22"/>
            <w:szCs w:val="22"/>
          </w:rPr>
          <w:t>15.1</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Introduction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140</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95" w:history="1">
        <w:r w:rsidR="00931ABE" w:rsidRPr="00931ABE">
          <w:rPr>
            <w:rStyle w:val="Hyperlink"/>
            <w:rFonts w:ascii="Century Gothic" w:hAnsi="Century Gothic"/>
            <w:noProof/>
            <w:sz w:val="22"/>
            <w:szCs w:val="22"/>
          </w:rPr>
          <w:t>15.2</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Methods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140</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96" w:history="1">
        <w:r w:rsidR="00931ABE" w:rsidRPr="00931ABE">
          <w:rPr>
            <w:rStyle w:val="Hyperlink"/>
            <w:rFonts w:ascii="Century Gothic" w:hAnsi="Century Gothic"/>
            <w:noProof/>
            <w:sz w:val="22"/>
            <w:szCs w:val="22"/>
          </w:rPr>
          <w:t>15.3</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141</w:t>
        </w:r>
        <w:r w:rsidRPr="00931ABE">
          <w:rPr>
            <w:rFonts w:ascii="Century Gothic" w:hAnsi="Century Gothic"/>
            <w:noProof/>
            <w:webHidden/>
            <w:sz w:val="22"/>
            <w:szCs w:val="22"/>
          </w:rPr>
          <w:fldChar w:fldCharType="end"/>
        </w:r>
      </w:hyperlink>
    </w:p>
    <w:p w:rsidR="00931ABE" w:rsidRPr="00931ABE" w:rsidRDefault="00D20FAE" w:rsidP="00931ABE">
      <w:pPr>
        <w:pStyle w:val="TOC2"/>
        <w:tabs>
          <w:tab w:val="left" w:pos="660"/>
          <w:tab w:val="right" w:leader="dot" w:pos="9017"/>
        </w:tabs>
        <w:spacing w:before="0" w:line="240" w:lineRule="auto"/>
        <w:rPr>
          <w:rFonts w:ascii="Century Gothic" w:eastAsiaTheme="minorEastAsia" w:hAnsi="Century Gothic" w:cstheme="minorBidi"/>
          <w:b w:val="0"/>
          <w:bCs w:val="0"/>
          <w:noProof/>
          <w:sz w:val="22"/>
          <w:szCs w:val="22"/>
          <w:lang w:eastAsia="en-AU"/>
        </w:rPr>
      </w:pPr>
      <w:hyperlink w:anchor="_Toc378168597" w:history="1">
        <w:r w:rsidR="00931ABE" w:rsidRPr="00931ABE">
          <w:rPr>
            <w:rStyle w:val="Hyperlink"/>
            <w:rFonts w:ascii="Century Gothic" w:hAnsi="Century Gothic"/>
            <w:noProof/>
            <w:sz w:val="22"/>
            <w:szCs w:val="22"/>
          </w:rPr>
          <w:t>15.4</w:t>
        </w:r>
        <w:r w:rsidR="00931ABE" w:rsidRPr="00931ABE">
          <w:rPr>
            <w:rFonts w:ascii="Century Gothic" w:eastAsiaTheme="minorEastAsia" w:hAnsi="Century Gothic" w:cstheme="minorBidi"/>
            <w:b w:val="0"/>
            <w:bCs w:val="0"/>
            <w:noProof/>
            <w:sz w:val="22"/>
            <w:szCs w:val="22"/>
            <w:lang w:eastAsia="en-AU"/>
          </w:rPr>
          <w:tab/>
        </w:r>
        <w:r w:rsidR="00931ABE" w:rsidRPr="00931ABE">
          <w:rPr>
            <w:rStyle w:val="Hyperlink"/>
            <w:rFonts w:ascii="Century Gothic" w:hAnsi="Century Gothic"/>
            <w:noProof/>
            <w:sz w:val="22"/>
            <w:szCs w:val="22"/>
          </w:rPr>
          <w:t>Discussion</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143</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598" w:history="1">
        <w:r w:rsidR="00931ABE" w:rsidRPr="00931ABE">
          <w:rPr>
            <w:rStyle w:val="Hyperlink"/>
            <w:rFonts w:ascii="Century Gothic" w:hAnsi="Century Gothic"/>
            <w:noProof/>
            <w:sz w:val="22"/>
            <w:szCs w:val="22"/>
          </w:rPr>
          <w:t>16</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Synthesis ecological responses to Commonwealth environmental water in wetlands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144</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599" w:history="1">
        <w:r w:rsidR="00931ABE" w:rsidRPr="00931ABE">
          <w:rPr>
            <w:rStyle w:val="Hyperlink"/>
            <w:rFonts w:ascii="Century Gothic" w:hAnsi="Century Gothic"/>
            <w:noProof/>
            <w:sz w:val="22"/>
            <w:szCs w:val="22"/>
          </w:rPr>
          <w:t>Supporting habitat requirements for fish-Microcrustacea</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_Toc378168599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147</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600" w:history="1">
        <w:r w:rsidR="00931ABE" w:rsidRPr="00931ABE">
          <w:rPr>
            <w:rStyle w:val="Hyperlink"/>
            <w:rFonts w:ascii="Century Gothic" w:hAnsi="Century Gothic"/>
            <w:noProof/>
            <w:sz w:val="22"/>
            <w:szCs w:val="22"/>
          </w:rPr>
          <w:t>Supporting breeding and recruitment by native fish (wetlands)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150</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601" w:history="1">
        <w:r w:rsidR="00931ABE" w:rsidRPr="00931ABE">
          <w:rPr>
            <w:rStyle w:val="Hyperlink"/>
            <w:rFonts w:ascii="Century Gothic" w:hAnsi="Century Gothic"/>
            <w:noProof/>
            <w:sz w:val="22"/>
            <w:szCs w:val="22"/>
          </w:rPr>
          <w:t>Supporting breeding and recruitment by native fish (Rivers)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151</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602" w:history="1">
        <w:r w:rsidR="00931ABE" w:rsidRPr="00931ABE">
          <w:rPr>
            <w:rStyle w:val="Hyperlink"/>
            <w:rFonts w:ascii="Century Gothic" w:hAnsi="Century Gothic"/>
            <w:noProof/>
            <w:sz w:val="22"/>
            <w:szCs w:val="22"/>
          </w:rPr>
          <w:t>17</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Conclusions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154</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603" w:history="1">
        <w:r w:rsidR="00931ABE" w:rsidRPr="00931ABE">
          <w:rPr>
            <w:rStyle w:val="Hyperlink"/>
            <w:rFonts w:ascii="Century Gothic" w:hAnsi="Century Gothic"/>
            <w:noProof/>
            <w:sz w:val="22"/>
            <w:szCs w:val="22"/>
          </w:rPr>
          <w:t>18</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Acknowledgements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156</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left" w:pos="660"/>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604" w:history="1">
        <w:r w:rsidR="00931ABE" w:rsidRPr="00931ABE">
          <w:rPr>
            <w:rStyle w:val="Hyperlink"/>
            <w:rFonts w:ascii="Century Gothic" w:hAnsi="Century Gothic"/>
            <w:noProof/>
            <w:sz w:val="22"/>
            <w:szCs w:val="22"/>
          </w:rPr>
          <w:t>19</w:t>
        </w:r>
        <w:r w:rsidR="00931ABE" w:rsidRPr="00931ABE">
          <w:rPr>
            <w:rFonts w:ascii="Century Gothic" w:eastAsiaTheme="minorEastAsia" w:hAnsi="Century Gothic" w:cstheme="minorBidi"/>
            <w:b w:val="0"/>
            <w:bCs w:val="0"/>
            <w:caps w:val="0"/>
            <w:noProof/>
            <w:sz w:val="22"/>
            <w:szCs w:val="22"/>
            <w:lang w:eastAsia="en-AU"/>
          </w:rPr>
          <w:tab/>
        </w:r>
        <w:r w:rsidR="00931ABE" w:rsidRPr="00931ABE">
          <w:rPr>
            <w:rStyle w:val="Hyperlink"/>
            <w:rFonts w:ascii="Century Gothic" w:hAnsi="Century Gothic"/>
            <w:noProof/>
            <w:sz w:val="22"/>
            <w:szCs w:val="22"/>
          </w:rPr>
          <w:t>References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_Toc378168604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157</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605" w:history="1">
        <w:r w:rsidR="00931ABE" w:rsidRPr="00931ABE">
          <w:rPr>
            <w:rStyle w:val="Hyperlink"/>
            <w:rFonts w:ascii="Century Gothic" w:hAnsi="Century Gothic"/>
            <w:noProof/>
            <w:sz w:val="22"/>
            <w:szCs w:val="22"/>
          </w:rPr>
          <w:t>Appendix 1 Data analysis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_Toc378168605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169</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606" w:history="1">
        <w:r w:rsidR="00931ABE" w:rsidRPr="00931ABE">
          <w:rPr>
            <w:rStyle w:val="Hyperlink"/>
            <w:rFonts w:ascii="Century Gothic" w:hAnsi="Century Gothic"/>
            <w:noProof/>
            <w:sz w:val="22"/>
            <w:szCs w:val="22"/>
          </w:rPr>
          <w:t>Appendix 2. Details of Acoustic Array</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_Toc378168606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173</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607" w:history="1">
        <w:r w:rsidR="00931ABE" w:rsidRPr="00931ABE">
          <w:rPr>
            <w:rStyle w:val="Hyperlink"/>
            <w:rFonts w:ascii="Century Gothic" w:hAnsi="Century Gothic"/>
            <w:noProof/>
            <w:sz w:val="22"/>
            <w:szCs w:val="22"/>
          </w:rPr>
          <w:t>Appendix 3. Vegetation functional groups- repeated measures analysis of variance</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_Toc378168607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176</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608" w:history="1">
        <w:r w:rsidR="00931ABE" w:rsidRPr="00931ABE">
          <w:rPr>
            <w:rStyle w:val="Hyperlink"/>
            <w:rFonts w:ascii="Century Gothic" w:hAnsi="Century Gothic"/>
            <w:noProof/>
            <w:sz w:val="22"/>
            <w:szCs w:val="22"/>
          </w:rPr>
          <w:t>Appendix 4 Waterbird species list and functional groups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_Toc378168608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177</w:t>
        </w:r>
        <w:r w:rsidRPr="00931ABE">
          <w:rPr>
            <w:rFonts w:ascii="Century Gothic" w:hAnsi="Century Gothic"/>
            <w:noProof/>
            <w:webHidden/>
            <w:sz w:val="22"/>
            <w:szCs w:val="22"/>
          </w:rPr>
          <w:fldChar w:fldCharType="end"/>
        </w:r>
      </w:hyperlink>
    </w:p>
    <w:p w:rsidR="00931ABE" w:rsidRPr="00931ABE" w:rsidRDefault="00D20FAE" w:rsidP="00931ABE">
      <w:pPr>
        <w:pStyle w:val="TOC1"/>
        <w:tabs>
          <w:tab w:val="right" w:leader="dot" w:pos="9017"/>
        </w:tabs>
        <w:spacing w:before="0" w:line="240" w:lineRule="auto"/>
        <w:rPr>
          <w:rFonts w:ascii="Century Gothic" w:eastAsiaTheme="minorEastAsia" w:hAnsi="Century Gothic" w:cstheme="minorBidi"/>
          <w:b w:val="0"/>
          <w:bCs w:val="0"/>
          <w:caps w:val="0"/>
          <w:noProof/>
          <w:sz w:val="22"/>
          <w:szCs w:val="22"/>
          <w:lang w:eastAsia="en-AU"/>
        </w:rPr>
      </w:pPr>
      <w:hyperlink w:anchor="_Toc378168609" w:history="1">
        <w:r w:rsidR="00931ABE" w:rsidRPr="00931ABE">
          <w:rPr>
            <w:rStyle w:val="Hyperlink"/>
            <w:rFonts w:ascii="Century Gothic" w:hAnsi="Century Gothic"/>
            <w:noProof/>
            <w:sz w:val="22"/>
            <w:szCs w:val="22"/>
          </w:rPr>
          <w:t xml:space="preserve">Appendix </w:t>
        </w:r>
        <w:r w:rsidR="0018326F">
          <w:rPr>
            <w:rStyle w:val="Hyperlink"/>
            <w:rFonts w:ascii="Century Gothic" w:hAnsi="Century Gothic"/>
            <w:noProof/>
            <w:sz w:val="22"/>
            <w:szCs w:val="22"/>
          </w:rPr>
          <w:t>5</w:t>
        </w:r>
        <w:r w:rsidR="00931ABE" w:rsidRPr="00931ABE">
          <w:rPr>
            <w:rStyle w:val="Hyperlink"/>
            <w:rFonts w:ascii="Century Gothic" w:hAnsi="Century Gothic"/>
            <w:noProof/>
            <w:sz w:val="22"/>
            <w:szCs w:val="22"/>
          </w:rPr>
          <w:t xml:space="preserve"> Generalised linear regression outputs extended results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_Toc378168609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182</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610" w:history="1">
        <w:r w:rsidR="00931ABE" w:rsidRPr="00931ABE">
          <w:rPr>
            <w:rStyle w:val="Hyperlink"/>
            <w:rFonts w:ascii="Century Gothic" w:hAnsi="Century Gothic"/>
            <w:noProof/>
            <w:sz w:val="22"/>
            <w:szCs w:val="22"/>
            <w:lang w:eastAsia="en-AU"/>
          </w:rPr>
          <w:t>Wetland frogs breeding</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_Toc378168610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182</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611" w:history="1">
        <w:r w:rsidR="00931ABE" w:rsidRPr="00931ABE">
          <w:rPr>
            <w:rStyle w:val="Hyperlink"/>
            <w:rFonts w:ascii="Century Gothic" w:hAnsi="Century Gothic"/>
            <w:noProof/>
            <w:sz w:val="22"/>
            <w:szCs w:val="22"/>
          </w:rPr>
          <w:t>Wetland fish</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_Toc378168611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185</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612" w:history="1">
        <w:r w:rsidR="00931ABE" w:rsidRPr="00931ABE">
          <w:rPr>
            <w:rStyle w:val="Hyperlink"/>
            <w:rFonts w:ascii="Century Gothic" w:hAnsi="Century Gothic"/>
            <w:noProof/>
            <w:sz w:val="22"/>
            <w:szCs w:val="22"/>
          </w:rPr>
          <w:t>Microcrustacea models</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_Toc378168612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187</w:t>
        </w:r>
        <w:r w:rsidRPr="00931ABE">
          <w:rPr>
            <w:rFonts w:ascii="Century Gothic" w:hAnsi="Century Gothic"/>
            <w:noProof/>
            <w:webHidden/>
            <w:sz w:val="22"/>
            <w:szCs w:val="22"/>
          </w:rPr>
          <w:fldChar w:fldCharType="end"/>
        </w:r>
      </w:hyperlink>
    </w:p>
    <w:p w:rsidR="00931ABE" w:rsidRPr="00931ABE" w:rsidRDefault="00D20FAE" w:rsidP="00931ABE">
      <w:pPr>
        <w:pStyle w:val="TOC3"/>
        <w:tabs>
          <w:tab w:val="right" w:leader="dot" w:pos="9017"/>
        </w:tabs>
        <w:spacing w:line="240" w:lineRule="auto"/>
        <w:rPr>
          <w:rFonts w:ascii="Century Gothic" w:eastAsiaTheme="minorEastAsia" w:hAnsi="Century Gothic" w:cstheme="minorBidi"/>
          <w:noProof/>
          <w:sz w:val="22"/>
          <w:szCs w:val="22"/>
          <w:lang w:eastAsia="en-AU"/>
        </w:rPr>
      </w:pPr>
      <w:hyperlink w:anchor="_Toc378168613" w:history="1">
        <w:r w:rsidR="00931ABE" w:rsidRPr="00931ABE">
          <w:rPr>
            <w:rStyle w:val="Hyperlink"/>
            <w:rFonts w:ascii="Century Gothic" w:hAnsi="Century Gothic"/>
            <w:noProof/>
            <w:sz w:val="22"/>
            <w:szCs w:val="22"/>
          </w:rPr>
          <w:t>Microcrusteaca Length</w:t>
        </w:r>
        <w:r w:rsidR="00931ABE" w:rsidRPr="00931ABE">
          <w:rPr>
            <w:rFonts w:ascii="Century Gothic" w:hAnsi="Century Gothic"/>
            <w:noProof/>
            <w:webHidden/>
            <w:sz w:val="22"/>
            <w:szCs w:val="22"/>
          </w:rPr>
          <w:tab/>
        </w:r>
        <w:r w:rsidRPr="00931ABE">
          <w:rPr>
            <w:rFonts w:ascii="Century Gothic" w:hAnsi="Century Gothic"/>
            <w:noProof/>
            <w:webHidden/>
            <w:sz w:val="22"/>
            <w:szCs w:val="22"/>
          </w:rPr>
          <w:fldChar w:fldCharType="begin"/>
        </w:r>
        <w:r w:rsidR="00931ABE" w:rsidRPr="00931ABE">
          <w:rPr>
            <w:rFonts w:ascii="Century Gothic" w:hAnsi="Century Gothic"/>
            <w:noProof/>
            <w:webHidden/>
            <w:sz w:val="22"/>
            <w:szCs w:val="22"/>
          </w:rPr>
          <w:instrText xml:space="preserve"> PAGEREF _Toc378168613 \h </w:instrText>
        </w:r>
        <w:r w:rsidRPr="00931ABE">
          <w:rPr>
            <w:rFonts w:ascii="Century Gothic" w:hAnsi="Century Gothic"/>
            <w:noProof/>
            <w:webHidden/>
            <w:sz w:val="22"/>
            <w:szCs w:val="22"/>
          </w:rPr>
        </w:r>
        <w:r w:rsidRPr="00931ABE">
          <w:rPr>
            <w:rFonts w:ascii="Century Gothic" w:hAnsi="Century Gothic"/>
            <w:noProof/>
            <w:webHidden/>
            <w:sz w:val="22"/>
            <w:szCs w:val="22"/>
          </w:rPr>
          <w:fldChar w:fldCharType="separate"/>
        </w:r>
        <w:r w:rsidR="00082036">
          <w:rPr>
            <w:rFonts w:ascii="Century Gothic" w:hAnsi="Century Gothic"/>
            <w:noProof/>
            <w:webHidden/>
            <w:sz w:val="22"/>
            <w:szCs w:val="22"/>
          </w:rPr>
          <w:t>189</w:t>
        </w:r>
        <w:r w:rsidRPr="00931ABE">
          <w:rPr>
            <w:rFonts w:ascii="Century Gothic" w:hAnsi="Century Gothic"/>
            <w:noProof/>
            <w:webHidden/>
            <w:sz w:val="22"/>
            <w:szCs w:val="22"/>
          </w:rPr>
          <w:fldChar w:fldCharType="end"/>
        </w:r>
      </w:hyperlink>
    </w:p>
    <w:p w:rsidR="003723EA" w:rsidRPr="00931ABE" w:rsidRDefault="00D20FAE" w:rsidP="00931ABE">
      <w:pPr>
        <w:spacing w:after="0" w:line="240" w:lineRule="auto"/>
        <w:jc w:val="left"/>
        <w:rPr>
          <w:lang w:eastAsia="zh-CN" w:bidi="th-TH"/>
        </w:rPr>
      </w:pPr>
      <w:r w:rsidRPr="00931ABE">
        <w:rPr>
          <w:lang w:eastAsia="zh-CN" w:bidi="th-TH"/>
        </w:rPr>
        <w:fldChar w:fldCharType="end"/>
      </w:r>
      <w:r w:rsidR="003723EA" w:rsidRPr="00931ABE">
        <w:rPr>
          <w:lang w:eastAsia="zh-CN" w:bidi="th-TH"/>
        </w:rPr>
        <w:br w:type="page"/>
      </w:r>
    </w:p>
    <w:p w:rsidR="003218D6" w:rsidRPr="003218D6" w:rsidRDefault="00DD186E" w:rsidP="00931ABE">
      <w:pPr>
        <w:pStyle w:val="Heading1"/>
        <w:spacing w:before="0"/>
      </w:pPr>
      <w:bookmarkStart w:id="8" w:name="_Toc370299165"/>
      <w:bookmarkStart w:id="9" w:name="_Toc370738694"/>
      <w:bookmarkStart w:id="10" w:name="_Toc378168501"/>
      <w:r>
        <w:t>Introduction</w:t>
      </w:r>
      <w:bookmarkEnd w:id="8"/>
      <w:bookmarkEnd w:id="9"/>
      <w:bookmarkEnd w:id="10"/>
    </w:p>
    <w:p w:rsidR="003218D6" w:rsidRPr="003218D6" w:rsidRDefault="00527607" w:rsidP="003723EA">
      <w:pPr>
        <w:pStyle w:val="BodyText1"/>
      </w:pPr>
      <w:r>
        <w:t xml:space="preserve">This report outlines the outcomes of Commonwealth environmental watering actions in the Murrumbidgee </w:t>
      </w:r>
      <w:r w:rsidR="00720DB5">
        <w:t>river system</w:t>
      </w:r>
      <w:r>
        <w:t xml:space="preserve"> from June 2012 to July 2013. </w:t>
      </w:r>
      <w:r w:rsidR="003218D6" w:rsidRPr="003218D6">
        <w:t xml:space="preserve">This report </w:t>
      </w:r>
      <w:r w:rsidR="000A2598">
        <w:t>aims</w:t>
      </w:r>
      <w:r w:rsidR="003218D6" w:rsidRPr="003218D6">
        <w:t xml:space="preserve"> to be approachable and informative for all readers</w:t>
      </w:r>
      <w:r w:rsidR="003218D6">
        <w:t>. T</w:t>
      </w:r>
      <w:r w:rsidR="003218D6" w:rsidRPr="003218D6">
        <w:t xml:space="preserve">o </w:t>
      </w:r>
      <w:r w:rsidR="003218D6">
        <w:t>support readability</w:t>
      </w:r>
      <w:r w:rsidR="00A32306">
        <w:t xml:space="preserve">, </w:t>
      </w:r>
      <w:r w:rsidR="003218D6" w:rsidRPr="003218D6">
        <w:t>detail</w:t>
      </w:r>
      <w:r w:rsidR="00A32306">
        <w:t>s of complex</w:t>
      </w:r>
      <w:r w:rsidR="003218D6" w:rsidRPr="003218D6">
        <w:t xml:space="preserve"> statistical analysis, modelling</w:t>
      </w:r>
      <w:r>
        <w:t xml:space="preserve"> approaches and extended results </w:t>
      </w:r>
      <w:r w:rsidRPr="003218D6">
        <w:t>have</w:t>
      </w:r>
      <w:r>
        <w:t xml:space="preserve"> been presented in a series of </w:t>
      </w:r>
      <w:r w:rsidR="003218D6" w:rsidRPr="003218D6">
        <w:t>linked appendices</w:t>
      </w:r>
      <w:r>
        <w:t xml:space="preserve"> for each chapter </w:t>
      </w:r>
      <w:r w:rsidR="003218D6" w:rsidRPr="003218D6">
        <w:t>for</w:t>
      </w:r>
      <w:r w:rsidR="00367F86">
        <w:t xml:space="preserve"> those </w:t>
      </w:r>
      <w:r w:rsidR="003218D6" w:rsidRPr="003218D6">
        <w:t xml:space="preserve">readers seeking additional </w:t>
      </w:r>
      <w:r w:rsidR="00367F86">
        <w:t>information</w:t>
      </w:r>
      <w:r w:rsidR="003218D6" w:rsidRPr="003218D6">
        <w:t>.</w:t>
      </w:r>
    </w:p>
    <w:p w:rsidR="00951DB3" w:rsidRPr="00E42583" w:rsidRDefault="001A4C5D" w:rsidP="00C44F46">
      <w:pPr>
        <w:pStyle w:val="Heading2"/>
      </w:pPr>
      <w:bookmarkStart w:id="11" w:name="_Toc370299166"/>
      <w:bookmarkStart w:id="12" w:name="_Toc370738695"/>
      <w:bookmarkStart w:id="13" w:name="_Toc378168502"/>
      <w:r w:rsidRPr="00E42583">
        <w:t>Background on the Murrumbidgee River</w:t>
      </w:r>
      <w:bookmarkEnd w:id="11"/>
      <w:bookmarkEnd w:id="12"/>
      <w:bookmarkEnd w:id="13"/>
    </w:p>
    <w:p w:rsidR="001A4C5D" w:rsidRPr="0084257E" w:rsidRDefault="00505588" w:rsidP="003723EA">
      <w:pPr>
        <w:pStyle w:val="BodyText1"/>
      </w:pPr>
      <w:r w:rsidRPr="00E42583">
        <w:t>The Murrumbidgee River and connected wetlands provide critical habitats for aquatic and semi-aquatic species including the endangered trout Cod (</w:t>
      </w:r>
      <w:hyperlink r:id="rId25" w:history="1">
        <w:r w:rsidR="004E135B" w:rsidRPr="004E135B">
          <w:rPr>
            <w:i/>
          </w:rPr>
          <w:t>Maccullochella macquariensis</w:t>
        </w:r>
      </w:hyperlink>
      <w:r w:rsidRPr="00E42583">
        <w:t>), the vulnerable Murray Cod (</w:t>
      </w:r>
      <w:hyperlink r:id="rId26" w:history="1">
        <w:r w:rsidR="004E135B" w:rsidRPr="004E135B">
          <w:rPr>
            <w:i/>
          </w:rPr>
          <w:t>Maccullochella peelii</w:t>
        </w:r>
      </w:hyperlink>
      <w:r w:rsidRPr="00E42583">
        <w:t xml:space="preserve">) and vulnerable southern bell frog </w:t>
      </w:r>
      <w:smartTag w:uri="isiresearchsoft-com/cwyw" w:element="citation">
        <w:r w:rsidRPr="00E42583">
          <w:t>(</w:t>
        </w:r>
        <w:r w:rsidR="004E135B" w:rsidRPr="004E135B">
          <w:rPr>
            <w:i/>
          </w:rPr>
          <w:t>Litoria raniformis</w:t>
        </w:r>
        <w:r w:rsidRPr="00E42583">
          <w:t>)</w:t>
        </w:r>
      </w:smartTag>
      <w:r w:rsidRPr="00E42583">
        <w:t xml:space="preserve"> (Environment Protection and Biodiversity Conservation Act, 1999 (EPBC Act)). The mid-Murrumbidgee Wetlands and Lowbidgee floodplain are listed as wetlands of national importance </w:t>
      </w:r>
      <w:r w:rsidR="00D20FAE">
        <w:fldChar w:fldCharType="begin"/>
      </w:r>
      <w:r w:rsidR="006171E9">
        <w:instrText xml:space="preserve"> ADDIN EN.CITE &lt;EndNote&gt;&lt;Cite&gt;&lt;Author&gt;Environment Australia&lt;/Author&gt;&lt;Year&gt;2001&lt;/Year&gt;&lt;RecNum&gt;1524&lt;/RecNum&gt;&lt;DisplayText&gt;(Environment Australia 2001)&lt;/DisplayText&gt;&lt;record&gt;&lt;rec-number&gt;1524&lt;/rec-number&gt;&lt;foreign-keys&gt;&lt;key app="EN" db-id="vxxvsda2b05fxpeaw2dp552mtrd5trxdrf0s"&gt;1524&lt;/key&gt;&lt;/foreign-keys&gt;&lt;ref-type name="Book"&gt;6&lt;/ref-type&gt;&lt;contributors&gt;&lt;authors&gt;&lt;author&gt;Environment Australia,&lt;/author&gt;&lt;/authors&gt;&lt;/contributors&gt;&lt;titles&gt;&lt;title&gt;A Directory of Important Wetlands in Australia&lt;/title&gt;&lt;/titles&gt;&lt;keywords&gt;&lt;keyword&gt;wetlands&lt;/keyword&gt;&lt;keyword&gt;Australia&lt;/keyword&gt;&lt;/keywords&gt;&lt;dates&gt;&lt;year&gt;2001&lt;/year&gt;&lt;/dates&gt;&lt;pub-location&gt;Canberra.&lt;/pub-location&gt;&lt;publisher&gt;Environment Australia&lt;/publisher&gt;&lt;urls&gt;&lt;/urls&gt;&lt;/record&gt;&lt;/Cite&gt;&lt;/EndNote&gt;</w:instrText>
      </w:r>
      <w:r w:rsidR="00D20FAE">
        <w:fldChar w:fldCharType="separate"/>
      </w:r>
      <w:r w:rsidR="006171E9">
        <w:rPr>
          <w:noProof/>
        </w:rPr>
        <w:t>(</w:t>
      </w:r>
      <w:hyperlink w:anchor="_ENREF_33" w:tooltip="Environment Australia, 2001 #1524" w:history="1">
        <w:r w:rsidR="006810E6">
          <w:rPr>
            <w:noProof/>
          </w:rPr>
          <w:t>Environment Australia 2001</w:t>
        </w:r>
      </w:hyperlink>
      <w:r w:rsidR="006171E9">
        <w:rPr>
          <w:noProof/>
        </w:rPr>
        <w:t>)</w:t>
      </w:r>
      <w:r w:rsidR="00D20FAE">
        <w:fldChar w:fldCharType="end"/>
      </w:r>
      <w:r w:rsidRPr="00E42583">
        <w:t xml:space="preserve"> and make up a large portion of the critically endangered “aquatic ecological community in the natural drainage system of the Murray River catchment” (NSW Fisheries Management Act, 1994). These wetlands provide critical nursery and breeding habitat for native fish, freshwater turtles, frogs and waterbirds, including those listed under the China–Australia Migratory Bird Agreement (CAMBA), Japan Australia Migratory Bird Agreement (JAMBA) and Republic of Korea Migratory Bird Agreement (ROKAMBA). In particular</w:t>
      </w:r>
      <w:r w:rsidR="00BD098E">
        <w:t>,</w:t>
      </w:r>
      <w:r w:rsidRPr="00E42583">
        <w:t xml:space="preserve"> the Lowbidgee floodplain provides critical rookery sites for colonial nesting waterbirds</w:t>
      </w:r>
      <w:r w:rsidR="00BD098E">
        <w:t>,</w:t>
      </w:r>
      <w:r w:rsidRPr="00E42583">
        <w:t xml:space="preserve"> with 37 waterbird species recorded breeding on the floodplain between 2008 and 2011 </w:t>
      </w:r>
      <w:r w:rsidR="00D20FAE">
        <w:fldChar w:fldCharType="begin"/>
      </w:r>
      <w:r w:rsidR="006171E9">
        <w:instrText xml:space="preserve"> ADDIN EN.CITE &lt;EndNote&gt;&lt;Cite&gt;&lt;Author&gt;Spencer&lt;/Author&gt;&lt;Year&gt;2010&lt;/Year&gt;&lt;RecNum&gt;3271&lt;/RecNum&gt;&lt;DisplayText&gt;(Spencer and Wassens 2010, Spencer, Wassens&lt;style face="italic"&gt; et al.&lt;/style&gt; 2011)&lt;/DisplayText&gt;&lt;record&gt;&lt;rec-number&gt;3271&lt;/rec-number&gt;&lt;foreign-keys&gt;&lt;key app="EN" db-id="vxxvsda2b05fxpeaw2dp552mtrd5trxdrf0s"&gt;3271&lt;/key&gt;&lt;/foreign-keys&gt;&lt;ref-type name="Book"&gt;6&lt;/ref-type&gt;&lt;contributors&gt;&lt;authors&gt;&lt;author&gt;Spencer, J.A. &lt;/author&gt;&lt;author&gt;Wassens, S.&lt;/author&gt;&lt;/authors&gt;&lt;/contributors&gt;&lt;titles&gt;&lt;title&gt;Monitoring the responses of waterbirds, fish and frogs to environmental flows in the Lowbidgee wetlands from 2008–10. Final report for the NSW Rivers Environmental Restoration Program. Rivers and Wetland Unit&lt;/title&gt;&lt;/titles&gt;&lt;dates&gt;&lt;year&gt;2010&lt;/year&gt;&lt;/dates&gt;&lt;pub-location&gt;Sydney and Wagga Wagga.&lt;/pub-location&gt;&lt;publisher&gt; NSW Department of Environment, Climate Change and Water  and Institute for Land, Water and Society, Charles Sturt University&lt;/publisher&gt;&lt;urls&gt;&lt;/urls&gt;&lt;/record&gt;&lt;/Cite&gt;&lt;Cite&gt;&lt;Author&gt;Spencer&lt;/Author&gt;&lt;Year&gt;2011&lt;/Year&gt;&lt;RecNum&gt;3331&lt;/RecNum&gt;&lt;record&gt;&lt;rec-number&gt;3331&lt;/rec-number&gt;&lt;foreign-keys&gt;&lt;key app="EN" db-id="vxxvsda2b05fxpeaw2dp552mtrd5trxdrf0s"&gt;3331&lt;/key&gt;&lt;/foreign-keys&gt;&lt;ref-type name="Book"&gt;6&lt;/ref-type&gt;&lt;contributors&gt;&lt;authors&gt;&lt;author&gt;Spencer, J.A.&lt;/author&gt;&lt;author&gt;Wassens, S.&lt;/author&gt;&lt;author&gt;Thomas, R.F.&lt;/author&gt;&lt;author&gt;Lu, Y.&lt;/author&gt;&lt;author&gt;Iles, J.&lt;/author&gt;&lt;author&gt;Hunter, S.&lt;/author&gt;&lt;author&gt;Kobayashi, Y. &lt;/author&gt;&lt;/authors&gt;&lt;/contributors&gt;&lt;titles&gt;&lt;title&gt;Summary report on results of flow monitoring in the Lowbidgee wetlands in 2010-11.&lt;/title&gt;&lt;/titles&gt;&lt;dates&gt;&lt;year&gt;2011&lt;/year&gt;&lt;/dates&gt;&lt;publisher&gt;NSW Office of Environment and Heritage, Sydney, and Charles Sturt University, Wagga &lt;/publisher&gt;&lt;urls&gt;&lt;/urls&gt;&lt;/record&gt;&lt;/Cite&gt;&lt;/EndNote&gt;</w:instrText>
      </w:r>
      <w:r w:rsidR="00D20FAE">
        <w:fldChar w:fldCharType="separate"/>
      </w:r>
      <w:r w:rsidR="006171E9">
        <w:rPr>
          <w:noProof/>
        </w:rPr>
        <w:t>(</w:t>
      </w:r>
      <w:hyperlink w:anchor="_ENREF_94" w:tooltip="Spencer, 2010 #3271" w:history="1">
        <w:r w:rsidR="006810E6">
          <w:rPr>
            <w:noProof/>
          </w:rPr>
          <w:t>Spencer and Wassens 2010</w:t>
        </w:r>
      </w:hyperlink>
      <w:r w:rsidR="006171E9">
        <w:rPr>
          <w:noProof/>
        </w:rPr>
        <w:t xml:space="preserve">, </w:t>
      </w:r>
      <w:hyperlink w:anchor="_ENREF_95" w:tooltip="Spencer, 2011 #3331" w:history="1">
        <w:r w:rsidR="006810E6">
          <w:rPr>
            <w:noProof/>
          </w:rPr>
          <w:t>Spencer, Wassens</w:t>
        </w:r>
        <w:r w:rsidR="006810E6" w:rsidRPr="006171E9">
          <w:rPr>
            <w:i/>
            <w:noProof/>
          </w:rPr>
          <w:t xml:space="preserve"> et al.</w:t>
        </w:r>
        <w:r w:rsidR="006810E6">
          <w:rPr>
            <w:noProof/>
          </w:rPr>
          <w:t xml:space="preserve"> 2011</w:t>
        </w:r>
      </w:hyperlink>
      <w:r w:rsidR="006171E9">
        <w:rPr>
          <w:noProof/>
        </w:rPr>
        <w:t>)</w:t>
      </w:r>
      <w:r w:rsidR="00D20FAE">
        <w:fldChar w:fldCharType="end"/>
      </w:r>
      <w:r w:rsidRPr="00505588">
        <w:t xml:space="preserve">. </w:t>
      </w:r>
    </w:p>
    <w:p w:rsidR="001A4C5D" w:rsidRPr="0084257E" w:rsidRDefault="00505588" w:rsidP="003723EA">
      <w:pPr>
        <w:pStyle w:val="BodyText1"/>
        <w:rPr>
          <w:rFonts w:cs="Calibri"/>
        </w:rPr>
      </w:pPr>
      <w:r w:rsidRPr="00505588">
        <w:rPr>
          <w:rFonts w:cs="Calibri"/>
          <w:i/>
          <w:iCs/>
          <w:sz w:val="18"/>
          <w:szCs w:val="18"/>
        </w:rPr>
        <w:t xml:space="preserve"> </w:t>
      </w:r>
      <w:r w:rsidRPr="00505588">
        <w:rPr>
          <w:rFonts w:cs="Calibri"/>
        </w:rPr>
        <w:t xml:space="preserve">In addition to its high conservation values, the Murrumbidgee River supplies major irrigation areas, including both Coleambally and Murrumbidgee Irrigation Areas, stock and domestic and urban water supply. Balancing environmental and consumptive uses to achieve long-term conservation and economic goals within the Murrumbidgee and connected wetlands is a key challenge for environmental water management. </w:t>
      </w:r>
    </w:p>
    <w:p w:rsidR="001A4C5D" w:rsidRPr="0084257E" w:rsidRDefault="00505588" w:rsidP="003723EA">
      <w:pPr>
        <w:pStyle w:val="BodyText1"/>
        <w:rPr>
          <w:rFonts w:cs="Calibri"/>
        </w:rPr>
      </w:pPr>
      <w:r w:rsidRPr="00505588">
        <w:rPr>
          <w:rFonts w:cs="Calibri"/>
        </w:rPr>
        <w:t xml:space="preserve">Flows in the Murrumbidgee River </w:t>
      </w:r>
      <w:r w:rsidR="00286341" w:rsidRPr="00505588">
        <w:rPr>
          <w:rFonts w:cs="Calibri"/>
        </w:rPr>
        <w:t>syste</w:t>
      </w:r>
      <w:r w:rsidR="00286341">
        <w:rPr>
          <w:rFonts w:cs="Calibri"/>
        </w:rPr>
        <w:t>m</w:t>
      </w:r>
      <w:r w:rsidR="00286341" w:rsidRPr="00505588">
        <w:rPr>
          <w:rFonts w:cs="Calibri"/>
        </w:rPr>
        <w:t xml:space="preserve"> </w:t>
      </w:r>
      <w:r w:rsidRPr="00505588">
        <w:rPr>
          <w:rFonts w:cs="Calibri"/>
        </w:rPr>
        <w:t xml:space="preserve">and connected wetlands are regulated by two major dams, the Blowering Dam on the Murrumbidgee’s major tributary, the Tumut River, and the Burrinjuck Dam on the Murrumbidgee River. </w:t>
      </w:r>
      <w:r w:rsidRPr="00505588">
        <w:t>The hydrology of the Murrumbidgee River has been heavily modified, causing significant reductions in the frequency of river flows capable of reconnecting the mid-Murrumbidgee wetlands (Frazier and Page 2006) and reductions and diversions of flows entering the Lowbidgee floodplain</w:t>
      </w:r>
      <w:r w:rsidRPr="00505588">
        <w:rPr>
          <w:rFonts w:cs="Calibri"/>
        </w:rPr>
        <w:t xml:space="preserve">. This has contributed to an overall reduction in the frequency of reconnection events in wetlands close to the main river channel and the loss of permanent wetland nursery habitats. During the decade following 2000, the Murrumbidgee River experienced the lowest inflows ever recorded. This extended period of low flow resulted in the majority of wetlands along the main channel being disconnected for between five and </w:t>
      </w:r>
      <w:r w:rsidR="00BD098E">
        <w:rPr>
          <w:rFonts w:cs="Calibri"/>
        </w:rPr>
        <w:t>ten</w:t>
      </w:r>
      <w:r w:rsidRPr="00505588">
        <w:rPr>
          <w:rFonts w:cs="Calibri"/>
        </w:rPr>
        <w:t xml:space="preserve"> years as well as critical spawning habitats</w:t>
      </w:r>
      <w:r w:rsidR="002F2083">
        <w:rPr>
          <w:rFonts w:cs="Calibri"/>
        </w:rPr>
        <w:t>,</w:t>
      </w:r>
      <w:r w:rsidRPr="00505588">
        <w:rPr>
          <w:rFonts w:cs="Calibri"/>
        </w:rPr>
        <w:t xml:space="preserve"> which are high in the main channel (for trout Cod and Murray cod)</w:t>
      </w:r>
      <w:r w:rsidR="002F2083">
        <w:rPr>
          <w:rFonts w:cs="Calibri"/>
        </w:rPr>
        <w:t>,</w:t>
      </w:r>
      <w:r w:rsidRPr="00505588">
        <w:rPr>
          <w:rFonts w:cs="Calibri"/>
        </w:rPr>
        <w:t xml:space="preserve"> remaining free of water.</w:t>
      </w:r>
    </w:p>
    <w:p w:rsidR="001A4C5D" w:rsidRPr="003723EA" w:rsidRDefault="00505588" w:rsidP="003723EA">
      <w:pPr>
        <w:pStyle w:val="BodyText1"/>
      </w:pPr>
      <w:r w:rsidRPr="003723EA">
        <w:t xml:space="preserve">The 2012-13 intervention monitoring project </w:t>
      </w:r>
      <w:r w:rsidR="002F2083">
        <w:t>was</w:t>
      </w:r>
      <w:r w:rsidRPr="003723EA">
        <w:t xml:space="preserve"> designed to describe the outcomes of environmental water releases in the Murrumbidgee catchment across four key regions (</w:t>
      </w:r>
      <w:fldSimple w:instr=" REF _Ref355345748 \h  \* MERGEFORMAT ">
        <w:r w:rsidR="00436595" w:rsidRPr="00436595">
          <w:t xml:space="preserve">Figure </w:t>
        </w:r>
        <w:r w:rsidR="00436595" w:rsidRPr="00436595">
          <w:rPr>
            <w:rStyle w:val="SubtitleChar"/>
            <w:rFonts w:eastAsia="Calibri"/>
            <w:lang w:eastAsia="zh-CN"/>
          </w:rPr>
          <w:t>1</w:t>
        </w:r>
      </w:fldSimple>
      <w:r w:rsidRPr="003723EA">
        <w:t>):</w:t>
      </w:r>
    </w:p>
    <w:p w:rsidR="001A4C5D" w:rsidRPr="003723EA" w:rsidRDefault="00505588" w:rsidP="003723EA">
      <w:pPr>
        <w:pStyle w:val="BodyText1"/>
        <w:numPr>
          <w:ilvl w:val="0"/>
          <w:numId w:val="40"/>
        </w:numPr>
      </w:pPr>
      <w:r w:rsidRPr="003723EA">
        <w:t>upper Murrumbidgee River below Burrinjuck dam,</w:t>
      </w:r>
    </w:p>
    <w:p w:rsidR="001A4C5D" w:rsidRPr="003723EA" w:rsidRDefault="00505588" w:rsidP="003723EA">
      <w:pPr>
        <w:pStyle w:val="BodyText1"/>
        <w:numPr>
          <w:ilvl w:val="0"/>
          <w:numId w:val="40"/>
        </w:numPr>
      </w:pPr>
      <w:r w:rsidRPr="003723EA">
        <w:t>in-channel monitoring in the Murrumbidgee River between Gundagai and Boundary Bend (confluence with the Murray River),</w:t>
      </w:r>
    </w:p>
    <w:p w:rsidR="001A4C5D" w:rsidRPr="003723EA" w:rsidRDefault="00505588" w:rsidP="003723EA">
      <w:pPr>
        <w:pStyle w:val="BodyText1"/>
        <w:numPr>
          <w:ilvl w:val="0"/>
          <w:numId w:val="40"/>
        </w:numPr>
      </w:pPr>
      <w:r w:rsidRPr="003723EA">
        <w:t>mid-Murrumbidgee wetlands between Narrandera and Carrathool, and</w:t>
      </w:r>
    </w:p>
    <w:p w:rsidR="001A4C5D" w:rsidRPr="003723EA" w:rsidRDefault="00505588" w:rsidP="003723EA">
      <w:pPr>
        <w:pStyle w:val="BodyText1"/>
        <w:numPr>
          <w:ilvl w:val="0"/>
          <w:numId w:val="40"/>
        </w:numPr>
      </w:pPr>
      <w:r w:rsidRPr="003723EA">
        <w:t xml:space="preserve">Lowbidgee wetlands and Western Lakes from Maude in the east to areas </w:t>
      </w:r>
      <w:proofErr w:type="gramStart"/>
      <w:r w:rsidRPr="003723EA">
        <w:t>north west</w:t>
      </w:r>
      <w:proofErr w:type="gramEnd"/>
      <w:r w:rsidRPr="003723EA">
        <w:t xml:space="preserve"> of Balranald (hereafter referred to as the Western Lakes)</w:t>
      </w:r>
      <w:r w:rsidR="00F51AAD">
        <w:t>.</w:t>
      </w:r>
    </w:p>
    <w:p w:rsidR="001A4C5D" w:rsidRPr="003723EA" w:rsidRDefault="00505588" w:rsidP="003723EA">
      <w:pPr>
        <w:pStyle w:val="BodyText1"/>
      </w:pPr>
      <w:r w:rsidRPr="003723EA">
        <w:t xml:space="preserve">This report provides </w:t>
      </w:r>
      <w:r w:rsidR="002C6D49" w:rsidRPr="003723EA">
        <w:t>a detailed analysis of the outcomes of t</w:t>
      </w:r>
      <w:r w:rsidRPr="003723EA">
        <w:t xml:space="preserve">he 2012-13 monitoring project, with specific details on the environmental objectives of the watering activities, methodologies used to measure these key responses before, during and after the environmental watering action and </w:t>
      </w:r>
      <w:r w:rsidR="002C6D49" w:rsidRPr="003723EA">
        <w:t>key ecological outcomes related to the Commonwealth environmental watering objectives for 2012-13 in the Murrumbidgee.</w:t>
      </w:r>
      <w:r w:rsidR="00FA102E" w:rsidRPr="003723EA">
        <w:t xml:space="preserve"> </w:t>
      </w:r>
    </w:p>
    <w:p w:rsidR="001A4C5D" w:rsidRPr="0084257E" w:rsidRDefault="001A4C5D" w:rsidP="001A4C5D">
      <w:pPr>
        <w:rPr>
          <w:b/>
        </w:rPr>
      </w:pPr>
    </w:p>
    <w:p w:rsidR="001A4C5D" w:rsidRPr="00152180" w:rsidRDefault="001A4C5D" w:rsidP="00C44F46">
      <w:pPr>
        <w:pStyle w:val="Heading2"/>
      </w:pPr>
      <w:bookmarkStart w:id="14" w:name="_Toc334533607"/>
      <w:bookmarkStart w:id="15" w:name="_Toc348629486"/>
      <w:bookmarkStart w:id="16" w:name="_Toc349811105"/>
      <w:bookmarkStart w:id="17" w:name="_Toc353887382"/>
      <w:bookmarkStart w:id="18" w:name="_Toc370299167"/>
      <w:bookmarkStart w:id="19" w:name="_Toc370738696"/>
      <w:bookmarkStart w:id="20" w:name="_Toc378168503"/>
      <w:r w:rsidRPr="00152180">
        <w:t>Commonwealth water use options and flow dependent ecological objectives 2012</w:t>
      </w:r>
      <w:bookmarkEnd w:id="14"/>
      <w:r w:rsidRPr="00152180">
        <w:t>-2013</w:t>
      </w:r>
      <w:bookmarkEnd w:id="15"/>
      <w:bookmarkEnd w:id="16"/>
      <w:bookmarkEnd w:id="17"/>
      <w:bookmarkEnd w:id="18"/>
      <w:bookmarkEnd w:id="19"/>
      <w:bookmarkEnd w:id="20"/>
    </w:p>
    <w:p w:rsidR="001A4C5D" w:rsidRDefault="001A4C5D" w:rsidP="003723EA">
      <w:pPr>
        <w:pStyle w:val="BodyText1"/>
      </w:pPr>
      <w:r w:rsidRPr="005965D1">
        <w:t xml:space="preserve">Two key </w:t>
      </w:r>
      <w:r w:rsidR="00286341" w:rsidRPr="005965D1">
        <w:t>wate</w:t>
      </w:r>
      <w:r w:rsidR="00286341">
        <w:t>ring</w:t>
      </w:r>
      <w:r w:rsidR="00286341" w:rsidRPr="005965D1">
        <w:t xml:space="preserve"> </w:t>
      </w:r>
      <w:r w:rsidRPr="005965D1">
        <w:t>actions were undertaken in the Mu</w:t>
      </w:r>
      <w:r w:rsidR="00C73195">
        <w:t>rrumbidgee catchment in 2012-13. T</w:t>
      </w:r>
      <w:r w:rsidRPr="005965D1">
        <w:t>he first action</w:t>
      </w:r>
      <w:r w:rsidR="00C73195">
        <w:t xml:space="preserve"> was</w:t>
      </w:r>
      <w:r w:rsidRPr="005965D1">
        <w:t xml:space="preserve"> a</w:t>
      </w:r>
      <w:r>
        <w:t>n in-stream spring environmental flow</w:t>
      </w:r>
      <w:r w:rsidRPr="005965D1">
        <w:t xml:space="preserve"> (Option 1</w:t>
      </w:r>
      <w:r>
        <w:t>: Murrumbidgee River Channel Fish Pulse</w:t>
      </w:r>
      <w:r w:rsidRPr="005965D1">
        <w:t>)</w:t>
      </w:r>
      <w:r w:rsidR="00C73195">
        <w:t xml:space="preserve"> that</w:t>
      </w:r>
      <w:r w:rsidRPr="005965D1">
        <w:t xml:space="preserve"> targeted native large bod</w:t>
      </w:r>
      <w:r>
        <w:t>ied fish, in particular Murray c</w:t>
      </w:r>
      <w:r w:rsidRPr="005965D1">
        <w:t xml:space="preserve">od within the main river channel. The key focus of this watering action was to promote spawning and maintain nest sites used by large bodied native fish and to provide conditions that would optimise the growth and survival of larval and juvenile fish </w:t>
      </w:r>
      <w:r w:rsidR="00EC5B2B">
        <w:t>(Table 1)</w:t>
      </w:r>
      <w:r w:rsidRPr="005965D1">
        <w:t xml:space="preserve">. The second watering action (Option 5) targeted the </w:t>
      </w:r>
      <w:r>
        <w:t>Western Lakes</w:t>
      </w:r>
      <w:r w:rsidRPr="005965D1">
        <w:t xml:space="preserve"> and was focused on reinstating flows that would normally have entered the lakes during naturally occurring flood events but were prevented from doing so by the Paika levee</w:t>
      </w:r>
      <w:r w:rsidR="00C73195">
        <w:t>,</w:t>
      </w:r>
      <w:r w:rsidRPr="005965D1">
        <w:t xml:space="preserve"> which was constructed early last century. The key goals of this watering action were to improve tree condition in the </w:t>
      </w:r>
      <w:r>
        <w:t>Western Lakes</w:t>
      </w:r>
      <w:r w:rsidRPr="005965D1">
        <w:t xml:space="preserve"> and provide foraging habitats for wetland dependent fauna, particularly waterbirds</w:t>
      </w:r>
      <w:r w:rsidR="00EC5B2B">
        <w:t xml:space="preserve"> (Table 1</w:t>
      </w:r>
      <w:r>
        <w:t>)</w:t>
      </w:r>
      <w:r w:rsidR="00FA102E">
        <w:t>.</w:t>
      </w:r>
      <w:r w:rsidRPr="005965D1">
        <w:t xml:space="preserve"> In addition to the Western </w:t>
      </w:r>
      <w:r>
        <w:t>L</w:t>
      </w:r>
      <w:r w:rsidRPr="005965D1">
        <w:t xml:space="preserve">akes, this watering action also targeted </w:t>
      </w:r>
      <w:r>
        <w:t>river red gum wetlands in the North Red</w:t>
      </w:r>
      <w:r w:rsidRPr="005965D1">
        <w:t>bank system with the goal of promoting aquatic vegetation growth and recruitment and providing breeding habitat for wetland dependant fauna (including frogs, fish and waterbirds).</w:t>
      </w:r>
    </w:p>
    <w:p w:rsidR="00314317" w:rsidRDefault="00314317">
      <w:pPr>
        <w:spacing w:after="0" w:line="240" w:lineRule="auto"/>
        <w:jc w:val="left"/>
        <w:rPr>
          <w:rFonts w:eastAsia="Times New Roman"/>
          <w:b/>
          <w:sz w:val="20"/>
          <w:szCs w:val="24"/>
        </w:rPr>
      </w:pPr>
      <w:bookmarkStart w:id="21" w:name="_Ref368663582"/>
      <w:r>
        <w:rPr>
          <w:rFonts w:eastAsia="Times New Roman"/>
          <w:b/>
          <w:sz w:val="20"/>
          <w:szCs w:val="24"/>
        </w:rPr>
        <w:br w:type="page"/>
      </w:r>
    </w:p>
    <w:p w:rsidR="00595325" w:rsidRDefault="00595325">
      <w:pPr>
        <w:spacing w:after="0" w:line="240" w:lineRule="auto"/>
        <w:jc w:val="left"/>
        <w:rPr>
          <w:rFonts w:eastAsia="Times New Roman"/>
          <w:b/>
          <w:sz w:val="20"/>
          <w:szCs w:val="24"/>
        </w:rPr>
      </w:pPr>
    </w:p>
    <w:p w:rsidR="00595325" w:rsidRDefault="00595325" w:rsidP="00595325">
      <w:pPr>
        <w:pStyle w:val="Caption1"/>
        <w:rPr>
          <w:rFonts w:eastAsia="Calibri"/>
        </w:rPr>
      </w:pPr>
      <w:bookmarkStart w:id="22" w:name="_Ref370287085"/>
      <w:bookmarkStart w:id="23" w:name="_Toc370738697"/>
      <w:r w:rsidRPr="00EE3055">
        <w:rPr>
          <w:b/>
        </w:rPr>
        <w:t xml:space="preserve">Table </w:t>
      </w:r>
      <w:r w:rsidR="00D20FAE" w:rsidRPr="00EE3055">
        <w:rPr>
          <w:b/>
        </w:rPr>
        <w:fldChar w:fldCharType="begin"/>
      </w:r>
      <w:r w:rsidRPr="00EE3055">
        <w:rPr>
          <w:b/>
        </w:rPr>
        <w:instrText xml:space="preserve"> SEQ Table \* ARABIC </w:instrText>
      </w:r>
      <w:r w:rsidR="00D20FAE" w:rsidRPr="00EE3055">
        <w:rPr>
          <w:b/>
        </w:rPr>
        <w:fldChar w:fldCharType="separate"/>
      </w:r>
      <w:r w:rsidR="00436595">
        <w:rPr>
          <w:b/>
          <w:noProof/>
        </w:rPr>
        <w:t>1</w:t>
      </w:r>
      <w:r w:rsidR="00D20FAE" w:rsidRPr="00EE3055">
        <w:rPr>
          <w:b/>
        </w:rPr>
        <w:fldChar w:fldCharType="end"/>
      </w:r>
      <w:bookmarkEnd w:id="21"/>
      <w:bookmarkEnd w:id="22"/>
      <w:r>
        <w:t xml:space="preserve"> </w:t>
      </w:r>
      <w:r w:rsidRPr="00EE3055">
        <w:rPr>
          <w:rFonts w:eastAsia="Calibri"/>
        </w:rPr>
        <w:t xml:space="preserve"> Commonwealth environmental watering objectives in the Murrumbidgee River and </w:t>
      </w:r>
      <w:r>
        <w:rPr>
          <w:rFonts w:eastAsia="Calibri"/>
        </w:rPr>
        <w:t>wetlands</w:t>
      </w:r>
      <w:bookmarkEnd w:id="23"/>
      <w:r>
        <w:rPr>
          <w:rFonts w:eastAsia="Calibri"/>
        </w:rPr>
        <w:t xml:space="preserve"> </w:t>
      </w:r>
    </w:p>
    <w:p w:rsidR="007800B6" w:rsidRPr="007800B6" w:rsidRDefault="007800B6" w:rsidP="007800B6"/>
    <w:tbl>
      <w:tblPr>
        <w:tblStyle w:val="TableGrid"/>
        <w:tblW w:w="9322" w:type="dxa"/>
        <w:tblLook w:val="04A0"/>
      </w:tblPr>
      <w:tblGrid>
        <w:gridCol w:w="4644"/>
        <w:gridCol w:w="4678"/>
      </w:tblGrid>
      <w:tr w:rsidR="008F016F" w:rsidTr="00B80BE4">
        <w:trPr>
          <w:cnfStyle w:val="100000000000"/>
        </w:trPr>
        <w:tc>
          <w:tcPr>
            <w:tcW w:w="4644" w:type="dxa"/>
          </w:tcPr>
          <w:p w:rsidR="008149ED" w:rsidRDefault="008F016F" w:rsidP="008D2EE4">
            <w:pPr>
              <w:rPr>
                <w:b/>
              </w:rPr>
            </w:pPr>
            <w:r>
              <w:rPr>
                <w:b/>
              </w:rPr>
              <w:t>Murrumbidgee River watering action</w:t>
            </w:r>
            <w:r w:rsidR="008149ED">
              <w:rPr>
                <w:b/>
              </w:rPr>
              <w:t xml:space="preserve"> </w:t>
            </w:r>
          </w:p>
          <w:p w:rsidR="008F016F" w:rsidRDefault="008149ED" w:rsidP="008D2EE4">
            <w:pPr>
              <w:rPr>
                <w:b/>
              </w:rPr>
            </w:pPr>
            <w:r>
              <w:rPr>
                <w:b/>
              </w:rPr>
              <w:t>(option 1)</w:t>
            </w:r>
          </w:p>
        </w:tc>
        <w:tc>
          <w:tcPr>
            <w:tcW w:w="4678" w:type="dxa"/>
          </w:tcPr>
          <w:p w:rsidR="008149ED" w:rsidRDefault="008F016F" w:rsidP="008D2EE4">
            <w:pPr>
              <w:rPr>
                <w:b/>
              </w:rPr>
            </w:pPr>
            <w:r>
              <w:rPr>
                <w:b/>
              </w:rPr>
              <w:t>Wetland watering action</w:t>
            </w:r>
          </w:p>
          <w:p w:rsidR="008F016F" w:rsidRDefault="008149ED" w:rsidP="008D2EE4">
            <w:pPr>
              <w:rPr>
                <w:b/>
              </w:rPr>
            </w:pPr>
            <w:r>
              <w:rPr>
                <w:b/>
              </w:rPr>
              <w:t xml:space="preserve"> (option 5)</w:t>
            </w:r>
          </w:p>
        </w:tc>
      </w:tr>
      <w:tr w:rsidR="008F016F" w:rsidTr="00B80BE4">
        <w:tc>
          <w:tcPr>
            <w:tcW w:w="4644" w:type="dxa"/>
          </w:tcPr>
          <w:p w:rsidR="008F016F" w:rsidRPr="00EE3055" w:rsidRDefault="008F016F" w:rsidP="007800B6">
            <w:pPr>
              <w:pStyle w:val="Tabletext"/>
              <w:numPr>
                <w:ilvl w:val="0"/>
                <w:numId w:val="14"/>
              </w:numPr>
              <w:spacing w:after="240" w:line="276" w:lineRule="auto"/>
            </w:pPr>
            <w:r w:rsidRPr="00EE3055">
              <w:t>Support breeding and recruitment of native fish.</w:t>
            </w:r>
          </w:p>
          <w:p w:rsidR="008F016F" w:rsidRPr="00EE3055" w:rsidRDefault="008F016F" w:rsidP="007800B6">
            <w:pPr>
              <w:pStyle w:val="Tabletext"/>
              <w:numPr>
                <w:ilvl w:val="0"/>
                <w:numId w:val="14"/>
              </w:numPr>
              <w:spacing w:after="240" w:line="276" w:lineRule="auto"/>
            </w:pPr>
            <w:r w:rsidRPr="00EE3055">
              <w:t>Support habitat requirements of native fish (i.e. maximise opportunities for Murray cod and trout cod to locate nest sites and maintain inundation of nest sites long enough to complete spawning cycle)</w:t>
            </w:r>
          </w:p>
          <w:p w:rsidR="008F016F" w:rsidRPr="00EE3055" w:rsidRDefault="008F016F" w:rsidP="007800B6">
            <w:pPr>
              <w:pStyle w:val="Tabletext"/>
              <w:numPr>
                <w:ilvl w:val="0"/>
                <w:numId w:val="14"/>
              </w:numPr>
              <w:spacing w:after="240" w:line="276" w:lineRule="auto"/>
            </w:pPr>
            <w:r w:rsidRPr="00EE3055">
              <w:t>Support ecosystem functions that relate to mobilisation, transport and dispersal of biotic and abiotic material (e.g. sediment, nutrients and organic matter).</w:t>
            </w:r>
          </w:p>
          <w:p w:rsidR="008F016F" w:rsidRPr="00EE3055" w:rsidRDefault="008F016F" w:rsidP="007800B6">
            <w:pPr>
              <w:pStyle w:val="Tabletext"/>
              <w:numPr>
                <w:ilvl w:val="0"/>
                <w:numId w:val="14"/>
              </w:numPr>
              <w:spacing w:after="240" w:line="276" w:lineRule="auto"/>
            </w:pPr>
            <w:r w:rsidRPr="00EE3055">
              <w:t>Support ecosystem functions that relate to longitudinal connectivity (i.e. connectivity along a watercourse) and lateral connectivity (i.e. connectivity between the river channel, wetlands and floodplain) to maintain populations.</w:t>
            </w:r>
          </w:p>
          <w:p w:rsidR="008F016F" w:rsidRPr="00C73195" w:rsidRDefault="008F016F" w:rsidP="007800B6">
            <w:pPr>
              <w:pStyle w:val="Tabletext"/>
              <w:numPr>
                <w:ilvl w:val="0"/>
                <w:numId w:val="14"/>
              </w:numPr>
              <w:spacing w:after="240" w:line="276" w:lineRule="auto"/>
            </w:pPr>
            <w:r w:rsidRPr="00EE3055">
              <w:t>Support ecosystem functions that relate to creation and maintenance of bed, bank and riparian habitat.</w:t>
            </w:r>
          </w:p>
        </w:tc>
        <w:tc>
          <w:tcPr>
            <w:tcW w:w="4678" w:type="dxa"/>
          </w:tcPr>
          <w:p w:rsidR="008F016F" w:rsidRPr="00EE3055" w:rsidRDefault="008F016F" w:rsidP="007800B6">
            <w:pPr>
              <w:pStyle w:val="Tabletext"/>
              <w:numPr>
                <w:ilvl w:val="0"/>
                <w:numId w:val="14"/>
              </w:numPr>
              <w:spacing w:after="240" w:line="276" w:lineRule="auto"/>
            </w:pPr>
            <w:r w:rsidRPr="00EE3055">
              <w:t>Support breeding and recruitment of native fish.</w:t>
            </w:r>
          </w:p>
          <w:p w:rsidR="008F016F" w:rsidRPr="00EE3055" w:rsidRDefault="008F016F" w:rsidP="007800B6">
            <w:pPr>
              <w:pStyle w:val="Tabletext"/>
              <w:numPr>
                <w:ilvl w:val="0"/>
                <w:numId w:val="14"/>
              </w:numPr>
              <w:spacing w:after="240" w:line="276" w:lineRule="auto"/>
            </w:pPr>
            <w:r w:rsidRPr="00EE3055">
              <w:t>Maintain health of existing extent of riparian, floodplain and wetland native vegetation communities.</w:t>
            </w:r>
          </w:p>
          <w:p w:rsidR="008F016F" w:rsidRPr="00EE3055" w:rsidRDefault="008F016F" w:rsidP="007800B6">
            <w:pPr>
              <w:pStyle w:val="Tabletext"/>
              <w:numPr>
                <w:ilvl w:val="0"/>
                <w:numId w:val="14"/>
              </w:numPr>
              <w:spacing w:after="240" w:line="276" w:lineRule="auto"/>
            </w:pPr>
            <w:r w:rsidRPr="00EE3055">
              <w:t>Provide reproduction and recruitment opportunities for riparian, floodplain and wetland native vegetation communities.</w:t>
            </w:r>
          </w:p>
          <w:p w:rsidR="008F016F" w:rsidRPr="00EE3055" w:rsidRDefault="008F016F" w:rsidP="007800B6">
            <w:pPr>
              <w:pStyle w:val="Tabletext"/>
              <w:numPr>
                <w:ilvl w:val="0"/>
                <w:numId w:val="14"/>
              </w:numPr>
              <w:spacing w:after="240" w:line="276" w:lineRule="auto"/>
            </w:pPr>
            <w:r w:rsidRPr="00EE3055">
              <w:t>Support the habitat requirements of waterbirds.</w:t>
            </w:r>
          </w:p>
          <w:p w:rsidR="008F016F" w:rsidRPr="00EE3055" w:rsidRDefault="008F016F" w:rsidP="007800B6">
            <w:pPr>
              <w:pStyle w:val="Tabletext"/>
              <w:numPr>
                <w:ilvl w:val="0"/>
                <w:numId w:val="14"/>
              </w:numPr>
              <w:spacing w:after="240" w:line="276" w:lineRule="auto"/>
            </w:pPr>
            <w:r w:rsidRPr="00EE3055">
              <w:t>Support breeding of colonial nesting waterbirds.</w:t>
            </w:r>
          </w:p>
          <w:p w:rsidR="008F016F" w:rsidRPr="00EE3055" w:rsidRDefault="008F016F" w:rsidP="007800B6">
            <w:pPr>
              <w:pStyle w:val="Tabletext"/>
              <w:numPr>
                <w:ilvl w:val="0"/>
                <w:numId w:val="14"/>
              </w:numPr>
              <w:spacing w:after="240" w:line="276" w:lineRule="auto"/>
            </w:pPr>
            <w:r w:rsidRPr="00EE3055">
              <w:t xml:space="preserve">Support breeding and recruitment of other native aquatic species, including frogs, turtles, </w:t>
            </w:r>
            <w:proofErr w:type="gramStart"/>
            <w:r w:rsidRPr="00EE3055">
              <w:t>invertebrates</w:t>
            </w:r>
            <w:proofErr w:type="gramEnd"/>
            <w:r w:rsidRPr="00EE3055">
              <w:t>.</w:t>
            </w:r>
          </w:p>
          <w:p w:rsidR="008F016F" w:rsidRPr="00EE3055" w:rsidRDefault="008F016F" w:rsidP="000933A0">
            <w:pPr>
              <w:pStyle w:val="Tabletext"/>
              <w:numPr>
                <w:ilvl w:val="0"/>
                <w:numId w:val="14"/>
              </w:numPr>
              <w:spacing w:after="240" w:line="276" w:lineRule="auto"/>
              <w:rPr>
                <w:b/>
              </w:rPr>
            </w:pPr>
            <w:r w:rsidRPr="00EE3055">
              <w:t xml:space="preserve">Support habitat requirements of other native aquatic species, including frogs, turtles, </w:t>
            </w:r>
            <w:proofErr w:type="gramStart"/>
            <w:r w:rsidRPr="00EE3055">
              <w:t>invertebrates</w:t>
            </w:r>
            <w:proofErr w:type="gramEnd"/>
            <w:r w:rsidRPr="00EE3055">
              <w:t>.</w:t>
            </w:r>
          </w:p>
        </w:tc>
      </w:tr>
    </w:tbl>
    <w:p w:rsidR="00C15548" w:rsidRDefault="00C15548" w:rsidP="001A4C5D"/>
    <w:p w:rsidR="00A50993" w:rsidRDefault="00C15548" w:rsidP="00152180">
      <w:pPr>
        <w:spacing w:after="0" w:line="240" w:lineRule="auto"/>
        <w:jc w:val="left"/>
      </w:pPr>
      <w:r>
        <w:br w:type="page"/>
      </w:r>
    </w:p>
    <w:p w:rsidR="0031732B" w:rsidRDefault="00314317" w:rsidP="00C44F46">
      <w:pPr>
        <w:pStyle w:val="Heading2"/>
      </w:pPr>
      <w:r>
        <w:t xml:space="preserve"> </w:t>
      </w:r>
      <w:bookmarkStart w:id="24" w:name="_Toc370299168"/>
      <w:bookmarkStart w:id="25" w:name="_Toc370738698"/>
      <w:bookmarkStart w:id="26" w:name="_Toc378168504"/>
      <w:r w:rsidR="00CD5B1E">
        <w:t>Monitoring locations</w:t>
      </w:r>
      <w:bookmarkEnd w:id="24"/>
      <w:bookmarkEnd w:id="25"/>
      <w:bookmarkEnd w:id="26"/>
    </w:p>
    <w:p w:rsidR="0032121F" w:rsidRDefault="0032121F" w:rsidP="003D09D1">
      <w:pPr>
        <w:pStyle w:val="BodyText1"/>
      </w:pPr>
      <w:r>
        <w:t xml:space="preserve">Monitoring activities have been established across the Murrumbidgee River system and connected wetlands. Monitoring activities focus on </w:t>
      </w:r>
      <w:r w:rsidR="00C73195">
        <w:t>five</w:t>
      </w:r>
      <w:r>
        <w:t xml:space="preserve"> key </w:t>
      </w:r>
      <w:r w:rsidR="00C73195">
        <w:t xml:space="preserve">components of the system </w:t>
      </w:r>
      <w:r w:rsidRPr="00591E32">
        <w:t>(</w:t>
      </w:r>
      <w:r>
        <w:t xml:space="preserve">see </w:t>
      </w:r>
      <w:fldSimple w:instr=" REF _Ref355345748 \h  \* MERGEFORMAT ">
        <w:r w:rsidR="00436595" w:rsidRPr="00436595">
          <w:t xml:space="preserve">Figure </w:t>
        </w:r>
        <w:r w:rsidR="00436595" w:rsidRPr="00436595">
          <w:rPr>
            <w:rStyle w:val="SubtitleChar"/>
            <w:rFonts w:eastAsia="Calibri"/>
            <w:noProof/>
          </w:rPr>
          <w:t>1</w:t>
        </w:r>
      </w:fldSimple>
      <w:r w:rsidRPr="00591E32">
        <w:t>)</w:t>
      </w:r>
      <w:r w:rsidR="003D09D1">
        <w:t xml:space="preserve"> and described below. </w:t>
      </w:r>
    </w:p>
    <w:p w:rsidR="00CD5B1E" w:rsidRDefault="00CD5B1E" w:rsidP="00C44F46">
      <w:pPr>
        <w:pStyle w:val="Heading3"/>
      </w:pPr>
      <w:bookmarkStart w:id="27" w:name="_Toc370299169"/>
      <w:bookmarkStart w:id="28" w:name="_Toc370738699"/>
      <w:bookmarkStart w:id="29" w:name="_Toc378168505"/>
      <w:r>
        <w:t>Murrumbidgee River</w:t>
      </w:r>
      <w:bookmarkEnd w:id="27"/>
      <w:bookmarkEnd w:id="28"/>
      <w:bookmarkEnd w:id="29"/>
    </w:p>
    <w:p w:rsidR="0032121F" w:rsidRDefault="0032121F" w:rsidP="0032121F">
      <w:r>
        <w:t>M</w:t>
      </w:r>
      <w:r w:rsidRPr="00530192">
        <w:t>onitoring in the Murrumbidgee River main channel was focused on the river reach between Gundagai and Boundary Bend (where the Murrumbidgee River meets the Murray River). Fifteen main channel sites were selected along the Murrumbidgee main channel for fish community sampling before and after the environmental flow</w:t>
      </w:r>
      <w:r>
        <w:t xml:space="preserve"> (</w:t>
      </w:r>
      <w:fldSimple w:instr=" REF _Ref349827277 \h  \* MERGEFORMAT ">
        <w:r w:rsidR="00436595" w:rsidRPr="005C278A">
          <w:t xml:space="preserve">Plate </w:t>
        </w:r>
        <w:r w:rsidR="00436595">
          <w:rPr>
            <w:noProof/>
          </w:rPr>
          <w:t>1</w:t>
        </w:r>
      </w:fldSimple>
      <w:r w:rsidRPr="003D09D1">
        <w:t>) (</w:t>
      </w:r>
      <w:fldSimple w:instr=" REF _Ref355337782 \h  \* MERGEFORMAT ">
        <w:r w:rsidR="00436595" w:rsidRPr="00436595">
          <w:t xml:space="preserve">Figure </w:t>
        </w:r>
        <w:r w:rsidR="00436595" w:rsidRPr="00436595">
          <w:rPr>
            <w:noProof/>
          </w:rPr>
          <w:t>2</w:t>
        </w:r>
      </w:fldSimple>
      <w:r w:rsidRPr="003D09D1">
        <w:t>).</w:t>
      </w:r>
      <w:r>
        <w:t xml:space="preserve"> </w:t>
      </w:r>
      <w:r w:rsidRPr="005C278A">
        <w:t xml:space="preserve"> An additional two sites on Old Man Creek were used as comparison sites.</w:t>
      </w:r>
      <w:r>
        <w:t xml:space="preserve"> </w:t>
      </w:r>
      <w:r>
        <w:rPr>
          <w:lang w:val="en-GB"/>
        </w:rPr>
        <w:t>Comparison sites on Old Man Creek were selected to be used as long term reference</w:t>
      </w:r>
      <w:r w:rsidR="00353CFB">
        <w:rPr>
          <w:lang w:val="en-GB"/>
        </w:rPr>
        <w:t>s</w:t>
      </w:r>
      <w:r>
        <w:rPr>
          <w:lang w:val="en-GB"/>
        </w:rPr>
        <w:t xml:space="preserve"> to compare fish community responses to environmental water delivery. For examp</w:t>
      </w:r>
      <w:r w:rsidR="00353CFB">
        <w:rPr>
          <w:lang w:val="en-GB"/>
        </w:rPr>
        <w:t>le, in years of high flows (such as the</w:t>
      </w:r>
      <w:r>
        <w:rPr>
          <w:lang w:val="en-GB"/>
        </w:rPr>
        <w:t xml:space="preserve"> 2012 spring flows)</w:t>
      </w:r>
      <w:r w:rsidR="00353CFB">
        <w:rPr>
          <w:lang w:val="en-GB"/>
        </w:rPr>
        <w:t>,</w:t>
      </w:r>
      <w:r>
        <w:rPr>
          <w:lang w:val="en-GB"/>
        </w:rPr>
        <w:t xml:space="preserve"> it </w:t>
      </w:r>
      <w:r w:rsidR="00C73195">
        <w:rPr>
          <w:lang w:val="en-GB"/>
        </w:rPr>
        <w:t>can</w:t>
      </w:r>
      <w:r>
        <w:rPr>
          <w:lang w:val="en-GB"/>
        </w:rPr>
        <w:t xml:space="preserve"> be expected that there would be little difference in the fish community as the magnitude of delivered flows affects Old Man Creek </w:t>
      </w:r>
      <w:r w:rsidR="00353CFB">
        <w:rPr>
          <w:lang w:val="en-GB"/>
        </w:rPr>
        <w:t xml:space="preserve">and </w:t>
      </w:r>
      <w:r>
        <w:rPr>
          <w:lang w:val="en-GB"/>
        </w:rPr>
        <w:t>the main channel</w:t>
      </w:r>
      <w:r w:rsidR="00353CFB">
        <w:rPr>
          <w:lang w:val="en-GB"/>
        </w:rPr>
        <w:t xml:space="preserve"> similarly</w:t>
      </w:r>
      <w:r>
        <w:rPr>
          <w:lang w:val="en-GB"/>
        </w:rPr>
        <w:t xml:space="preserve">. However, in years of medium, low and no-flows, as well as after the construction of the Old Man Creek weir, the environmental conditions in </w:t>
      </w:r>
      <w:r w:rsidR="00353CFB">
        <w:rPr>
          <w:lang w:val="en-GB"/>
        </w:rPr>
        <w:t xml:space="preserve">Old Man Creek </w:t>
      </w:r>
      <w:r>
        <w:rPr>
          <w:lang w:val="en-GB"/>
        </w:rPr>
        <w:t xml:space="preserve">may be significantly different to those of the main channel. These comparison sites therefore provide information on </w:t>
      </w:r>
      <w:r w:rsidR="00353CFB">
        <w:rPr>
          <w:lang w:val="en-GB"/>
        </w:rPr>
        <w:t xml:space="preserve">the </w:t>
      </w:r>
      <w:r>
        <w:rPr>
          <w:lang w:val="en-GB"/>
        </w:rPr>
        <w:t>response of fish communities to different flow scenarios.</w:t>
      </w:r>
      <w:r w:rsidRPr="005C278A">
        <w:t xml:space="preserve"> </w:t>
      </w:r>
      <w:r w:rsidRPr="00530192">
        <w:t>Three main channel sites were sampled weekly,</w:t>
      </w:r>
      <w:r>
        <w:t xml:space="preserve"> before, during and after the watering event,</w:t>
      </w:r>
      <w:r w:rsidRPr="00530192">
        <w:t xml:space="preserve"> for fish larvae and </w:t>
      </w:r>
      <w:r>
        <w:t xml:space="preserve">drifting </w:t>
      </w:r>
      <w:r w:rsidRPr="00530192">
        <w:t xml:space="preserve">eggs as well as water quality, chlorophyll a and </w:t>
      </w:r>
      <w:r w:rsidR="00067136">
        <w:t>microinvertebrates</w:t>
      </w:r>
      <w:r w:rsidRPr="00530192">
        <w:t>.</w:t>
      </w:r>
    </w:p>
    <w:p w:rsidR="0032121F" w:rsidRPr="007E7CE7" w:rsidRDefault="0032121F" w:rsidP="00CD5B1E">
      <w:pPr>
        <w:rPr>
          <w:color w:val="FF0000"/>
        </w:rPr>
      </w:pPr>
      <w:r>
        <w:t xml:space="preserve"> </w:t>
      </w:r>
    </w:p>
    <w:tbl>
      <w:tblPr>
        <w:tblW w:w="9747" w:type="dxa"/>
        <w:tblLayout w:type="fixed"/>
        <w:tblLook w:val="01E0"/>
      </w:tblPr>
      <w:tblGrid>
        <w:gridCol w:w="4928"/>
        <w:gridCol w:w="4819"/>
      </w:tblGrid>
      <w:tr w:rsidR="0032121F" w:rsidRPr="00C3634A" w:rsidTr="00105CD5">
        <w:tc>
          <w:tcPr>
            <w:tcW w:w="4928" w:type="dxa"/>
          </w:tcPr>
          <w:p w:rsidR="0032121F" w:rsidRPr="00C3634A" w:rsidRDefault="0087202F" w:rsidP="00105CD5">
            <w:pPr>
              <w:spacing w:after="0" w:line="240" w:lineRule="auto"/>
              <w:rPr>
                <w:b/>
                <w:color w:val="FF0000"/>
              </w:rPr>
            </w:pPr>
            <w:r>
              <w:rPr>
                <w:b/>
                <w:noProof/>
                <w:color w:val="FF0000"/>
                <w:lang w:eastAsia="en-AU"/>
              </w:rPr>
              <w:drawing>
                <wp:inline distT="0" distB="0" distL="0" distR="0">
                  <wp:extent cx="2875280" cy="2153920"/>
                  <wp:effectExtent l="19050" t="0" r="1270" b="0"/>
                  <wp:docPr id="6" name="Picture 6" descr="P921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9210027"/>
                          <pic:cNvPicPr>
                            <a:picLocks noChangeAspect="1" noChangeArrowheads="1"/>
                          </pic:cNvPicPr>
                        </pic:nvPicPr>
                        <pic:blipFill>
                          <a:blip r:embed="rId27" cstate="print"/>
                          <a:srcRect/>
                          <a:stretch>
                            <a:fillRect/>
                          </a:stretch>
                        </pic:blipFill>
                        <pic:spPr bwMode="auto">
                          <a:xfrm>
                            <a:off x="0" y="0"/>
                            <a:ext cx="2875280" cy="2153920"/>
                          </a:xfrm>
                          <a:prstGeom prst="rect">
                            <a:avLst/>
                          </a:prstGeom>
                          <a:noFill/>
                          <a:ln w="9525">
                            <a:noFill/>
                            <a:miter lim="800000"/>
                            <a:headEnd/>
                            <a:tailEnd/>
                          </a:ln>
                        </pic:spPr>
                      </pic:pic>
                    </a:graphicData>
                  </a:graphic>
                </wp:inline>
              </w:drawing>
            </w:r>
          </w:p>
        </w:tc>
        <w:tc>
          <w:tcPr>
            <w:tcW w:w="4819" w:type="dxa"/>
          </w:tcPr>
          <w:p w:rsidR="0032121F" w:rsidRPr="00C3634A" w:rsidRDefault="0087202F" w:rsidP="00105CD5">
            <w:pPr>
              <w:spacing w:after="0" w:line="240" w:lineRule="auto"/>
              <w:rPr>
                <w:b/>
                <w:color w:val="FF0000"/>
              </w:rPr>
            </w:pPr>
            <w:r>
              <w:rPr>
                <w:b/>
                <w:noProof/>
                <w:color w:val="FF0000"/>
                <w:lang w:eastAsia="en-AU"/>
              </w:rPr>
              <w:drawing>
                <wp:inline distT="0" distB="0" distL="0" distR="0">
                  <wp:extent cx="2884170" cy="2242185"/>
                  <wp:effectExtent l="19050" t="0" r="0" b="0"/>
                  <wp:docPr id="7" name="Picture 7" descr="Download off personal camera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 off personal camera 267"/>
                          <pic:cNvPicPr>
                            <a:picLocks noChangeAspect="1" noChangeArrowheads="1"/>
                          </pic:cNvPicPr>
                        </pic:nvPicPr>
                        <pic:blipFill>
                          <a:blip r:embed="rId28" cstate="print"/>
                          <a:srcRect/>
                          <a:stretch>
                            <a:fillRect/>
                          </a:stretch>
                        </pic:blipFill>
                        <pic:spPr bwMode="auto">
                          <a:xfrm>
                            <a:off x="0" y="0"/>
                            <a:ext cx="2884170" cy="2242185"/>
                          </a:xfrm>
                          <a:prstGeom prst="rect">
                            <a:avLst/>
                          </a:prstGeom>
                          <a:noFill/>
                          <a:ln w="9525">
                            <a:noFill/>
                            <a:miter lim="800000"/>
                            <a:headEnd/>
                            <a:tailEnd/>
                          </a:ln>
                        </pic:spPr>
                      </pic:pic>
                    </a:graphicData>
                  </a:graphic>
                </wp:inline>
              </w:drawing>
            </w:r>
          </w:p>
        </w:tc>
      </w:tr>
      <w:tr w:rsidR="0032121F" w:rsidRPr="00C3634A" w:rsidTr="00105CD5">
        <w:tc>
          <w:tcPr>
            <w:tcW w:w="4928" w:type="dxa"/>
          </w:tcPr>
          <w:p w:rsidR="0032121F" w:rsidRPr="00A43FD0" w:rsidRDefault="0032121F" w:rsidP="00105CD5">
            <w:pPr>
              <w:spacing w:line="240" w:lineRule="auto"/>
              <w:rPr>
                <w:sz w:val="20"/>
                <w:szCs w:val="20"/>
              </w:rPr>
            </w:pPr>
            <w:r w:rsidRPr="00A43FD0">
              <w:rPr>
                <w:sz w:val="20"/>
                <w:szCs w:val="20"/>
              </w:rPr>
              <w:t xml:space="preserve">Euroley Bridge on the Murrumbidgee River main channel </w:t>
            </w:r>
          </w:p>
        </w:tc>
        <w:tc>
          <w:tcPr>
            <w:tcW w:w="4819" w:type="dxa"/>
          </w:tcPr>
          <w:p w:rsidR="0032121F" w:rsidRPr="00A43FD0" w:rsidRDefault="0032121F" w:rsidP="00105CD5">
            <w:pPr>
              <w:spacing w:line="240" w:lineRule="auto"/>
              <w:rPr>
                <w:sz w:val="20"/>
                <w:szCs w:val="20"/>
              </w:rPr>
            </w:pPr>
            <w:r w:rsidRPr="00A43FD0">
              <w:rPr>
                <w:sz w:val="20"/>
                <w:szCs w:val="20"/>
              </w:rPr>
              <w:t xml:space="preserve">Narrandera on the Murrumbidgee River main channel </w:t>
            </w:r>
          </w:p>
        </w:tc>
      </w:tr>
      <w:tr w:rsidR="0032121F" w:rsidRPr="00C3634A" w:rsidTr="00105CD5">
        <w:tc>
          <w:tcPr>
            <w:tcW w:w="4928" w:type="dxa"/>
          </w:tcPr>
          <w:p w:rsidR="0032121F" w:rsidRPr="00A43FD0" w:rsidRDefault="0087202F" w:rsidP="00105CD5">
            <w:pPr>
              <w:spacing w:after="0" w:line="240" w:lineRule="auto"/>
              <w:rPr>
                <w:b/>
                <w:color w:val="FF0000"/>
                <w:sz w:val="20"/>
                <w:szCs w:val="20"/>
              </w:rPr>
            </w:pPr>
            <w:r>
              <w:rPr>
                <w:b/>
                <w:noProof/>
                <w:color w:val="FF0000"/>
                <w:sz w:val="20"/>
                <w:szCs w:val="20"/>
                <w:lang w:eastAsia="en-AU"/>
              </w:rPr>
              <w:drawing>
                <wp:inline distT="0" distB="0" distL="0" distR="0">
                  <wp:extent cx="2884170" cy="2162810"/>
                  <wp:effectExtent l="19050" t="0" r="0" b="0"/>
                  <wp:docPr id="8" name="Picture 8" descr="Berry Jerry4_29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erry Jerry4_290812"/>
                          <pic:cNvPicPr>
                            <a:picLocks noChangeAspect="1" noChangeArrowheads="1"/>
                          </pic:cNvPicPr>
                        </pic:nvPicPr>
                        <pic:blipFill>
                          <a:blip r:embed="rId29"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p>
        </w:tc>
        <w:tc>
          <w:tcPr>
            <w:tcW w:w="4819" w:type="dxa"/>
          </w:tcPr>
          <w:p w:rsidR="0032121F" w:rsidRPr="00A43FD0" w:rsidRDefault="0087202F" w:rsidP="00105CD5">
            <w:pPr>
              <w:spacing w:after="0" w:line="240" w:lineRule="auto"/>
              <w:rPr>
                <w:b/>
                <w:color w:val="FF0000"/>
                <w:sz w:val="20"/>
                <w:szCs w:val="20"/>
              </w:rPr>
            </w:pPr>
            <w:r>
              <w:rPr>
                <w:b/>
                <w:noProof/>
                <w:color w:val="FF0000"/>
                <w:sz w:val="20"/>
                <w:szCs w:val="20"/>
                <w:lang w:eastAsia="en-AU"/>
              </w:rPr>
              <w:drawing>
                <wp:inline distT="0" distB="0" distL="0" distR="0">
                  <wp:extent cx="2884170" cy="2162810"/>
                  <wp:effectExtent l="19050" t="0" r="0" b="0"/>
                  <wp:docPr id="9" name="Picture 9" descr="Bernofy4_29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rnofy4_290812"/>
                          <pic:cNvPicPr>
                            <a:picLocks noChangeAspect="1" noChangeArrowheads="1"/>
                          </pic:cNvPicPr>
                        </pic:nvPicPr>
                        <pic:blipFill>
                          <a:blip r:embed="rId30"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p>
        </w:tc>
      </w:tr>
      <w:tr w:rsidR="0032121F" w:rsidRPr="00C3634A" w:rsidTr="00105CD5">
        <w:tc>
          <w:tcPr>
            <w:tcW w:w="4928" w:type="dxa"/>
          </w:tcPr>
          <w:p w:rsidR="0032121F" w:rsidRPr="00A43FD0" w:rsidRDefault="0032121F" w:rsidP="00105CD5">
            <w:pPr>
              <w:spacing w:line="240" w:lineRule="auto"/>
              <w:rPr>
                <w:sz w:val="20"/>
                <w:szCs w:val="20"/>
              </w:rPr>
            </w:pPr>
            <w:r w:rsidRPr="00A43FD0">
              <w:rPr>
                <w:sz w:val="20"/>
                <w:szCs w:val="20"/>
              </w:rPr>
              <w:t xml:space="preserve">Berry Jerry Station on the Murrumbidgee River main channel </w:t>
            </w:r>
          </w:p>
        </w:tc>
        <w:tc>
          <w:tcPr>
            <w:tcW w:w="4819" w:type="dxa"/>
          </w:tcPr>
          <w:p w:rsidR="0032121F" w:rsidRPr="00A43FD0" w:rsidRDefault="0032121F" w:rsidP="00105CD5">
            <w:pPr>
              <w:spacing w:line="240" w:lineRule="auto"/>
              <w:rPr>
                <w:sz w:val="20"/>
                <w:szCs w:val="20"/>
              </w:rPr>
            </w:pPr>
            <w:r w:rsidRPr="00A43FD0">
              <w:rPr>
                <w:sz w:val="20"/>
                <w:szCs w:val="20"/>
              </w:rPr>
              <w:t xml:space="preserve">Bernofy Station on Old Man Creek </w:t>
            </w:r>
          </w:p>
        </w:tc>
      </w:tr>
    </w:tbl>
    <w:p w:rsidR="0058506F" w:rsidRDefault="0032121F" w:rsidP="0032121F">
      <w:pPr>
        <w:pStyle w:val="Caption"/>
        <w:rPr>
          <w:rFonts w:ascii="Century Gothic" w:hAnsi="Century Gothic"/>
          <w:b w:val="0"/>
        </w:rPr>
        <w:sectPr w:rsidR="0058506F" w:rsidSect="00931ABE">
          <w:footerReference w:type="default" r:id="rId31"/>
          <w:pgSz w:w="11907" w:h="16839" w:code="9"/>
          <w:pgMar w:top="1440" w:right="1440" w:bottom="1440" w:left="1440" w:header="708" w:footer="708" w:gutter="0"/>
          <w:pgNumType w:start="1"/>
          <w:cols w:space="708"/>
          <w:docGrid w:linePitch="360"/>
        </w:sectPr>
      </w:pPr>
      <w:bookmarkStart w:id="30" w:name="_Ref349827277"/>
      <w:r w:rsidRPr="005C278A">
        <w:rPr>
          <w:rFonts w:ascii="Century Gothic" w:hAnsi="Century Gothic"/>
        </w:rPr>
        <w:t xml:space="preserve">Plate </w:t>
      </w:r>
      <w:r w:rsidR="00D20FAE" w:rsidRPr="005C278A">
        <w:rPr>
          <w:rFonts w:ascii="Century Gothic" w:hAnsi="Century Gothic"/>
        </w:rPr>
        <w:fldChar w:fldCharType="begin"/>
      </w:r>
      <w:r w:rsidRPr="005C278A">
        <w:rPr>
          <w:rFonts w:ascii="Century Gothic" w:hAnsi="Century Gothic"/>
        </w:rPr>
        <w:instrText xml:space="preserve"> SEQ Plate \* ARABIC </w:instrText>
      </w:r>
      <w:r w:rsidR="00D20FAE" w:rsidRPr="005C278A">
        <w:rPr>
          <w:rFonts w:ascii="Century Gothic" w:hAnsi="Century Gothic"/>
        </w:rPr>
        <w:fldChar w:fldCharType="separate"/>
      </w:r>
      <w:r w:rsidR="00436595">
        <w:rPr>
          <w:rFonts w:ascii="Century Gothic" w:hAnsi="Century Gothic"/>
          <w:noProof/>
        </w:rPr>
        <w:t>1</w:t>
      </w:r>
      <w:r w:rsidR="00D20FAE" w:rsidRPr="005C278A">
        <w:rPr>
          <w:rFonts w:ascii="Century Gothic" w:hAnsi="Century Gothic"/>
        </w:rPr>
        <w:fldChar w:fldCharType="end"/>
      </w:r>
      <w:bookmarkEnd w:id="30"/>
      <w:r w:rsidRPr="005C278A">
        <w:rPr>
          <w:rFonts w:ascii="Century Gothic" w:hAnsi="Century Gothic"/>
        </w:rPr>
        <w:t xml:space="preserve"> </w:t>
      </w:r>
      <w:r w:rsidRPr="005C278A">
        <w:rPr>
          <w:rFonts w:ascii="Century Gothic" w:hAnsi="Century Gothic"/>
          <w:b w:val="0"/>
        </w:rPr>
        <w:t>Larval fish monitoring sites in the Murrumbidgee River and Old Man Creek</w:t>
      </w:r>
      <w:r w:rsidR="00353CFB">
        <w:rPr>
          <w:rFonts w:ascii="Century Gothic" w:hAnsi="Century Gothic"/>
          <w:b w:val="0"/>
        </w:rPr>
        <w:t>.</w:t>
      </w:r>
      <w:r w:rsidRPr="005C278A">
        <w:rPr>
          <w:rFonts w:ascii="Century Gothic" w:hAnsi="Century Gothic"/>
          <w:b w:val="0"/>
        </w:rPr>
        <w:t xml:space="preserve"> Photos: M. Hill</w:t>
      </w:r>
    </w:p>
    <w:p w:rsidR="005F596E" w:rsidRDefault="001F6D08" w:rsidP="003723EA">
      <w:pPr>
        <w:pStyle w:val="Heading2"/>
        <w:numPr>
          <w:ilvl w:val="0"/>
          <w:numId w:val="0"/>
        </w:numPr>
      </w:pPr>
      <w:bookmarkStart w:id="31" w:name="_Ref349737103"/>
      <w:r w:rsidRPr="001F6D08">
        <w:rPr>
          <w:noProof/>
          <w:lang w:eastAsia="en-AU"/>
        </w:rPr>
        <w:drawing>
          <wp:inline distT="0" distB="0" distL="0" distR="0">
            <wp:extent cx="8857615" cy="4858385"/>
            <wp:effectExtent l="19050" t="0" r="635" b="0"/>
            <wp:docPr id="102" name="Picture 10" descr="sitemap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temapI1"/>
                    <pic:cNvPicPr>
                      <a:picLocks noChangeAspect="1" noChangeArrowheads="1"/>
                    </pic:cNvPicPr>
                  </pic:nvPicPr>
                  <pic:blipFill>
                    <a:blip r:embed="rId32" cstate="print"/>
                    <a:srcRect/>
                    <a:stretch>
                      <a:fillRect/>
                    </a:stretch>
                  </pic:blipFill>
                  <pic:spPr bwMode="auto">
                    <a:xfrm>
                      <a:off x="0" y="0"/>
                      <a:ext cx="8857615" cy="4858385"/>
                    </a:xfrm>
                    <a:prstGeom prst="rect">
                      <a:avLst/>
                    </a:prstGeom>
                    <a:noFill/>
                    <a:ln w="9525">
                      <a:noFill/>
                      <a:miter lim="800000"/>
                      <a:headEnd/>
                      <a:tailEnd/>
                    </a:ln>
                  </pic:spPr>
                </pic:pic>
              </a:graphicData>
            </a:graphic>
          </wp:inline>
        </w:drawing>
      </w:r>
    </w:p>
    <w:p w:rsidR="001F6D08" w:rsidRDefault="001F6D08" w:rsidP="001F6D08">
      <w:pPr>
        <w:pStyle w:val="Subtitle"/>
        <w:rPr>
          <w:rFonts w:eastAsia="Calibri"/>
        </w:rPr>
      </w:pPr>
      <w:bookmarkStart w:id="32" w:name="_Ref355345748"/>
      <w:bookmarkStart w:id="33" w:name="_Toc370738700"/>
      <w:r w:rsidRPr="00A57BF2">
        <w:rPr>
          <w:rFonts w:eastAsia="Calibri"/>
          <w:b/>
        </w:rPr>
        <w:t xml:space="preserve">Figure </w:t>
      </w:r>
      <w:r w:rsidR="00D20FAE" w:rsidRPr="0054732D">
        <w:rPr>
          <w:rStyle w:val="SubtitleChar"/>
          <w:rFonts w:eastAsia="Calibri"/>
          <w:b/>
        </w:rPr>
        <w:fldChar w:fldCharType="begin"/>
      </w:r>
      <w:r w:rsidRPr="0054732D">
        <w:rPr>
          <w:rStyle w:val="SubtitleChar"/>
          <w:rFonts w:eastAsia="Calibri"/>
          <w:b/>
        </w:rPr>
        <w:instrText xml:space="preserve"> SEQ Figure \* ARABIC </w:instrText>
      </w:r>
      <w:r w:rsidR="00D20FAE" w:rsidRPr="0054732D">
        <w:rPr>
          <w:rStyle w:val="SubtitleChar"/>
          <w:rFonts w:eastAsia="Calibri"/>
          <w:b/>
        </w:rPr>
        <w:fldChar w:fldCharType="separate"/>
      </w:r>
      <w:r w:rsidR="00436595">
        <w:rPr>
          <w:rStyle w:val="SubtitleChar"/>
          <w:rFonts w:eastAsia="Calibri"/>
          <w:b/>
          <w:noProof/>
        </w:rPr>
        <w:t>1</w:t>
      </w:r>
      <w:r w:rsidR="00D20FAE" w:rsidRPr="0054732D">
        <w:rPr>
          <w:rStyle w:val="SubtitleChar"/>
          <w:rFonts w:eastAsia="Calibri"/>
          <w:b/>
        </w:rPr>
        <w:fldChar w:fldCharType="end"/>
      </w:r>
      <w:bookmarkEnd w:id="32"/>
      <w:r w:rsidRPr="00A57BF2">
        <w:rPr>
          <w:rFonts w:eastAsia="Calibri"/>
        </w:rPr>
        <w:t xml:space="preserve"> General survey region and location of monitoring sites</w:t>
      </w:r>
      <w:bookmarkEnd w:id="33"/>
      <w:r w:rsidR="00353CFB">
        <w:rPr>
          <w:rFonts w:eastAsia="Calibri"/>
        </w:rPr>
        <w:t>.</w:t>
      </w:r>
    </w:p>
    <w:p w:rsidR="001F6D08" w:rsidRDefault="001F6D08" w:rsidP="001F6D08">
      <w:r>
        <w:rPr>
          <w:noProof/>
          <w:lang w:eastAsia="en-AU"/>
        </w:rPr>
        <w:drawing>
          <wp:inline distT="0" distB="0" distL="0" distR="0">
            <wp:extent cx="8853805" cy="4871085"/>
            <wp:effectExtent l="19050" t="0" r="4445" b="0"/>
            <wp:docPr id="103" name="Picture 10" descr="sitemap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itemapI2"/>
                    <pic:cNvPicPr>
                      <a:picLocks noChangeAspect="1" noChangeArrowheads="1"/>
                    </pic:cNvPicPr>
                  </pic:nvPicPr>
                  <pic:blipFill>
                    <a:blip r:embed="rId33" cstate="print"/>
                    <a:srcRect/>
                    <a:stretch>
                      <a:fillRect/>
                    </a:stretch>
                  </pic:blipFill>
                  <pic:spPr bwMode="auto">
                    <a:xfrm>
                      <a:off x="0" y="0"/>
                      <a:ext cx="8853805" cy="4871085"/>
                    </a:xfrm>
                    <a:prstGeom prst="rect">
                      <a:avLst/>
                    </a:prstGeom>
                    <a:noFill/>
                    <a:ln w="9525">
                      <a:noFill/>
                      <a:miter lim="800000"/>
                      <a:headEnd/>
                      <a:tailEnd/>
                    </a:ln>
                  </pic:spPr>
                </pic:pic>
              </a:graphicData>
            </a:graphic>
          </wp:inline>
        </w:drawing>
      </w:r>
    </w:p>
    <w:p w:rsidR="001F6D08" w:rsidRDefault="001F6D08" w:rsidP="001F6D08">
      <w:pPr>
        <w:pStyle w:val="Caption1"/>
      </w:pPr>
      <w:bookmarkStart w:id="34" w:name="_Ref355337782"/>
      <w:bookmarkStart w:id="35" w:name="_Toc370738701"/>
      <w:r w:rsidRPr="00C970E5">
        <w:rPr>
          <w:b/>
        </w:rPr>
        <w:t xml:space="preserve">Figure </w:t>
      </w:r>
      <w:r w:rsidR="00D20FAE" w:rsidRPr="00C970E5">
        <w:rPr>
          <w:b/>
        </w:rPr>
        <w:fldChar w:fldCharType="begin"/>
      </w:r>
      <w:r w:rsidRPr="00C970E5">
        <w:rPr>
          <w:b/>
        </w:rPr>
        <w:instrText xml:space="preserve"> SEQ Figure \* ARABIC </w:instrText>
      </w:r>
      <w:r w:rsidR="00D20FAE" w:rsidRPr="00C970E5">
        <w:rPr>
          <w:b/>
        </w:rPr>
        <w:fldChar w:fldCharType="separate"/>
      </w:r>
      <w:r w:rsidR="00436595">
        <w:rPr>
          <w:b/>
          <w:noProof/>
        </w:rPr>
        <w:t>2</w:t>
      </w:r>
      <w:r w:rsidR="00D20FAE" w:rsidRPr="00C970E5">
        <w:rPr>
          <w:b/>
        </w:rPr>
        <w:fldChar w:fldCharType="end"/>
      </w:r>
      <w:bookmarkEnd w:id="34"/>
      <w:r>
        <w:t xml:space="preserve"> </w:t>
      </w:r>
      <w:r w:rsidRPr="00D4471D">
        <w:t>Distribution of larval and community fish monitoring sites and acoustic receiver sites in the mid-Murrumbidgee River and Old Man Creek.</w:t>
      </w:r>
      <w:bookmarkEnd w:id="35"/>
      <w:r w:rsidRPr="00D4471D">
        <w:t xml:space="preserve"> </w:t>
      </w:r>
    </w:p>
    <w:p w:rsidR="00F46DB2" w:rsidRPr="00F46DB2" w:rsidRDefault="00F46DB2" w:rsidP="00F46DB2">
      <w:pPr>
        <w:sectPr w:rsidR="00F46DB2" w:rsidRPr="00F46DB2" w:rsidSect="00B80BE4">
          <w:pgSz w:w="16839" w:h="11907" w:code="9"/>
          <w:pgMar w:top="1440" w:right="1440" w:bottom="1440" w:left="1440" w:header="708" w:footer="708" w:gutter="0"/>
          <w:cols w:space="708"/>
          <w:docGrid w:linePitch="360"/>
        </w:sectPr>
      </w:pPr>
      <w:bookmarkStart w:id="36" w:name="_Toc370299170"/>
      <w:bookmarkEnd w:id="31"/>
      <w:bookmarkEnd w:id="36"/>
    </w:p>
    <w:p w:rsidR="0032121F" w:rsidRPr="00530192" w:rsidRDefault="0032121F" w:rsidP="00C44F46">
      <w:pPr>
        <w:pStyle w:val="Heading3"/>
      </w:pPr>
      <w:bookmarkStart w:id="37" w:name="_Toc349811112"/>
      <w:bookmarkStart w:id="38" w:name="_Toc353887387"/>
      <w:bookmarkStart w:id="39" w:name="_Toc370299171"/>
      <w:bookmarkStart w:id="40" w:name="_Toc370738702"/>
      <w:bookmarkStart w:id="41" w:name="_Toc378168506"/>
      <w:r w:rsidRPr="00530192">
        <w:t>Wetlands of the mid and lower Murrumbidgee and Western lakes</w:t>
      </w:r>
      <w:bookmarkEnd w:id="37"/>
      <w:bookmarkEnd w:id="38"/>
      <w:bookmarkEnd w:id="39"/>
      <w:bookmarkEnd w:id="40"/>
      <w:bookmarkEnd w:id="41"/>
    </w:p>
    <w:p w:rsidR="0032121F" w:rsidRPr="003622F0" w:rsidRDefault="0032121F" w:rsidP="0032121F">
      <w:r w:rsidRPr="003622F0">
        <w:t>The wetlands of the lowland sections of the Murrumbidgee catchment a</w:t>
      </w:r>
      <w:r>
        <w:t xml:space="preserve">re an </w:t>
      </w:r>
      <w:r w:rsidRPr="003622F0">
        <w:t xml:space="preserve">interconnected complex of water bodies that extend from Wagga Wagga in the </w:t>
      </w:r>
      <w:r>
        <w:t>e</w:t>
      </w:r>
      <w:r w:rsidRPr="003622F0">
        <w:t>ast to areas west of Balranald</w:t>
      </w:r>
      <w:r>
        <w:t xml:space="preserve"> (</w:t>
      </w:r>
      <w:r w:rsidRPr="00591E32">
        <w:t xml:space="preserve">see </w:t>
      </w:r>
      <w:fldSimple w:instr=" REF _Ref355345748 \h  \* MERGEFORMAT ">
        <w:r w:rsidR="00436595" w:rsidRPr="00436595">
          <w:t xml:space="preserve">Figure </w:t>
        </w:r>
        <w:r w:rsidR="00436595" w:rsidRPr="00436595">
          <w:rPr>
            <w:rStyle w:val="SubtitleChar"/>
            <w:rFonts w:eastAsia="Calibri"/>
            <w:noProof/>
          </w:rPr>
          <w:t>1</w:t>
        </w:r>
      </w:fldSimple>
      <w:r>
        <w:t>)</w:t>
      </w:r>
      <w:r w:rsidRPr="003622F0">
        <w:t>.</w:t>
      </w:r>
      <w:r>
        <w:t xml:space="preserve"> In recent years</w:t>
      </w:r>
      <w:r w:rsidR="00353CFB">
        <w:t>,</w:t>
      </w:r>
      <w:r>
        <w:t xml:space="preserve"> inflows to the Western Lakes and Lowbidgee </w:t>
      </w:r>
      <w:r w:rsidR="00353CFB">
        <w:t>have</w:t>
      </w:r>
      <w:r>
        <w:t xml:space="preserve"> been managed through the use of regulators, canals and weirs </w:t>
      </w:r>
      <w:r w:rsidR="00353CFB">
        <w:t>that</w:t>
      </w:r>
      <w:r>
        <w:t xml:space="preserve"> allow water to be moved onto the floodplain even during periods of low flow in the main river channel. In contrast, the majority of the mid-Murrumbidgee wetlands can only be filled when water levels in the main river channel reach a suitable height, typically referred to as their commence-to-fill (CTF) (expressed as ML/day)</w:t>
      </w:r>
      <w:r w:rsidR="00353CFB">
        <w:t>,</w:t>
      </w:r>
      <w:r>
        <w:t xml:space="preserve"> which is the volume of water that must be in the main river channel before it can begin to flow into a wetland. The need to supply water for irrigation during spring and summer, along with other capacity constraints make it difficult to maintain sufficient water volumes in the main river channel to reach wetlands in the mid-Murrumbidgee during the irrigation season. As a result, environmental releases targeting the mid-Murrumbidgee Wetlands are often run at times when peak irrigation demand is low</w:t>
      </w:r>
      <w:r w:rsidR="0051237D">
        <w:t>, and there is</w:t>
      </w:r>
      <w:r>
        <w:t xml:space="preserve"> a greater capacity </w:t>
      </w:r>
      <w:r w:rsidR="0051237D">
        <w:t xml:space="preserve">for water </w:t>
      </w:r>
      <w:r>
        <w:t>to reach target wetlands. The interconnected nature of the mid and lower Murrumbidgee wetlands also means that moderate flows in the main river channel are likely to create inflows into river red gum wetlands in the Lowbidgee floodplain. From a management perspective</w:t>
      </w:r>
      <w:r w:rsidR="0051237D">
        <w:t>,</w:t>
      </w:r>
      <w:r>
        <w:t xml:space="preserve"> this means that while the Lowbidgee wetlands can be filled without inundating the mid-Murrumbidgee wetlands, the mid-Murrumbidgee cannot be filled without inundating sections of the Lowbidgee.</w:t>
      </w:r>
    </w:p>
    <w:p w:rsidR="0058506F" w:rsidRDefault="0058506F" w:rsidP="0032121F">
      <w:pPr>
        <w:pStyle w:val="Heading5"/>
        <w:sectPr w:rsidR="0058506F" w:rsidSect="00B80BE4">
          <w:pgSz w:w="11907" w:h="16839" w:code="9"/>
          <w:pgMar w:top="1440" w:right="1440" w:bottom="1440" w:left="1440" w:header="708" w:footer="708" w:gutter="0"/>
          <w:cols w:space="708"/>
          <w:docGrid w:linePitch="360"/>
        </w:sectPr>
      </w:pPr>
    </w:p>
    <w:p w:rsidR="0058506F" w:rsidRDefault="0087202F" w:rsidP="0058506F">
      <w:r>
        <w:rPr>
          <w:noProof/>
          <w:lang w:eastAsia="en-AU"/>
        </w:rPr>
        <w:drawing>
          <wp:inline distT="0" distB="0" distL="0" distR="0">
            <wp:extent cx="8853805" cy="4871085"/>
            <wp:effectExtent l="19050" t="0" r="4445" b="0"/>
            <wp:docPr id="11" name="Picture 11" descr="sitemapI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temapI4"/>
                    <pic:cNvPicPr>
                      <a:picLocks noChangeAspect="1" noChangeArrowheads="1"/>
                    </pic:cNvPicPr>
                  </pic:nvPicPr>
                  <pic:blipFill>
                    <a:blip r:embed="rId34" cstate="print"/>
                    <a:srcRect/>
                    <a:stretch>
                      <a:fillRect/>
                    </a:stretch>
                  </pic:blipFill>
                  <pic:spPr bwMode="auto">
                    <a:xfrm>
                      <a:off x="0" y="0"/>
                      <a:ext cx="8853805" cy="4871085"/>
                    </a:xfrm>
                    <a:prstGeom prst="rect">
                      <a:avLst/>
                    </a:prstGeom>
                    <a:noFill/>
                    <a:ln w="9525">
                      <a:noFill/>
                      <a:miter lim="800000"/>
                      <a:headEnd/>
                      <a:tailEnd/>
                    </a:ln>
                  </pic:spPr>
                </pic:pic>
              </a:graphicData>
            </a:graphic>
          </wp:inline>
        </w:drawing>
      </w:r>
    </w:p>
    <w:p w:rsidR="0058506F" w:rsidRDefault="0058506F" w:rsidP="00C970E5">
      <w:pPr>
        <w:pStyle w:val="Caption1"/>
      </w:pPr>
      <w:bookmarkStart w:id="42" w:name="_Ref355356288"/>
      <w:bookmarkStart w:id="43" w:name="_Ref355960683"/>
      <w:bookmarkStart w:id="44" w:name="_Toc370738703"/>
      <w:r w:rsidRPr="00C970E5">
        <w:rPr>
          <w:b/>
        </w:rPr>
        <w:t xml:space="preserve">Figure </w:t>
      </w:r>
      <w:r w:rsidR="00D20FAE" w:rsidRPr="00C970E5">
        <w:rPr>
          <w:b/>
        </w:rPr>
        <w:fldChar w:fldCharType="begin"/>
      </w:r>
      <w:r w:rsidRPr="00C970E5">
        <w:rPr>
          <w:b/>
        </w:rPr>
        <w:instrText xml:space="preserve"> SEQ Figure \* ARABIC </w:instrText>
      </w:r>
      <w:r w:rsidR="00D20FAE" w:rsidRPr="00C970E5">
        <w:rPr>
          <w:b/>
        </w:rPr>
        <w:fldChar w:fldCharType="separate"/>
      </w:r>
      <w:r w:rsidR="00436595">
        <w:rPr>
          <w:b/>
          <w:noProof/>
        </w:rPr>
        <w:t>3</w:t>
      </w:r>
      <w:r w:rsidR="00D20FAE" w:rsidRPr="00C970E5">
        <w:rPr>
          <w:b/>
        </w:rPr>
        <w:fldChar w:fldCharType="end"/>
      </w:r>
      <w:bookmarkEnd w:id="42"/>
      <w:r>
        <w:t xml:space="preserve"> </w:t>
      </w:r>
      <w:r w:rsidRPr="000969DE">
        <w:t>Location of</w:t>
      </w:r>
      <w:r>
        <w:t xml:space="preserve"> </w:t>
      </w:r>
      <w:r w:rsidRPr="000969DE">
        <w:t>fish community</w:t>
      </w:r>
      <w:r>
        <w:t xml:space="preserve"> monitoring sites and wetland monitoring </w:t>
      </w:r>
      <w:r w:rsidRPr="000969DE">
        <w:t xml:space="preserve">sites in the </w:t>
      </w:r>
      <w:r>
        <w:t>mid-</w:t>
      </w:r>
      <w:r w:rsidRPr="000969DE">
        <w:t>Murrumbidgee</w:t>
      </w:r>
      <w:r>
        <w:t xml:space="preserve"> River</w:t>
      </w:r>
      <w:bookmarkEnd w:id="43"/>
      <w:bookmarkEnd w:id="44"/>
      <w:r w:rsidR="0051237D">
        <w:t>.</w:t>
      </w:r>
    </w:p>
    <w:p w:rsidR="0058506F" w:rsidRDefault="0087202F" w:rsidP="0058506F">
      <w:pPr>
        <w:rPr>
          <w:b/>
        </w:rPr>
      </w:pPr>
      <w:r>
        <w:rPr>
          <w:b/>
          <w:noProof/>
          <w:lang w:eastAsia="en-AU"/>
        </w:rPr>
        <w:drawing>
          <wp:inline distT="0" distB="0" distL="0" distR="0">
            <wp:extent cx="8853805" cy="4862195"/>
            <wp:effectExtent l="19050" t="0" r="4445" b="0"/>
            <wp:docPr id="12" name="Picture 12" descr="sitemap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itemapI3"/>
                    <pic:cNvPicPr>
                      <a:picLocks noChangeAspect="1" noChangeArrowheads="1"/>
                    </pic:cNvPicPr>
                  </pic:nvPicPr>
                  <pic:blipFill>
                    <a:blip r:embed="rId35" cstate="print"/>
                    <a:srcRect/>
                    <a:stretch>
                      <a:fillRect/>
                    </a:stretch>
                  </pic:blipFill>
                  <pic:spPr bwMode="auto">
                    <a:xfrm>
                      <a:off x="0" y="0"/>
                      <a:ext cx="8853805" cy="4862195"/>
                    </a:xfrm>
                    <a:prstGeom prst="rect">
                      <a:avLst/>
                    </a:prstGeom>
                    <a:noFill/>
                    <a:ln w="9525">
                      <a:noFill/>
                      <a:miter lim="800000"/>
                      <a:headEnd/>
                      <a:tailEnd/>
                    </a:ln>
                  </pic:spPr>
                </pic:pic>
              </a:graphicData>
            </a:graphic>
          </wp:inline>
        </w:drawing>
      </w:r>
    </w:p>
    <w:p w:rsidR="0058506F" w:rsidRDefault="0058506F" w:rsidP="006A0B9F">
      <w:pPr>
        <w:pStyle w:val="Caption1"/>
      </w:pPr>
      <w:bookmarkStart w:id="45" w:name="_Ref355339062"/>
      <w:bookmarkStart w:id="46" w:name="_Toc370738704"/>
      <w:r w:rsidRPr="006A0B9F">
        <w:rPr>
          <w:b/>
        </w:rPr>
        <w:t xml:space="preserve">Figure </w:t>
      </w:r>
      <w:r w:rsidR="00D20FAE" w:rsidRPr="006A0B9F">
        <w:rPr>
          <w:b/>
        </w:rPr>
        <w:fldChar w:fldCharType="begin"/>
      </w:r>
      <w:r w:rsidRPr="006A0B9F">
        <w:rPr>
          <w:b/>
        </w:rPr>
        <w:instrText xml:space="preserve"> SEQ Figure \* ARABIC </w:instrText>
      </w:r>
      <w:r w:rsidR="00D20FAE" w:rsidRPr="006A0B9F">
        <w:rPr>
          <w:b/>
        </w:rPr>
        <w:fldChar w:fldCharType="separate"/>
      </w:r>
      <w:r w:rsidR="00436595">
        <w:rPr>
          <w:b/>
          <w:noProof/>
        </w:rPr>
        <w:t>4</w:t>
      </w:r>
      <w:r w:rsidR="00D20FAE" w:rsidRPr="006A0B9F">
        <w:rPr>
          <w:b/>
        </w:rPr>
        <w:fldChar w:fldCharType="end"/>
      </w:r>
      <w:bookmarkEnd w:id="45"/>
      <w:r>
        <w:t xml:space="preserve"> </w:t>
      </w:r>
      <w:r w:rsidR="0051237D">
        <w:t>Location of</w:t>
      </w:r>
      <w:r w:rsidRPr="000969DE">
        <w:t xml:space="preserve"> fish community, frog, and waterbird monitoring sites in the Lowbidgee</w:t>
      </w:r>
      <w:r>
        <w:t xml:space="preserve"> floodplain </w:t>
      </w:r>
      <w:r w:rsidRPr="000969DE">
        <w:t>and lower Murrumbidgee River</w:t>
      </w:r>
      <w:bookmarkEnd w:id="46"/>
      <w:r w:rsidR="0051237D">
        <w:t>.</w:t>
      </w:r>
    </w:p>
    <w:p w:rsidR="0058506F" w:rsidRDefault="0058506F" w:rsidP="006A0B9F">
      <w:pPr>
        <w:pStyle w:val="Caption1"/>
        <w:sectPr w:rsidR="0058506F" w:rsidSect="00B80BE4">
          <w:pgSz w:w="16839" w:h="11907" w:code="9"/>
          <w:pgMar w:top="1440" w:right="1440" w:bottom="1440" w:left="1440" w:header="708" w:footer="708" w:gutter="0"/>
          <w:cols w:space="708"/>
          <w:docGrid w:linePitch="360"/>
        </w:sectPr>
      </w:pPr>
    </w:p>
    <w:p w:rsidR="0032121F" w:rsidRPr="00530192" w:rsidRDefault="0032121F" w:rsidP="00C44F46">
      <w:pPr>
        <w:pStyle w:val="Heading3"/>
      </w:pPr>
      <w:bookmarkStart w:id="47" w:name="_Toc370299172"/>
      <w:bookmarkStart w:id="48" w:name="_Toc370738705"/>
      <w:bookmarkStart w:id="49" w:name="_Toc378168507"/>
      <w:r w:rsidRPr="00530192">
        <w:t>Mid-Murrumbidgee</w:t>
      </w:r>
      <w:bookmarkEnd w:id="47"/>
      <w:bookmarkEnd w:id="48"/>
      <w:bookmarkEnd w:id="49"/>
    </w:p>
    <w:p w:rsidR="0045056E" w:rsidRDefault="0032121F" w:rsidP="00CD5B1E">
      <w:r>
        <w:t xml:space="preserve">The mid-Murrumbidgee </w:t>
      </w:r>
      <w:r w:rsidR="0051237D">
        <w:t>w</w:t>
      </w:r>
      <w:r>
        <w:t>etlands are part of a complex of ox-bow lagoons that occur along the Murrumbidgee River between Wagga Wagga and Hay (</w:t>
      </w:r>
      <w:fldSimple w:instr=" REF _Ref349737546 \h  \* MERGEFORMAT ">
        <w:r w:rsidR="00436595" w:rsidRPr="00436595">
          <w:t xml:space="preserve">Plate </w:t>
        </w:r>
        <w:r w:rsidR="00436595" w:rsidRPr="00436595">
          <w:rPr>
            <w:noProof/>
          </w:rPr>
          <w:t>2</w:t>
        </w:r>
      </w:fldSimple>
      <w:r w:rsidRPr="00530192">
        <w:t>)</w:t>
      </w:r>
      <w:r>
        <w:t xml:space="preserve"> (</w:t>
      </w:r>
      <w:fldSimple w:instr=" REF _Ref355356288 \h  \* MERGEFORMAT ">
        <w:r w:rsidR="00436595" w:rsidRPr="00436595">
          <w:t xml:space="preserve">Figure </w:t>
        </w:r>
        <w:r w:rsidR="00436595" w:rsidRPr="00436595">
          <w:rPr>
            <w:noProof/>
          </w:rPr>
          <w:t>3</w:t>
        </w:r>
      </w:fldSimple>
      <w:r>
        <w:t>)</w:t>
      </w:r>
      <w:r w:rsidRPr="00530192">
        <w:t>.</w:t>
      </w:r>
      <w:r>
        <w:t xml:space="preserve"> These wetlands connect to the Murrumbidgee River during periods of moderate to high in-channel flow. Prior to 2000</w:t>
      </w:r>
      <w:r w:rsidR="0051237D">
        <w:t>,</w:t>
      </w:r>
      <w:r>
        <w:t xml:space="preserve"> the majority of these wetlands regularly connected to the Murrumbidgee River, with wetlands sitting close to the river typically semi-permanent </w:t>
      </w:r>
      <w:r w:rsidR="0051237D">
        <w:t xml:space="preserve">and </w:t>
      </w:r>
      <w:r>
        <w:t xml:space="preserve">only drying out completely in very dry conditions </w:t>
      </w:r>
      <w:r w:rsidR="00D20FAE">
        <w:fldChar w:fldCharType="begin"/>
      </w:r>
      <w:r w:rsidR="006171E9">
        <w:instrText xml:space="preserve"> ADDIN EN.CITE &lt;EndNote&gt;&lt;Cite&gt;&lt;Author&gt;Murray&lt;/Author&gt;&lt;Year&gt;2008&lt;/Year&gt;&lt;RecNum&gt;3216&lt;/RecNum&gt;&lt;DisplayText&gt;(Murray 2008)&lt;/DisplayText&gt;&lt;record&gt;&lt;rec-number&gt;3216&lt;/rec-number&gt;&lt;foreign-keys&gt;&lt;key app="EN" db-id="vxxvsda2b05fxpeaw2dp552mtrd5trxdrf0s"&gt;3216&lt;/key&gt;&lt;/foreign-keys&gt;&lt;ref-type name="Book"&gt;6&lt;/ref-type&gt;&lt;contributors&gt;&lt;authors&gt;&lt;author&gt;Murray, P.&lt;/author&gt;&lt;/authors&gt;&lt;/contributors&gt;&lt;titles&gt;&lt;title&gt;Murrumbidgee wetlands resource book&lt;/title&gt;&lt;/titles&gt;&lt;dates&gt;&lt;year&gt;2008&lt;/year&gt;&lt;/dates&gt;&lt;pub-location&gt;New South Wales&lt;/pub-location&gt;&lt;publisher&gt;Murrumbidgee Catchment Management Authority&lt;/publisher&gt;&lt;urls&gt;&lt;/urls&gt;&lt;/record&gt;&lt;/Cite&gt;&lt;/EndNote&gt;</w:instrText>
      </w:r>
      <w:r w:rsidR="00D20FAE">
        <w:fldChar w:fldCharType="separate"/>
      </w:r>
      <w:r w:rsidR="006171E9">
        <w:rPr>
          <w:noProof/>
        </w:rPr>
        <w:t>(</w:t>
      </w:r>
      <w:hyperlink w:anchor="_ENREF_72" w:tooltip="Murray, 2008 #3216" w:history="1">
        <w:r w:rsidR="006810E6">
          <w:rPr>
            <w:noProof/>
          </w:rPr>
          <w:t>Murray 2008</w:t>
        </w:r>
      </w:hyperlink>
      <w:r w:rsidR="006171E9">
        <w:rPr>
          <w:noProof/>
        </w:rPr>
        <w:t>)</w:t>
      </w:r>
      <w:r w:rsidR="00D20FAE">
        <w:fldChar w:fldCharType="end"/>
      </w:r>
      <w:r>
        <w:t>. However</w:t>
      </w:r>
      <w:r w:rsidR="0051237D">
        <w:t>,</w:t>
      </w:r>
      <w:r>
        <w:t xml:space="preserve"> during the extended dry period between 2000 and 2009</w:t>
      </w:r>
      <w:r w:rsidR="0051237D">
        <w:t>,</w:t>
      </w:r>
      <w:r>
        <w:t xml:space="preserve"> the water levels in the Murrumbidgee River remained so low that many of the wetlands did not reconnect at any time during this decade. </w:t>
      </w:r>
      <w:r w:rsidR="00067136">
        <w:t>Due to regulation, t</w:t>
      </w:r>
      <w:r>
        <w:t>his extended dry period was far longer than the average wetting and drying regimes normally experienced by wetlands in the Mid-Murrumbidgee.</w:t>
      </w:r>
      <w:r w:rsidRPr="00320384">
        <w:t xml:space="preserve"> </w:t>
      </w:r>
      <w:r>
        <w:t>Following rewetting in 2010</w:t>
      </w:r>
      <w:r w:rsidR="0051237D">
        <w:t>,</w:t>
      </w:r>
      <w:r>
        <w:t xml:space="preserve"> the vegetation communities in these wetlands only slowly moved towards their </w:t>
      </w:r>
      <w:r w:rsidR="0051237D">
        <w:t>prior</w:t>
      </w:r>
      <w:r>
        <w:t xml:space="preserve"> state, most likely due to a diminished seed bank. Subsequent Commonwealth and state environmental watering actions in 2011 aided the recovery of these wetland communities </w:t>
      </w:r>
      <w:r w:rsidR="00D20FAE">
        <w:fldChar w:fldCharType="begin"/>
      </w:r>
      <w:r w:rsidR="006171E9">
        <w:instrText xml:space="preserve"> ADDIN EN.CITE &lt;EndNote&gt;&lt;Cite&gt;&lt;Author&gt;Wassens&lt;/Author&gt;&lt;Year&gt;2012&lt;/Year&gt;&lt;RecNum&gt;3272&lt;/RecNum&gt;&lt;DisplayText&gt;(Wassens, Watts&lt;style face="italic"&gt; et al.&lt;/style&gt; 2012)&lt;/DisplayText&gt;&lt;record&gt;&lt;rec-number&gt;3272&lt;/rec-number&gt;&lt;foreign-keys&gt;&lt;key app="EN" db-id="vxxvsda2b05fxpeaw2dp552mtrd5trxdrf0s"&gt;3272&lt;/key&gt;&lt;/foreign-keys&gt;&lt;ref-type name="Book"&gt;6&lt;/ref-type&gt;&lt;contributors&gt;&lt;authors&gt;&lt;author&gt;Wassens, S.&lt;/author&gt;&lt;author&gt;Watts, R. 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system&lt;/title&gt;&lt;/titles&gt;&lt;dates&gt;&lt;year&gt;2012&lt;/year&gt;&lt;/dates&gt;&lt;pub-location&gt;Albury&lt;/pub-location&gt;&lt;publisher&gt;Institute for Land, Water and Society, Charles Sturt University&lt;/publisher&gt;&lt;urls&gt;&lt;related-urls&gt;&lt;url&gt;http://www.environment.gov.au/ewater/publications/pubs/ecosystem-response-monitoring-murrumbidgee-2.pdf&lt;/url&gt;&lt;/related-urls&gt;&lt;/urls&gt;&lt;/record&gt;&lt;/Cite&gt;&lt;/EndNote&gt;</w:instrText>
      </w:r>
      <w:r w:rsidR="00D20FAE">
        <w:fldChar w:fldCharType="separate"/>
      </w:r>
      <w:r w:rsidR="006171E9">
        <w:rPr>
          <w:noProof/>
        </w:rPr>
        <w:t>(</w:t>
      </w:r>
      <w:hyperlink w:anchor="_ENREF_106" w:tooltip="Wassens, 2012 #3272" w:history="1">
        <w:r w:rsidR="006810E6">
          <w:rPr>
            <w:noProof/>
          </w:rPr>
          <w:t>Wassens, Watts</w:t>
        </w:r>
        <w:r w:rsidR="006810E6" w:rsidRPr="006171E9">
          <w:rPr>
            <w:i/>
            <w:noProof/>
          </w:rPr>
          <w:t xml:space="preserve"> et al.</w:t>
        </w:r>
        <w:r w:rsidR="006810E6">
          <w:rPr>
            <w:noProof/>
          </w:rPr>
          <w:t xml:space="preserve"> 2012</w:t>
        </w:r>
      </w:hyperlink>
      <w:r w:rsidR="006171E9">
        <w:rPr>
          <w:noProof/>
        </w:rPr>
        <w:t>)</w:t>
      </w:r>
      <w:r w:rsidR="00D20FAE">
        <w:fldChar w:fldCharType="end"/>
      </w:r>
      <w:r w:rsidR="0051237D">
        <w:t>.</w:t>
      </w:r>
      <w:r>
        <w:t xml:space="preserve"> </w:t>
      </w:r>
      <w:r w:rsidR="0051237D">
        <w:t>Nevertheless,</w:t>
      </w:r>
      <w:r>
        <w:t xml:space="preserve"> further watering actions are required before the wetlands are likely to return to their previous state.</w:t>
      </w:r>
    </w:p>
    <w:p w:rsidR="0032121F" w:rsidRDefault="0058506F" w:rsidP="00CD5B1E">
      <w:r>
        <w:br w:type="page"/>
      </w:r>
    </w:p>
    <w:tbl>
      <w:tblPr>
        <w:tblW w:w="9606" w:type="dxa"/>
        <w:tblLayout w:type="fixed"/>
        <w:tblLook w:val="04A0"/>
      </w:tblPr>
      <w:tblGrid>
        <w:gridCol w:w="4928"/>
        <w:gridCol w:w="4678"/>
      </w:tblGrid>
      <w:tr w:rsidR="0032121F" w:rsidRPr="00A43FD0" w:rsidTr="00105CD5">
        <w:tc>
          <w:tcPr>
            <w:tcW w:w="492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3349625" cy="2523490"/>
                  <wp:effectExtent l="19050" t="0" r="3175" b="0"/>
                  <wp:docPr id="13" name="Picture 13" descr="yarrad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arrada 3"/>
                          <pic:cNvPicPr>
                            <a:picLocks noChangeAspect="1" noChangeArrowheads="1"/>
                          </pic:cNvPicPr>
                        </pic:nvPicPr>
                        <pic:blipFill>
                          <a:blip r:embed="rId36" cstate="print"/>
                          <a:srcRect/>
                          <a:stretch>
                            <a:fillRect/>
                          </a:stretch>
                        </pic:blipFill>
                        <pic:spPr bwMode="auto">
                          <a:xfrm>
                            <a:off x="0" y="0"/>
                            <a:ext cx="3349625" cy="2523490"/>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rPr>
                <w:sz w:val="20"/>
                <w:szCs w:val="20"/>
              </w:rPr>
            </w:pPr>
            <w:r w:rsidRPr="00A43FD0">
              <w:rPr>
                <w:sz w:val="20"/>
                <w:szCs w:val="20"/>
              </w:rPr>
              <w:t xml:space="preserve">Yarrada Lagoon </w:t>
            </w:r>
          </w:p>
        </w:tc>
        <w:tc>
          <w:tcPr>
            <w:tcW w:w="467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3349625" cy="2523490"/>
                  <wp:effectExtent l="19050" t="0" r="3175" b="0"/>
                  <wp:docPr id="14" name="Picture 14" descr="gooragool 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ooragool lower"/>
                          <pic:cNvPicPr>
                            <a:picLocks noChangeAspect="1" noChangeArrowheads="1"/>
                          </pic:cNvPicPr>
                        </pic:nvPicPr>
                        <pic:blipFill>
                          <a:blip r:embed="rId37" cstate="print"/>
                          <a:srcRect/>
                          <a:stretch>
                            <a:fillRect/>
                          </a:stretch>
                        </pic:blipFill>
                        <pic:spPr bwMode="auto">
                          <a:xfrm>
                            <a:off x="0" y="0"/>
                            <a:ext cx="3349625" cy="2523490"/>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ind w:firstLine="34"/>
              <w:rPr>
                <w:sz w:val="20"/>
                <w:szCs w:val="20"/>
              </w:rPr>
            </w:pPr>
            <w:r w:rsidRPr="00A43FD0">
              <w:rPr>
                <w:sz w:val="20"/>
                <w:szCs w:val="20"/>
              </w:rPr>
              <w:t xml:space="preserve">Gooragool Lagoon </w:t>
            </w:r>
          </w:p>
        </w:tc>
      </w:tr>
      <w:tr w:rsidR="0032121F" w:rsidRPr="00A43FD0" w:rsidTr="00105CD5">
        <w:tc>
          <w:tcPr>
            <w:tcW w:w="492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3349625" cy="2523490"/>
                  <wp:effectExtent l="19050" t="0" r="3175" b="0"/>
                  <wp:docPr id="15" name="Picture 15" descr="mckennas 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ckennas LF"/>
                          <pic:cNvPicPr>
                            <a:picLocks noChangeAspect="1" noChangeArrowheads="1"/>
                          </pic:cNvPicPr>
                        </pic:nvPicPr>
                        <pic:blipFill>
                          <a:blip r:embed="rId38" cstate="print"/>
                          <a:srcRect/>
                          <a:stretch>
                            <a:fillRect/>
                          </a:stretch>
                        </pic:blipFill>
                        <pic:spPr bwMode="auto">
                          <a:xfrm>
                            <a:off x="0" y="0"/>
                            <a:ext cx="3349625" cy="2523490"/>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rPr>
                <w:sz w:val="20"/>
                <w:szCs w:val="20"/>
              </w:rPr>
            </w:pPr>
            <w:r w:rsidRPr="00A43FD0">
              <w:rPr>
                <w:sz w:val="20"/>
                <w:szCs w:val="20"/>
              </w:rPr>
              <w:t>McKennas Lagoon</w:t>
            </w:r>
          </w:p>
        </w:tc>
        <w:tc>
          <w:tcPr>
            <w:tcW w:w="467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3349625" cy="2523490"/>
                  <wp:effectExtent l="19050" t="0" r="3175" b="0"/>
                  <wp:docPr id="16" name="Picture 16" descr="euroley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uroley 3"/>
                          <pic:cNvPicPr>
                            <a:picLocks noChangeAspect="1" noChangeArrowheads="1"/>
                          </pic:cNvPicPr>
                        </pic:nvPicPr>
                        <pic:blipFill>
                          <a:blip r:embed="rId39" cstate="print"/>
                          <a:srcRect/>
                          <a:stretch>
                            <a:fillRect/>
                          </a:stretch>
                        </pic:blipFill>
                        <pic:spPr bwMode="auto">
                          <a:xfrm>
                            <a:off x="0" y="0"/>
                            <a:ext cx="3349625" cy="2523490"/>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rPr>
                <w:sz w:val="20"/>
                <w:szCs w:val="20"/>
              </w:rPr>
            </w:pPr>
            <w:r w:rsidRPr="00A43FD0">
              <w:rPr>
                <w:sz w:val="20"/>
                <w:szCs w:val="20"/>
              </w:rPr>
              <w:t xml:space="preserve">Euroley Lagoon (control 1) </w:t>
            </w:r>
          </w:p>
        </w:tc>
      </w:tr>
    </w:tbl>
    <w:p w:rsidR="0032121F" w:rsidRDefault="0032121F" w:rsidP="0032121F">
      <w:pPr>
        <w:pStyle w:val="Subtitle"/>
        <w:rPr>
          <w:b/>
        </w:rPr>
      </w:pPr>
    </w:p>
    <w:p w:rsidR="0032121F" w:rsidRDefault="0032121F" w:rsidP="0032121F">
      <w:pPr>
        <w:pStyle w:val="Subtitle"/>
      </w:pPr>
      <w:bookmarkStart w:id="50" w:name="_Ref349737546"/>
      <w:bookmarkStart w:id="51" w:name="_Toc349811115"/>
      <w:bookmarkStart w:id="52" w:name="_Toc370738706"/>
      <w:r w:rsidRPr="002517A0">
        <w:rPr>
          <w:b/>
        </w:rPr>
        <w:t xml:space="preserve">Plate </w:t>
      </w:r>
      <w:r w:rsidR="00D20FAE" w:rsidRPr="002517A0">
        <w:rPr>
          <w:b/>
        </w:rPr>
        <w:fldChar w:fldCharType="begin"/>
      </w:r>
      <w:r w:rsidRPr="002517A0">
        <w:rPr>
          <w:b/>
        </w:rPr>
        <w:instrText xml:space="preserve"> SEQ Plate \* ARABIC </w:instrText>
      </w:r>
      <w:r w:rsidR="00D20FAE" w:rsidRPr="002517A0">
        <w:rPr>
          <w:b/>
        </w:rPr>
        <w:fldChar w:fldCharType="separate"/>
      </w:r>
      <w:r w:rsidR="00436595">
        <w:rPr>
          <w:b/>
          <w:noProof/>
        </w:rPr>
        <w:t>2</w:t>
      </w:r>
      <w:r w:rsidR="00D20FAE" w:rsidRPr="002517A0">
        <w:rPr>
          <w:b/>
        </w:rPr>
        <w:fldChar w:fldCharType="end"/>
      </w:r>
      <w:bookmarkEnd w:id="50"/>
      <w:r>
        <w:t xml:space="preserve"> </w:t>
      </w:r>
      <w:r w:rsidRPr="002517A0">
        <w:t>Wetlands of the Mid-Murrumbidgee</w:t>
      </w:r>
      <w:bookmarkEnd w:id="51"/>
      <w:bookmarkEnd w:id="52"/>
      <w:r w:rsidR="0051237D">
        <w:t>.</w:t>
      </w:r>
    </w:p>
    <w:p w:rsidR="0032121F" w:rsidRDefault="0032121F" w:rsidP="0032121F"/>
    <w:p w:rsidR="0032121F" w:rsidRDefault="0032121F" w:rsidP="00C44F46">
      <w:pPr>
        <w:pStyle w:val="Heading3"/>
      </w:pPr>
      <w:bookmarkStart w:id="53" w:name="_Toc370299173"/>
      <w:bookmarkStart w:id="54" w:name="_Toc370738707"/>
      <w:bookmarkStart w:id="55" w:name="_Toc378168508"/>
      <w:r>
        <w:t>Western Lakes</w:t>
      </w:r>
      <w:bookmarkEnd w:id="53"/>
      <w:bookmarkEnd w:id="54"/>
      <w:bookmarkEnd w:id="55"/>
    </w:p>
    <w:p w:rsidR="0032121F" w:rsidRDefault="0032121F" w:rsidP="0032121F">
      <w:pPr>
        <w:rPr>
          <w:rFonts w:eastAsia="Times New Roman" w:cs="Calibri"/>
        </w:rPr>
      </w:pPr>
      <w:r>
        <w:rPr>
          <w:rFonts w:eastAsia="Times New Roman" w:cs="Calibri"/>
        </w:rPr>
        <w:t xml:space="preserve">Wetlands targeted for environmental watering in 2012-13 are part of an extensive system of lakes to the west of the Murrumbidgee </w:t>
      </w:r>
      <w:r w:rsidRPr="008F6D38">
        <w:rPr>
          <w:rFonts w:eastAsia="Times New Roman" w:cs="Calibri"/>
        </w:rPr>
        <w:t>River (</w:t>
      </w:r>
      <w:fldSimple w:instr=" REF _Ref355339062 \h  \* MERGEFORMAT ">
        <w:r w:rsidR="00436595" w:rsidRPr="00436595">
          <w:t xml:space="preserve">Figure </w:t>
        </w:r>
        <w:r w:rsidR="00436595" w:rsidRPr="00436595">
          <w:rPr>
            <w:noProof/>
          </w:rPr>
          <w:t>4</w:t>
        </w:r>
      </w:fldSimple>
      <w:r w:rsidRPr="008F6D38">
        <w:rPr>
          <w:rFonts w:eastAsia="Times New Roman" w:cs="Calibri"/>
        </w:rPr>
        <w:t>).</w:t>
      </w:r>
      <w:r>
        <w:rPr>
          <w:rFonts w:eastAsia="Times New Roman" w:cs="Calibri"/>
        </w:rPr>
        <w:t xml:space="preserve"> The Western Lakes are quaternary lake deposits </w:t>
      </w:r>
      <w:r w:rsidR="00D20FAE">
        <w:rPr>
          <w:rFonts w:eastAsia="Times New Roman" w:cs="Calibri"/>
        </w:rPr>
        <w:fldChar w:fldCharType="begin"/>
      </w:r>
      <w:r w:rsidR="006171E9">
        <w:rPr>
          <w:rFonts w:eastAsia="Times New Roman" w:cs="Calibri"/>
        </w:rPr>
        <w:instrText xml:space="preserve"> ADDIN EN.CITE &lt;EndNote&gt;&lt;Cite&gt;&lt;Author&gt;NSW National Parks and Wildlife Service&lt;/Author&gt;&lt;Year&gt;2003&lt;/Year&gt;&lt;RecNum&gt;3054&lt;/RecNum&gt;&lt;DisplayText&gt;(&lt;style font="Times New Roman"&gt;NSW National Parks and Wildlife Service&lt;/style&gt; 2003)&lt;/DisplayText&gt;&lt;record&gt;&lt;rec-number&gt;3054&lt;/rec-number&gt;&lt;foreign-keys&gt;&lt;key app="EN" db-id="vxxvsda2b05fxpeaw2dp552mtrd5trxdrf0s"&gt;3054&lt;/key&gt;&lt;/foreign-keys&gt;&lt;ref-type name="Book"&gt;6&lt;/ref-type&gt;&lt;contributors&gt;&lt;authors&gt;&lt;author&gt;&lt;style face="normal" font="Times New Roman" size="100%"&gt;NSW National Parks and Wildlife Service,&lt;/style&gt;&lt;/author&gt;&lt;/authors&gt;&lt;/contributors&gt;&lt;titles&gt;&lt;title&gt;&lt;style face="normal" font="Times New Roman" size="100%"&gt;The Bioregions of New South Wales: their biodiversity, conservation and history&lt;/style&gt;&lt;/title&gt;&lt;/titles&gt;&lt;dates&gt;&lt;year&gt;2003&lt;/year&gt;&lt;/dates&gt;&lt;pub-location&gt;&lt;style face="normal" font="Times New Roman" size="100%"&gt;Hurstville.&lt;/style&gt;&lt;/pub-location&gt;&lt;publisher&gt;&lt;style face="normal" font="Times New Roman" size="100%"&gt;NSW National Parks and Wildlife Service&lt;/style&gt;&lt;/publisher&gt;&lt;urls&gt;&lt;/urls&gt;&lt;/record&gt;&lt;/Cite&gt;&lt;/EndNote&gt;</w:instrText>
      </w:r>
      <w:r w:rsidR="00D20FAE">
        <w:rPr>
          <w:rFonts w:eastAsia="Times New Roman" w:cs="Calibri"/>
        </w:rPr>
        <w:fldChar w:fldCharType="separate"/>
      </w:r>
      <w:r w:rsidR="006171E9">
        <w:rPr>
          <w:rFonts w:eastAsia="Times New Roman" w:cs="Calibri"/>
        </w:rPr>
        <w:t>(</w:t>
      </w:r>
      <w:hyperlink w:anchor="_ENREF_75" w:tooltip="NSW National Parks and Wildlife Service, 2003 #3054" w:history="1">
        <w:r w:rsidR="006810E6" w:rsidRPr="0051237D">
          <w:rPr>
            <w:rFonts w:eastAsia="Times New Roman" w:cs="Calibri"/>
          </w:rPr>
          <w:t>NSW National Parks and Wildlife Service</w:t>
        </w:r>
        <w:r w:rsidR="006810E6">
          <w:rPr>
            <w:rFonts w:eastAsia="Times New Roman" w:cs="Calibri"/>
          </w:rPr>
          <w:t xml:space="preserve"> 2003</w:t>
        </w:r>
      </w:hyperlink>
      <w:r w:rsidR="006171E9">
        <w:rPr>
          <w:rFonts w:eastAsia="Times New Roman" w:cs="Calibri"/>
        </w:rPr>
        <w:t>)</w:t>
      </w:r>
      <w:r w:rsidR="00D20FAE">
        <w:rPr>
          <w:rFonts w:eastAsia="Times New Roman" w:cs="Calibri"/>
        </w:rPr>
        <w:fldChar w:fldCharType="end"/>
      </w:r>
      <w:r w:rsidRPr="00DF194A">
        <w:rPr>
          <w:rFonts w:eastAsia="Times New Roman" w:cs="Calibri"/>
        </w:rPr>
        <w:t xml:space="preserve"> forming</w:t>
      </w:r>
      <w:r>
        <w:rPr>
          <w:rFonts w:eastAsia="Times New Roman" w:cs="Calibri"/>
        </w:rPr>
        <w:t xml:space="preserve"> shallow open wetlands. The wetlands are floodplain depressions surrounded by scattered black box woodland (with the exception of small areas of river red gum around Paika Lake). Prior to regulation</w:t>
      </w:r>
      <w:r w:rsidR="0051237D">
        <w:rPr>
          <w:rFonts w:eastAsia="Times New Roman" w:cs="Calibri"/>
        </w:rPr>
        <w:t>,</w:t>
      </w:r>
      <w:r>
        <w:rPr>
          <w:rFonts w:eastAsia="Times New Roman" w:cs="Calibri"/>
        </w:rPr>
        <w:t xml:space="preserve"> the vegetation in the area likely contained flood dependent species rather than true aquatic species, an artefact of the temporary nature of inundation </w:t>
      </w:r>
      <w:r w:rsidR="00D20FAE">
        <w:rPr>
          <w:rFonts w:eastAsia="Times New Roman" w:cs="Calibri"/>
        </w:rPr>
        <w:fldChar w:fldCharType="begin"/>
      </w:r>
      <w:r w:rsidR="006171E9">
        <w:rPr>
          <w:rFonts w:eastAsia="Times New Roman" w:cs="Calibri"/>
        </w:rPr>
        <w:instrText xml:space="preserve"> ADDIN EN.CITE &lt;EndNote&gt;&lt;Cite&gt;&lt;Author&gt;Kent&lt;/Author&gt;&lt;Year&gt;2002&lt;/Year&gt;&lt;RecNum&gt;3324&lt;/RecNum&gt;&lt;DisplayText&gt;(Kent, Earl&lt;style face="italic"&gt; et al.&lt;/style&gt; 2002)&lt;/DisplayText&gt;&lt;record&gt;&lt;rec-number&gt;3324&lt;/rec-number&gt;&lt;foreign-keys&gt;&lt;key app="EN" db-id="vxxvsda2b05fxpeaw2dp552mtrd5trxdrf0s"&gt;3324&lt;/key&gt;&lt;/foreign-keys&gt;&lt;ref-type name="Book"&gt;6&lt;/ref-type&gt;&lt;contributors&gt;&lt;authors&gt;&lt;author&gt;Kent, K .&lt;/author&gt;&lt;author&gt;Earl, G.&lt;/author&gt;&lt;author&gt;Mullins, B.&lt;/author&gt;&lt;author&gt;Lunt, I.&lt;/author&gt;&lt;author&gt;Webster R.&lt;/author&gt;&lt;/authors&gt;&lt;/contributors&gt;&lt;titles&gt;&lt;title&gt;Native vegetation guide for the Riverina &lt;/title&gt;&lt;/titles&gt;&lt;dates&gt;&lt;year&gt;2002&lt;/year&gt;&lt;/dates&gt;&lt;pub-location&gt;Albury-Wodonga&lt;/pub-location&gt;&lt;publisher&gt;Charles Sturt University, Berrigan Shire and Native Dog Landcare Group. &lt;/publisher&gt;&lt;urls&gt;&lt;/urls&gt;&lt;/record&gt;&lt;/Cite&gt;&lt;/EndNote&gt;</w:instrText>
      </w:r>
      <w:r w:rsidR="00D20FAE">
        <w:rPr>
          <w:rFonts w:eastAsia="Times New Roman" w:cs="Calibri"/>
        </w:rPr>
        <w:fldChar w:fldCharType="separate"/>
      </w:r>
      <w:r w:rsidR="006171E9">
        <w:rPr>
          <w:rFonts w:eastAsia="Times New Roman" w:cs="Calibri"/>
          <w:noProof/>
        </w:rPr>
        <w:t>(</w:t>
      </w:r>
      <w:hyperlink w:anchor="_ENREF_48" w:tooltip="Kent, 2002 #3324" w:history="1">
        <w:r w:rsidR="006810E6">
          <w:rPr>
            <w:rFonts w:eastAsia="Times New Roman" w:cs="Calibri"/>
            <w:noProof/>
          </w:rPr>
          <w:t>Kent, Earl</w:t>
        </w:r>
        <w:r w:rsidR="006810E6" w:rsidRPr="006171E9">
          <w:rPr>
            <w:rFonts w:eastAsia="Times New Roman" w:cs="Calibri"/>
            <w:i/>
            <w:noProof/>
          </w:rPr>
          <w:t xml:space="preserve"> et al.</w:t>
        </w:r>
        <w:r w:rsidR="006810E6">
          <w:rPr>
            <w:rFonts w:eastAsia="Times New Roman" w:cs="Calibri"/>
            <w:noProof/>
          </w:rPr>
          <w:t xml:space="preserve"> 2002</w:t>
        </w:r>
      </w:hyperlink>
      <w:r w:rsidR="006171E9">
        <w:rPr>
          <w:rFonts w:eastAsia="Times New Roman" w:cs="Calibri"/>
          <w:noProof/>
        </w:rPr>
        <w:t>)</w:t>
      </w:r>
      <w:r w:rsidR="00D20FAE">
        <w:rPr>
          <w:rFonts w:eastAsia="Times New Roman" w:cs="Calibri"/>
        </w:rPr>
        <w:fldChar w:fldCharType="end"/>
      </w:r>
      <w:r w:rsidRPr="00A71080">
        <w:rPr>
          <w:rFonts w:eastAsia="Times New Roman" w:cs="Calibri"/>
        </w:rPr>
        <w:t>.</w:t>
      </w:r>
      <w:r>
        <w:rPr>
          <w:rFonts w:eastAsia="Times New Roman" w:cs="Calibri"/>
        </w:rPr>
        <w:t xml:space="preserve"> The Western Lakes were isolated from the Murrumbidgee River channel and floodplain due to the construction of the Paika levee built circa 1910 (pers</w:t>
      </w:r>
      <w:r w:rsidR="0051237D">
        <w:rPr>
          <w:rFonts w:eastAsia="Times New Roman" w:cs="Calibri"/>
        </w:rPr>
        <w:t>.</w:t>
      </w:r>
      <w:r>
        <w:rPr>
          <w:rFonts w:eastAsia="Times New Roman" w:cs="Calibri"/>
        </w:rPr>
        <w:t xml:space="preserve"> </w:t>
      </w:r>
      <w:r w:rsidR="0051237D">
        <w:rPr>
          <w:rFonts w:eastAsia="Times New Roman" w:cs="Calibri"/>
        </w:rPr>
        <w:t>comm.</w:t>
      </w:r>
      <w:r>
        <w:rPr>
          <w:rFonts w:eastAsia="Times New Roman" w:cs="Calibri"/>
        </w:rPr>
        <w:t xml:space="preserve"> Dianne Williams, Paika Station). This levee deprived the Western Lakes sites of riverine flooding for up to 100 years until 2011, when Paika Lake received NSW environmental water. </w:t>
      </w:r>
      <w:r w:rsidRPr="00562141">
        <w:t xml:space="preserve">Four </w:t>
      </w:r>
      <w:r w:rsidRPr="00275EFD">
        <w:t>waterbodies within the Western Lakes syste</w:t>
      </w:r>
      <w:r>
        <w:t>m</w:t>
      </w:r>
      <w:r w:rsidRPr="00275EFD">
        <w:t xml:space="preserve"> (Paika, Cherax, Hobblers and Penarie Creek)</w:t>
      </w:r>
      <w:r w:rsidRPr="003D1828">
        <w:t xml:space="preserve"> </w:t>
      </w:r>
      <w:r w:rsidRPr="003D1828">
        <w:rPr>
          <w:rFonts w:eastAsia="Times New Roman" w:cs="Calibri"/>
        </w:rPr>
        <w:t>(</w:t>
      </w:r>
      <w:fldSimple w:instr=" REF _Ref355954160 \h  \* MERGEFORMAT ">
        <w:r w:rsidR="00436595" w:rsidRPr="00436595">
          <w:t xml:space="preserve">Plate </w:t>
        </w:r>
        <w:r w:rsidR="00436595" w:rsidRPr="00436595">
          <w:rPr>
            <w:noProof/>
          </w:rPr>
          <w:t>3</w:t>
        </w:r>
      </w:fldSimple>
      <w:r w:rsidRPr="003D1828">
        <w:rPr>
          <w:rFonts w:eastAsia="Times New Roman" w:cs="Calibri"/>
        </w:rPr>
        <w:t>)</w:t>
      </w:r>
      <w:r>
        <w:rPr>
          <w:rFonts w:eastAsia="Times New Roman" w:cs="Calibri"/>
        </w:rPr>
        <w:t xml:space="preserve"> </w:t>
      </w:r>
      <w:r w:rsidRPr="00275EFD">
        <w:rPr>
          <w:rFonts w:eastAsia="Times New Roman" w:cs="Calibri"/>
        </w:rPr>
        <w:t>received environmental water in September 2012. Hobblers, Cherax and Penarie Creek</w:t>
      </w:r>
      <w:r>
        <w:rPr>
          <w:rFonts w:eastAsia="Times New Roman" w:cs="Calibri"/>
        </w:rPr>
        <w:t xml:space="preserve"> were receiving water for the first time in over 80 years, while Paika Lake previously received environmental water in 2011as part of the NSW OEH environmental watering program. While there </w:t>
      </w:r>
      <w:r w:rsidR="0051237D">
        <w:rPr>
          <w:rFonts w:eastAsia="Times New Roman" w:cs="Calibri"/>
        </w:rPr>
        <w:t>are</w:t>
      </w:r>
      <w:r>
        <w:rPr>
          <w:rFonts w:eastAsia="Times New Roman" w:cs="Calibri"/>
        </w:rPr>
        <w:t xml:space="preserve"> limited data on the natural magnitude, duration and frequency of flooding at these sites, </w:t>
      </w:r>
      <w:r>
        <w:t xml:space="preserve">the extant vegetation community suggests </w:t>
      </w:r>
      <w:r>
        <w:rPr>
          <w:rFonts w:eastAsia="Times New Roman" w:cs="Calibri"/>
        </w:rPr>
        <w:t>that these wetlands filled during moderate to large flood events</w:t>
      </w:r>
      <w:r w:rsidR="00B52B50">
        <w:rPr>
          <w:rFonts w:eastAsia="Times New Roman" w:cs="Calibri"/>
        </w:rPr>
        <w:t>.</w:t>
      </w:r>
      <w:r>
        <w:rPr>
          <w:rFonts w:eastAsia="Times New Roman" w:cs="Calibri"/>
        </w:rPr>
        <w:t xml:space="preserve"> </w:t>
      </w:r>
      <w:r w:rsidR="00B52B50">
        <w:rPr>
          <w:rFonts w:eastAsia="Times New Roman" w:cs="Calibri"/>
        </w:rPr>
        <w:t>T</w:t>
      </w:r>
      <w:r>
        <w:rPr>
          <w:rFonts w:eastAsia="Times New Roman" w:cs="Calibri"/>
        </w:rPr>
        <w:t>he hydrology of these wetlands is currently being investigated to better understand natural inundation frequencies.</w:t>
      </w:r>
    </w:p>
    <w:p w:rsidR="0032121F" w:rsidRPr="000969DE" w:rsidRDefault="0032121F" w:rsidP="0032121F">
      <w:pPr>
        <w:spacing w:after="0"/>
        <w:rPr>
          <w:rFonts w:eastAsia="Times New Roman" w:cs="Calibri"/>
        </w:rPr>
      </w:pPr>
      <w:r>
        <w:rPr>
          <w:rFonts w:eastAsia="Times New Roman" w:cs="Calibri"/>
        </w:rPr>
        <w:t>The Western Lakes watering action (Op</w:t>
      </w:r>
      <w:r w:rsidR="0051237D">
        <w:rPr>
          <w:rFonts w:eastAsia="Times New Roman" w:cs="Calibri"/>
        </w:rPr>
        <w:t>tion 5) targeted four key sites.</w:t>
      </w:r>
      <w:r>
        <w:rPr>
          <w:rFonts w:eastAsia="Times New Roman" w:cs="Calibri"/>
        </w:rPr>
        <w:t xml:space="preserve"> </w:t>
      </w:r>
      <w:r w:rsidR="0051237D">
        <w:rPr>
          <w:rFonts w:eastAsia="Times New Roman" w:cs="Calibri"/>
        </w:rPr>
        <w:t>H</w:t>
      </w:r>
      <w:r>
        <w:rPr>
          <w:rFonts w:eastAsia="Times New Roman" w:cs="Calibri"/>
        </w:rPr>
        <w:t>owever</w:t>
      </w:r>
      <w:r w:rsidR="0051237D">
        <w:rPr>
          <w:rFonts w:eastAsia="Times New Roman" w:cs="Calibri"/>
        </w:rPr>
        <w:t>,</w:t>
      </w:r>
      <w:r>
        <w:rPr>
          <w:rFonts w:eastAsia="Times New Roman" w:cs="Calibri"/>
        </w:rPr>
        <w:t xml:space="preserve"> the movement of water to the lakes also created an opportunity to inundate Narwie </w:t>
      </w:r>
      <w:proofErr w:type="gramStart"/>
      <w:r>
        <w:rPr>
          <w:rFonts w:eastAsia="Times New Roman" w:cs="Calibri"/>
        </w:rPr>
        <w:t>West</w:t>
      </w:r>
      <w:proofErr w:type="gramEnd"/>
      <w:r>
        <w:rPr>
          <w:rFonts w:eastAsia="Times New Roman" w:cs="Calibri"/>
        </w:rPr>
        <w:t xml:space="preserve">, a river red gum-spike rush wetland </w:t>
      </w:r>
      <w:r w:rsidR="0051237D">
        <w:rPr>
          <w:rFonts w:eastAsia="Times New Roman" w:cs="Calibri"/>
        </w:rPr>
        <w:t>that</w:t>
      </w:r>
      <w:r>
        <w:rPr>
          <w:rFonts w:eastAsia="Times New Roman" w:cs="Calibri"/>
        </w:rPr>
        <w:t xml:space="preserve"> is located within the North Redbank system of the Lowbidgee floodplain. </w:t>
      </w:r>
    </w:p>
    <w:p w:rsidR="0032121F" w:rsidRDefault="00CD5B1E" w:rsidP="0032121F">
      <w:pPr>
        <w:spacing w:after="0"/>
        <w:rPr>
          <w:rFonts w:eastAsia="Times New Roman" w:cs="Calibri"/>
        </w:rPr>
      </w:pPr>
      <w:r>
        <w:rPr>
          <w:rFonts w:eastAsia="Times New Roman" w:cs="Calibri"/>
        </w:rPr>
        <w:br w:type="page"/>
      </w:r>
    </w:p>
    <w:tbl>
      <w:tblPr>
        <w:tblW w:w="9606" w:type="dxa"/>
        <w:tblLayout w:type="fixed"/>
        <w:tblLook w:val="04A0"/>
      </w:tblPr>
      <w:tblGrid>
        <w:gridCol w:w="4928"/>
        <w:gridCol w:w="4678"/>
      </w:tblGrid>
      <w:tr w:rsidR="0032121F" w:rsidRPr="00A43FD0" w:rsidTr="00105CD5">
        <w:tc>
          <w:tcPr>
            <w:tcW w:w="492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2884170" cy="2162810"/>
                  <wp:effectExtent l="19050" t="0" r="0" b="0"/>
                  <wp:docPr id="17" name="Picture 17" descr="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90"/>
                          <pic:cNvPicPr>
                            <a:picLocks noChangeAspect="1" noChangeArrowheads="1"/>
                          </pic:cNvPicPr>
                        </pic:nvPicPr>
                        <pic:blipFill>
                          <a:blip r:embed="rId40"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rPr>
                <w:sz w:val="20"/>
                <w:szCs w:val="20"/>
              </w:rPr>
            </w:pPr>
            <w:r w:rsidRPr="00A43FD0">
              <w:rPr>
                <w:sz w:val="20"/>
                <w:szCs w:val="20"/>
              </w:rPr>
              <w:t xml:space="preserve">Paika Lake </w:t>
            </w:r>
          </w:p>
        </w:tc>
        <w:tc>
          <w:tcPr>
            <w:tcW w:w="467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2884170" cy="2162810"/>
                  <wp:effectExtent l="19050" t="0" r="0" b="0"/>
                  <wp:docPr id="18" name="Picture 18" descr="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06"/>
                          <pic:cNvPicPr>
                            <a:picLocks noChangeAspect="1" noChangeArrowheads="1"/>
                          </pic:cNvPicPr>
                        </pic:nvPicPr>
                        <pic:blipFill>
                          <a:blip r:embed="rId41"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r w:rsidR="0032121F" w:rsidRPr="00A43FD0">
              <w:rPr>
                <w:sz w:val="20"/>
                <w:szCs w:val="20"/>
              </w:rPr>
              <w:t xml:space="preserve">Hobblers Lake </w:t>
            </w:r>
          </w:p>
        </w:tc>
      </w:tr>
      <w:tr w:rsidR="0032121F" w:rsidRPr="00A43FD0" w:rsidTr="00105CD5">
        <w:tc>
          <w:tcPr>
            <w:tcW w:w="492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2884170" cy="2162810"/>
                  <wp:effectExtent l="19050" t="0" r="0" b="0"/>
                  <wp:docPr id="19" name="Picture 19" descr="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394"/>
                          <pic:cNvPicPr>
                            <a:picLocks noChangeAspect="1" noChangeArrowheads="1"/>
                          </pic:cNvPicPr>
                        </pic:nvPicPr>
                        <pic:blipFill>
                          <a:blip r:embed="rId42"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rPr>
                <w:sz w:val="20"/>
                <w:szCs w:val="20"/>
              </w:rPr>
            </w:pPr>
            <w:r w:rsidRPr="00A43FD0">
              <w:rPr>
                <w:sz w:val="20"/>
                <w:szCs w:val="20"/>
              </w:rPr>
              <w:t xml:space="preserve">Cherax Swamp </w:t>
            </w:r>
          </w:p>
        </w:tc>
        <w:tc>
          <w:tcPr>
            <w:tcW w:w="467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2884170" cy="2162810"/>
                  <wp:effectExtent l="19050" t="0" r="0" b="0"/>
                  <wp:docPr id="20" name="Picture 20" descr="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13"/>
                          <pic:cNvPicPr>
                            <a:picLocks noChangeAspect="1" noChangeArrowheads="1"/>
                          </pic:cNvPicPr>
                        </pic:nvPicPr>
                        <pic:blipFill>
                          <a:blip r:embed="rId43"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r w:rsidR="0032121F" w:rsidRPr="00A43FD0">
              <w:rPr>
                <w:sz w:val="20"/>
                <w:szCs w:val="20"/>
              </w:rPr>
              <w:t xml:space="preserve">Penarie Creek </w:t>
            </w:r>
          </w:p>
        </w:tc>
      </w:tr>
    </w:tbl>
    <w:p w:rsidR="0032121F" w:rsidRDefault="0032121F" w:rsidP="0032121F">
      <w:pPr>
        <w:pStyle w:val="Subtitle"/>
        <w:rPr>
          <w:b/>
        </w:rPr>
      </w:pPr>
      <w:bookmarkStart w:id="56" w:name="_Ref349569457"/>
      <w:bookmarkStart w:id="57" w:name="_Toc349811113"/>
    </w:p>
    <w:p w:rsidR="0032121F" w:rsidRDefault="0032121F" w:rsidP="0032121F">
      <w:pPr>
        <w:pStyle w:val="Subtitle"/>
      </w:pPr>
      <w:bookmarkStart w:id="58" w:name="_Ref355954160"/>
      <w:bookmarkStart w:id="59" w:name="_Ref355954139"/>
      <w:bookmarkStart w:id="60" w:name="_Toc370738708"/>
      <w:r w:rsidRPr="002517A0">
        <w:rPr>
          <w:b/>
        </w:rPr>
        <w:t xml:space="preserve">Plate </w:t>
      </w:r>
      <w:r w:rsidR="00D20FAE" w:rsidRPr="002517A0">
        <w:rPr>
          <w:b/>
        </w:rPr>
        <w:fldChar w:fldCharType="begin"/>
      </w:r>
      <w:r w:rsidRPr="002517A0">
        <w:rPr>
          <w:b/>
        </w:rPr>
        <w:instrText xml:space="preserve"> SEQ Plate \* ARABIC </w:instrText>
      </w:r>
      <w:r w:rsidR="00D20FAE" w:rsidRPr="002517A0">
        <w:rPr>
          <w:b/>
        </w:rPr>
        <w:fldChar w:fldCharType="separate"/>
      </w:r>
      <w:r w:rsidR="00436595">
        <w:rPr>
          <w:b/>
          <w:noProof/>
        </w:rPr>
        <w:t>3</w:t>
      </w:r>
      <w:r w:rsidR="00D20FAE" w:rsidRPr="002517A0">
        <w:rPr>
          <w:b/>
        </w:rPr>
        <w:fldChar w:fldCharType="end"/>
      </w:r>
      <w:bookmarkEnd w:id="56"/>
      <w:bookmarkEnd w:id="58"/>
      <w:r>
        <w:t xml:space="preserve"> Western Lakes </w:t>
      </w:r>
      <w:r w:rsidRPr="002517A0">
        <w:t>October 2012</w:t>
      </w:r>
      <w:bookmarkEnd w:id="57"/>
      <w:bookmarkEnd w:id="59"/>
      <w:bookmarkEnd w:id="60"/>
      <w:r w:rsidR="0051237D">
        <w:t>.</w:t>
      </w:r>
    </w:p>
    <w:p w:rsidR="0032121F" w:rsidRPr="008B19B9" w:rsidRDefault="0032121F" w:rsidP="00C44F46">
      <w:pPr>
        <w:pStyle w:val="Heading3"/>
      </w:pPr>
      <w:r>
        <w:br w:type="page"/>
      </w:r>
      <w:bookmarkStart w:id="61" w:name="_Toc370299174"/>
      <w:bookmarkStart w:id="62" w:name="_Toc370738709"/>
      <w:bookmarkStart w:id="63" w:name="_Toc378168509"/>
      <w:r w:rsidRPr="008B19B9">
        <w:t>Lowbidgee</w:t>
      </w:r>
      <w:bookmarkEnd w:id="61"/>
      <w:bookmarkEnd w:id="62"/>
      <w:bookmarkEnd w:id="63"/>
    </w:p>
    <w:p w:rsidR="0032121F" w:rsidRPr="006A0B9F" w:rsidRDefault="0032121F" w:rsidP="0032121F">
      <w:r w:rsidRPr="006A0B9F">
        <w:t>The lower Murrumbidgee floodplain (Lowbidgee) is a flat, terminal delta. The Lowbi</w:t>
      </w:r>
      <w:r w:rsidR="008567BF">
        <w:t>dgee floodplain covers more than 347 </w:t>
      </w:r>
      <w:r w:rsidRPr="006A0B9F">
        <w:t>000</w:t>
      </w:r>
      <w:r w:rsidR="008567BF">
        <w:t xml:space="preserve"> </w:t>
      </w:r>
      <w:r w:rsidRPr="006A0B9F">
        <w:t xml:space="preserve">hectares, although the areas of functional wetland were reduced over the past 50 years as a result of upstream diversion for irrigation, and the construction of levees and clearing of native vegetation </w:t>
      </w:r>
      <w:r w:rsidR="00D20FAE">
        <w:fldChar w:fldCharType="begin"/>
      </w:r>
      <w:r w:rsidR="006171E9">
        <w:instrText xml:space="preserve"> ADDIN EN.CITE &lt;EndNote&gt;&lt;Cite&gt;&lt;Author&gt;Kingsford&lt;/Author&gt;&lt;Year&gt;2004&lt;/Year&gt;&lt;RecNum&gt;2742&lt;/RecNum&gt;&lt;DisplayText&gt;(Kingsford and Thomas 2004)&lt;/DisplayText&gt;&lt;record&gt;&lt;rec-number&gt;2742&lt;/rec-number&gt;&lt;foreign-keys&gt;&lt;key app="EN" db-id="vxxvsda2b05fxpeaw2dp552mtrd5trxdrf0s"&gt;2742&lt;/key&gt;&lt;/foreign-keys&gt;&lt;ref-type name="Journal Article"&gt;17&lt;/ref-type&gt;&lt;contributors&gt;&lt;authors&gt;&lt;author&gt;Kingsford, R T&lt;/author&gt;&lt;author&gt;Thomas, R F&lt;/author&gt;&lt;/authors&gt;&lt;/contributors&gt;&lt;titles&gt;&lt;title&gt;Destruction of wetlands and waterbird populations by dams and irrigation on the Murrumbidgee River in arid Australia&lt;/title&gt;&lt;secondary-title&gt;Environmental Management&lt;/secondary-title&gt;&lt;/titles&gt;&lt;periodical&gt;&lt;full-title&gt;Environmental Management&lt;/full-title&gt;&lt;/periodical&gt;&lt;pages&gt;383-396&lt;/pages&gt;&lt;volume&gt;34&lt;/volume&gt;&lt;number&gt;3&lt;/number&gt;&lt;dates&gt;&lt;year&gt;2004&lt;/year&gt;&lt;/dates&gt;&lt;urls&gt;&lt;/urls&gt;&lt;/record&gt;&lt;/Cite&gt;&lt;/EndNote&gt;</w:instrText>
      </w:r>
      <w:r w:rsidR="00D20FAE">
        <w:fldChar w:fldCharType="separate"/>
      </w:r>
      <w:r w:rsidR="006171E9">
        <w:rPr>
          <w:noProof/>
        </w:rPr>
        <w:t>(</w:t>
      </w:r>
      <w:hyperlink w:anchor="_ENREF_60" w:tooltip="Kingsford, 2004 #2742" w:history="1">
        <w:r w:rsidR="006810E6">
          <w:rPr>
            <w:noProof/>
          </w:rPr>
          <w:t>Kingsford and Thomas 2004</w:t>
        </w:r>
      </w:hyperlink>
      <w:r w:rsidR="006171E9">
        <w:rPr>
          <w:noProof/>
        </w:rPr>
        <w:t>)</w:t>
      </w:r>
      <w:r w:rsidR="00D20FAE">
        <w:fldChar w:fldCharType="end"/>
      </w:r>
      <w:r w:rsidR="008567BF">
        <w:t xml:space="preserve"> </w:t>
      </w:r>
      <w:r w:rsidRPr="006A0B9F">
        <w:t xml:space="preserve">(see </w:t>
      </w:r>
      <w:fldSimple w:instr=" REF _Ref355339062 \h  \* MERGEFORMAT ">
        <w:r w:rsidR="00436595" w:rsidRPr="00436595">
          <w:t xml:space="preserve">Figure </w:t>
        </w:r>
        <w:r w:rsidR="00436595" w:rsidRPr="00436595">
          <w:rPr>
            <w:noProof/>
          </w:rPr>
          <w:t>4</w:t>
        </w:r>
      </w:fldSimple>
      <w:r w:rsidRPr="006A0B9F">
        <w:t xml:space="preserve">). Despite significant hydrological alteration and land clearing the Lowbidgee floodplain remains one of Australia’s most significant wetland complexes, with particular importance for breeding colonies of listed migratory species </w:t>
      </w:r>
      <w:r w:rsidR="00D20FAE">
        <w:fldChar w:fldCharType="begin"/>
      </w:r>
      <w:r w:rsidR="006171E9">
        <w:instrText xml:space="preserve"> ADDIN EN.CITE &lt;EndNote&gt;&lt;Cite&gt;&lt;Author&gt;Kingsford&lt;/Author&gt;&lt;Year&gt;2004&lt;/Year&gt;&lt;RecNum&gt;2742&lt;/RecNum&gt;&lt;DisplayText&gt;(Kingsford, Brandis&lt;style face="italic"&gt; et al.&lt;/style&gt; 2004, Kingsford and Thomas 2004)&lt;/DisplayText&gt;&lt;record&gt;&lt;rec-number&gt;2742&lt;/rec-number&gt;&lt;foreign-keys&gt;&lt;key app="EN" db-id="vxxvsda2b05fxpeaw2dp552mtrd5trxdrf0s"&gt;2742&lt;/key&gt;&lt;/foreign-keys&gt;&lt;ref-type name="Journal Article"&gt;17&lt;/ref-type&gt;&lt;contributors&gt;&lt;authors&gt;&lt;author&gt;Kingsford, R T&lt;/author&gt;&lt;author&gt;Thomas, R F&lt;/author&gt;&lt;/authors&gt;&lt;/contributors&gt;&lt;titles&gt;&lt;title&gt;Destruction of wetlands and waterbird populations by dams and irrigation on the Murrumbidgee River in arid Australia&lt;/title&gt;&lt;secondary-title&gt;Environmental Management&lt;/secondary-title&gt;&lt;/titles&gt;&lt;periodical&gt;&lt;full-title&gt;Environmental Management&lt;/full-title&gt;&lt;/periodical&gt;&lt;pages&gt;383-396&lt;/pages&gt;&lt;volume&gt;34&lt;/volume&gt;&lt;number&gt;3&lt;/number&gt;&lt;dates&gt;&lt;year&gt;2004&lt;/year&gt;&lt;/dates&gt;&lt;urls&gt;&lt;/urls&gt;&lt;/record&gt;&lt;/Cite&gt;&lt;Cite&gt;&lt;Author&gt;Kingsford&lt;/Author&gt;&lt;Year&gt;2004&lt;/Year&gt;&lt;RecNum&gt;3214&lt;/RecNum&gt;&lt;record&gt;&lt;rec-number&gt;3214&lt;/rec-number&gt;&lt;foreign-keys&gt;&lt;key app="EN" db-id="vxxvsda2b05fxpeaw2dp552mtrd5trxdrf0s"&gt;3214&lt;/key&gt;&lt;/foreign-keys&gt;&lt;ref-type name="Journal Article"&gt;17&lt;/ref-type&gt;&lt;contributors&gt;&lt;authors&gt;&lt;author&gt;Kingsford,R. T.&lt;/author&gt;&lt;author&gt;Brandis,K.&lt;/author&gt;&lt;author&gt;Thomas,R. F.&lt;/author&gt;&lt;author&gt;Crighton,P.&lt;/author&gt;&lt;author&gt;Knowles,E.&lt;/author&gt;&lt;author&gt;Gale,E.&lt;/author&gt;&lt;/authors&gt;&lt;/contributors&gt;&lt;titles&gt;&lt;title&gt;Classifying landform at broad spatial scales: the distribution and conservation of wetlands in New South Wales, Australia&lt;/title&gt;&lt;secondary-title&gt;Marine and Freshwater Research&lt;/secondary-title&gt;&lt;/titles&gt;&lt;periodical&gt;&lt;full-title&gt;Marine and Freshwater Research&lt;/full-title&gt;&lt;/periodical&gt;&lt;pages&gt;17-31&lt;/pages&gt;&lt;volume&gt;55&lt;/volume&gt;&lt;number&gt;1&lt;/number&gt;&lt;dates&gt;&lt;year&gt;2004&lt;/year&gt;&lt;/dates&gt;&lt;urls&gt;&lt;related-urls&gt;&lt;url&gt;http://www.publish.csiro.au/paper/MF03075&lt;/url&gt;&lt;/related-urls&gt;&lt;/urls&gt;&lt;electronic-resource-num&gt;http://dx.doi.org/10.1071/MF03075&lt;/electronic-resource-num&gt;&lt;/record&gt;&lt;/Cite&gt;&lt;/EndNote&gt;</w:instrText>
      </w:r>
      <w:r w:rsidR="00D20FAE">
        <w:fldChar w:fldCharType="separate"/>
      </w:r>
      <w:r w:rsidR="006171E9">
        <w:rPr>
          <w:noProof/>
        </w:rPr>
        <w:t>(</w:t>
      </w:r>
      <w:hyperlink w:anchor="_ENREF_56" w:tooltip="Kingsford, 2004 #3214" w:history="1">
        <w:r w:rsidR="006810E6">
          <w:rPr>
            <w:noProof/>
          </w:rPr>
          <w:t>Kingsford, Brandis</w:t>
        </w:r>
        <w:r w:rsidR="006810E6" w:rsidRPr="006171E9">
          <w:rPr>
            <w:i/>
            <w:noProof/>
          </w:rPr>
          <w:t xml:space="preserve"> et al.</w:t>
        </w:r>
        <w:r w:rsidR="006810E6">
          <w:rPr>
            <w:noProof/>
          </w:rPr>
          <w:t xml:space="preserve"> 2004</w:t>
        </w:r>
      </w:hyperlink>
      <w:r w:rsidR="006171E9">
        <w:rPr>
          <w:noProof/>
        </w:rPr>
        <w:t xml:space="preserve">, </w:t>
      </w:r>
      <w:hyperlink w:anchor="_ENREF_60" w:tooltip="Kingsford, 2004 #2742" w:history="1">
        <w:r w:rsidR="006810E6">
          <w:rPr>
            <w:noProof/>
          </w:rPr>
          <w:t>Kingsford and Thomas 2004</w:t>
        </w:r>
      </w:hyperlink>
      <w:r w:rsidR="006171E9">
        <w:rPr>
          <w:noProof/>
        </w:rPr>
        <w:t>)</w:t>
      </w:r>
      <w:r w:rsidR="00D20FAE">
        <w:fldChar w:fldCharType="end"/>
      </w:r>
      <w:r w:rsidRPr="006A0B9F">
        <w:t>. The Lowbidgee floodplain is also one of the few remaining natural wetland complexes to support the vulnerable Southern Bell frog (</w:t>
      </w:r>
      <w:r w:rsidRPr="006A0B9F">
        <w:rPr>
          <w:i/>
        </w:rPr>
        <w:t>Litoria raniformis</w:t>
      </w:r>
      <w:r w:rsidRPr="006A0B9F">
        <w:t>) (EPBC Act). For water management purposes</w:t>
      </w:r>
      <w:r w:rsidR="008567BF">
        <w:t>,</w:t>
      </w:r>
      <w:r w:rsidRPr="006A0B9F">
        <w:t xml:space="preserve"> the Lowbidgee floodplain is divided into five</w:t>
      </w:r>
      <w:r w:rsidR="00B52B50">
        <w:rPr>
          <w:rStyle w:val="CommentReference"/>
        </w:rPr>
        <w:t xml:space="preserve"> </w:t>
      </w:r>
      <w:r w:rsidRPr="006A0B9F">
        <w:t xml:space="preserve">main management regions </w:t>
      </w:r>
      <w:r w:rsidR="00D20FAE">
        <w:fldChar w:fldCharType="begin"/>
      </w:r>
      <w:r w:rsidR="006171E9">
        <w:instrText xml:space="preserve"> ADDIN EN.CITE &lt;EndNote&gt;&lt;Cite&gt;&lt;Author&gt;Murrumbidgee Catchment Management Authority&lt;/Author&gt;&lt;Year&gt;2009&lt;/Year&gt;&lt;RecNum&gt;3321&lt;/RecNum&gt;&lt;DisplayText&gt;(Murrumbidgee Catchment Management Authority 2009)&lt;/DisplayText&gt;&lt;record&gt;&lt;rec-number&gt;3321&lt;/rec-number&gt;&lt;foreign-keys&gt;&lt;key app="EN" db-id="vxxvsda2b05fxpeaw2dp552mtrd5trxdrf0s"&gt;3321&lt;/key&gt;&lt;/foreign-keys&gt;&lt;ref-type name="Book"&gt;6&lt;/ref-type&gt;&lt;contributors&gt;&lt;authors&gt;&lt;author&gt;Murrumbidgee Catchment Management Authority,&lt;/author&gt;&lt;/authors&gt;&lt;/contributors&gt;&lt;titles&gt;&lt;title&gt;Lower Murrumbidgee Floodplain: Natural resource management plan&lt;/title&gt;&lt;/titles&gt;&lt;dates&gt;&lt;year&gt;2009&lt;/year&gt;&lt;/dates&gt;&lt;pub-location&gt;Wagga Wagga&lt;/pub-location&gt;&lt;publisher&gt;Murrumbidgee Catchment Management Authority&amp;#xD;&lt;/publisher&gt;&lt;urls&gt;&lt;/urls&gt;&lt;/record&gt;&lt;/Cite&gt;&lt;/EndNote&gt;</w:instrText>
      </w:r>
      <w:r w:rsidR="00D20FAE">
        <w:fldChar w:fldCharType="separate"/>
      </w:r>
      <w:r w:rsidR="006171E9">
        <w:rPr>
          <w:noProof/>
        </w:rPr>
        <w:t>(</w:t>
      </w:r>
      <w:hyperlink w:anchor="_ENREF_73" w:tooltip="Murrumbidgee Catchment Management Authority, 2009 #3321" w:history="1">
        <w:r w:rsidR="006810E6">
          <w:rPr>
            <w:noProof/>
          </w:rPr>
          <w:t>Murrumbidgee Catchment Management Authority 2009</w:t>
        </w:r>
      </w:hyperlink>
      <w:r w:rsidR="006171E9">
        <w:rPr>
          <w:noProof/>
        </w:rPr>
        <w:t>)</w:t>
      </w:r>
      <w:r w:rsidR="00D20FAE">
        <w:fldChar w:fldCharType="end"/>
      </w:r>
      <w:r w:rsidRPr="006A0B9F">
        <w:t xml:space="preserve">: </w:t>
      </w:r>
    </w:p>
    <w:p w:rsidR="0032121F" w:rsidRPr="006A0B9F" w:rsidRDefault="0032121F" w:rsidP="003B1FA3">
      <w:pPr>
        <w:numPr>
          <w:ilvl w:val="0"/>
          <w:numId w:val="7"/>
        </w:numPr>
        <w:spacing w:after="0"/>
      </w:pPr>
      <w:r w:rsidRPr="006A0B9F">
        <w:t>the Nimmie-Caria,</w:t>
      </w:r>
    </w:p>
    <w:p w:rsidR="0032121F" w:rsidRPr="006A0B9F" w:rsidRDefault="0032121F" w:rsidP="003B1FA3">
      <w:pPr>
        <w:numPr>
          <w:ilvl w:val="0"/>
          <w:numId w:val="7"/>
        </w:numPr>
        <w:spacing w:after="200" w:line="240" w:lineRule="auto"/>
      </w:pPr>
      <w:r w:rsidRPr="006A0B9F">
        <w:t>Fiddlers-Uara,</w:t>
      </w:r>
    </w:p>
    <w:p w:rsidR="0032121F" w:rsidRPr="006A0B9F" w:rsidRDefault="0032121F" w:rsidP="003B1FA3">
      <w:pPr>
        <w:numPr>
          <w:ilvl w:val="0"/>
          <w:numId w:val="7"/>
        </w:numPr>
        <w:spacing w:after="200" w:line="240" w:lineRule="auto"/>
      </w:pPr>
      <w:r w:rsidRPr="006A0B9F">
        <w:t xml:space="preserve">Murrumbidgee corridor, </w:t>
      </w:r>
    </w:p>
    <w:p w:rsidR="0032121F" w:rsidRPr="006A0B9F" w:rsidRDefault="0032121F" w:rsidP="003B1FA3">
      <w:pPr>
        <w:numPr>
          <w:ilvl w:val="0"/>
          <w:numId w:val="7"/>
        </w:numPr>
        <w:spacing w:after="200" w:line="240" w:lineRule="auto"/>
      </w:pPr>
      <w:r w:rsidRPr="006A0B9F">
        <w:t>Redbank (sp</w:t>
      </w:r>
      <w:r w:rsidR="00B52B50">
        <w:t>li</w:t>
      </w:r>
      <w:r w:rsidRPr="006A0B9F">
        <w:t>t into the South and North Redbank systems), and</w:t>
      </w:r>
    </w:p>
    <w:p w:rsidR="0032121F" w:rsidRPr="006A0B9F" w:rsidRDefault="0032121F" w:rsidP="003B1FA3">
      <w:pPr>
        <w:numPr>
          <w:ilvl w:val="0"/>
          <w:numId w:val="7"/>
        </w:numPr>
        <w:spacing w:after="200" w:line="240" w:lineRule="auto"/>
      </w:pPr>
      <w:proofErr w:type="gramStart"/>
      <w:r w:rsidRPr="006A0B9F">
        <w:t>areas</w:t>
      </w:r>
      <w:proofErr w:type="gramEnd"/>
      <w:r w:rsidRPr="006A0B9F">
        <w:t xml:space="preserve"> downstream of Balranald</w:t>
      </w:r>
      <w:r w:rsidR="008567BF">
        <w:t>.</w:t>
      </w:r>
      <w:r w:rsidRPr="006A0B9F">
        <w:t xml:space="preserve"> </w:t>
      </w:r>
    </w:p>
    <w:p w:rsidR="0032121F" w:rsidRPr="006A0B9F" w:rsidRDefault="0032121F" w:rsidP="0032121F"/>
    <w:p w:rsidR="0032121F" w:rsidRPr="006A0B9F" w:rsidRDefault="0032121F" w:rsidP="0032121F">
      <w:r w:rsidRPr="006A0B9F">
        <w:t>The Redbank system contains highly significant open spike rush wetlands, including Mercedes Swamp, Two Bridges Swamp and Piggery Lake (</w:t>
      </w:r>
      <w:fldSimple w:instr=" REF _Ref349737190 \h  \* MERGEFORMAT ">
        <w:r w:rsidR="00436595" w:rsidRPr="00436595">
          <w:t xml:space="preserve">Plate </w:t>
        </w:r>
        <w:r w:rsidR="00436595" w:rsidRPr="00436595">
          <w:rPr>
            <w:noProof/>
          </w:rPr>
          <w:t>4</w:t>
        </w:r>
      </w:fldSimple>
      <w:r w:rsidRPr="006A0B9F">
        <w:t xml:space="preserve">). These wetlands support a very high diversity of aquatic vegetation species and are critically important for the southern bell frog, waterbirds and other wetland fauna </w:t>
      </w:r>
      <w:r w:rsidR="00D20FAE">
        <w:fldChar w:fldCharType="begin"/>
      </w:r>
      <w:r w:rsidR="006171E9">
        <w:instrText xml:space="preserve"> ADDIN EN.CITE &lt;EndNote&gt;&lt;Cite&gt;&lt;Author&gt;Spencer&lt;/Author&gt;&lt;Year&gt;2010&lt;/Year&gt;&lt;RecNum&gt;3271&lt;/RecNum&gt;&lt;DisplayText&gt;(Spencer and Wassens 2010, Spencer, Wassens&lt;style face="italic"&gt; et al.&lt;/style&gt; 2011)&lt;/DisplayText&gt;&lt;record&gt;&lt;rec-number&gt;3271&lt;/rec-number&gt;&lt;foreign-keys&gt;&lt;key app="EN" db-id="vxxvsda2b05fxpeaw2dp552mtrd5trxdrf0s"&gt;3271&lt;/key&gt;&lt;/foreign-keys&gt;&lt;ref-type name="Book"&gt;6&lt;/ref-type&gt;&lt;contributors&gt;&lt;authors&gt;&lt;author&gt;Spencer, J.A. &lt;/author&gt;&lt;author&gt;Wassens, S.&lt;/author&gt;&lt;/authors&gt;&lt;/contributors&gt;&lt;titles&gt;&lt;title&gt;Monitoring the responses of waterbirds, fish and frogs to environmental flows in the Lowbidgee wetlands from 2008–10. Final report for the NSW Rivers Environmental Restoration Program. Rivers and Wetland Unit&lt;/title&gt;&lt;/titles&gt;&lt;dates&gt;&lt;year&gt;2010&lt;/year&gt;&lt;/dates&gt;&lt;pub-location&gt;Sydney and Wagga Wagga.&lt;/pub-location&gt;&lt;publisher&gt; NSW Department of Environment, Climate Change and Water  and Institute for Land, Water and Society, Charles Sturt University&lt;/publisher&gt;&lt;urls&gt;&lt;/urls&gt;&lt;/record&gt;&lt;/Cite&gt;&lt;Cite&gt;&lt;Author&gt;Spencer&lt;/Author&gt;&lt;Year&gt;2011&lt;/Year&gt;&lt;RecNum&gt;3331&lt;/RecNum&gt;&lt;record&gt;&lt;rec-number&gt;3331&lt;/rec-number&gt;&lt;foreign-keys&gt;&lt;key app="EN" db-id="vxxvsda2b05fxpeaw2dp552mtrd5trxdrf0s"&gt;3331&lt;/key&gt;&lt;/foreign-keys&gt;&lt;ref-type name="Book"&gt;6&lt;/ref-type&gt;&lt;contributors&gt;&lt;authors&gt;&lt;author&gt;Spencer, J.A.&lt;/author&gt;&lt;author&gt;Wassens, S.&lt;/author&gt;&lt;author&gt;Thomas, R.F.&lt;/author&gt;&lt;author&gt;Lu, Y.&lt;/author&gt;&lt;author&gt;Iles, J.&lt;/author&gt;&lt;author&gt;Hunter, S.&lt;/author&gt;&lt;author&gt;Kobayashi, Y. &lt;/author&gt;&lt;/authors&gt;&lt;/contributors&gt;&lt;titles&gt;&lt;title&gt;Summary report on results of flow monitoring in the Lowbidgee wetlands in 2010-11.&lt;/title&gt;&lt;/titles&gt;&lt;dates&gt;&lt;year&gt;2011&lt;/year&gt;&lt;/dates&gt;&lt;publisher&gt;NSW Office of Environment and Heritage, Sydney, and Charles Sturt University, Wagga &lt;/publisher&gt;&lt;urls&gt;&lt;/urls&gt;&lt;/record&gt;&lt;/Cite&gt;&lt;/EndNote&gt;</w:instrText>
      </w:r>
      <w:r w:rsidR="00D20FAE">
        <w:fldChar w:fldCharType="separate"/>
      </w:r>
      <w:r w:rsidR="006171E9">
        <w:rPr>
          <w:noProof/>
        </w:rPr>
        <w:t>(</w:t>
      </w:r>
      <w:hyperlink w:anchor="_ENREF_94" w:tooltip="Spencer, 2010 #3271" w:history="1">
        <w:r w:rsidR="006810E6">
          <w:rPr>
            <w:noProof/>
          </w:rPr>
          <w:t>Spencer and Wassens 2010</w:t>
        </w:r>
      </w:hyperlink>
      <w:r w:rsidR="006171E9">
        <w:rPr>
          <w:noProof/>
        </w:rPr>
        <w:t xml:space="preserve">, </w:t>
      </w:r>
      <w:hyperlink w:anchor="_ENREF_95" w:tooltip="Spencer, 2011 #3331" w:history="1">
        <w:r w:rsidR="006810E6">
          <w:rPr>
            <w:noProof/>
          </w:rPr>
          <w:t>Spencer, Wassens</w:t>
        </w:r>
        <w:r w:rsidR="006810E6" w:rsidRPr="006171E9">
          <w:rPr>
            <w:i/>
            <w:noProof/>
          </w:rPr>
          <w:t xml:space="preserve"> et al.</w:t>
        </w:r>
        <w:r w:rsidR="006810E6">
          <w:rPr>
            <w:noProof/>
          </w:rPr>
          <w:t xml:space="preserve"> 2011</w:t>
        </w:r>
      </w:hyperlink>
      <w:r w:rsidR="006171E9">
        <w:rPr>
          <w:noProof/>
        </w:rPr>
        <w:t>)</w:t>
      </w:r>
      <w:r w:rsidR="00D20FAE">
        <w:fldChar w:fldCharType="end"/>
      </w:r>
      <w:r w:rsidRPr="006A0B9F">
        <w:t xml:space="preserve">. The open structure of these wetlands is maintained by </w:t>
      </w:r>
      <w:r w:rsidRPr="006A0B9F">
        <w:rPr>
          <w:szCs w:val="24"/>
        </w:rPr>
        <w:t>frequent watering and relatively long hydroperiods</w:t>
      </w:r>
      <w:r w:rsidR="008567BF">
        <w:rPr>
          <w:szCs w:val="24"/>
        </w:rPr>
        <w:t>,</w:t>
      </w:r>
      <w:r w:rsidRPr="006A0B9F">
        <w:rPr>
          <w:szCs w:val="24"/>
        </w:rPr>
        <w:t xml:space="preserve"> which limits river red gum (</w:t>
      </w:r>
      <w:r w:rsidRPr="006A0B9F">
        <w:rPr>
          <w:rFonts w:cs="Arial"/>
          <w:i/>
          <w:color w:val="222222"/>
          <w:szCs w:val="24"/>
          <w:shd w:val="clear" w:color="auto" w:fill="FFFFFF"/>
        </w:rPr>
        <w:t>Eucalyptus camaldulensis</w:t>
      </w:r>
      <w:r w:rsidRPr="006A0B9F">
        <w:rPr>
          <w:szCs w:val="24"/>
        </w:rPr>
        <w:t>) recruitment within the main body of the wetlands.</w:t>
      </w:r>
      <w:r w:rsidRPr="006A0B9F">
        <w:t xml:space="preserve">  </w:t>
      </w:r>
    </w:p>
    <w:p w:rsidR="0032121F" w:rsidRDefault="0032121F" w:rsidP="0032121F">
      <w:r>
        <w:br w:type="page"/>
        <w:t xml:space="preserve">The Redbank system is dominated by flood dependent river red gum forest. River red gum communities can be impacted by alteration of flooding regimes in three key ways: </w:t>
      </w:r>
    </w:p>
    <w:p w:rsidR="0032121F" w:rsidRDefault="0032121F" w:rsidP="003B1FA3">
      <w:pPr>
        <w:numPr>
          <w:ilvl w:val="0"/>
          <w:numId w:val="6"/>
        </w:numPr>
        <w:spacing w:after="200" w:line="240" w:lineRule="auto"/>
      </w:pPr>
      <w:r>
        <w:t xml:space="preserve">declining of tree condition due to reduced flooding and stranding </w:t>
      </w:r>
      <w:r w:rsidR="00D20FAE">
        <w:fldChar w:fldCharType="begin"/>
      </w:r>
      <w:r w:rsidR="006171E9">
        <w:instrText xml:space="preserve"> ADDIN EN.CITE &lt;EndNote&gt;&lt;Cite&gt;&lt;Author&gt;Wen&lt;/Author&gt;&lt;Year&gt;2009&lt;/Year&gt;&lt;RecNum&gt;3322&lt;/RecNum&gt;&lt;DisplayText&gt;(Wen, Ling&lt;style face="italic"&gt; et al.&lt;/style&gt; 2009)&lt;/DisplayText&gt;&lt;record&gt;&lt;rec-number&gt;3322&lt;/rec-number&gt;&lt;foreign-keys&gt;&lt;key app="EN" db-id="vxxvsda2b05fxpeaw2dp552mtrd5trxdrf0s"&gt;3322&lt;/key&gt;&lt;/foreign-keys&gt;&lt;ref-type name="Journal Article"&gt;17&lt;/ref-type&gt;&lt;contributors&gt;&lt;authors&gt;&lt;author&gt;Wen, Li&lt;/author&gt;&lt;author&gt;Ling, Joanne&lt;/author&gt;&lt;author&gt;Saintilan, Neil&lt;/author&gt;&lt;author&gt;Rogers, Kerrylee&lt;/author&gt;&lt;/authors&gt;&lt;/contributors&gt;&lt;titles&gt;&lt;title&gt;&lt;style face="normal" font="default" size="100%"&gt;An investigation of the hydrological requirements of River Red Gum (&lt;/style&gt;&lt;style face="italic" font="default" size="100%"&gt;Eucalyptus camaldulensis&lt;/style&gt;&lt;style face="normal" font="default" size="100%"&gt;) Forest, using Classification and Regression Tree modelling&lt;/style&gt;&lt;/title&gt;&lt;secondary-title&gt;Ecohydrology&lt;/secondary-title&gt;&lt;/titles&gt;&lt;periodical&gt;&lt;full-title&gt;Ecohydrology&lt;/full-title&gt;&lt;/periodical&gt;&lt;pages&gt;143-155&lt;/pages&gt;&lt;volume&gt;2&lt;/volume&gt;&lt;number&gt;2&lt;/number&gt;&lt;keywords&gt;&lt;keyword&gt;Classification and Regression Tree&lt;/keyword&gt;&lt;keyword&gt;River Red Gum&lt;/keyword&gt;&lt;keyword&gt;crown condition&lt;/keyword&gt;&lt;keyword&gt;flooding history&lt;/keyword&gt;&lt;keyword&gt;floodplain&lt;/keyword&gt;&lt;keyword&gt;environmental water&lt;/keyword&gt;&lt;/keywords&gt;&lt;dates&gt;&lt;year&gt;2009&lt;/year&gt;&lt;/dates&gt;&lt;publisher&gt;John Wiley &amp;amp; Sons, Ltd.&lt;/publisher&gt;&lt;isbn&gt;1936-0592&lt;/isbn&gt;&lt;urls&gt;&lt;related-urls&gt;&lt;url&gt;http://dx.doi.org/10.1002/eco.46&lt;/url&gt;&lt;/related-urls&gt;&lt;/urls&gt;&lt;electronic-resource-num&gt;10.1002/eco.46&lt;/electronic-resource-num&gt;&lt;/record&gt;&lt;/Cite&gt;&lt;/EndNote&gt;</w:instrText>
      </w:r>
      <w:r w:rsidR="00D20FAE">
        <w:fldChar w:fldCharType="separate"/>
      </w:r>
      <w:r w:rsidR="006171E9">
        <w:rPr>
          <w:noProof/>
        </w:rPr>
        <w:t>(</w:t>
      </w:r>
      <w:hyperlink w:anchor="_ENREF_111" w:tooltip="Wen, 2009 #3322" w:history="1">
        <w:r w:rsidR="006810E6">
          <w:rPr>
            <w:noProof/>
          </w:rPr>
          <w:t>Wen, Ling</w:t>
        </w:r>
        <w:r w:rsidR="006810E6" w:rsidRPr="006171E9">
          <w:rPr>
            <w:i/>
            <w:noProof/>
          </w:rPr>
          <w:t xml:space="preserve"> et al.</w:t>
        </w:r>
        <w:r w:rsidR="006810E6">
          <w:rPr>
            <w:noProof/>
          </w:rPr>
          <w:t xml:space="preserve"> 2009</w:t>
        </w:r>
      </w:hyperlink>
      <w:r w:rsidR="006171E9">
        <w:rPr>
          <w:noProof/>
        </w:rPr>
        <w:t>)</w:t>
      </w:r>
      <w:r w:rsidR="00D20FAE">
        <w:fldChar w:fldCharType="end"/>
      </w:r>
      <w:r>
        <w:t xml:space="preserve">, </w:t>
      </w:r>
    </w:p>
    <w:p w:rsidR="0032121F" w:rsidRDefault="0032121F" w:rsidP="003B1FA3">
      <w:pPr>
        <w:numPr>
          <w:ilvl w:val="0"/>
          <w:numId w:val="6"/>
        </w:numPr>
        <w:spacing w:after="200" w:line="240" w:lineRule="auto"/>
      </w:pPr>
      <w:r>
        <w:t xml:space="preserve">loss of open forest structure and crowding of understory species by river red gum saplings </w:t>
      </w:r>
      <w:r w:rsidR="00D20FAE">
        <w:fldChar w:fldCharType="begin"/>
      </w:r>
      <w:r w:rsidR="006171E9">
        <w:instrText xml:space="preserve"> ADDIN EN.CITE &lt;EndNote&gt;&lt;Cite&gt;&lt;Author&gt;Bren&lt;/Author&gt;&lt;Year&gt;1992&lt;/Year&gt;&lt;RecNum&gt;2992&lt;/RecNum&gt;&lt;DisplayText&gt;(Bren 1992)&lt;/DisplayText&gt;&lt;record&gt;&lt;rec-number&gt;2992&lt;/rec-number&gt;&lt;foreign-keys&gt;&lt;key app="EN" db-id="vxxvsda2b05fxpeaw2dp552mtrd5trxdrf0s"&gt;2992&lt;/key&gt;&lt;/foreign-keys&gt;&lt;ref-type name="Journal Article"&gt;17&lt;/ref-type&gt;&lt;contributors&gt;&lt;authors&gt;&lt;author&gt;Bren, L. J.&lt;/author&gt;&lt;/authors&gt;&lt;/contributors&gt;&lt;titles&gt;&lt;title&gt;Tree invasion of an intermittent wetland in relation to changes in the flooding frequency of the River Murray, Australia&lt;/title&gt;&lt;secondary-title&gt;Australian Journal of Ecology&lt;/secondary-title&gt;&lt;/titles&gt;&lt;periodical&gt;&lt;full-title&gt;Australian Journal of Ecology&lt;/full-title&gt;&lt;/periodical&gt;&lt;pages&gt;395-408&lt;/pages&gt;&lt;volume&gt;17&lt;/volume&gt;&lt;number&gt;4&lt;/number&gt;&lt;dates&gt;&lt;year&gt;1992&lt;/year&gt;&lt;/dates&gt;&lt;publisher&gt;Blackwell Publishing Ltd&lt;/publisher&gt;&lt;isbn&gt;1442-9993&lt;/isbn&gt;&lt;urls&gt;&lt;related-urls&gt;&lt;url&gt;http://dx.doi.org/10.1111/j.1442-9993.1992.tb00822.x&lt;/url&gt;&lt;/related-urls&gt;&lt;/urls&gt;&lt;electronic-resource-num&gt;10.1111/j.1442-9993.1992.tb00822.x&lt;/electronic-resource-num&gt;&lt;/record&gt;&lt;/Cite&gt;&lt;/EndNote&gt;</w:instrText>
      </w:r>
      <w:r w:rsidR="00D20FAE">
        <w:fldChar w:fldCharType="separate"/>
      </w:r>
      <w:r w:rsidR="006171E9">
        <w:rPr>
          <w:noProof/>
        </w:rPr>
        <w:t>(</w:t>
      </w:r>
      <w:hyperlink w:anchor="_ENREF_17" w:tooltip="Bren, 1992 #2992" w:history="1">
        <w:r w:rsidR="006810E6">
          <w:rPr>
            <w:noProof/>
          </w:rPr>
          <w:t>Bren 1992</w:t>
        </w:r>
      </w:hyperlink>
      <w:r w:rsidR="006171E9">
        <w:rPr>
          <w:noProof/>
        </w:rPr>
        <w:t>)</w:t>
      </w:r>
      <w:r w:rsidR="00D20FAE">
        <w:fldChar w:fldCharType="end"/>
      </w:r>
      <w:r>
        <w:t xml:space="preserve">, and </w:t>
      </w:r>
    </w:p>
    <w:p w:rsidR="0032121F" w:rsidRDefault="0032121F" w:rsidP="003B1FA3">
      <w:pPr>
        <w:numPr>
          <w:ilvl w:val="0"/>
          <w:numId w:val="6"/>
        </w:numPr>
        <w:spacing w:after="200" w:line="240" w:lineRule="auto"/>
      </w:pPr>
      <w:r>
        <w:t xml:space="preserve">declining tree condition due to increasing water permanence </w:t>
      </w:r>
      <w:r w:rsidR="00D20FAE">
        <w:fldChar w:fldCharType="begin"/>
      </w:r>
      <w:r w:rsidR="006171E9">
        <w:instrText xml:space="preserve"> ADDIN EN.CITE &lt;EndNote&gt;&lt;Cite&gt;&lt;Author&gt;Briggs&lt;/Author&gt;&lt;Year&gt;1999&lt;/Year&gt;&lt;RecNum&gt;3161&lt;/RecNum&gt;&lt;DisplayText&gt;(Briggs and Thornton 1999)&lt;/DisplayText&gt;&lt;record&gt;&lt;rec-number&gt;3161&lt;/rec-number&gt;&lt;foreign-keys&gt;&lt;key app="EN" db-id="vxxvsda2b05fxpeaw2dp552mtrd5trxdrf0s"&gt;3161&lt;/key&gt;&lt;/foreign-keys&gt;&lt;ref-type name="Journal Article"&gt;17&lt;/ref-type&gt;&lt;contributors&gt;&lt;authors&gt;&lt;author&gt;Briggs, S. V.&lt;/author&gt;&lt;author&gt;Thornton, S.A.&lt;/author&gt;&lt;/authors&gt;&lt;/contributors&gt;&lt;titles&gt;&lt;title&gt;Management of water regimes in River Red Gum Eucalyptus camaldulensis wetlands for waterbird breeding&lt;/title&gt;&lt;secondary-title&gt;Australian Zoologist&lt;/secondary-title&gt;&lt;/titles&gt;&lt;periodical&gt;&lt;full-title&gt;Australian Zoologist&lt;/full-title&gt;&lt;/periodical&gt;&lt;pages&gt;187-197&lt;/pages&gt;&lt;volume&gt;31&lt;/volume&gt;&lt;number&gt;1&lt;/number&gt;&lt;dates&gt;&lt;year&gt;1999&lt;/year&gt;&lt;/dates&gt;&lt;urls&gt;&lt;/urls&gt;&lt;/record&gt;&lt;/Cite&gt;&lt;/EndNote&gt;</w:instrText>
      </w:r>
      <w:r w:rsidR="00D20FAE">
        <w:fldChar w:fldCharType="separate"/>
      </w:r>
      <w:r w:rsidR="006171E9">
        <w:rPr>
          <w:noProof/>
        </w:rPr>
        <w:t>(</w:t>
      </w:r>
      <w:hyperlink w:anchor="_ENREF_18" w:tooltip="Briggs, 1999 #3161" w:history="1">
        <w:r w:rsidR="006810E6">
          <w:rPr>
            <w:noProof/>
          </w:rPr>
          <w:t>Briggs and Thornton 1999</w:t>
        </w:r>
      </w:hyperlink>
      <w:r w:rsidR="006171E9">
        <w:rPr>
          <w:noProof/>
        </w:rPr>
        <w:t>)</w:t>
      </w:r>
      <w:r w:rsidR="00D20FAE">
        <w:fldChar w:fldCharType="end"/>
      </w:r>
      <w:r>
        <w:t xml:space="preserve">.   </w:t>
      </w:r>
    </w:p>
    <w:p w:rsidR="0032121F" w:rsidRDefault="0032121F" w:rsidP="0032121F"/>
    <w:p w:rsidR="0032121F" w:rsidRDefault="0032121F" w:rsidP="0032121F">
      <w:r>
        <w:t>Water managers within river red gum forests must therefore strive to maintain watering regimes that both pr</w:t>
      </w:r>
      <w:r w:rsidR="008567BF">
        <w:t>omote tree health and encourage</w:t>
      </w:r>
      <w:r>
        <w:t xml:space="preserve"> natural thinning of river red gum saplings, while ensuring appropriate drying periods between water events. </w:t>
      </w:r>
    </w:p>
    <w:p w:rsidR="0032121F" w:rsidRDefault="0032121F" w:rsidP="0032121F">
      <w:r>
        <w:t>In general</w:t>
      </w:r>
      <w:r w:rsidR="008567BF">
        <w:t>,</w:t>
      </w:r>
      <w:r>
        <w:t xml:space="preserve"> the health of </w:t>
      </w:r>
      <w:r w:rsidRPr="0095663B">
        <w:t xml:space="preserve">river red </w:t>
      </w:r>
      <w:r w:rsidRPr="00F672F9">
        <w:t>gums within</w:t>
      </w:r>
      <w:r>
        <w:t xml:space="preserve"> the Murrumbidgee floodplain is improving due to an increase in the frequency and extent of natural and managed flows across the floodplain since 2009. However</w:t>
      </w:r>
      <w:r w:rsidR="008567BF">
        <w:t>,</w:t>
      </w:r>
      <w:r>
        <w:t xml:space="preserve"> small numbers of river red gum in wetlands close to the Redbank Weir show signs of water stress, due to a prolonged period of inundation caused by high water levels in the main river channel that resulted in overbanking and pooling of water against raised roadways and flow control infrastructure. In response to the declining tree condition, water managers opted to keep river heights below the inflow levels for the Lowbidgee wetlands during the environmental release (Option 1) in order to promote wetland draw down and improve the health of affected river red gums. </w:t>
      </w:r>
    </w:p>
    <w:p w:rsidR="00CD5B1E" w:rsidRDefault="00CD5B1E">
      <w:r>
        <w:br w:type="page"/>
      </w:r>
    </w:p>
    <w:tbl>
      <w:tblPr>
        <w:tblW w:w="9606" w:type="dxa"/>
        <w:tblLayout w:type="fixed"/>
        <w:tblLook w:val="04A0"/>
      </w:tblPr>
      <w:tblGrid>
        <w:gridCol w:w="4928"/>
        <w:gridCol w:w="4678"/>
      </w:tblGrid>
      <w:tr w:rsidR="0032121F" w:rsidRPr="00A43FD0" w:rsidTr="00105CD5">
        <w:tc>
          <w:tcPr>
            <w:tcW w:w="492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2884170" cy="2162810"/>
                  <wp:effectExtent l="19050" t="0" r="0" b="0"/>
                  <wp:docPr id="21" name="Picture 21" descr="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85"/>
                          <pic:cNvPicPr>
                            <a:picLocks noChangeAspect="1" noChangeArrowheads="1"/>
                          </pic:cNvPicPr>
                        </pic:nvPicPr>
                        <pic:blipFill>
                          <a:blip r:embed="rId44"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rPr>
                <w:sz w:val="20"/>
                <w:szCs w:val="20"/>
              </w:rPr>
            </w:pPr>
            <w:r w:rsidRPr="00A43FD0">
              <w:rPr>
                <w:sz w:val="20"/>
                <w:szCs w:val="20"/>
              </w:rPr>
              <w:t>Mercedes Swamp</w:t>
            </w:r>
          </w:p>
        </w:tc>
        <w:tc>
          <w:tcPr>
            <w:tcW w:w="467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2884170" cy="2162810"/>
                  <wp:effectExtent l="19050" t="0" r="0" b="0"/>
                  <wp:docPr id="22" name="Picture 22" descr="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64"/>
                          <pic:cNvPicPr>
                            <a:picLocks noChangeAspect="1" noChangeArrowheads="1"/>
                          </pic:cNvPicPr>
                        </pic:nvPicPr>
                        <pic:blipFill>
                          <a:blip r:embed="rId45"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rPr>
                <w:sz w:val="20"/>
                <w:szCs w:val="20"/>
              </w:rPr>
            </w:pPr>
            <w:r w:rsidRPr="00A43FD0">
              <w:rPr>
                <w:sz w:val="20"/>
                <w:szCs w:val="20"/>
              </w:rPr>
              <w:t>Two Bridges Swamp</w:t>
            </w:r>
          </w:p>
        </w:tc>
      </w:tr>
      <w:tr w:rsidR="0032121F" w:rsidRPr="00A43FD0" w:rsidTr="00105CD5">
        <w:tc>
          <w:tcPr>
            <w:tcW w:w="492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2830830" cy="2127885"/>
                  <wp:effectExtent l="19050" t="0" r="7620" b="0"/>
                  <wp:docPr id="23" name="Picture 23"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83"/>
                          <pic:cNvPicPr>
                            <a:picLocks noChangeAspect="1" noChangeArrowheads="1"/>
                          </pic:cNvPicPr>
                        </pic:nvPicPr>
                        <pic:blipFill>
                          <a:blip r:embed="rId46" cstate="print"/>
                          <a:srcRect/>
                          <a:stretch>
                            <a:fillRect/>
                          </a:stretch>
                        </pic:blipFill>
                        <pic:spPr bwMode="auto">
                          <a:xfrm>
                            <a:off x="0" y="0"/>
                            <a:ext cx="2830830" cy="2127885"/>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rPr>
                <w:sz w:val="20"/>
                <w:szCs w:val="20"/>
              </w:rPr>
            </w:pPr>
            <w:r w:rsidRPr="00A43FD0">
              <w:rPr>
                <w:sz w:val="20"/>
                <w:szCs w:val="20"/>
              </w:rPr>
              <w:t>Narwie West ( north Redbank system)</w:t>
            </w:r>
          </w:p>
        </w:tc>
        <w:tc>
          <w:tcPr>
            <w:tcW w:w="467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2830830" cy="2127885"/>
                  <wp:effectExtent l="19050" t="0" r="7620" b="0"/>
                  <wp:docPr id="24" name="Picture 24" descr="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28"/>
                          <pic:cNvPicPr>
                            <a:picLocks noChangeAspect="1" noChangeArrowheads="1"/>
                          </pic:cNvPicPr>
                        </pic:nvPicPr>
                        <pic:blipFill>
                          <a:blip r:embed="rId47" cstate="print"/>
                          <a:srcRect/>
                          <a:stretch>
                            <a:fillRect/>
                          </a:stretch>
                        </pic:blipFill>
                        <pic:spPr bwMode="auto">
                          <a:xfrm>
                            <a:off x="0" y="0"/>
                            <a:ext cx="2830830" cy="2127885"/>
                          </a:xfrm>
                          <a:prstGeom prst="rect">
                            <a:avLst/>
                          </a:prstGeom>
                          <a:noFill/>
                          <a:ln w="9525">
                            <a:noFill/>
                            <a:miter lim="800000"/>
                            <a:headEnd/>
                            <a:tailEnd/>
                          </a:ln>
                        </pic:spPr>
                      </pic:pic>
                    </a:graphicData>
                  </a:graphic>
                </wp:inline>
              </w:drawing>
            </w:r>
          </w:p>
          <w:p w:rsidR="0032121F" w:rsidRPr="00A43FD0" w:rsidRDefault="0032121F" w:rsidP="00105CD5">
            <w:pPr>
              <w:spacing w:after="0" w:line="240" w:lineRule="auto"/>
              <w:rPr>
                <w:sz w:val="20"/>
                <w:szCs w:val="20"/>
              </w:rPr>
            </w:pPr>
            <w:r w:rsidRPr="00A43FD0">
              <w:rPr>
                <w:sz w:val="20"/>
                <w:szCs w:val="20"/>
              </w:rPr>
              <w:t>Piggery Lake</w:t>
            </w:r>
          </w:p>
        </w:tc>
      </w:tr>
      <w:tr w:rsidR="0032121F" w:rsidRPr="00A43FD0" w:rsidTr="00105CD5">
        <w:tc>
          <w:tcPr>
            <w:tcW w:w="4928" w:type="dxa"/>
          </w:tcPr>
          <w:p w:rsidR="0032121F" w:rsidRPr="00A43FD0" w:rsidRDefault="0087202F" w:rsidP="00105CD5">
            <w:pPr>
              <w:spacing w:after="0" w:line="240" w:lineRule="auto"/>
              <w:rPr>
                <w:sz w:val="20"/>
                <w:szCs w:val="20"/>
              </w:rPr>
            </w:pPr>
            <w:r>
              <w:rPr>
                <w:noProof/>
                <w:sz w:val="20"/>
                <w:szCs w:val="20"/>
                <w:lang w:eastAsia="en-AU"/>
              </w:rPr>
              <w:drawing>
                <wp:inline distT="0" distB="0" distL="0" distR="0">
                  <wp:extent cx="2884170" cy="2162810"/>
                  <wp:effectExtent l="19050" t="0" r="0" b="0"/>
                  <wp:docPr id="25" name="Picture 25" descr="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50"/>
                          <pic:cNvPicPr>
                            <a:picLocks noChangeAspect="1" noChangeArrowheads="1"/>
                          </pic:cNvPicPr>
                        </pic:nvPicPr>
                        <pic:blipFill>
                          <a:blip r:embed="rId48"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p>
        </w:tc>
        <w:tc>
          <w:tcPr>
            <w:tcW w:w="4678" w:type="dxa"/>
          </w:tcPr>
          <w:p w:rsidR="0032121F" w:rsidRPr="00A43FD0" w:rsidRDefault="0032121F" w:rsidP="00105CD5">
            <w:pPr>
              <w:spacing w:after="0" w:line="240" w:lineRule="auto"/>
              <w:rPr>
                <w:sz w:val="20"/>
                <w:szCs w:val="20"/>
              </w:rPr>
            </w:pPr>
          </w:p>
        </w:tc>
      </w:tr>
      <w:tr w:rsidR="0032121F" w:rsidRPr="00A43FD0" w:rsidTr="00105CD5">
        <w:tc>
          <w:tcPr>
            <w:tcW w:w="4928" w:type="dxa"/>
          </w:tcPr>
          <w:p w:rsidR="0032121F" w:rsidRPr="00A43FD0" w:rsidRDefault="0032121F" w:rsidP="00105CD5">
            <w:pPr>
              <w:spacing w:after="0" w:line="240" w:lineRule="auto"/>
              <w:rPr>
                <w:sz w:val="20"/>
                <w:szCs w:val="20"/>
              </w:rPr>
            </w:pPr>
            <w:r w:rsidRPr="00A43FD0">
              <w:rPr>
                <w:sz w:val="20"/>
                <w:szCs w:val="20"/>
              </w:rPr>
              <w:t xml:space="preserve">Waugorah Lagoon </w:t>
            </w:r>
          </w:p>
        </w:tc>
        <w:tc>
          <w:tcPr>
            <w:tcW w:w="4678" w:type="dxa"/>
          </w:tcPr>
          <w:p w:rsidR="0032121F" w:rsidRPr="00A43FD0" w:rsidRDefault="0032121F" w:rsidP="00105CD5">
            <w:pPr>
              <w:spacing w:after="0" w:line="240" w:lineRule="auto"/>
              <w:rPr>
                <w:sz w:val="20"/>
                <w:szCs w:val="20"/>
              </w:rPr>
            </w:pPr>
          </w:p>
        </w:tc>
      </w:tr>
    </w:tbl>
    <w:p w:rsidR="0032121F" w:rsidRDefault="0032121F" w:rsidP="0032121F">
      <w:pPr>
        <w:pStyle w:val="Subtitle"/>
      </w:pPr>
    </w:p>
    <w:p w:rsidR="0032121F" w:rsidRPr="00C520D7" w:rsidRDefault="0032121F" w:rsidP="0032121F">
      <w:pPr>
        <w:pStyle w:val="Subtitle"/>
      </w:pPr>
      <w:bookmarkStart w:id="64" w:name="_Ref349737190"/>
      <w:bookmarkStart w:id="65" w:name="_Ref349737180"/>
      <w:bookmarkStart w:id="66" w:name="_Toc349811114"/>
      <w:bookmarkStart w:id="67" w:name="_Toc370738710"/>
      <w:r w:rsidRPr="002517A0">
        <w:rPr>
          <w:b/>
        </w:rPr>
        <w:t xml:space="preserve">Plate </w:t>
      </w:r>
      <w:r w:rsidR="00D20FAE" w:rsidRPr="002517A0">
        <w:rPr>
          <w:b/>
        </w:rPr>
        <w:fldChar w:fldCharType="begin"/>
      </w:r>
      <w:r w:rsidRPr="002517A0">
        <w:rPr>
          <w:b/>
        </w:rPr>
        <w:instrText xml:space="preserve"> SEQ Plate \* ARABIC </w:instrText>
      </w:r>
      <w:r w:rsidR="00D20FAE" w:rsidRPr="002517A0">
        <w:rPr>
          <w:b/>
        </w:rPr>
        <w:fldChar w:fldCharType="separate"/>
      </w:r>
      <w:r w:rsidR="00436595">
        <w:rPr>
          <w:b/>
          <w:noProof/>
        </w:rPr>
        <w:t>4</w:t>
      </w:r>
      <w:r w:rsidR="00D20FAE" w:rsidRPr="002517A0">
        <w:rPr>
          <w:b/>
        </w:rPr>
        <w:fldChar w:fldCharType="end"/>
      </w:r>
      <w:bookmarkEnd w:id="64"/>
      <w:r>
        <w:t xml:space="preserve"> </w:t>
      </w:r>
      <w:r w:rsidRPr="00C520D7">
        <w:t>Key wetlands in the Murrumbidgee Corridor of the Lowbidgee floodplain</w:t>
      </w:r>
      <w:r>
        <w:t>. Note that Nawie West received Commonwealth environmental water as part of Option 5, while remaining wetlands filled during unmanaged high flows in the Murrumbidgee in August 2012</w:t>
      </w:r>
      <w:bookmarkEnd w:id="65"/>
      <w:bookmarkEnd w:id="66"/>
      <w:bookmarkEnd w:id="67"/>
      <w:r w:rsidR="008567BF">
        <w:t>.</w:t>
      </w:r>
    </w:p>
    <w:p w:rsidR="0032121F" w:rsidRDefault="0032121F" w:rsidP="0032121F">
      <w:pPr>
        <w:sectPr w:rsidR="0032121F" w:rsidSect="00B80BE4">
          <w:pgSz w:w="11907" w:h="16839" w:code="9"/>
          <w:pgMar w:top="1440" w:right="1440" w:bottom="1440" w:left="1440" w:header="708" w:footer="708" w:gutter="0"/>
          <w:cols w:space="708"/>
          <w:docGrid w:linePitch="360"/>
        </w:sectPr>
      </w:pPr>
    </w:p>
    <w:p w:rsidR="0052756F" w:rsidRDefault="00973A5C" w:rsidP="0052756F">
      <w:pPr>
        <w:pStyle w:val="Heading1"/>
      </w:pPr>
      <w:bookmarkStart w:id="68" w:name="_Toc370299175"/>
      <w:bookmarkStart w:id="69" w:name="_Toc370738711"/>
      <w:bookmarkStart w:id="70" w:name="_Toc378168510"/>
      <w:r>
        <w:t xml:space="preserve">Commonwealth </w:t>
      </w:r>
      <w:r w:rsidR="006F00EC">
        <w:t xml:space="preserve">environmental </w:t>
      </w:r>
      <w:r>
        <w:t>watering actions</w:t>
      </w:r>
      <w:bookmarkEnd w:id="68"/>
      <w:bookmarkEnd w:id="69"/>
      <w:bookmarkEnd w:id="70"/>
    </w:p>
    <w:p w:rsidR="00352F52" w:rsidRPr="006F75AE" w:rsidRDefault="00352F52" w:rsidP="00C44F46">
      <w:pPr>
        <w:pStyle w:val="Heading3"/>
      </w:pPr>
      <w:bookmarkStart w:id="71" w:name="_Toc370299176"/>
      <w:bookmarkStart w:id="72" w:name="_Toc370738712"/>
      <w:bookmarkStart w:id="73" w:name="_Toc378168511"/>
      <w:r>
        <w:t>Environmental Watering actions 2012-13</w:t>
      </w:r>
      <w:bookmarkEnd w:id="71"/>
      <w:bookmarkEnd w:id="72"/>
      <w:bookmarkEnd w:id="73"/>
    </w:p>
    <w:p w:rsidR="00352F52" w:rsidRPr="00950161" w:rsidRDefault="00352F52" w:rsidP="00352F52">
      <w:pPr>
        <w:rPr>
          <w:i/>
          <w:noProof/>
        </w:rPr>
      </w:pPr>
      <w:r w:rsidRPr="00950161">
        <w:rPr>
          <w:i/>
          <w:noProof/>
        </w:rPr>
        <w:t>Mur</w:t>
      </w:r>
      <w:r>
        <w:rPr>
          <w:i/>
          <w:noProof/>
        </w:rPr>
        <w:t>ru</w:t>
      </w:r>
      <w:r w:rsidRPr="00950161">
        <w:rPr>
          <w:i/>
          <w:noProof/>
        </w:rPr>
        <w:t>mbidgee River</w:t>
      </w:r>
    </w:p>
    <w:p w:rsidR="00E1766B" w:rsidRDefault="00352F52">
      <w:pPr>
        <w:pStyle w:val="BodyText1"/>
      </w:pPr>
      <w:r>
        <w:rPr>
          <w:noProof/>
        </w:rPr>
        <w:t xml:space="preserve">The watering action in the Mururmbidgee River channel (Option 1) commenced </w:t>
      </w:r>
      <w:r w:rsidRPr="00D4707B">
        <w:rPr>
          <w:noProof/>
        </w:rPr>
        <w:t>10 October 2012</w:t>
      </w:r>
      <w:r>
        <w:rPr>
          <w:noProof/>
        </w:rPr>
        <w:t xml:space="preserve"> and was completed on 14</w:t>
      </w:r>
      <w:r w:rsidRPr="00D4707B">
        <w:rPr>
          <w:noProof/>
        </w:rPr>
        <w:t xml:space="preserve"> December 2012.</w:t>
      </w:r>
      <w:r w:rsidRPr="00D4707B">
        <w:t xml:space="preserve"> </w:t>
      </w:r>
      <w:r>
        <w:t>The principle aim of the Commonwealth environmental watering action was to</w:t>
      </w:r>
      <w:r w:rsidRPr="00A718D7">
        <w:t xml:space="preserve"> </w:t>
      </w:r>
      <w:r w:rsidRPr="00BC3A69">
        <w:rPr>
          <w:b/>
        </w:rPr>
        <w:t>“</w:t>
      </w:r>
      <w:r w:rsidRPr="00BC3A69">
        <w:rPr>
          <w:b/>
          <w:i/>
        </w:rPr>
        <w:t>support the breeding and growth of native fish communities in the mid and lower Murrumbidgee River</w:t>
      </w:r>
      <w:r w:rsidRPr="00BC3A69">
        <w:rPr>
          <w:b/>
        </w:rPr>
        <w:t>”.</w:t>
      </w:r>
      <w:r w:rsidRPr="00A718D7">
        <w:t xml:space="preserve"> The </w:t>
      </w:r>
      <w:r>
        <w:t xml:space="preserve">total water estimate for this event was </w:t>
      </w:r>
      <w:r w:rsidRPr="008567BF">
        <w:t>223</w:t>
      </w:r>
      <w:r w:rsidR="008567BF">
        <w:t>,</w:t>
      </w:r>
      <w:r w:rsidRPr="008567BF">
        <w:t>956</w:t>
      </w:r>
      <w:r>
        <w:t xml:space="preserve">.8 ML, which was drawn from Commonwealth </w:t>
      </w:r>
      <w:r w:rsidR="00B52B50">
        <w:t>e</w:t>
      </w:r>
      <w:r>
        <w:t xml:space="preserve">nvironmental </w:t>
      </w:r>
      <w:r w:rsidR="00B52B50">
        <w:t>w</w:t>
      </w:r>
      <w:r>
        <w:t>ater</w:t>
      </w:r>
      <w:r w:rsidRPr="00D4707B">
        <w:t xml:space="preserve"> </w:t>
      </w:r>
      <w:r>
        <w:t>(</w:t>
      </w:r>
      <w:r w:rsidRPr="00D4707B">
        <w:t>150,000 ML</w:t>
      </w:r>
      <w:r>
        <w:t>)</w:t>
      </w:r>
      <w:r w:rsidRPr="00D4707B">
        <w:t xml:space="preserve">, </w:t>
      </w:r>
      <w:r>
        <w:t>the living Murray</w:t>
      </w:r>
      <w:r w:rsidRPr="00D4707B">
        <w:t xml:space="preserve"> </w:t>
      </w:r>
      <w:r>
        <w:t>(</w:t>
      </w:r>
      <w:r w:rsidRPr="00D4707B">
        <w:t>45,000 ML</w:t>
      </w:r>
      <w:r>
        <w:t>) and</w:t>
      </w:r>
      <w:r w:rsidRPr="00D4707B">
        <w:t xml:space="preserve"> NSW </w:t>
      </w:r>
      <w:r>
        <w:t>environmental water allocation (</w:t>
      </w:r>
      <w:r w:rsidRPr="00D4707B">
        <w:t>28,956.8 ML</w:t>
      </w:r>
      <w:r>
        <w:t>)</w:t>
      </w:r>
      <w:r w:rsidRPr="00D4707B">
        <w:t xml:space="preserve">. </w:t>
      </w:r>
      <w:r>
        <w:t xml:space="preserve"> The flow was delivered to maintain a constant river level at approximately 1/3 of bank full or 6,000 ML/day at Darlington Point</w:t>
      </w:r>
      <w:r w:rsidRPr="00EA3060">
        <w:rPr>
          <w:rFonts w:cs="Calibri"/>
        </w:rPr>
        <w:t xml:space="preserve"> </w:t>
      </w:r>
      <w:r>
        <w:rPr>
          <w:rFonts w:cs="Calibri"/>
        </w:rPr>
        <w:t xml:space="preserve">to </w:t>
      </w:r>
      <w:r w:rsidRPr="00D11B49">
        <w:rPr>
          <w:rFonts w:cs="Calibri"/>
        </w:rPr>
        <w:t xml:space="preserve">promote spawning, larval dispersal and survival of large bodied native fish and </w:t>
      </w:r>
      <w:r w:rsidR="00B04AAE">
        <w:rPr>
          <w:rFonts w:cs="Calibri"/>
        </w:rPr>
        <w:t xml:space="preserve">microcrustacea </w:t>
      </w:r>
      <w:r w:rsidR="00B04AAE" w:rsidRPr="00D11B49">
        <w:rPr>
          <w:rFonts w:cs="Calibri"/>
        </w:rPr>
        <w:t>production</w:t>
      </w:r>
      <w:r w:rsidRPr="00D41695">
        <w:t>.</w:t>
      </w:r>
      <w:r>
        <w:t xml:space="preserve"> It is noted that this level is well below minor flood levels. </w:t>
      </w:r>
    </w:p>
    <w:p w:rsidR="00E96825" w:rsidRDefault="00E96825">
      <w:pPr>
        <w:spacing w:after="0" w:line="240" w:lineRule="auto"/>
        <w:jc w:val="left"/>
        <w:rPr>
          <w:rFonts w:ascii="Calibri" w:hAnsi="Calibri"/>
        </w:rPr>
      </w:pPr>
      <w:r>
        <w:rPr>
          <w:rFonts w:ascii="Calibri" w:hAnsi="Calibri"/>
        </w:rPr>
        <w:br w:type="page"/>
      </w:r>
    </w:p>
    <w:p w:rsidR="00352F52" w:rsidRDefault="00D20FAE" w:rsidP="00352F52">
      <w:pPr>
        <w:rPr>
          <w:rFonts w:ascii="Calibri" w:hAnsi="Calibri"/>
        </w:rPr>
      </w:pPr>
      <w:r w:rsidRPr="00D20FAE">
        <w:rPr>
          <w:noProof/>
          <w:lang w:eastAsia="en-AU"/>
        </w:rPr>
        <w:pict>
          <v:group id="_x0000_s1055" style="position:absolute;left:0;text-align:left;margin-left:0;margin-top:-8.35pt;width:431.25pt;height:295pt;z-index:251714048" coordorigin="1440,1138" coordsize="13577,6982">
            <v:shape id="_x0000_s1056" type="#_x0000_t75" style="position:absolute;left:1440;top:1138;width:13577;height:6982">
              <v:imagedata r:id="rId49" o:title="2010-2013 Hydrograph-v2"/>
            </v:shape>
            <v:shapetype id="_x0000_t109" coordsize="21600,21600" o:spt="109" path="m,l,21600r21600,l21600,xe">
              <v:stroke joinstyle="miter"/>
              <v:path gradientshapeok="t" o:connecttype="rect"/>
            </v:shapetype>
            <v:shape id="_x0000_s1057" type="#_x0000_t109" style="position:absolute;left:10624;top:5468;width:1126;height:169" fillcolor="#5f497a"/>
            <v:shape id="_x0000_s1058" type="#_x0000_t109" style="position:absolute;left:6341;top:5468;width:254;height:169" fillcolor="#5f497a"/>
            <v:shape id="_x0000_s1059" type="#_x0000_t109" style="position:absolute;left:8059;top:5468;width:255;height:169" fillcolor="#5f497a"/>
          </v:group>
        </w:pict>
      </w: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D20FAE" w:rsidP="00352F52">
      <w:pPr>
        <w:rPr>
          <w:rFonts w:ascii="Calibri" w:hAnsi="Calibri"/>
        </w:rPr>
      </w:pPr>
      <w:r>
        <w:rPr>
          <w:rFonts w:ascii="Calibri" w:hAnsi="Calibri"/>
          <w:noProof/>
          <w:lang w:eastAsia="en-AU"/>
        </w:rPr>
        <w:pict>
          <v:group id="_x0000_s1060" style="position:absolute;left:0;text-align:left;margin-left:-48.95pt;margin-top:4.9pt;width:525.05pt;height:289.7pt;z-index:251715072" coordorigin="1191,11837" coordsize="13652,7368">
            <v:shape id="_x0000_s1061" type="#_x0000_t75" style="position:absolute;left:1191;top:11837;width:13652;height:7368">
              <v:imagedata r:id="rId50" o:title="2012-2013 Hydrograph-v2"/>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62" type="#_x0000_t5" style="position:absolute;left:3996;top:17572;width:283;height:227" fillcolor="#339f33"/>
            <v:shape id="_x0000_s1063" type="#_x0000_t5" style="position:absolute;left:12899;top:17572;width:283;height:227" fillcolor="#339f33"/>
            <v:shape id="_x0000_s1064" type="#_x0000_t5" style="position:absolute;left:8276;top:17572;width:283;height:227" fillcolor="#339f33"/>
            <v:shape id="_x0000_s1065" type="#_x0000_t5" style="position:absolute;left:6221;top:17572;width:283;height:227" fillcolor="#339f33"/>
            <v:shape id="_x0000_s1066" type="#_x0000_t5" style="position:absolute;left:10957;top:17572;width:283;height:227" fillcolor="#339f33"/>
            <v:shape id="_x0000_s1067" type="#_x0000_t5" style="position:absolute;left:4983;top:17570;width:283;height:227" fillcolor="#5f497a" strokeweight=".25pt">
              <v:shadow on="t" type="perspective" color="#3f3151" opacity=".5" offset="1pt" offset2="-1pt"/>
            </v:shape>
            <v:shape id="_x0000_s1068" type="#_x0000_t5" style="position:absolute;left:13418;top:17570;width:283;height:227" fillcolor="#5f497a" strokeweight=".25pt">
              <v:shadow on="t" type="perspective" color="#3f3151" opacity=".5" offset="1pt" offset2="-1pt"/>
            </v:shape>
            <v:group id="_x0000_s1069" style="position:absolute;left:5223;top:17230;width:4092;height:239" coordorigin="5529,6619" coordsize="4092,239">
              <v:shape id="_x0000_s1070" type="#_x0000_t5" style="position:absolute;left:8772;top:6631;width:283;height:227" fillcolor="#974706" strokeweight=".25pt">
                <v:shadow on="t" type="perspective" color="#3f3151" opacity=".5" offset="1pt" offset2="-1pt"/>
              </v:shape>
              <v:group id="_x0000_s1071" style="position:absolute;left:5529;top:6619;width:4092;height:227" coordorigin="5529,6619" coordsize="4092,227">
                <v:shape id="_x0000_s1072" type="#_x0000_t5" style="position:absolute;left:5529;top:6619;width:283;height:227" fillcolor="#974706" strokeweight=".25pt">
                  <v:shadow on="t" type="perspective" color="#3f3151" opacity=".5" offset="1pt" offset2="-1pt"/>
                </v:shape>
                <v:shape id="_x0000_s1073" type="#_x0000_t5" style="position:absolute;left:5799;top:6619;width:283;height:227" fillcolor="#974706" strokeweight=".25pt">
                  <v:shadow on="t" type="perspective" color="#3f3151" opacity=".5" offset="1pt" offset2="-1pt"/>
                </v:shape>
                <v:shape id="_x0000_s1074" type="#_x0000_t5" style="position:absolute;left:6068;top:6619;width:283;height:227" fillcolor="#974706" strokeweight=".25pt">
                  <v:shadow on="t" type="perspective" color="#3f3151" opacity=".5" offset="1pt" offset2="-1pt"/>
                </v:shape>
                <v:shape id="_x0000_s1075" type="#_x0000_t5" style="position:absolute;left:6337;top:6619;width:283;height:227" fillcolor="#974706" strokeweight=".25pt">
                  <v:shadow on="t" type="perspective" color="#3f3151" opacity=".5" offset="1pt" offset2="-1pt"/>
                </v:shape>
                <v:shape id="_x0000_s1076" type="#_x0000_t5" style="position:absolute;left:9055;top:6619;width:283;height:227" fillcolor="#974706" strokeweight=".25pt">
                  <v:shadow on="t" type="perspective" color="#3f3151" opacity=".5" offset="1pt" offset2="-1pt"/>
                </v:shape>
                <v:shape id="_x0000_s1077" type="#_x0000_t5" style="position:absolute;left:9338;top:6619;width:283;height:227" fillcolor="#974706" strokeweight=".25pt">
                  <v:shadow on="t" type="perspective" color="#3f3151" opacity=".5" offset="1pt" offset2="-1pt"/>
                </v:shape>
                <v:shape id="_x0000_s1078" type="#_x0000_t5" style="position:absolute;left:6624;top:6619;width:283;height:227" fillcolor="#974706" strokeweight=".25pt">
                  <v:shadow on="t" type="perspective" color="#3f3151" opacity=".5" offset="1pt" offset2="-1pt"/>
                </v:shape>
                <v:shape id="_x0000_s1079" type="#_x0000_t5" style="position:absolute;left:6894;top:6619;width:283;height:227" fillcolor="#974706" strokeweight=".25pt">
                  <v:shadow on="t" type="perspective" color="#3f3151" opacity=".5" offset="1pt" offset2="-1pt"/>
                </v:shape>
                <v:shape id="_x0000_s1080" type="#_x0000_t5" style="position:absolute;left:7163;top:6619;width:283;height:227" fillcolor="#974706" strokeweight=".25pt">
                  <v:shadow on="t" type="perspective" color="#3f3151" opacity=".5" offset="1pt" offset2="-1pt"/>
                </v:shape>
                <v:shape id="_x0000_s1081" type="#_x0000_t5" style="position:absolute;left:7432;top:6619;width:283;height:227" fillcolor="#974706" strokeweight=".25pt">
                  <v:shadow on="t" type="perspective" color="#3f3151" opacity=".5" offset="1pt" offset2="-1pt"/>
                </v:shape>
                <v:shape id="_x0000_s1082" type="#_x0000_t5" style="position:absolute;left:7681;top:6619;width:283;height:227" fillcolor="#974706" strokeweight=".25pt">
                  <v:shadow on="t" type="perspective" color="#3f3151" opacity=".5" offset="1pt" offset2="-1pt"/>
                </v:shape>
                <v:shape id="_x0000_s1083" type="#_x0000_t5" style="position:absolute;left:7951;top:6619;width:283;height:227" fillcolor="#974706" strokeweight=".25pt">
                  <v:shadow on="t" type="perspective" color="#3f3151" opacity=".5" offset="1pt" offset2="-1pt"/>
                </v:shape>
                <v:shape id="_x0000_s1084" type="#_x0000_t5" style="position:absolute;left:8220;top:6619;width:283;height:227" fillcolor="#974706" strokeweight=".25pt">
                  <v:shadow on="t" type="perspective" color="#3f3151" opacity=".5" offset="1pt" offset2="-1pt"/>
                </v:shape>
                <v:shape id="_x0000_s1085" type="#_x0000_t5" style="position:absolute;left:8489;top:6619;width:283;height:227" fillcolor="#974706" strokeweight=".25pt">
                  <v:shadow on="t" type="perspective" color="#3f3151" opacity=".5" offset="1pt" offset2="-1pt"/>
                </v:shape>
              </v:group>
            </v:group>
          </v:group>
        </w:pict>
      </w: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352F52" w:rsidRDefault="00352F52" w:rsidP="00352F52">
      <w:pPr>
        <w:rPr>
          <w:rFonts w:ascii="Calibri" w:hAnsi="Calibri"/>
        </w:rPr>
      </w:pPr>
    </w:p>
    <w:p w:rsidR="00E96825" w:rsidRDefault="00E96825" w:rsidP="00352F52">
      <w:pPr>
        <w:pStyle w:val="Caption1"/>
        <w:rPr>
          <w:b/>
        </w:rPr>
      </w:pPr>
      <w:bookmarkStart w:id="74" w:name="_Ref369613627"/>
    </w:p>
    <w:p w:rsidR="00352F52" w:rsidRDefault="00352F52" w:rsidP="00352F52">
      <w:pPr>
        <w:pStyle w:val="Caption1"/>
      </w:pPr>
      <w:bookmarkStart w:id="75" w:name="_Ref370202322"/>
      <w:bookmarkStart w:id="76" w:name="_Toc370738713"/>
      <w:r w:rsidRPr="004E1ED3">
        <w:rPr>
          <w:b/>
        </w:rPr>
        <w:t xml:space="preserve">Figure </w:t>
      </w:r>
      <w:r w:rsidR="00D20FAE" w:rsidRPr="004E1ED3">
        <w:rPr>
          <w:b/>
        </w:rPr>
        <w:fldChar w:fldCharType="begin"/>
      </w:r>
      <w:r w:rsidRPr="004E1ED3">
        <w:rPr>
          <w:b/>
        </w:rPr>
        <w:instrText xml:space="preserve"> SEQ Figure \* ARABIC </w:instrText>
      </w:r>
      <w:r w:rsidR="00D20FAE" w:rsidRPr="004E1ED3">
        <w:rPr>
          <w:b/>
        </w:rPr>
        <w:fldChar w:fldCharType="separate"/>
      </w:r>
      <w:r w:rsidR="00436595">
        <w:rPr>
          <w:b/>
          <w:noProof/>
        </w:rPr>
        <w:t>5</w:t>
      </w:r>
      <w:r w:rsidR="00D20FAE" w:rsidRPr="004E1ED3">
        <w:rPr>
          <w:b/>
        </w:rPr>
        <w:fldChar w:fldCharType="end"/>
      </w:r>
      <w:bookmarkEnd w:id="74"/>
      <w:bookmarkEnd w:id="75"/>
      <w:proofErr w:type="gramStart"/>
      <w:r>
        <w:t xml:space="preserve"> (</w:t>
      </w:r>
      <w:r w:rsidRPr="00EC0FBA">
        <w:t>a</w:t>
      </w:r>
      <w:r>
        <w:t>)</w:t>
      </w:r>
      <w:r w:rsidRPr="00EC0FBA">
        <w:t xml:space="preserve"> Mean daily discharge</w:t>
      </w:r>
      <w:proofErr w:type="gramEnd"/>
      <w:r w:rsidRPr="00EC0FBA">
        <w:t xml:space="preserve"> in the Murrumbidgee River at Narrandera, and Darlington Point betw</w:t>
      </w:r>
      <w:r>
        <w:t>een 1 July 2010 to 30 June2013 with base flows (dash-dot line) and upper and lower commence to fill (CTF) levels. Horizontal bars show Commonwealth and NSW water actions in 2011-12 and 2012-13.  (</w:t>
      </w:r>
      <w:r w:rsidRPr="00EC0FBA">
        <w:t>b</w:t>
      </w:r>
      <w:r>
        <w:t>)</w:t>
      </w:r>
      <w:r w:rsidRPr="00EC0FBA">
        <w:t xml:space="preserve"> Mean daily discharge in the Murrumbidgee River at Narrandera, </w:t>
      </w:r>
      <w:r>
        <w:t>Darlington Point,</w:t>
      </w:r>
      <w:r w:rsidRPr="00EC0FBA">
        <w:t xml:space="preserve"> Redbank Weir and </w:t>
      </w:r>
      <w:r>
        <w:t xml:space="preserve">DS of Balranald Weir gauges and on the North Redbank Channel at Glendee </w:t>
      </w:r>
      <w:r w:rsidRPr="00EC0FBA">
        <w:t xml:space="preserve">during survey period </w:t>
      </w:r>
      <w:r>
        <w:t>August</w:t>
      </w:r>
      <w:r w:rsidRPr="00EC0FBA">
        <w:t xml:space="preserve"> 2012 to </w:t>
      </w:r>
      <w:r>
        <w:t xml:space="preserve">April </w:t>
      </w:r>
      <w:r w:rsidRPr="00EC0FBA">
        <w:t>2013 and the timing of environmental water</w:t>
      </w:r>
      <w:r>
        <w:t xml:space="preserve"> (</w:t>
      </w:r>
      <w:r w:rsidRPr="00EC0FBA">
        <w:t>Commonwealth</w:t>
      </w:r>
      <w:r>
        <w:t xml:space="preserve"> and NSW OEH Adaptive </w:t>
      </w:r>
      <w:r w:rsidRPr="00EC0FBA">
        <w:t>Environmental Water)</w:t>
      </w:r>
      <w:r>
        <w:t>.</w:t>
      </w:r>
      <w:r w:rsidR="008567BF">
        <w:t xml:space="preserve"> </w:t>
      </w:r>
      <w:r>
        <w:t xml:space="preserve">Sample dates </w:t>
      </w:r>
      <w:r w:rsidR="008567BF">
        <w:t xml:space="preserve">are represented with </w:t>
      </w:r>
      <w:r>
        <w:t>green triangle</w:t>
      </w:r>
      <w:r w:rsidR="008567BF">
        <w:t>s for</w:t>
      </w:r>
      <w:r>
        <w:t xml:space="preserve"> wetland monitoring </w:t>
      </w:r>
      <w:r w:rsidR="008567BF">
        <w:t>of f</w:t>
      </w:r>
      <w:r>
        <w:t>rogs and tadpoles, fish, vegetation, nutrients and water quality</w:t>
      </w:r>
      <w:r w:rsidR="004C6DCC">
        <w:t>,</w:t>
      </w:r>
      <w:r>
        <w:t xml:space="preserve"> </w:t>
      </w:r>
      <w:r w:rsidR="008567BF">
        <w:t xml:space="preserve">with </w:t>
      </w:r>
      <w:r>
        <w:t>purple triangle</w:t>
      </w:r>
      <w:r w:rsidR="008567BF">
        <w:t>s for</w:t>
      </w:r>
      <w:r>
        <w:t xml:space="preserve"> e-fish surveys (River), </w:t>
      </w:r>
      <w:r w:rsidR="004C6DCC">
        <w:t xml:space="preserve">and with brick-colour triangles for </w:t>
      </w:r>
      <w:r>
        <w:t xml:space="preserve">larval fish </w:t>
      </w:r>
      <w:r w:rsidR="004C6DCC">
        <w:t xml:space="preserve">and associated </w:t>
      </w:r>
      <w:r>
        <w:t>covariates</w:t>
      </w:r>
      <w:bookmarkEnd w:id="76"/>
      <w:r w:rsidR="004C6DCC">
        <w:t>.</w:t>
      </w:r>
    </w:p>
    <w:p w:rsidR="00E96825" w:rsidRDefault="00E96825" w:rsidP="00E96825"/>
    <w:p w:rsidR="00E96825" w:rsidRPr="00BC3A69" w:rsidRDefault="00E96825" w:rsidP="00C44F46">
      <w:pPr>
        <w:pStyle w:val="Heading3"/>
      </w:pPr>
      <w:bookmarkStart w:id="77" w:name="_Toc370299177"/>
      <w:bookmarkStart w:id="78" w:name="_Toc370738714"/>
      <w:bookmarkStart w:id="79" w:name="_Toc378168512"/>
      <w:r w:rsidRPr="00BC3A69">
        <w:t>Western lakes</w:t>
      </w:r>
      <w:bookmarkEnd w:id="77"/>
      <w:bookmarkEnd w:id="78"/>
      <w:bookmarkEnd w:id="79"/>
    </w:p>
    <w:p w:rsidR="00436595" w:rsidRPr="00436595" w:rsidRDefault="00E96825" w:rsidP="00436595">
      <w:pPr>
        <w:pStyle w:val="BodyText1"/>
      </w:pPr>
      <w:r>
        <w:rPr>
          <w:noProof/>
        </w:rPr>
        <w:t xml:space="preserve">The principle objective of the Western Lakes watering action (Option 5) was to </w:t>
      </w:r>
      <w:r w:rsidRPr="00352F52">
        <w:rPr>
          <w:noProof/>
        </w:rPr>
        <w:t>“</w:t>
      </w:r>
      <w:r w:rsidRPr="00505588">
        <w:rPr>
          <w:b/>
          <w:i/>
        </w:rPr>
        <w:t xml:space="preserve">re-establish and </w:t>
      </w:r>
      <w:r w:rsidR="001B5728" w:rsidRPr="00505588">
        <w:rPr>
          <w:b/>
          <w:i/>
        </w:rPr>
        <w:t>maintai</w:t>
      </w:r>
      <w:r w:rsidR="001B5728">
        <w:rPr>
          <w:b/>
          <w:i/>
        </w:rPr>
        <w:t>n</w:t>
      </w:r>
      <w:r w:rsidR="001B5728" w:rsidRPr="00505588">
        <w:rPr>
          <w:b/>
          <w:i/>
        </w:rPr>
        <w:t xml:space="preserve"> </w:t>
      </w:r>
      <w:r w:rsidRPr="00505588">
        <w:rPr>
          <w:b/>
          <w:i/>
        </w:rPr>
        <w:t>the health and regeneration of native plant communities, and to provide habitat for native animals including waterbirds, fish and frogs</w:t>
      </w:r>
      <w:r w:rsidRPr="00A718D7">
        <w:t>”.</w:t>
      </w:r>
      <w:r>
        <w:t xml:space="preserve"> </w:t>
      </w:r>
      <w:r w:rsidRPr="00E206A3">
        <w:rPr>
          <w:noProof/>
        </w:rPr>
        <w:t>Western Lakes watering commen</w:t>
      </w:r>
      <w:r>
        <w:rPr>
          <w:noProof/>
        </w:rPr>
        <w:t xml:space="preserve">ced </w:t>
      </w:r>
      <w:r w:rsidRPr="00E206A3">
        <w:rPr>
          <w:noProof/>
        </w:rPr>
        <w:t xml:space="preserve">on 11 September 2012, the total water usage </w:t>
      </w:r>
      <w:r w:rsidR="004C6DCC">
        <w:rPr>
          <w:noProof/>
        </w:rPr>
        <w:t>was</w:t>
      </w:r>
      <w:r w:rsidRPr="00E206A3">
        <w:rPr>
          <w:noProof/>
        </w:rPr>
        <w:t xml:space="preserve"> 4979</w:t>
      </w:r>
      <w:r w:rsidR="004C6DCC">
        <w:rPr>
          <w:noProof/>
        </w:rPr>
        <w:t xml:space="preserve"> </w:t>
      </w:r>
      <w:r w:rsidRPr="00E206A3">
        <w:rPr>
          <w:noProof/>
        </w:rPr>
        <w:t xml:space="preserve">ML </w:t>
      </w:r>
      <w:r w:rsidR="004C6DCC">
        <w:rPr>
          <w:noProof/>
        </w:rPr>
        <w:t xml:space="preserve">of </w:t>
      </w:r>
      <w:r w:rsidRPr="00E206A3">
        <w:rPr>
          <w:noProof/>
        </w:rPr>
        <w:t>Commonwe</w:t>
      </w:r>
      <w:r w:rsidR="00B52B50">
        <w:rPr>
          <w:noProof/>
        </w:rPr>
        <w:t>al</w:t>
      </w:r>
      <w:r w:rsidRPr="00E206A3">
        <w:rPr>
          <w:noProof/>
        </w:rPr>
        <w:t>th environmental water and 194</w:t>
      </w:r>
      <w:r w:rsidR="004C6DCC">
        <w:rPr>
          <w:noProof/>
        </w:rPr>
        <w:t xml:space="preserve"> </w:t>
      </w:r>
      <w:r w:rsidRPr="00E206A3">
        <w:rPr>
          <w:noProof/>
        </w:rPr>
        <w:t xml:space="preserve">ML </w:t>
      </w:r>
      <w:r>
        <w:rPr>
          <w:noProof/>
        </w:rPr>
        <w:t xml:space="preserve">from the </w:t>
      </w:r>
      <w:r w:rsidRPr="00D4707B">
        <w:t xml:space="preserve">NSW </w:t>
      </w:r>
      <w:r>
        <w:t xml:space="preserve">environmental water allocation </w:t>
      </w:r>
      <w:r w:rsidRPr="00E206A3">
        <w:rPr>
          <w:noProof/>
        </w:rPr>
        <w:t>for a tot</w:t>
      </w:r>
      <w:r>
        <w:rPr>
          <w:noProof/>
        </w:rPr>
        <w:t>al</w:t>
      </w:r>
      <w:r w:rsidRPr="00E206A3">
        <w:rPr>
          <w:noProof/>
        </w:rPr>
        <w:t xml:space="preserve"> </w:t>
      </w:r>
      <w:r w:rsidR="00B52B50" w:rsidRPr="00E206A3">
        <w:rPr>
          <w:noProof/>
        </w:rPr>
        <w:t xml:space="preserve">usage </w:t>
      </w:r>
      <w:r w:rsidRPr="00E206A3">
        <w:rPr>
          <w:noProof/>
        </w:rPr>
        <w:t>of 5173</w:t>
      </w:r>
      <w:r w:rsidR="004C6DCC">
        <w:rPr>
          <w:noProof/>
        </w:rPr>
        <w:t xml:space="preserve"> </w:t>
      </w:r>
      <w:r w:rsidRPr="00E206A3">
        <w:rPr>
          <w:noProof/>
        </w:rPr>
        <w:t>ML between 11</w:t>
      </w:r>
      <w:r>
        <w:rPr>
          <w:noProof/>
        </w:rPr>
        <w:t xml:space="preserve"> </w:t>
      </w:r>
      <w:r w:rsidRPr="00E206A3">
        <w:rPr>
          <w:noProof/>
        </w:rPr>
        <w:t xml:space="preserve">September and 17 December 2012. Flows </w:t>
      </w:r>
      <w:r w:rsidR="00B52B50">
        <w:rPr>
          <w:noProof/>
        </w:rPr>
        <w:t xml:space="preserve">were </w:t>
      </w:r>
      <w:r w:rsidRPr="00E206A3">
        <w:rPr>
          <w:noProof/>
        </w:rPr>
        <w:t>m</w:t>
      </w:r>
      <w:r>
        <w:rPr>
          <w:noProof/>
        </w:rPr>
        <w:t>easured at the Glen Dee Gauge (</w:t>
      </w:r>
      <w:r w:rsidRPr="00E206A3">
        <w:rPr>
          <w:noProof/>
        </w:rPr>
        <w:t xml:space="preserve">see </w:t>
      </w:r>
      <w:r w:rsidR="00D20FAE">
        <w:fldChar w:fldCharType="begin"/>
      </w:r>
      <w:r w:rsidR="00D706BB">
        <w:instrText xml:space="preserve"> REF _Ref369613627 \h  \* MERGEFORMAT </w:instrText>
      </w:r>
      <w:r w:rsidR="00D20FAE">
        <w:fldChar w:fldCharType="separate"/>
      </w:r>
    </w:p>
    <w:p w:rsidR="00E96825" w:rsidRDefault="00436595" w:rsidP="00E96825">
      <w:pPr>
        <w:pStyle w:val="BodyText1"/>
        <w:rPr>
          <w:noProof/>
        </w:rPr>
      </w:pPr>
      <w:proofErr w:type="gramStart"/>
      <w:r w:rsidRPr="00436595">
        <w:t>Figure</w:t>
      </w:r>
      <w:r w:rsidRPr="00436595">
        <w:rPr>
          <w:noProof/>
        </w:rPr>
        <w:t xml:space="preserve"> 5</w:t>
      </w:r>
      <w:r w:rsidR="00D20FAE">
        <w:fldChar w:fldCharType="end"/>
      </w:r>
      <w:r w:rsidR="00E96825" w:rsidRPr="00E206A3">
        <w:rPr>
          <w:noProof/>
        </w:rPr>
        <w:t>).</w:t>
      </w:r>
      <w:proofErr w:type="gramEnd"/>
      <w:r w:rsidR="00E96825" w:rsidRPr="00E206A3">
        <w:rPr>
          <w:noProof/>
        </w:rPr>
        <w:t xml:space="preserve"> The flows topped up Paika </w:t>
      </w:r>
      <w:r w:rsidR="00E96825">
        <w:rPr>
          <w:noProof/>
        </w:rPr>
        <w:t>L</w:t>
      </w:r>
      <w:r w:rsidR="004C6DCC">
        <w:rPr>
          <w:noProof/>
        </w:rPr>
        <w:t>ake, and filled Hobblers Lake</w:t>
      </w:r>
      <w:r w:rsidR="00E96825" w:rsidRPr="00E206A3">
        <w:rPr>
          <w:noProof/>
        </w:rPr>
        <w:t xml:space="preserve">, Cherax Lake,  Penarie, Yarrawol and Paika Creeks, as well </w:t>
      </w:r>
      <w:r w:rsidR="004C6DCC">
        <w:rPr>
          <w:noProof/>
        </w:rPr>
        <w:t xml:space="preserve">as </w:t>
      </w:r>
      <w:r w:rsidR="00E96825" w:rsidRPr="00E206A3">
        <w:rPr>
          <w:noProof/>
        </w:rPr>
        <w:t>200</w:t>
      </w:r>
      <w:r w:rsidR="004C6DCC">
        <w:rPr>
          <w:noProof/>
        </w:rPr>
        <w:t xml:space="preserve"> </w:t>
      </w:r>
      <w:r w:rsidR="00E96825" w:rsidRPr="00E206A3">
        <w:rPr>
          <w:noProof/>
        </w:rPr>
        <w:t>ha of River</w:t>
      </w:r>
      <w:r w:rsidR="004C6DCC">
        <w:rPr>
          <w:noProof/>
        </w:rPr>
        <w:t xml:space="preserve"> red g</w:t>
      </w:r>
      <w:r w:rsidR="00E96825" w:rsidRPr="00E206A3">
        <w:rPr>
          <w:noProof/>
        </w:rPr>
        <w:t xml:space="preserve">um spike </w:t>
      </w:r>
      <w:r w:rsidR="00E96825">
        <w:rPr>
          <w:noProof/>
        </w:rPr>
        <w:t>r</w:t>
      </w:r>
      <w:r w:rsidR="00E96825" w:rsidRPr="00E206A3">
        <w:rPr>
          <w:noProof/>
        </w:rPr>
        <w:t>ush wetland in t</w:t>
      </w:r>
      <w:r w:rsidR="00055380">
        <w:rPr>
          <w:noProof/>
        </w:rPr>
        <w:t>he</w:t>
      </w:r>
      <w:r w:rsidR="00E96825" w:rsidRPr="00E206A3">
        <w:rPr>
          <w:noProof/>
        </w:rPr>
        <w:t xml:space="preserve"> </w:t>
      </w:r>
      <w:r w:rsidR="00055380">
        <w:rPr>
          <w:noProof/>
        </w:rPr>
        <w:t>N</w:t>
      </w:r>
      <w:r w:rsidR="00E96825" w:rsidRPr="00E206A3">
        <w:rPr>
          <w:noProof/>
        </w:rPr>
        <w:t xml:space="preserve">orth redbank system at Narwie West. </w:t>
      </w:r>
      <w:r w:rsidR="00055380">
        <w:rPr>
          <w:noProof/>
        </w:rPr>
        <w:t>Following watering</w:t>
      </w:r>
      <w:r w:rsidR="004C6DCC">
        <w:rPr>
          <w:noProof/>
        </w:rPr>
        <w:t>,</w:t>
      </w:r>
      <w:r w:rsidR="00055380">
        <w:rPr>
          <w:noProof/>
        </w:rPr>
        <w:t xml:space="preserve"> the wetland systems were a</w:t>
      </w:r>
      <w:r w:rsidR="004C6DCC">
        <w:rPr>
          <w:noProof/>
        </w:rPr>
        <w:t>llowed to draw down over summer;</w:t>
      </w:r>
      <w:r w:rsidR="00055380">
        <w:rPr>
          <w:noProof/>
        </w:rPr>
        <w:t xml:space="preserve"> Penarie and </w:t>
      </w:r>
      <w:r w:rsidR="00CE2909">
        <w:rPr>
          <w:noProof/>
        </w:rPr>
        <w:t>P</w:t>
      </w:r>
      <w:r w:rsidR="00055380">
        <w:rPr>
          <w:noProof/>
        </w:rPr>
        <w:t>aika Creek were dry by December</w:t>
      </w:r>
      <w:r w:rsidR="00CE2909">
        <w:rPr>
          <w:noProof/>
        </w:rPr>
        <w:t xml:space="preserve"> 2012</w:t>
      </w:r>
      <w:r w:rsidR="004C6DCC">
        <w:rPr>
          <w:noProof/>
        </w:rPr>
        <w:t>;</w:t>
      </w:r>
      <w:r w:rsidR="00055380">
        <w:rPr>
          <w:noProof/>
        </w:rPr>
        <w:t xml:space="preserve"> Cherax</w:t>
      </w:r>
      <w:r w:rsidR="004C6DCC">
        <w:rPr>
          <w:noProof/>
        </w:rPr>
        <w:t xml:space="preserve"> had dried by April 2013; while</w:t>
      </w:r>
      <w:r w:rsidR="00055380">
        <w:rPr>
          <w:noProof/>
        </w:rPr>
        <w:t xml:space="preserve"> Hobblers and </w:t>
      </w:r>
      <w:r w:rsidR="00586AE7">
        <w:rPr>
          <w:noProof/>
        </w:rPr>
        <w:t xml:space="preserve">Paika </w:t>
      </w:r>
      <w:r w:rsidR="00B52B50">
        <w:rPr>
          <w:noProof/>
        </w:rPr>
        <w:t>L</w:t>
      </w:r>
      <w:r w:rsidR="00586AE7">
        <w:rPr>
          <w:noProof/>
        </w:rPr>
        <w:t>ake</w:t>
      </w:r>
      <w:r w:rsidR="00B52B50">
        <w:rPr>
          <w:noProof/>
        </w:rPr>
        <w:t>s</w:t>
      </w:r>
      <w:r w:rsidR="00586AE7">
        <w:rPr>
          <w:noProof/>
        </w:rPr>
        <w:t xml:space="preserve"> drew down signifincatly but retained water throughout the survey period</w:t>
      </w:r>
      <w:r w:rsidR="00CE2909">
        <w:rPr>
          <w:noProof/>
        </w:rPr>
        <w:t xml:space="preserve"> </w:t>
      </w:r>
      <w:r w:rsidR="00CE2909" w:rsidRPr="00CE2909">
        <w:rPr>
          <w:noProof/>
        </w:rPr>
        <w:t>(</w:t>
      </w:r>
      <w:fldSimple w:instr=" REF _Ref369780670 \h  \* MERGEFORMAT ">
        <w:r w:rsidRPr="00436595">
          <w:rPr>
            <w:rFonts w:eastAsia="Calibri"/>
          </w:rPr>
          <w:t xml:space="preserve">Plate </w:t>
        </w:r>
        <w:r w:rsidRPr="00436595">
          <w:rPr>
            <w:rStyle w:val="SubtitleChar"/>
            <w:noProof/>
          </w:rPr>
          <w:t>5</w:t>
        </w:r>
      </w:fldSimple>
      <w:r w:rsidR="00CE2909" w:rsidRPr="00CE2909">
        <w:rPr>
          <w:noProof/>
        </w:rPr>
        <w:t>).</w:t>
      </w:r>
    </w:p>
    <w:p w:rsidR="00CA7165" w:rsidRDefault="00CA7165" w:rsidP="00D016C0">
      <w:pPr>
        <w:pStyle w:val="Caption1"/>
        <w:rPr>
          <w:rFonts w:eastAsia="Calibri"/>
          <w:b/>
        </w:rPr>
      </w:pPr>
    </w:p>
    <w:p w:rsidR="00D016C0" w:rsidRDefault="00CA7165" w:rsidP="00D016C0">
      <w:pPr>
        <w:pStyle w:val="Caption1"/>
        <w:rPr>
          <w:rFonts w:eastAsia="Calibri"/>
          <w:b/>
        </w:rPr>
      </w:pPr>
      <w:r w:rsidRPr="00CA7165">
        <w:rPr>
          <w:rFonts w:eastAsia="Calibri"/>
          <w:b/>
          <w:noProof/>
          <w:lang w:eastAsia="en-AU"/>
        </w:rPr>
        <w:drawing>
          <wp:inline distT="0" distB="0" distL="0" distR="0">
            <wp:extent cx="2826826" cy="1869616"/>
            <wp:effectExtent l="19050" t="0" r="0" b="0"/>
            <wp:docPr id="138" name="Picture 53" descr="D:\Users\swassens\Pictures\Feild sites\Murrumbidgee\2012-10-1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Users\swassens\Pictures\Feild sites\Murrumbidgee\2012-10-13\409.JPG"/>
                    <pic:cNvPicPr>
                      <a:picLocks noChangeAspect="1" noChangeArrowheads="1"/>
                    </pic:cNvPicPr>
                  </pic:nvPicPr>
                  <pic:blipFill>
                    <a:blip r:embed="rId51" cstate="print"/>
                    <a:srcRect/>
                    <a:stretch>
                      <a:fillRect/>
                    </a:stretch>
                  </pic:blipFill>
                  <pic:spPr bwMode="auto">
                    <a:xfrm>
                      <a:off x="0" y="0"/>
                      <a:ext cx="2826826" cy="1869616"/>
                    </a:xfrm>
                    <a:prstGeom prst="rect">
                      <a:avLst/>
                    </a:prstGeom>
                    <a:noFill/>
                    <a:ln w="9525">
                      <a:noFill/>
                      <a:miter lim="800000"/>
                      <a:headEnd/>
                      <a:tailEnd/>
                    </a:ln>
                  </pic:spPr>
                </pic:pic>
              </a:graphicData>
            </a:graphic>
          </wp:inline>
        </w:drawing>
      </w:r>
      <w:r>
        <w:rPr>
          <w:rFonts w:eastAsia="Calibri"/>
          <w:b/>
        </w:rPr>
        <w:t xml:space="preserve"> </w:t>
      </w:r>
      <w:r w:rsidRPr="00CA7165">
        <w:rPr>
          <w:rFonts w:eastAsia="Calibri"/>
          <w:b/>
          <w:noProof/>
          <w:lang w:eastAsia="en-AU"/>
        </w:rPr>
        <w:drawing>
          <wp:inline distT="0" distB="0" distL="0" distR="0">
            <wp:extent cx="2826826" cy="1877762"/>
            <wp:effectExtent l="19050" t="0" r="0" b="0"/>
            <wp:docPr id="139" name="Picture 55" descr="D:\Users\swassens\Pictures\Feild sites\Murrumbidgee\2013-02-26\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Users\swassens\Pictures\Feild sites\Murrumbidgee\2013-02-26\033.JPG"/>
                    <pic:cNvPicPr>
                      <a:picLocks noChangeAspect="1" noChangeArrowheads="1"/>
                    </pic:cNvPicPr>
                  </pic:nvPicPr>
                  <pic:blipFill>
                    <a:blip r:embed="rId52" cstate="print"/>
                    <a:srcRect/>
                    <a:stretch>
                      <a:fillRect/>
                    </a:stretch>
                  </pic:blipFill>
                  <pic:spPr bwMode="auto">
                    <a:xfrm>
                      <a:off x="0" y="0"/>
                      <a:ext cx="2826826" cy="1877762"/>
                    </a:xfrm>
                    <a:prstGeom prst="rect">
                      <a:avLst/>
                    </a:prstGeom>
                    <a:noFill/>
                    <a:ln w="9525">
                      <a:noFill/>
                      <a:miter lim="800000"/>
                      <a:headEnd/>
                      <a:tailEnd/>
                    </a:ln>
                  </pic:spPr>
                </pic:pic>
              </a:graphicData>
            </a:graphic>
          </wp:inline>
        </w:drawing>
      </w:r>
    </w:p>
    <w:p w:rsidR="00226433" w:rsidRDefault="00D016C0" w:rsidP="00D016C0">
      <w:pPr>
        <w:pStyle w:val="Caption1"/>
      </w:pPr>
      <w:bookmarkStart w:id="80" w:name="_Ref369780670"/>
      <w:bookmarkStart w:id="81" w:name="_Toc370738715"/>
      <w:r w:rsidRPr="00D016C0">
        <w:rPr>
          <w:rFonts w:eastAsia="Calibri"/>
          <w:b/>
        </w:rPr>
        <w:t xml:space="preserve">Plate </w:t>
      </w:r>
      <w:r w:rsidR="00D20FAE" w:rsidRPr="00D016C0">
        <w:rPr>
          <w:rStyle w:val="SubtitleChar"/>
          <w:b/>
        </w:rPr>
        <w:fldChar w:fldCharType="begin"/>
      </w:r>
      <w:r w:rsidRPr="00D016C0">
        <w:rPr>
          <w:rStyle w:val="SubtitleChar"/>
          <w:b/>
        </w:rPr>
        <w:instrText xml:space="preserve"> SEQ Plate \* ARABIC </w:instrText>
      </w:r>
      <w:r w:rsidR="00D20FAE" w:rsidRPr="00D016C0">
        <w:rPr>
          <w:rStyle w:val="SubtitleChar"/>
          <w:b/>
        </w:rPr>
        <w:fldChar w:fldCharType="separate"/>
      </w:r>
      <w:r w:rsidR="00436595">
        <w:rPr>
          <w:rStyle w:val="SubtitleChar"/>
          <w:b/>
          <w:noProof/>
        </w:rPr>
        <w:t>5</w:t>
      </w:r>
      <w:r w:rsidR="00D20FAE" w:rsidRPr="00D016C0">
        <w:rPr>
          <w:rStyle w:val="SubtitleChar"/>
          <w:b/>
        </w:rPr>
        <w:fldChar w:fldCharType="end"/>
      </w:r>
      <w:bookmarkEnd w:id="80"/>
      <w:r w:rsidRPr="00D016C0">
        <w:rPr>
          <w:rFonts w:eastAsia="Calibri"/>
        </w:rPr>
        <w:t xml:space="preserve"> Hobblers lake in October 2012 (</w:t>
      </w:r>
      <w:r>
        <w:rPr>
          <w:rFonts w:eastAsia="Calibri"/>
        </w:rPr>
        <w:t>right</w:t>
      </w:r>
      <w:r w:rsidRPr="00D016C0">
        <w:rPr>
          <w:rFonts w:eastAsia="Calibri"/>
        </w:rPr>
        <w:t>) and February 2013 (</w:t>
      </w:r>
      <w:r>
        <w:rPr>
          <w:rFonts w:eastAsia="Calibri"/>
        </w:rPr>
        <w:t>left</w:t>
      </w:r>
      <w:r w:rsidRPr="00D016C0">
        <w:rPr>
          <w:rFonts w:eastAsia="Calibri"/>
        </w:rPr>
        <w:t>)</w:t>
      </w:r>
      <w:bookmarkEnd w:id="81"/>
      <w:r>
        <w:t xml:space="preserve"> </w:t>
      </w:r>
    </w:p>
    <w:p w:rsidR="00226433" w:rsidRDefault="00226433" w:rsidP="00D016C0">
      <w:pPr>
        <w:pStyle w:val="Caption1"/>
      </w:pPr>
    </w:p>
    <w:p w:rsidR="00CA7165" w:rsidRDefault="00CA7165">
      <w:pPr>
        <w:spacing w:after="0" w:line="240" w:lineRule="auto"/>
        <w:jc w:val="left"/>
        <w:rPr>
          <w:rFonts w:eastAsia="Times New Roman"/>
          <w:iCs/>
          <w:color w:val="076028"/>
          <w:kern w:val="32"/>
          <w:sz w:val="24"/>
          <w:szCs w:val="26"/>
        </w:rPr>
      </w:pPr>
      <w:bookmarkStart w:id="82" w:name="_Toc370299178"/>
      <w:bookmarkStart w:id="83" w:name="_Toc370738716"/>
      <w:r>
        <w:br w:type="page"/>
      </w:r>
    </w:p>
    <w:p w:rsidR="00226433" w:rsidRDefault="00226433" w:rsidP="00C44F46">
      <w:pPr>
        <w:pStyle w:val="Heading3"/>
      </w:pPr>
      <w:bookmarkStart w:id="84" w:name="_Toc378168513"/>
      <w:r>
        <w:t>Other wetlands</w:t>
      </w:r>
      <w:bookmarkEnd w:id="82"/>
      <w:bookmarkEnd w:id="83"/>
      <w:bookmarkEnd w:id="84"/>
    </w:p>
    <w:p w:rsidR="00226433" w:rsidRDefault="00226433" w:rsidP="00226433">
      <w:r>
        <w:t xml:space="preserve">River red gum-Spike rush wetlands through the southern section of Yanga National Park </w:t>
      </w:r>
      <w:r w:rsidR="00044FBF">
        <w:t xml:space="preserve">received some inflows as a result of the normal operation of Redbank weir pools, which is </w:t>
      </w:r>
      <w:r w:rsidR="001623F4">
        <w:t>adjacent</w:t>
      </w:r>
      <w:r w:rsidR="00044FBF">
        <w:t xml:space="preserve"> to these wetlands in August 2012. This </w:t>
      </w:r>
      <w:r w:rsidR="001623F4">
        <w:t xml:space="preserve">period of high water levels is indicated by the Redbank gauge </w:t>
      </w:r>
      <w:r w:rsidR="002126A8">
        <w:t xml:space="preserve">in </w:t>
      </w:r>
      <w:fldSimple w:instr=" REF _Ref370202322 \h  \* MERGEFORMAT ">
        <w:r w:rsidR="00436595" w:rsidRPr="00436595">
          <w:t xml:space="preserve">Figure </w:t>
        </w:r>
        <w:r w:rsidR="00436595" w:rsidRPr="00436595">
          <w:rPr>
            <w:noProof/>
          </w:rPr>
          <w:t>5</w:t>
        </w:r>
      </w:fldSimple>
      <w:r w:rsidR="00B04AAE" w:rsidRPr="00B04AAE">
        <w:t xml:space="preserve"> </w:t>
      </w:r>
      <w:r w:rsidR="001623F4" w:rsidRPr="00B04AAE">
        <w:t>(R</w:t>
      </w:r>
      <w:r w:rsidR="001623F4">
        <w:t>edbank gauge</w:t>
      </w:r>
      <w:r w:rsidR="002126A8">
        <w:t>), w</w:t>
      </w:r>
      <w:r w:rsidR="001623F4">
        <w:t>hile others retained water from previous years</w:t>
      </w:r>
      <w:r w:rsidR="002126A8">
        <w:t xml:space="preserve">. </w:t>
      </w:r>
      <w:r w:rsidR="0030429F">
        <w:t xml:space="preserve">All of the target wetlands retained water until December, after which they underwent a period of rapid drying with most sites almost dry in February and completely dry by April </w:t>
      </w:r>
      <w:r w:rsidR="0030429F" w:rsidRPr="00E75983">
        <w:t>2013</w:t>
      </w:r>
      <w:r w:rsidR="00B04AAE" w:rsidRPr="00E75983">
        <w:t xml:space="preserve"> </w:t>
      </w:r>
      <w:r w:rsidR="00CE2909" w:rsidRPr="00E75983">
        <w:t>(</w:t>
      </w:r>
      <w:fldSimple w:instr=" REF _Ref369780607 \h  \* MERGEFORMAT ">
        <w:r w:rsidR="00436595" w:rsidRPr="00436595">
          <w:t xml:space="preserve">Table </w:t>
        </w:r>
        <w:r w:rsidR="00436595" w:rsidRPr="00436595">
          <w:rPr>
            <w:noProof/>
          </w:rPr>
          <w:t>2</w:t>
        </w:r>
      </w:fldSimple>
      <w:r w:rsidR="00CE2909" w:rsidRPr="00E75983">
        <w:t>)</w:t>
      </w:r>
      <w:r w:rsidR="0030429F" w:rsidRPr="00E75983">
        <w:t>.</w:t>
      </w:r>
    </w:p>
    <w:p w:rsidR="0030429F" w:rsidRDefault="0030429F" w:rsidP="00226433">
      <w:r>
        <w:t xml:space="preserve">The mid-Murrumbidgee wetlands were targeted with Commonwealth environmental water in 2011-12 </w:t>
      </w:r>
      <w:r w:rsidR="005F3305">
        <w:t>(see</w:t>
      </w:r>
      <w:r>
        <w:t xml:space="preserve"> Wassens et al</w:t>
      </w:r>
      <w:r w:rsidR="004C6DCC">
        <w:t>.</w:t>
      </w:r>
      <w:r>
        <w:t xml:space="preserve"> 2012 for details</w:t>
      </w:r>
      <w:r w:rsidR="005F3305">
        <w:t xml:space="preserve">) and retained water through winter 2012 and into </w:t>
      </w:r>
      <w:r w:rsidR="00CE2909">
        <w:t xml:space="preserve">October 2012 </w:t>
      </w:r>
      <w:r w:rsidR="00CE2909" w:rsidRPr="00B04AAE">
        <w:t>(</w:t>
      </w:r>
      <w:fldSimple w:instr=" REF _Ref369780572 \h  \* MERGEFORMAT ">
        <w:r w:rsidR="00436595" w:rsidRPr="00436595">
          <w:t xml:space="preserve">Plate </w:t>
        </w:r>
        <w:r w:rsidR="00436595" w:rsidRPr="00436595">
          <w:rPr>
            <w:noProof/>
          </w:rPr>
          <w:t>6</w:t>
        </w:r>
      </w:fldSimple>
      <w:r w:rsidR="00CE2909" w:rsidRPr="00B04AAE">
        <w:t>)</w:t>
      </w:r>
      <w:r w:rsidR="005F3305" w:rsidRPr="00B04AAE">
        <w:t>.</w:t>
      </w:r>
      <w:r w:rsidR="005F3305">
        <w:t xml:space="preserve"> Without any additional inflows</w:t>
      </w:r>
      <w:r w:rsidR="004C6DCC">
        <w:t>,</w:t>
      </w:r>
      <w:r w:rsidR="005F3305">
        <w:t xml:space="preserve"> the sites gradually dried down with the majority of sites dry in April 2013.</w:t>
      </w:r>
    </w:p>
    <w:p w:rsidR="000D597D" w:rsidRDefault="000D597D" w:rsidP="000D597D">
      <w:pPr>
        <w:pStyle w:val="Caption"/>
      </w:pPr>
    </w:p>
    <w:p w:rsidR="001623F4" w:rsidRPr="000D597D" w:rsidRDefault="000D597D" w:rsidP="00B04AAE">
      <w:pPr>
        <w:pStyle w:val="Caption1"/>
      </w:pPr>
      <w:bookmarkStart w:id="85" w:name="_Ref369780607"/>
      <w:bookmarkStart w:id="86" w:name="_Toc370738717"/>
      <w:r w:rsidRPr="00B04AAE">
        <w:rPr>
          <w:b/>
        </w:rPr>
        <w:t xml:space="preserve">Table </w:t>
      </w:r>
      <w:r w:rsidR="00D20FAE" w:rsidRPr="00B04AAE">
        <w:rPr>
          <w:b/>
        </w:rPr>
        <w:fldChar w:fldCharType="begin"/>
      </w:r>
      <w:r w:rsidR="00193C49" w:rsidRPr="00B04AAE">
        <w:rPr>
          <w:b/>
        </w:rPr>
        <w:instrText xml:space="preserve"> SEQ Table \* ARABIC </w:instrText>
      </w:r>
      <w:r w:rsidR="00D20FAE" w:rsidRPr="00B04AAE">
        <w:rPr>
          <w:b/>
        </w:rPr>
        <w:fldChar w:fldCharType="separate"/>
      </w:r>
      <w:r w:rsidR="00436595">
        <w:rPr>
          <w:b/>
          <w:noProof/>
        </w:rPr>
        <w:t>2</w:t>
      </w:r>
      <w:r w:rsidR="00D20FAE" w:rsidRPr="00B04AAE">
        <w:rPr>
          <w:b/>
        </w:rPr>
        <w:fldChar w:fldCharType="end"/>
      </w:r>
      <w:bookmarkEnd w:id="85"/>
      <w:r>
        <w:t xml:space="preserve"> S</w:t>
      </w:r>
      <w:r w:rsidRPr="000D597D">
        <w:t>ummary of the number of monitoring sites that contained water through the survey period.</w:t>
      </w:r>
      <w:bookmarkEnd w:id="86"/>
      <w:r w:rsidRPr="000D597D">
        <w:t xml:space="preserve"> </w:t>
      </w:r>
    </w:p>
    <w:tbl>
      <w:tblPr>
        <w:tblStyle w:val="TableGrid"/>
        <w:tblW w:w="7318" w:type="dxa"/>
        <w:tblLook w:val="04A0"/>
      </w:tblPr>
      <w:tblGrid>
        <w:gridCol w:w="2518"/>
        <w:gridCol w:w="960"/>
        <w:gridCol w:w="960"/>
        <w:gridCol w:w="960"/>
        <w:gridCol w:w="960"/>
        <w:gridCol w:w="960"/>
      </w:tblGrid>
      <w:tr w:rsidR="00044FBF" w:rsidRPr="00044FBF" w:rsidTr="00A47A7D">
        <w:trPr>
          <w:cnfStyle w:val="100000000000"/>
          <w:trHeight w:val="330"/>
        </w:trPr>
        <w:tc>
          <w:tcPr>
            <w:tcW w:w="2518" w:type="dxa"/>
            <w:noWrap/>
            <w:hideMark/>
          </w:tcPr>
          <w:p w:rsidR="00044FBF" w:rsidRPr="00044FBF" w:rsidRDefault="00044FBF" w:rsidP="005F3305">
            <w:pPr>
              <w:pStyle w:val="Tabletext"/>
            </w:pPr>
          </w:p>
        </w:tc>
        <w:tc>
          <w:tcPr>
            <w:tcW w:w="960" w:type="dxa"/>
            <w:noWrap/>
            <w:hideMark/>
          </w:tcPr>
          <w:p w:rsidR="00044FBF" w:rsidRPr="00044FBF" w:rsidRDefault="00044FBF" w:rsidP="005F3305">
            <w:pPr>
              <w:pStyle w:val="Tabletext"/>
              <w:rPr>
                <w:rFonts w:ascii="Arial" w:hAnsi="Arial" w:cs="Arial"/>
                <w:szCs w:val="18"/>
              </w:rPr>
            </w:pPr>
            <w:r w:rsidRPr="00044FBF">
              <w:rPr>
                <w:rFonts w:ascii="Arial" w:hAnsi="Arial" w:cs="Arial"/>
                <w:szCs w:val="18"/>
              </w:rPr>
              <w:t>AUG-2012</w:t>
            </w:r>
          </w:p>
        </w:tc>
        <w:tc>
          <w:tcPr>
            <w:tcW w:w="960" w:type="dxa"/>
            <w:noWrap/>
            <w:hideMark/>
          </w:tcPr>
          <w:p w:rsidR="00044FBF" w:rsidRPr="00044FBF" w:rsidRDefault="00044FBF" w:rsidP="005F3305">
            <w:pPr>
              <w:pStyle w:val="Tabletext"/>
              <w:rPr>
                <w:rFonts w:ascii="Arial" w:hAnsi="Arial" w:cs="Arial"/>
                <w:szCs w:val="18"/>
              </w:rPr>
            </w:pPr>
            <w:r w:rsidRPr="00044FBF">
              <w:rPr>
                <w:rFonts w:ascii="Arial" w:hAnsi="Arial" w:cs="Arial"/>
                <w:szCs w:val="18"/>
              </w:rPr>
              <w:t>OCT-2012</w:t>
            </w:r>
          </w:p>
        </w:tc>
        <w:tc>
          <w:tcPr>
            <w:tcW w:w="960" w:type="dxa"/>
            <w:noWrap/>
            <w:hideMark/>
          </w:tcPr>
          <w:p w:rsidR="00044FBF" w:rsidRPr="00044FBF" w:rsidRDefault="00044FBF" w:rsidP="005F3305">
            <w:pPr>
              <w:pStyle w:val="Tabletext"/>
              <w:rPr>
                <w:rFonts w:ascii="Arial" w:hAnsi="Arial" w:cs="Arial"/>
                <w:szCs w:val="18"/>
              </w:rPr>
            </w:pPr>
            <w:r w:rsidRPr="00044FBF">
              <w:rPr>
                <w:rFonts w:ascii="Arial" w:hAnsi="Arial" w:cs="Arial"/>
                <w:szCs w:val="18"/>
              </w:rPr>
              <w:t>DEC-2012</w:t>
            </w:r>
          </w:p>
        </w:tc>
        <w:tc>
          <w:tcPr>
            <w:tcW w:w="960" w:type="dxa"/>
            <w:noWrap/>
            <w:hideMark/>
          </w:tcPr>
          <w:p w:rsidR="00044FBF" w:rsidRPr="00044FBF" w:rsidRDefault="00044FBF" w:rsidP="005F3305">
            <w:pPr>
              <w:pStyle w:val="Tabletext"/>
              <w:rPr>
                <w:rFonts w:ascii="Arial" w:hAnsi="Arial" w:cs="Arial"/>
                <w:szCs w:val="18"/>
              </w:rPr>
            </w:pPr>
            <w:r w:rsidRPr="00044FBF">
              <w:rPr>
                <w:rFonts w:ascii="Arial" w:hAnsi="Arial" w:cs="Arial"/>
                <w:szCs w:val="18"/>
              </w:rPr>
              <w:t>FEB-2013</w:t>
            </w:r>
          </w:p>
        </w:tc>
        <w:tc>
          <w:tcPr>
            <w:tcW w:w="960" w:type="dxa"/>
            <w:noWrap/>
            <w:hideMark/>
          </w:tcPr>
          <w:p w:rsidR="00044FBF" w:rsidRPr="00044FBF" w:rsidRDefault="00044FBF" w:rsidP="005F3305">
            <w:pPr>
              <w:pStyle w:val="Tabletext"/>
              <w:rPr>
                <w:rFonts w:ascii="Arial" w:hAnsi="Arial" w:cs="Arial"/>
                <w:szCs w:val="18"/>
              </w:rPr>
            </w:pPr>
            <w:r w:rsidRPr="00044FBF">
              <w:rPr>
                <w:rFonts w:ascii="Arial" w:hAnsi="Arial" w:cs="Arial"/>
                <w:szCs w:val="18"/>
              </w:rPr>
              <w:t>APR-2013</w:t>
            </w:r>
          </w:p>
        </w:tc>
      </w:tr>
      <w:tr w:rsidR="002126A8" w:rsidRPr="00044FBF" w:rsidTr="00A47A7D">
        <w:trPr>
          <w:trHeight w:val="340"/>
        </w:trPr>
        <w:tc>
          <w:tcPr>
            <w:tcW w:w="2518" w:type="dxa"/>
            <w:noWrap/>
            <w:hideMark/>
          </w:tcPr>
          <w:p w:rsidR="002126A8" w:rsidRPr="00044FBF" w:rsidRDefault="002126A8" w:rsidP="005F3305">
            <w:pPr>
              <w:pStyle w:val="Tabletext"/>
            </w:pPr>
            <w:r w:rsidRPr="00044FBF">
              <w:t>mid-Murrumbidgee</w:t>
            </w:r>
          </w:p>
        </w:tc>
        <w:tc>
          <w:tcPr>
            <w:tcW w:w="960" w:type="dxa"/>
            <w:noWrap/>
            <w:hideMark/>
          </w:tcPr>
          <w:p w:rsidR="002126A8" w:rsidRPr="00044FBF" w:rsidRDefault="002126A8" w:rsidP="005F3305">
            <w:pPr>
              <w:pStyle w:val="Tabletext"/>
            </w:pPr>
            <w:r w:rsidRPr="00044FBF">
              <w:t>11</w:t>
            </w:r>
          </w:p>
        </w:tc>
        <w:tc>
          <w:tcPr>
            <w:tcW w:w="960" w:type="dxa"/>
            <w:noWrap/>
            <w:hideMark/>
          </w:tcPr>
          <w:p w:rsidR="002126A8" w:rsidRPr="00044FBF" w:rsidRDefault="002126A8" w:rsidP="005F3305">
            <w:pPr>
              <w:pStyle w:val="Tabletext"/>
            </w:pPr>
            <w:r w:rsidRPr="00044FBF">
              <w:t>10</w:t>
            </w:r>
          </w:p>
        </w:tc>
        <w:tc>
          <w:tcPr>
            <w:tcW w:w="960" w:type="dxa"/>
            <w:noWrap/>
            <w:hideMark/>
          </w:tcPr>
          <w:p w:rsidR="002126A8" w:rsidRPr="00044FBF" w:rsidRDefault="002126A8" w:rsidP="005F3305">
            <w:pPr>
              <w:pStyle w:val="Tabletext"/>
            </w:pPr>
            <w:r w:rsidRPr="00044FBF">
              <w:t>7</w:t>
            </w:r>
          </w:p>
        </w:tc>
        <w:tc>
          <w:tcPr>
            <w:tcW w:w="960" w:type="dxa"/>
            <w:noWrap/>
            <w:hideMark/>
          </w:tcPr>
          <w:p w:rsidR="002126A8" w:rsidRPr="00044FBF" w:rsidRDefault="002126A8" w:rsidP="005F3305">
            <w:pPr>
              <w:pStyle w:val="Tabletext"/>
            </w:pPr>
            <w:r w:rsidRPr="00044FBF">
              <w:t>6</w:t>
            </w:r>
          </w:p>
        </w:tc>
        <w:tc>
          <w:tcPr>
            <w:tcW w:w="960" w:type="dxa"/>
            <w:noWrap/>
            <w:hideMark/>
          </w:tcPr>
          <w:p w:rsidR="002126A8" w:rsidRPr="00044FBF" w:rsidRDefault="002126A8" w:rsidP="005F3305">
            <w:pPr>
              <w:pStyle w:val="Tabletext"/>
            </w:pPr>
            <w:r w:rsidRPr="00044FBF">
              <w:t>1</w:t>
            </w:r>
          </w:p>
        </w:tc>
      </w:tr>
      <w:tr w:rsidR="00044FBF" w:rsidRPr="00044FBF" w:rsidTr="00A47A7D">
        <w:trPr>
          <w:trHeight w:val="340"/>
        </w:trPr>
        <w:tc>
          <w:tcPr>
            <w:tcW w:w="2518" w:type="dxa"/>
            <w:noWrap/>
            <w:hideMark/>
          </w:tcPr>
          <w:p w:rsidR="00044FBF" w:rsidRPr="00044FBF" w:rsidRDefault="005F3305" w:rsidP="005F3305">
            <w:pPr>
              <w:pStyle w:val="Tabletext"/>
            </w:pPr>
            <w:r w:rsidRPr="00044FBF">
              <w:t>Lowbidgee</w:t>
            </w:r>
          </w:p>
        </w:tc>
        <w:tc>
          <w:tcPr>
            <w:tcW w:w="960" w:type="dxa"/>
            <w:noWrap/>
            <w:hideMark/>
          </w:tcPr>
          <w:p w:rsidR="00044FBF" w:rsidRPr="00044FBF" w:rsidRDefault="002126A8" w:rsidP="005F3305">
            <w:pPr>
              <w:pStyle w:val="Tabletext"/>
            </w:pPr>
            <w:r>
              <w:t>11</w:t>
            </w:r>
          </w:p>
        </w:tc>
        <w:tc>
          <w:tcPr>
            <w:tcW w:w="960" w:type="dxa"/>
            <w:noWrap/>
            <w:hideMark/>
          </w:tcPr>
          <w:p w:rsidR="00044FBF" w:rsidRPr="00044FBF" w:rsidRDefault="00044FBF" w:rsidP="005F3305">
            <w:pPr>
              <w:pStyle w:val="Tabletext"/>
            </w:pPr>
            <w:r w:rsidRPr="00044FBF">
              <w:t>11</w:t>
            </w:r>
          </w:p>
        </w:tc>
        <w:tc>
          <w:tcPr>
            <w:tcW w:w="960" w:type="dxa"/>
            <w:noWrap/>
            <w:hideMark/>
          </w:tcPr>
          <w:p w:rsidR="00044FBF" w:rsidRPr="00044FBF" w:rsidRDefault="00044FBF" w:rsidP="005F3305">
            <w:pPr>
              <w:pStyle w:val="Tabletext"/>
            </w:pPr>
            <w:r w:rsidRPr="00044FBF">
              <w:t>1</w:t>
            </w:r>
            <w:r w:rsidR="002126A8">
              <w:t>1</w:t>
            </w:r>
          </w:p>
        </w:tc>
        <w:tc>
          <w:tcPr>
            <w:tcW w:w="960" w:type="dxa"/>
            <w:noWrap/>
            <w:hideMark/>
          </w:tcPr>
          <w:p w:rsidR="00044FBF" w:rsidRPr="00044FBF" w:rsidRDefault="002126A8" w:rsidP="005F3305">
            <w:pPr>
              <w:pStyle w:val="Tabletext"/>
            </w:pPr>
            <w:r>
              <w:t>9</w:t>
            </w:r>
          </w:p>
        </w:tc>
        <w:tc>
          <w:tcPr>
            <w:tcW w:w="960" w:type="dxa"/>
            <w:noWrap/>
            <w:hideMark/>
          </w:tcPr>
          <w:p w:rsidR="00044FBF" w:rsidRPr="00044FBF" w:rsidRDefault="00044FBF" w:rsidP="005F3305">
            <w:pPr>
              <w:pStyle w:val="Tabletext"/>
            </w:pPr>
            <w:r w:rsidRPr="00044FBF">
              <w:t>4</w:t>
            </w:r>
          </w:p>
        </w:tc>
      </w:tr>
      <w:tr w:rsidR="00044FBF" w:rsidRPr="00044FBF" w:rsidTr="00A47A7D">
        <w:trPr>
          <w:trHeight w:val="340"/>
        </w:trPr>
        <w:tc>
          <w:tcPr>
            <w:tcW w:w="2518" w:type="dxa"/>
            <w:noWrap/>
            <w:hideMark/>
          </w:tcPr>
          <w:p w:rsidR="00044FBF" w:rsidRPr="00044FBF" w:rsidRDefault="00044FBF" w:rsidP="005F3305">
            <w:pPr>
              <w:pStyle w:val="Tabletext"/>
            </w:pPr>
            <w:r w:rsidRPr="00044FBF">
              <w:t xml:space="preserve">Western </w:t>
            </w:r>
            <w:r w:rsidR="005F3305">
              <w:t>L</w:t>
            </w:r>
            <w:r w:rsidRPr="00044FBF">
              <w:t>ake</w:t>
            </w:r>
          </w:p>
        </w:tc>
        <w:tc>
          <w:tcPr>
            <w:tcW w:w="960" w:type="dxa"/>
            <w:noWrap/>
            <w:hideMark/>
          </w:tcPr>
          <w:p w:rsidR="00044FBF" w:rsidRPr="00044FBF" w:rsidRDefault="000D597D" w:rsidP="005F3305">
            <w:pPr>
              <w:pStyle w:val="Tabletext"/>
            </w:pPr>
            <w:r>
              <w:t>1</w:t>
            </w:r>
          </w:p>
        </w:tc>
        <w:tc>
          <w:tcPr>
            <w:tcW w:w="960" w:type="dxa"/>
            <w:noWrap/>
            <w:hideMark/>
          </w:tcPr>
          <w:p w:rsidR="00044FBF" w:rsidRPr="00044FBF" w:rsidRDefault="00044FBF" w:rsidP="005F3305">
            <w:pPr>
              <w:pStyle w:val="Tabletext"/>
            </w:pPr>
            <w:r w:rsidRPr="00044FBF">
              <w:t>6</w:t>
            </w:r>
          </w:p>
        </w:tc>
        <w:tc>
          <w:tcPr>
            <w:tcW w:w="960" w:type="dxa"/>
            <w:noWrap/>
            <w:hideMark/>
          </w:tcPr>
          <w:p w:rsidR="00044FBF" w:rsidRPr="00044FBF" w:rsidRDefault="00044FBF" w:rsidP="005F3305">
            <w:pPr>
              <w:pStyle w:val="Tabletext"/>
            </w:pPr>
            <w:r w:rsidRPr="00044FBF">
              <w:t>6</w:t>
            </w:r>
          </w:p>
        </w:tc>
        <w:tc>
          <w:tcPr>
            <w:tcW w:w="960" w:type="dxa"/>
            <w:noWrap/>
            <w:hideMark/>
          </w:tcPr>
          <w:p w:rsidR="00044FBF" w:rsidRPr="00044FBF" w:rsidRDefault="00044FBF" w:rsidP="005F3305">
            <w:pPr>
              <w:pStyle w:val="Tabletext"/>
            </w:pPr>
            <w:r w:rsidRPr="00044FBF">
              <w:t>4</w:t>
            </w:r>
          </w:p>
        </w:tc>
        <w:tc>
          <w:tcPr>
            <w:tcW w:w="960" w:type="dxa"/>
            <w:noWrap/>
            <w:hideMark/>
          </w:tcPr>
          <w:p w:rsidR="00044FBF" w:rsidRPr="00044FBF" w:rsidRDefault="00044FBF" w:rsidP="005F3305">
            <w:pPr>
              <w:pStyle w:val="Tabletext"/>
            </w:pPr>
            <w:r w:rsidRPr="00044FBF">
              <w:t>3</w:t>
            </w:r>
          </w:p>
        </w:tc>
      </w:tr>
    </w:tbl>
    <w:p w:rsidR="0045056E" w:rsidRDefault="0045056E" w:rsidP="006240CE">
      <w:pPr>
        <w:spacing w:after="0" w:line="240" w:lineRule="auto"/>
        <w:jc w:val="left"/>
        <w:rPr>
          <w:lang w:eastAsia="en-AU" w:bidi="th-TH"/>
        </w:rPr>
      </w:pPr>
    </w:p>
    <w:p w:rsidR="00BC5375" w:rsidRDefault="00BC5375" w:rsidP="006240CE">
      <w:pPr>
        <w:spacing w:after="0" w:line="240" w:lineRule="auto"/>
        <w:jc w:val="left"/>
        <w:rPr>
          <w:lang w:eastAsia="en-AU" w:bidi="th-TH"/>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6"/>
        <w:gridCol w:w="4617"/>
      </w:tblGrid>
      <w:tr w:rsidR="00BC5375" w:rsidTr="00CE2909">
        <w:trPr>
          <w:cnfStyle w:val="100000000000"/>
        </w:trPr>
        <w:tc>
          <w:tcPr>
            <w:tcW w:w="4621" w:type="dxa"/>
            <w:shd w:val="clear" w:color="auto" w:fill="auto"/>
          </w:tcPr>
          <w:p w:rsidR="00BC5375" w:rsidRDefault="007246AF" w:rsidP="0045056E">
            <w:pPr>
              <w:pStyle w:val="Title"/>
              <w:keepNext/>
              <w:jc w:val="left"/>
              <w:rPr>
                <w:szCs w:val="22"/>
                <w:lang w:eastAsia="en-AU" w:bidi="th-TH"/>
              </w:rPr>
            </w:pPr>
            <w:r>
              <w:rPr>
                <w:noProof/>
                <w:lang w:eastAsia="en-AU"/>
              </w:rPr>
              <w:drawing>
                <wp:inline distT="0" distB="0" distL="0" distR="0">
                  <wp:extent cx="2885460" cy="2160000"/>
                  <wp:effectExtent l="19050" t="0" r="0" b="0"/>
                  <wp:docPr id="174" name="Picture 58" descr="D:\Users\swassens\Pictures\Feild sites\Murrumbidgee\October 2012\Jen_lowres_Oct2012\DSCN0783Mid_Murrumbidgee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Users\swassens\Pictures\Feild sites\Murrumbidgee\October 2012\Jen_lowres_Oct2012\DSCN0783Mid_Murrumbidgee1012.JPG"/>
                          <pic:cNvPicPr>
                            <a:picLocks noChangeAspect="1" noChangeArrowheads="1"/>
                          </pic:cNvPicPr>
                        </pic:nvPicPr>
                        <pic:blipFill>
                          <a:blip r:embed="rId53" cstate="print"/>
                          <a:srcRect/>
                          <a:stretch>
                            <a:fillRect/>
                          </a:stretch>
                        </pic:blipFill>
                        <pic:spPr bwMode="auto">
                          <a:xfrm>
                            <a:off x="0" y="0"/>
                            <a:ext cx="2885460" cy="2160000"/>
                          </a:xfrm>
                          <a:prstGeom prst="rect">
                            <a:avLst/>
                          </a:prstGeom>
                          <a:noFill/>
                          <a:ln w="9525">
                            <a:noFill/>
                            <a:miter lim="800000"/>
                            <a:headEnd/>
                            <a:tailEnd/>
                          </a:ln>
                        </pic:spPr>
                      </pic:pic>
                    </a:graphicData>
                  </a:graphic>
                </wp:inline>
              </w:drawing>
            </w:r>
          </w:p>
        </w:tc>
        <w:tc>
          <w:tcPr>
            <w:tcW w:w="4621" w:type="dxa"/>
            <w:shd w:val="clear" w:color="auto" w:fill="auto"/>
          </w:tcPr>
          <w:p w:rsidR="00BC5375" w:rsidRDefault="00BC5375" w:rsidP="0045056E">
            <w:pPr>
              <w:pStyle w:val="Title"/>
              <w:keepNext/>
              <w:jc w:val="left"/>
              <w:rPr>
                <w:szCs w:val="22"/>
                <w:lang w:eastAsia="en-AU" w:bidi="th-TH"/>
              </w:rPr>
            </w:pPr>
            <w:r>
              <w:rPr>
                <w:noProof/>
                <w:lang w:eastAsia="en-AU"/>
              </w:rPr>
              <w:drawing>
                <wp:inline distT="0" distB="0" distL="0" distR="0">
                  <wp:extent cx="2880005" cy="2160000"/>
                  <wp:effectExtent l="19050" t="0" r="0" b="0"/>
                  <wp:docPr id="173" name="Picture 57" descr="D:\Users\swassens\Pictures\Feild sites\Murrumbidgee\Feb 2013\Murrumbidgee Monitoring Feb13 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Users\swassens\Pictures\Feild sites\Murrumbidgee\Feb 2013\Murrumbidgee Monitoring Feb13 147.jpg"/>
                          <pic:cNvPicPr>
                            <a:picLocks noChangeAspect="1" noChangeArrowheads="1"/>
                          </pic:cNvPicPr>
                        </pic:nvPicPr>
                        <pic:blipFill>
                          <a:blip r:embed="rId54" cstate="print"/>
                          <a:srcRect/>
                          <a:stretch>
                            <a:fillRect/>
                          </a:stretch>
                        </pic:blipFill>
                        <pic:spPr bwMode="auto">
                          <a:xfrm>
                            <a:off x="0" y="0"/>
                            <a:ext cx="2880005" cy="2160000"/>
                          </a:xfrm>
                          <a:prstGeom prst="rect">
                            <a:avLst/>
                          </a:prstGeom>
                          <a:noFill/>
                          <a:ln w="9525">
                            <a:noFill/>
                            <a:miter lim="800000"/>
                            <a:headEnd/>
                            <a:tailEnd/>
                          </a:ln>
                        </pic:spPr>
                      </pic:pic>
                    </a:graphicData>
                  </a:graphic>
                </wp:inline>
              </w:drawing>
            </w:r>
          </w:p>
        </w:tc>
      </w:tr>
    </w:tbl>
    <w:p w:rsidR="008F6FC3" w:rsidRDefault="006240CE" w:rsidP="00B04AAE">
      <w:pPr>
        <w:pStyle w:val="Caption1"/>
        <w:rPr>
          <w:lang w:eastAsia="en-AU" w:bidi="th-TH"/>
        </w:rPr>
        <w:sectPr w:rsidR="008F6FC3" w:rsidSect="00B80BE4">
          <w:pgSz w:w="11907" w:h="16839" w:code="9"/>
          <w:pgMar w:top="1440" w:right="1440" w:bottom="1440" w:left="1440" w:header="708" w:footer="708" w:gutter="0"/>
          <w:cols w:space="708"/>
          <w:docGrid w:linePitch="360"/>
        </w:sectPr>
      </w:pPr>
      <w:bookmarkStart w:id="87" w:name="_Ref369780572"/>
      <w:bookmarkStart w:id="88" w:name="_Toc370738718"/>
      <w:proofErr w:type="gramStart"/>
      <w:r w:rsidRPr="00B04AAE">
        <w:rPr>
          <w:b/>
        </w:rPr>
        <w:t xml:space="preserve">Plate </w:t>
      </w:r>
      <w:proofErr w:type="gramEnd"/>
      <w:r w:rsidR="00D20FAE" w:rsidRPr="00B04AAE">
        <w:rPr>
          <w:b/>
        </w:rPr>
        <w:fldChar w:fldCharType="begin"/>
      </w:r>
      <w:r w:rsidR="00193C49" w:rsidRPr="00B04AAE">
        <w:rPr>
          <w:b/>
        </w:rPr>
        <w:instrText xml:space="preserve"> SEQ Plate \* ARABIC </w:instrText>
      </w:r>
      <w:r w:rsidR="00D20FAE" w:rsidRPr="00B04AAE">
        <w:rPr>
          <w:b/>
        </w:rPr>
        <w:fldChar w:fldCharType="separate"/>
      </w:r>
      <w:r w:rsidR="00436595">
        <w:rPr>
          <w:b/>
          <w:noProof/>
        </w:rPr>
        <w:t>6</w:t>
      </w:r>
      <w:r w:rsidR="00D20FAE" w:rsidRPr="00B04AAE">
        <w:rPr>
          <w:b/>
        </w:rPr>
        <w:fldChar w:fldCharType="end"/>
      </w:r>
      <w:bookmarkEnd w:id="87"/>
      <w:proofErr w:type="gramStart"/>
      <w:r>
        <w:t xml:space="preserve"> </w:t>
      </w:r>
      <w:r w:rsidRPr="006240CE">
        <w:rPr>
          <w:lang w:eastAsia="en-AU" w:bidi="th-TH"/>
        </w:rPr>
        <w:t xml:space="preserve">Mckennas </w:t>
      </w:r>
      <w:r w:rsidR="00B52B50">
        <w:rPr>
          <w:lang w:eastAsia="en-AU" w:bidi="th-TH"/>
        </w:rPr>
        <w:t>L</w:t>
      </w:r>
      <w:r w:rsidRPr="006240CE">
        <w:rPr>
          <w:lang w:eastAsia="en-AU" w:bidi="th-TH"/>
        </w:rPr>
        <w:t>agoon in the mid-Murrumbidgee October 2012 (right) and February 2013 (left)</w:t>
      </w:r>
      <w:bookmarkEnd w:id="88"/>
      <w:r w:rsidR="004C6DCC">
        <w:rPr>
          <w:lang w:eastAsia="en-AU" w:bidi="th-TH"/>
        </w:rPr>
        <w:t>.</w:t>
      </w:r>
      <w:proofErr w:type="gramEnd"/>
    </w:p>
    <w:p w:rsidR="00BA28CC" w:rsidRDefault="00BA28CC" w:rsidP="006240CE">
      <w:pPr>
        <w:pStyle w:val="Caption"/>
        <w:rPr>
          <w:b w:val="0"/>
          <w:lang w:eastAsia="en-AU" w:bidi="th-TH"/>
        </w:rPr>
      </w:pPr>
    </w:p>
    <w:p w:rsidR="00571D7D" w:rsidRDefault="00AC69E7" w:rsidP="00AC69E7">
      <w:pPr>
        <w:pStyle w:val="Heading1"/>
        <w:rPr>
          <w:lang w:eastAsia="en-AU" w:bidi="th-TH"/>
        </w:rPr>
      </w:pPr>
      <w:bookmarkStart w:id="89" w:name="_Toc370299179"/>
      <w:bookmarkStart w:id="90" w:name="_Toc370738719"/>
      <w:bookmarkStart w:id="91" w:name="_Toc378168514"/>
      <w:r>
        <w:rPr>
          <w:lang w:eastAsia="en-AU" w:bidi="th-TH"/>
        </w:rPr>
        <w:t>M</w:t>
      </w:r>
      <w:r w:rsidR="00571D7D">
        <w:rPr>
          <w:lang w:eastAsia="en-AU" w:bidi="th-TH"/>
        </w:rPr>
        <w:t>onitoring activities</w:t>
      </w:r>
      <w:bookmarkEnd w:id="89"/>
      <w:bookmarkEnd w:id="90"/>
      <w:bookmarkEnd w:id="91"/>
    </w:p>
    <w:p w:rsidR="0045056E" w:rsidRDefault="001C52F8" w:rsidP="0045056E">
      <w:r>
        <w:t xml:space="preserve">The design of the monitoring strategy is based on the stated Commonwealth ecological flow objectives for the two target watering actions in the Murrumbidgee River, Western Lakes and other connected wetlands, and is shown </w:t>
      </w:r>
      <w:r w:rsidR="008924F1">
        <w:t xml:space="preserve">previously in </w:t>
      </w:r>
      <w:r w:rsidR="0045056E">
        <w:t>Table 1.</w:t>
      </w:r>
    </w:p>
    <w:p w:rsidR="008924F1" w:rsidRDefault="001C52F8" w:rsidP="00C85B58">
      <w:r>
        <w:t xml:space="preserve">In relation to the </w:t>
      </w:r>
      <w:r w:rsidR="00B52B50">
        <w:t>C</w:t>
      </w:r>
      <w:r>
        <w:t xml:space="preserve">ommonwealth environmental watering objectives, the monitoring program considered </w:t>
      </w:r>
      <w:r w:rsidR="003A76F5">
        <w:t>three key watering objectives</w:t>
      </w:r>
      <w:r>
        <w:t xml:space="preserve"> </w:t>
      </w:r>
      <w:r w:rsidR="003A76F5">
        <w:t xml:space="preserve">related </w:t>
      </w:r>
      <w:r w:rsidR="00CC43A3">
        <w:t>to ecosystem</w:t>
      </w:r>
      <w:r>
        <w:t xml:space="preserve"> function</w:t>
      </w:r>
      <w:r w:rsidR="003A76F5">
        <w:t xml:space="preserve"> (section 1)</w:t>
      </w:r>
      <w:r>
        <w:t xml:space="preserve">, </w:t>
      </w:r>
      <w:r w:rsidR="00B52B50">
        <w:t>f</w:t>
      </w:r>
      <w:r w:rsidR="003A76F5">
        <w:t>ish communities, movement and recruitment (</w:t>
      </w:r>
      <w:r w:rsidR="008924F1">
        <w:t>s</w:t>
      </w:r>
      <w:r w:rsidR="003A76F5">
        <w:t xml:space="preserve">ection 2), wetland </w:t>
      </w:r>
      <w:r w:rsidR="00CC43A3">
        <w:t>fauna</w:t>
      </w:r>
      <w:r w:rsidR="003A76F5">
        <w:t xml:space="preserve"> and flora communities, </w:t>
      </w:r>
      <w:r>
        <w:t>breeding</w:t>
      </w:r>
      <w:r w:rsidR="00CC43A3">
        <w:t xml:space="preserve"> and</w:t>
      </w:r>
      <w:r>
        <w:t xml:space="preserve"> </w:t>
      </w:r>
      <w:r w:rsidR="00CC43A3">
        <w:t>recrui</w:t>
      </w:r>
      <w:r w:rsidR="00CC43A3" w:rsidRPr="00550A3E">
        <w:t xml:space="preserve">tment </w:t>
      </w:r>
      <w:r w:rsidR="00550A3E" w:rsidRPr="00550A3E">
        <w:t>(section 3</w:t>
      </w:r>
      <w:r w:rsidRPr="00550A3E">
        <w:t>)</w:t>
      </w:r>
      <w:r w:rsidR="004C6DCC">
        <w:t xml:space="preserve"> </w:t>
      </w:r>
      <w:r w:rsidR="00550A3E" w:rsidRPr="00550A3E">
        <w:t>(</w:t>
      </w:r>
      <w:r w:rsidR="0045056E">
        <w:t>Figure 6).</w:t>
      </w:r>
      <w:r w:rsidRPr="00550A3E">
        <w:t xml:space="preserve"> </w:t>
      </w:r>
      <w:r w:rsidR="008924F1" w:rsidRPr="00550A3E">
        <w:t>For each of these broad objectives</w:t>
      </w:r>
      <w:r w:rsidR="004C6DCC">
        <w:t>,</w:t>
      </w:r>
      <w:r w:rsidR="008924F1" w:rsidRPr="00550A3E">
        <w:t xml:space="preserve"> we selected sets of indicat</w:t>
      </w:r>
      <w:r w:rsidR="00B52B50">
        <w:t>or</w:t>
      </w:r>
      <w:r w:rsidR="008924F1" w:rsidRPr="00550A3E">
        <w:t xml:space="preserve">s that could be measured in the field to provide a quantitative basis </w:t>
      </w:r>
      <w:r w:rsidR="008924F1">
        <w:t xml:space="preserve">on which to assess the outcomes of Commonwealth watering actions. </w:t>
      </w:r>
    </w:p>
    <w:p w:rsidR="001C52F8" w:rsidRDefault="008924F1" w:rsidP="001C52F8">
      <w:r>
        <w:t xml:space="preserve"> The ecological response to environmental watering actions can occur over</w:t>
      </w:r>
      <w:r w:rsidR="004C6DCC">
        <w:t xml:space="preserve"> a range of timeframes;</w:t>
      </w:r>
      <w:r>
        <w:t xml:space="preserve"> for example</w:t>
      </w:r>
      <w:r w:rsidR="004C6DCC">
        <w:t>,</w:t>
      </w:r>
      <w:r>
        <w:t xml:space="preserve"> water quality can change rapidly following environmental release, while the composition of species present in a wetland community can change more slowly. The monitoring program therefore </w:t>
      </w:r>
      <w:r w:rsidR="00202FB2">
        <w:t xml:space="preserve">included a range of parameters </w:t>
      </w:r>
      <w:r w:rsidR="004C6DCC">
        <w:t>that</w:t>
      </w:r>
      <w:r w:rsidR="00202FB2">
        <w:t xml:space="preserve"> were expected to respond rapidly to specific watering actions such as larval fish abundance and those that change more slowly such as fish community composition and age structure. This strategy allows us to track</w:t>
      </w:r>
      <w:r w:rsidR="001C52F8">
        <w:t xml:space="preserve"> the improvements in wetland condition across successive years of environmental watering </w:t>
      </w:r>
      <w:r w:rsidR="00202FB2">
        <w:t>as well as quanti</w:t>
      </w:r>
      <w:r w:rsidR="00B52B50">
        <w:t>f</w:t>
      </w:r>
      <w:r w:rsidR="00202FB2">
        <w:t>y the short</w:t>
      </w:r>
      <w:r w:rsidR="001C52F8">
        <w:t xml:space="preserve"> term responses to the specific Commonwealth watering action.  We also aimed to select, where practicable</w:t>
      </w:r>
      <w:r w:rsidR="004C6DCC">
        <w:t>,</w:t>
      </w:r>
      <w:r w:rsidR="001C52F8">
        <w:t xml:space="preserve"> some indicators that could be applied within river and wetlands, these included water quality, nutrients and carbon and </w:t>
      </w:r>
      <w:r w:rsidR="00550A3E">
        <w:t>microcrustacea</w:t>
      </w:r>
      <w:r w:rsidR="001C52F8">
        <w:t>. As a number of other parameters (in addition to Commonwealth environmental water) can influence the outcomes of environmental watering actions, we also identified and measured important covar</w:t>
      </w:r>
      <w:r w:rsidR="004C6DCC">
        <w:t>iates (</w:t>
      </w:r>
      <w:r w:rsidR="001C52F8">
        <w:t>variable</w:t>
      </w:r>
      <w:r w:rsidR="004C6DCC">
        <w:t>s that have</w:t>
      </w:r>
      <w:r w:rsidR="001C52F8">
        <w:t xml:space="preserve"> the potential to influence the outcomes of the response of interest). </w:t>
      </w:r>
    </w:p>
    <w:p w:rsidR="00AC69E7" w:rsidRDefault="00AC69E7">
      <w:pPr>
        <w:spacing w:after="0" w:line="240" w:lineRule="auto"/>
        <w:jc w:val="left"/>
      </w:pPr>
      <w:r>
        <w:br w:type="page"/>
      </w:r>
    </w:p>
    <w:p w:rsidR="00A05851" w:rsidRDefault="00860462" w:rsidP="00AC69E7">
      <w:pPr>
        <w:pStyle w:val="Caption1"/>
        <w:rPr>
          <w:b/>
        </w:rPr>
      </w:pPr>
      <w:bookmarkStart w:id="92" w:name="_Ref369857519"/>
      <w:r w:rsidRPr="00860462">
        <w:rPr>
          <w:b/>
          <w:noProof/>
          <w:lang w:eastAsia="en-AU"/>
        </w:rPr>
        <w:t xml:space="preserve"> </w:t>
      </w:r>
      <w:bookmarkStart w:id="93" w:name="_Toc370738720"/>
      <w:r w:rsidRPr="00860462">
        <w:rPr>
          <w:b/>
          <w:noProof/>
          <w:lang w:eastAsia="en-AU"/>
        </w:rPr>
        <w:drawing>
          <wp:inline distT="0" distB="0" distL="0" distR="0">
            <wp:extent cx="5545137" cy="7705725"/>
            <wp:effectExtent l="19050" t="0" r="0" b="0"/>
            <wp:docPr id="109"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545137" cy="7705725"/>
                      <a:chOff x="404813" y="415925"/>
                      <a:chExt cx="5545137" cy="7705725"/>
                    </a:xfrm>
                  </a:grpSpPr>
                  <a:grpSp>
                    <a:nvGrpSpPr>
                      <a:cNvPr id="46" name="Group 45"/>
                      <a:cNvGrpSpPr/>
                    </a:nvGrpSpPr>
                    <a:grpSpPr>
                      <a:xfrm>
                        <a:off x="404813" y="415925"/>
                        <a:ext cx="5545137" cy="7705725"/>
                        <a:chOff x="404813" y="415925"/>
                        <a:chExt cx="5545137" cy="7705725"/>
                      </a:xfrm>
                    </a:grpSpPr>
                    <a:sp>
                      <a:nvSpPr>
                        <a:cNvPr id="41" name="Rectangle 40"/>
                        <a:cNvSpPr/>
                      </a:nvSpPr>
                      <a:spPr bwMode="auto">
                        <a:xfrm>
                          <a:off x="1917700" y="415925"/>
                          <a:ext cx="1457325" cy="7705725"/>
                        </a:xfrm>
                        <a:prstGeom prst="rect">
                          <a:avLst/>
                        </a:prstGeom>
                        <a:solidFill>
                          <a:schemeClr val="bg1"/>
                        </a:solidFill>
                        <a:ln>
                          <a:solidFill>
                            <a:srgbClr val="4A2683"/>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en-AU" dirty="0">
                              <a:latin typeface="Century Gothic"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TextBox 13"/>
                        <a:cNvSpPr txBox="1"/>
                      </a:nvSpPr>
                      <a:spPr bwMode="auto">
                        <a:xfrm>
                          <a:off x="2060575" y="1784648"/>
                          <a:ext cx="1189038" cy="554038"/>
                        </a:xfrm>
                        <a:prstGeom prst="rect">
                          <a:avLst/>
                        </a:prstGeom>
                        <a:solidFill>
                          <a:srgbClr val="B6533F">
                            <a:alpha val="30196"/>
                          </a:srgbClr>
                        </a:solidFill>
                        <a:ln>
                          <a:solidFill>
                            <a:srgbClr val="070000"/>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Nutrients &amp; carbon</a:t>
                            </a:r>
                          </a:p>
                          <a:p>
                            <a:pPr algn="ctr" fontAlgn="auto">
                              <a:spcBef>
                                <a:spcPts val="0"/>
                              </a:spcBef>
                              <a:spcAft>
                                <a:spcPts val="0"/>
                              </a:spcAft>
                              <a:defRPr/>
                            </a:pPr>
                            <a:r>
                              <a:rPr lang="en-AU" sz="1000" b="1" dirty="0">
                                <a:latin typeface="Century Gothic" pitchFamily="34" charset="0"/>
                                <a:cs typeface="+mn-cs"/>
                              </a:rPr>
                              <a:t>N, P, Si. DOC  </a:t>
                            </a:r>
                          </a:p>
                        </a:txBody>
                        <a:useSpRect/>
                      </a:txSp>
                    </a:sp>
                    <a:sp>
                      <a:nvSpPr>
                        <a:cNvPr id="32" name="TextBox 31"/>
                        <a:cNvSpPr txBox="1"/>
                      </a:nvSpPr>
                      <a:spPr bwMode="auto">
                        <a:xfrm>
                          <a:off x="2074863" y="4376738"/>
                          <a:ext cx="1189037" cy="400050"/>
                        </a:xfrm>
                        <a:prstGeom prst="rect">
                          <a:avLst/>
                        </a:prstGeom>
                        <a:solidFill>
                          <a:srgbClr val="A1B0D1"/>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Fish  Community</a:t>
                            </a:r>
                          </a:p>
                          <a:p>
                            <a:pPr algn="ctr" fontAlgn="auto">
                              <a:spcBef>
                                <a:spcPts val="0"/>
                              </a:spcBef>
                              <a:spcAft>
                                <a:spcPts val="0"/>
                              </a:spcAft>
                              <a:defRPr/>
                            </a:pPr>
                            <a:endParaRPr lang="en-AU" sz="1000" b="1" dirty="0">
                              <a:latin typeface="Century Gothic" pitchFamily="34" charset="0"/>
                              <a:cs typeface="+mn-cs"/>
                            </a:endParaRPr>
                          </a:p>
                        </a:txBody>
                        <a:useSpRect/>
                      </a:txSp>
                    </a:sp>
                    <a:sp>
                      <a:nvSpPr>
                        <a:cNvPr id="39" name="Rectangle 38"/>
                        <a:cNvSpPr/>
                      </a:nvSpPr>
                      <a:spPr bwMode="auto">
                        <a:xfrm>
                          <a:off x="3429000" y="415925"/>
                          <a:ext cx="2520950" cy="7705725"/>
                        </a:xfrm>
                        <a:prstGeom prst="rect">
                          <a:avLst/>
                        </a:prstGeom>
                        <a:solidFill>
                          <a:schemeClr val="bg1"/>
                        </a:solidFill>
                        <a:ln>
                          <a:solidFill>
                            <a:srgbClr val="07601F"/>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en-AU">
                              <a:latin typeface="Century Gothic"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TextBox 12"/>
                        <a:cNvSpPr txBox="1"/>
                      </a:nvSpPr>
                      <a:spPr bwMode="auto">
                        <a:xfrm>
                          <a:off x="3990975" y="992560"/>
                          <a:ext cx="1190625" cy="709613"/>
                        </a:xfrm>
                        <a:prstGeom prst="rect">
                          <a:avLst/>
                        </a:prstGeom>
                        <a:solidFill>
                          <a:srgbClr val="B6533F">
                            <a:alpha val="30196"/>
                          </a:srgbClr>
                        </a:solidFill>
                        <a:ln>
                          <a:solidFill>
                            <a:srgbClr val="070000"/>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rPr>
                              <a:t>Water quality</a:t>
                            </a:r>
                          </a:p>
                          <a:p>
                            <a:pPr algn="ctr" fontAlgn="auto">
                              <a:spcBef>
                                <a:spcPts val="0"/>
                              </a:spcBef>
                              <a:spcAft>
                                <a:spcPts val="0"/>
                              </a:spcAft>
                              <a:defRPr/>
                            </a:pPr>
                            <a:r>
                              <a:rPr lang="en-AU" sz="1000" b="1" dirty="0">
                                <a:latin typeface="Century Gothic" pitchFamily="34" charset="0"/>
                              </a:rPr>
                              <a:t>Temp., Cond. pH, NTU, DO hydrology</a:t>
                            </a:r>
                          </a:p>
                          <a:p>
                            <a:pPr algn="ctr" fontAlgn="auto">
                              <a:spcBef>
                                <a:spcPts val="0"/>
                              </a:spcBef>
                              <a:spcAft>
                                <a:spcPts val="0"/>
                              </a:spcAft>
                              <a:defRPr/>
                            </a:pPr>
                            <a:endParaRPr lang="en-AU" sz="1000" b="1" dirty="0">
                              <a:latin typeface="Century Gothic" pitchFamily="34" charset="0"/>
                              <a:cs typeface="+mn-cs"/>
                            </a:endParaRPr>
                          </a:p>
                        </a:txBody>
                        <a:useSpRect/>
                      </a:txSp>
                    </a:sp>
                    <a:sp>
                      <a:nvSpPr>
                        <a:cNvPr id="15" name="TextBox 14"/>
                        <a:cNvSpPr txBox="1"/>
                      </a:nvSpPr>
                      <a:spPr bwMode="auto">
                        <a:xfrm>
                          <a:off x="3990975" y="1784648"/>
                          <a:ext cx="1190625" cy="554038"/>
                        </a:xfrm>
                        <a:prstGeom prst="rect">
                          <a:avLst/>
                        </a:prstGeom>
                        <a:solidFill>
                          <a:srgbClr val="B6533F">
                            <a:alpha val="30196"/>
                          </a:srgbClr>
                        </a:solidFill>
                        <a:ln>
                          <a:solidFill>
                            <a:srgbClr val="070000"/>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Nutrients &amp; carbon</a:t>
                            </a:r>
                          </a:p>
                          <a:p>
                            <a:pPr algn="ctr" fontAlgn="auto">
                              <a:spcBef>
                                <a:spcPts val="0"/>
                              </a:spcBef>
                              <a:spcAft>
                                <a:spcPts val="0"/>
                              </a:spcAft>
                              <a:defRPr/>
                            </a:pPr>
                            <a:r>
                              <a:rPr lang="en-AU" sz="1000" b="1" dirty="0">
                                <a:latin typeface="Century Gothic" pitchFamily="34" charset="0"/>
                                <a:cs typeface="+mn-cs"/>
                              </a:rPr>
                              <a:t>N, P, Si. DOC  </a:t>
                            </a:r>
                          </a:p>
                        </a:txBody>
                        <a:useSpRect/>
                      </a:txSp>
                    </a:sp>
                    <a:sp>
                      <a:nvSpPr>
                        <a:cNvPr id="27" name="TextBox 26"/>
                        <a:cNvSpPr txBox="1"/>
                      </a:nvSpPr>
                      <a:spPr bwMode="auto">
                        <a:xfrm>
                          <a:off x="2060848" y="3368824"/>
                          <a:ext cx="1189037" cy="400050"/>
                        </a:xfrm>
                        <a:prstGeom prst="rect">
                          <a:avLst/>
                        </a:prstGeom>
                        <a:solidFill>
                          <a:srgbClr val="B6533F">
                            <a:alpha val="30196"/>
                          </a:srgbClr>
                        </a:solidFill>
                        <a:ln>
                          <a:solidFill>
                            <a:srgbClr val="070000"/>
                          </a:solidFill>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smtClean="0">
                                <a:latin typeface="Century Gothic" pitchFamily="34" charset="0"/>
                                <a:cs typeface="+mn-cs"/>
                              </a:rPr>
                              <a:t>Microcrustacea</a:t>
                            </a:r>
                            <a:endParaRPr lang="en-AU" sz="1000" b="1" dirty="0">
                              <a:latin typeface="Century Gothic" pitchFamily="34" charset="0"/>
                              <a:cs typeface="+mn-cs"/>
                            </a:endParaRPr>
                          </a:p>
                        </a:txBody>
                        <a:useSpRect/>
                      </a:txSp>
                    </a:sp>
                    <a:sp>
                      <a:nvSpPr>
                        <a:cNvPr id="30" name="TextBox 29"/>
                        <a:cNvSpPr txBox="1"/>
                      </a:nvSpPr>
                      <a:spPr bwMode="auto">
                        <a:xfrm>
                          <a:off x="3573463" y="7505700"/>
                          <a:ext cx="1079500" cy="400050"/>
                        </a:xfrm>
                        <a:prstGeom prst="rect">
                          <a:avLst/>
                        </a:prstGeom>
                        <a:solidFill>
                          <a:srgbClr val="86B29E">
                            <a:alpha val="25098"/>
                          </a:srgbClr>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Tadpoles</a:t>
                            </a:r>
                          </a:p>
                          <a:p>
                            <a:pPr algn="ctr" fontAlgn="auto">
                              <a:spcBef>
                                <a:spcPts val="0"/>
                              </a:spcBef>
                              <a:spcAft>
                                <a:spcPts val="0"/>
                              </a:spcAft>
                              <a:defRPr/>
                            </a:pPr>
                            <a:endParaRPr lang="en-AU" sz="1000" b="1" dirty="0">
                              <a:latin typeface="Century Gothic" pitchFamily="34" charset="0"/>
                              <a:cs typeface="+mn-cs"/>
                            </a:endParaRPr>
                          </a:p>
                        </a:txBody>
                        <a:useSpRect/>
                      </a:txSp>
                    </a:sp>
                    <a:sp>
                      <a:nvSpPr>
                        <a:cNvPr id="33" name="TextBox 32"/>
                        <a:cNvSpPr txBox="1"/>
                      </a:nvSpPr>
                      <a:spPr bwMode="auto">
                        <a:xfrm>
                          <a:off x="4005263" y="4376738"/>
                          <a:ext cx="1189037" cy="400050"/>
                        </a:xfrm>
                        <a:prstGeom prst="rect">
                          <a:avLst/>
                        </a:prstGeom>
                        <a:solidFill>
                          <a:srgbClr val="A1B0D1"/>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Fish Community</a:t>
                            </a:r>
                          </a:p>
                          <a:p>
                            <a:pPr algn="ctr" fontAlgn="auto">
                              <a:spcBef>
                                <a:spcPts val="0"/>
                              </a:spcBef>
                              <a:spcAft>
                                <a:spcPts val="0"/>
                              </a:spcAft>
                              <a:defRPr/>
                            </a:pPr>
                            <a:endParaRPr lang="en-AU" sz="1000" b="1" dirty="0">
                              <a:latin typeface="Century Gothic" pitchFamily="34" charset="0"/>
                              <a:cs typeface="+mn-cs"/>
                            </a:endParaRPr>
                          </a:p>
                        </a:txBody>
                        <a:useSpRect/>
                      </a:txSp>
                    </a:sp>
                    <a:sp>
                      <a:nvSpPr>
                        <a:cNvPr id="36" name="TextBox 35"/>
                        <a:cNvSpPr txBox="1"/>
                      </a:nvSpPr>
                      <a:spPr bwMode="auto">
                        <a:xfrm>
                          <a:off x="3573463" y="6394450"/>
                          <a:ext cx="1079500" cy="400050"/>
                        </a:xfrm>
                        <a:prstGeom prst="rect">
                          <a:avLst/>
                        </a:prstGeom>
                        <a:solidFill>
                          <a:srgbClr val="86B29E">
                            <a:alpha val="50196"/>
                          </a:srgbClr>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Frog community</a:t>
                            </a:r>
                          </a:p>
                        </a:txBody>
                        <a:useSpRect/>
                      </a:txSp>
                    </a:sp>
                    <a:sp>
                      <a:nvSpPr>
                        <a:cNvPr id="37" name="TextBox 36"/>
                        <a:cNvSpPr txBox="1"/>
                      </a:nvSpPr>
                      <a:spPr bwMode="auto">
                        <a:xfrm>
                          <a:off x="4725988" y="5889625"/>
                          <a:ext cx="1079500" cy="400050"/>
                        </a:xfrm>
                        <a:prstGeom prst="rect">
                          <a:avLst/>
                        </a:prstGeom>
                        <a:solidFill>
                          <a:srgbClr val="86B29E">
                            <a:alpha val="50196"/>
                          </a:srgbClr>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Waterbird community</a:t>
                            </a:r>
                          </a:p>
                        </a:txBody>
                        <a:useSpRect/>
                      </a:txSp>
                    </a:sp>
                    <a:sp>
                      <a:nvSpPr>
                        <a:cNvPr id="38" name="TextBox 37"/>
                        <a:cNvSpPr txBox="1"/>
                      </a:nvSpPr>
                      <a:spPr bwMode="auto">
                        <a:xfrm>
                          <a:off x="3573463" y="5889625"/>
                          <a:ext cx="1079500" cy="400050"/>
                        </a:xfrm>
                        <a:prstGeom prst="rect">
                          <a:avLst/>
                        </a:prstGeom>
                        <a:solidFill>
                          <a:srgbClr val="86B29E">
                            <a:alpha val="50196"/>
                          </a:srgbClr>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Vegetation community</a:t>
                            </a:r>
                          </a:p>
                        </a:txBody>
                        <a:useSpRect/>
                      </a:txSp>
                    </a:sp>
                    <a:sp>
                      <a:nvSpPr>
                        <a:cNvPr id="5136" name="TextBox 43"/>
                        <a:cNvSpPr txBox="1">
                          <a:spLocks noChangeArrowheads="1"/>
                        </a:cNvSpPr>
                      </a:nvSpPr>
                      <a:spPr bwMode="auto">
                        <a:xfrm>
                          <a:off x="2075277" y="632587"/>
                          <a:ext cx="1188256" cy="307872"/>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en-AU" sz="1400" b="1">
                                <a:latin typeface="Century Gothic" pitchFamily="34" charset="0"/>
                              </a:rPr>
                              <a:t>River</a:t>
                            </a:r>
                          </a:p>
                        </a:txBody>
                        <a:useSpRect/>
                      </a:txSp>
                    </a:sp>
                    <a:sp>
                      <a:nvSpPr>
                        <a:cNvPr id="5137" name="TextBox 44"/>
                        <a:cNvSpPr txBox="1">
                          <a:spLocks noChangeArrowheads="1"/>
                        </a:cNvSpPr>
                      </a:nvSpPr>
                      <a:spPr bwMode="auto">
                        <a:xfrm>
                          <a:off x="4087193" y="631995"/>
                          <a:ext cx="1080135" cy="307872"/>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en-AU" sz="1400" b="1">
                                <a:latin typeface="Century Gothic" pitchFamily="34" charset="0"/>
                              </a:rPr>
                              <a:t>Wetlands</a:t>
                            </a:r>
                          </a:p>
                        </a:txBody>
                        <a:useSpRect/>
                      </a:txSp>
                    </a:sp>
                    <a:sp>
                      <a:nvSpPr>
                        <a:cNvPr id="40" name="TextBox 39"/>
                        <a:cNvSpPr txBox="1"/>
                      </a:nvSpPr>
                      <a:spPr bwMode="auto">
                        <a:xfrm>
                          <a:off x="4005263" y="4881563"/>
                          <a:ext cx="1189037" cy="400050"/>
                        </a:xfrm>
                        <a:prstGeom prst="rect">
                          <a:avLst/>
                        </a:prstGeom>
                        <a:solidFill>
                          <a:srgbClr val="A1B0D1"/>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Y.O.Y fish</a:t>
                            </a:r>
                          </a:p>
                        </a:txBody>
                        <a:useSpRect/>
                      </a:txSp>
                    </a:sp>
                    <a:sp>
                      <a:nvSpPr>
                        <a:cNvPr id="44" name="TextBox 43"/>
                        <a:cNvSpPr txBox="1"/>
                      </a:nvSpPr>
                      <a:spPr bwMode="auto">
                        <a:xfrm>
                          <a:off x="4725988" y="7505700"/>
                          <a:ext cx="1079500" cy="400050"/>
                        </a:xfrm>
                        <a:prstGeom prst="rect">
                          <a:avLst/>
                        </a:prstGeom>
                        <a:solidFill>
                          <a:srgbClr val="86B29E">
                            <a:alpha val="25098"/>
                          </a:srgbClr>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Turtle hatchlings</a:t>
                            </a:r>
                          </a:p>
                          <a:p>
                            <a:pPr algn="ctr" fontAlgn="auto">
                              <a:spcBef>
                                <a:spcPts val="0"/>
                              </a:spcBef>
                              <a:spcAft>
                                <a:spcPts val="0"/>
                              </a:spcAft>
                              <a:defRPr/>
                            </a:pPr>
                            <a:endParaRPr lang="en-AU" sz="1000" b="1" dirty="0">
                              <a:latin typeface="Century Gothic" pitchFamily="34" charset="0"/>
                              <a:cs typeface="+mn-cs"/>
                            </a:endParaRPr>
                          </a:p>
                        </a:txBody>
                        <a:useSpRect/>
                      </a:txSp>
                    </a:sp>
                    <a:sp>
                      <a:nvSpPr>
                        <a:cNvPr id="45" name="TextBox 44"/>
                        <a:cNvSpPr txBox="1"/>
                      </a:nvSpPr>
                      <a:spPr bwMode="auto">
                        <a:xfrm>
                          <a:off x="2074863" y="5313363"/>
                          <a:ext cx="1189037" cy="400050"/>
                        </a:xfrm>
                        <a:prstGeom prst="rect">
                          <a:avLst/>
                        </a:prstGeom>
                        <a:solidFill>
                          <a:srgbClr val="A1B0D1"/>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Larval fish</a:t>
                            </a:r>
                          </a:p>
                          <a:p>
                            <a:pPr algn="ctr" fontAlgn="auto">
                              <a:spcBef>
                                <a:spcPts val="0"/>
                              </a:spcBef>
                              <a:spcAft>
                                <a:spcPts val="0"/>
                              </a:spcAft>
                              <a:defRPr/>
                            </a:pPr>
                            <a:r>
                              <a:rPr lang="en-AU" sz="1000" b="1" dirty="0">
                                <a:latin typeface="Century Gothic" pitchFamily="34" charset="0"/>
                                <a:cs typeface="+mn-cs"/>
                              </a:rPr>
                              <a:t>and age</a:t>
                            </a:r>
                          </a:p>
                        </a:txBody>
                        <a:useSpRect/>
                      </a:txSp>
                    </a:sp>
                    <a:sp>
                      <a:nvSpPr>
                        <a:cNvPr id="48" name="TextBox 47"/>
                        <a:cNvSpPr txBox="1"/>
                      </a:nvSpPr>
                      <a:spPr bwMode="auto">
                        <a:xfrm>
                          <a:off x="2074863" y="4848225"/>
                          <a:ext cx="1189037" cy="400050"/>
                        </a:xfrm>
                        <a:prstGeom prst="rect">
                          <a:avLst/>
                        </a:prstGeom>
                        <a:solidFill>
                          <a:srgbClr val="A1B0D1"/>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Fish movement</a:t>
                            </a:r>
                          </a:p>
                        </a:txBody>
                        <a:useSpRect/>
                      </a:txSp>
                    </a:sp>
                    <a:sp>
                      <a:nvSpPr>
                        <a:cNvPr id="50" name="TextBox 49"/>
                        <a:cNvSpPr txBox="1"/>
                      </a:nvSpPr>
                      <a:spPr bwMode="auto">
                        <a:xfrm>
                          <a:off x="2060575" y="992560"/>
                          <a:ext cx="1189038" cy="703163"/>
                        </a:xfrm>
                        <a:prstGeom prst="rect">
                          <a:avLst/>
                        </a:prstGeom>
                        <a:solidFill>
                          <a:srgbClr val="B6533F">
                            <a:alpha val="30196"/>
                          </a:srgbClr>
                        </a:solidFill>
                        <a:ln>
                          <a:solidFill>
                            <a:srgbClr val="070000"/>
                          </a:solidFill>
                        </a:ln>
                      </a:spPr>
                      <a:txSp>
                        <a:txBody>
                          <a:bodyPr wrap="squar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Water quality</a:t>
                            </a:r>
                          </a:p>
                          <a:p>
                            <a:pPr algn="ctr" fontAlgn="auto">
                              <a:spcBef>
                                <a:spcPts val="0"/>
                              </a:spcBef>
                              <a:spcAft>
                                <a:spcPts val="0"/>
                              </a:spcAft>
                              <a:defRPr/>
                            </a:pPr>
                            <a:r>
                              <a:rPr lang="en-AU" sz="1000" b="1" dirty="0">
                                <a:latin typeface="Century Gothic" pitchFamily="34" charset="0"/>
                                <a:cs typeface="+mn-cs"/>
                              </a:rPr>
                              <a:t>Temp., Cond. pH, NTU, DO hydrology</a:t>
                            </a:r>
                          </a:p>
                        </a:txBody>
                        <a:useSpRect/>
                      </a:txSp>
                    </a:sp>
                    <a:sp>
                      <a:nvSpPr>
                        <a:cNvPr id="52" name="TextBox 51"/>
                        <a:cNvSpPr txBox="1"/>
                      </a:nvSpPr>
                      <a:spPr bwMode="auto">
                        <a:xfrm>
                          <a:off x="3573463" y="7002463"/>
                          <a:ext cx="1079500" cy="400050"/>
                        </a:xfrm>
                        <a:prstGeom prst="rect">
                          <a:avLst/>
                        </a:prstGeom>
                        <a:solidFill>
                          <a:srgbClr val="86B29E">
                            <a:alpha val="25098"/>
                          </a:srgbClr>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Frog calling</a:t>
                            </a:r>
                          </a:p>
                          <a:p>
                            <a:pPr algn="ctr" fontAlgn="auto">
                              <a:spcBef>
                                <a:spcPts val="0"/>
                              </a:spcBef>
                              <a:spcAft>
                                <a:spcPts val="0"/>
                              </a:spcAft>
                              <a:defRPr/>
                            </a:pPr>
                            <a:endParaRPr lang="en-AU" sz="1000" b="1" dirty="0">
                              <a:latin typeface="Century Gothic" pitchFamily="34" charset="0"/>
                              <a:cs typeface="+mn-cs"/>
                            </a:endParaRPr>
                          </a:p>
                        </a:txBody>
                        <a:useSpRect/>
                      </a:txSp>
                    </a:sp>
                    <a:sp>
                      <a:nvSpPr>
                        <a:cNvPr id="53" name="TextBox 52"/>
                        <a:cNvSpPr txBox="1"/>
                      </a:nvSpPr>
                      <a:spPr bwMode="auto">
                        <a:xfrm>
                          <a:off x="4725988" y="7002463"/>
                          <a:ext cx="1079500" cy="400050"/>
                        </a:xfrm>
                        <a:prstGeom prst="rect">
                          <a:avLst/>
                        </a:prstGeom>
                        <a:solidFill>
                          <a:srgbClr val="86B29E">
                            <a:alpha val="25098"/>
                          </a:srgbClr>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Waterbird breeding</a:t>
                            </a:r>
                          </a:p>
                        </a:txBody>
                        <a:useSpRect/>
                      </a:txSp>
                    </a:sp>
                    <a:sp>
                      <a:nvSpPr>
                        <a:cNvPr id="55" name="Rectangle 54"/>
                        <a:cNvSpPr/>
                      </a:nvSpPr>
                      <a:spPr bwMode="auto">
                        <a:xfrm>
                          <a:off x="404813" y="415925"/>
                          <a:ext cx="1449387" cy="7705725"/>
                        </a:xfrm>
                        <a:prstGeom prst="rect">
                          <a:avLst/>
                        </a:prstGeom>
                        <a:solidFill>
                          <a:schemeClr val="bg1"/>
                        </a:solidFill>
                        <a:ln>
                          <a:solidFill>
                            <a:srgbClr val="B6533F"/>
                          </a:solidFill>
                        </a:ln>
                      </a:spPr>
                      <a:txSp>
                        <a:txBody>
                          <a:bodyPr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fontAlgn="auto">
                              <a:spcBef>
                                <a:spcPts val="0"/>
                              </a:spcBef>
                              <a:spcAft>
                                <a:spcPts val="0"/>
                              </a:spcAft>
                              <a:defRPr/>
                            </a:pPr>
                            <a:endParaRPr lang="en-AU" dirty="0">
                              <a:latin typeface="Century Gothic" pitchFamily="34" charset="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0" name="TextBox 59"/>
                        <a:cNvSpPr txBox="1"/>
                      </a:nvSpPr>
                      <a:spPr bwMode="auto">
                        <a:xfrm>
                          <a:off x="441325" y="4729163"/>
                          <a:ext cx="1331913" cy="1016000"/>
                        </a:xfrm>
                        <a:prstGeom prst="rect">
                          <a:avLst/>
                        </a:prstGeom>
                        <a:solidFill>
                          <a:srgbClr val="A1B0D1"/>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defRPr/>
                            </a:pPr>
                            <a:r>
                              <a:rPr lang="en-AU" sz="1200" b="1" dirty="0">
                                <a:latin typeface="Century Gothic" pitchFamily="34" charset="0"/>
                              </a:rPr>
                              <a:t>Fish:</a:t>
                            </a:r>
                          </a:p>
                          <a:p>
                            <a:pPr>
                              <a:defRPr/>
                            </a:pPr>
                            <a:r>
                              <a:rPr lang="en-AU" sz="1200" b="1" dirty="0">
                                <a:latin typeface="Century Gothic" pitchFamily="34" charset="0"/>
                              </a:rPr>
                              <a:t>communities, breeding and recruitment</a:t>
                            </a:r>
                          </a:p>
                          <a:p>
                            <a:pPr algn="ctr" fontAlgn="auto">
                              <a:spcBef>
                                <a:spcPts val="0"/>
                              </a:spcBef>
                              <a:spcAft>
                                <a:spcPts val="0"/>
                              </a:spcAft>
                              <a:defRPr/>
                            </a:pPr>
                            <a:endParaRPr lang="en-AU" sz="1200" b="1" dirty="0">
                              <a:latin typeface="Century Gothic" pitchFamily="34" charset="0"/>
                              <a:cs typeface="+mn-cs"/>
                            </a:endParaRPr>
                          </a:p>
                        </a:txBody>
                        <a:useSpRect/>
                      </a:txSp>
                    </a:sp>
                    <a:sp>
                      <a:nvSpPr>
                        <a:cNvPr id="61" name="TextBox 60"/>
                        <a:cNvSpPr txBox="1"/>
                      </a:nvSpPr>
                      <a:spPr bwMode="auto">
                        <a:xfrm>
                          <a:off x="441325" y="6394450"/>
                          <a:ext cx="1331913" cy="1200150"/>
                        </a:xfrm>
                        <a:prstGeom prst="rect">
                          <a:avLst/>
                        </a:prstGeom>
                        <a:solidFill>
                          <a:srgbClr val="86B29E">
                            <a:alpha val="50196"/>
                          </a:srgbClr>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defRPr/>
                            </a:pPr>
                            <a:r>
                              <a:rPr lang="en-AU" sz="1200" b="1" dirty="0">
                                <a:latin typeface="Century Gothic" pitchFamily="34" charset="0"/>
                              </a:rPr>
                              <a:t>Wetland fauna and flora: communities, breeding and recruitment</a:t>
                            </a:r>
                          </a:p>
                          <a:p>
                            <a:pPr algn="ctr" fontAlgn="auto">
                              <a:spcBef>
                                <a:spcPts val="0"/>
                              </a:spcBef>
                              <a:spcAft>
                                <a:spcPts val="0"/>
                              </a:spcAft>
                              <a:defRPr/>
                            </a:pPr>
                            <a:endParaRPr lang="en-AU" sz="1200" b="1" dirty="0">
                              <a:latin typeface="Century Gothic" pitchFamily="34" charset="0"/>
                              <a:cs typeface="+mn-cs"/>
                            </a:endParaRPr>
                          </a:p>
                        </a:txBody>
                        <a:useSpRect/>
                      </a:txSp>
                    </a:sp>
                    <a:sp>
                      <a:nvSpPr>
                        <a:cNvPr id="5148" name="TextBox 48"/>
                        <a:cNvSpPr txBox="1">
                          <a:spLocks noChangeArrowheads="1"/>
                        </a:cNvSpPr>
                      </a:nvSpPr>
                      <a:spPr bwMode="auto">
                        <a:xfrm>
                          <a:off x="495401" y="632587"/>
                          <a:ext cx="1224185" cy="523332"/>
                        </a:xfrm>
                        <a:prstGeom prst="rect">
                          <a:avLst/>
                        </a:prstGeom>
                        <a:noFill/>
                        <a:ln w="9525">
                          <a:no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a:r>
                              <a:rPr lang="en-AU" sz="1400" b="1">
                                <a:latin typeface="Century Gothic" pitchFamily="34" charset="0"/>
                              </a:rPr>
                              <a:t>Broad Objective</a:t>
                            </a:r>
                          </a:p>
                        </a:txBody>
                        <a:useSpRect/>
                      </a:txSp>
                    </a:sp>
                    <a:sp>
                      <a:nvSpPr>
                        <a:cNvPr id="5149" name="TextBox 34"/>
                        <a:cNvSpPr txBox="1">
                          <a:spLocks noChangeArrowheads="1"/>
                        </a:cNvSpPr>
                      </a:nvSpPr>
                      <a:spPr bwMode="auto">
                        <a:xfrm>
                          <a:off x="476835" y="1712347"/>
                          <a:ext cx="1332287" cy="646470"/>
                        </a:xfrm>
                        <a:prstGeom prst="rect">
                          <a:avLst/>
                        </a:prstGeom>
                        <a:solidFill>
                          <a:srgbClr val="B6533F">
                            <a:alpha val="30196"/>
                          </a:srgbClr>
                        </a:solidFill>
                        <a:ln w="9525">
                          <a:solidFill>
                            <a:srgbClr val="070000"/>
                          </a:solidFill>
                          <a:miter lim="800000"/>
                          <a:headEnd/>
                          <a:tailEnd/>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AU" sz="1200" b="1">
                                <a:latin typeface="Century Gothic" pitchFamily="34" charset="0"/>
                              </a:rPr>
                              <a:t>Supporting ecosystem function </a:t>
                            </a:r>
                          </a:p>
                        </a:txBody>
                        <a:useSpRect/>
                      </a:txSp>
                    </a:sp>
                    <a:sp>
                      <a:nvSpPr>
                        <a:cNvPr id="42" name="TextBox 41"/>
                        <a:cNvSpPr txBox="1"/>
                      </a:nvSpPr>
                      <a:spPr bwMode="auto">
                        <a:xfrm>
                          <a:off x="4725988" y="6394450"/>
                          <a:ext cx="1079500" cy="400050"/>
                        </a:xfrm>
                        <a:prstGeom prst="rect">
                          <a:avLst/>
                        </a:prstGeom>
                        <a:solidFill>
                          <a:srgbClr val="86B29E">
                            <a:alpha val="50196"/>
                          </a:srgbClr>
                        </a:solidFill>
                        <a:ln>
                          <a:solidFill>
                            <a:schemeClr val="tx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Turtle</a:t>
                            </a:r>
                          </a:p>
                          <a:p>
                            <a:pPr algn="ctr" fontAlgn="auto">
                              <a:spcBef>
                                <a:spcPts val="0"/>
                              </a:spcBef>
                              <a:spcAft>
                                <a:spcPts val="0"/>
                              </a:spcAft>
                              <a:defRPr/>
                            </a:pPr>
                            <a:r>
                              <a:rPr lang="en-AU" sz="1000" b="1" dirty="0">
                                <a:latin typeface="Century Gothic" pitchFamily="34" charset="0"/>
                                <a:cs typeface="+mn-cs"/>
                              </a:rPr>
                              <a:t>community</a:t>
                            </a:r>
                          </a:p>
                        </a:txBody>
                        <a:useSpRect/>
                      </a:txSp>
                    </a:sp>
                    <a:sp>
                      <a:nvSpPr>
                        <a:cNvPr id="5151" name="Rectangle 42"/>
                        <a:cNvSpPr>
                          <a:spLocks noChangeArrowheads="1"/>
                        </a:cNvSpPr>
                      </a:nvSpPr>
                      <a:spPr bwMode="auto">
                        <a:xfrm>
                          <a:off x="476835" y="1363266"/>
                          <a:ext cx="1332287" cy="277059"/>
                        </a:xfrm>
                        <a:prstGeom prst="rect">
                          <a:avLst/>
                        </a:prstGeom>
                        <a:noFill/>
                        <a:ln w="38100">
                          <a:solidFill>
                            <a:srgbClr val="B6533F"/>
                          </a:solid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r>
                              <a:rPr lang="en-AU" sz="1200" b="1">
                                <a:latin typeface="Century Gothic" pitchFamily="34" charset="0"/>
                              </a:rPr>
                              <a:t>Section 1</a:t>
                            </a:r>
                          </a:p>
                        </a:txBody>
                        <a:useSpRect/>
                      </a:txSp>
                    </a:sp>
                    <a:sp>
                      <a:nvSpPr>
                        <a:cNvPr id="47" name="TextBox 46"/>
                        <a:cNvSpPr txBox="1"/>
                      </a:nvSpPr>
                      <a:spPr bwMode="auto">
                        <a:xfrm>
                          <a:off x="476250" y="4370388"/>
                          <a:ext cx="1331913" cy="276225"/>
                        </a:xfrm>
                        <a:prstGeom prst="rect">
                          <a:avLst/>
                        </a:prstGeom>
                        <a:noFill/>
                        <a:ln w="57150">
                          <a:solidFill>
                            <a:srgbClr val="A1B0D1"/>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200" b="1" dirty="0">
                                <a:latin typeface="Century Gothic" pitchFamily="34" charset="0"/>
                              </a:rPr>
                              <a:t>Section 2</a:t>
                            </a:r>
                            <a:endParaRPr lang="en-AU" sz="1200" b="1" dirty="0">
                              <a:latin typeface="Century Gothic" pitchFamily="34" charset="0"/>
                              <a:cs typeface="+mn-cs"/>
                            </a:endParaRPr>
                          </a:p>
                        </a:txBody>
                        <a:useSpRect/>
                      </a:txSp>
                    </a:sp>
                    <a:sp>
                      <a:nvSpPr>
                        <a:cNvPr id="51" name="TextBox 50"/>
                        <a:cNvSpPr txBox="1"/>
                      </a:nvSpPr>
                      <a:spPr bwMode="auto">
                        <a:xfrm>
                          <a:off x="441325" y="6034088"/>
                          <a:ext cx="1331913" cy="276225"/>
                        </a:xfrm>
                        <a:prstGeom prst="rect">
                          <a:avLst/>
                        </a:prstGeom>
                        <a:noFill/>
                        <a:ln w="57150">
                          <a:solidFill>
                            <a:srgbClr val="86B29E"/>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200" b="1" dirty="0">
                                <a:latin typeface="Century Gothic" pitchFamily="34" charset="0"/>
                              </a:rPr>
                              <a:t>Section 2</a:t>
                            </a:r>
                            <a:endParaRPr lang="en-AU" sz="1200" b="1" dirty="0">
                              <a:latin typeface="Century Gothic" pitchFamily="34" charset="0"/>
                              <a:cs typeface="+mn-cs"/>
                            </a:endParaRPr>
                          </a:p>
                        </a:txBody>
                        <a:useSpRect/>
                      </a:txSp>
                    </a:sp>
                    <a:sp>
                      <a:nvSpPr>
                        <a:cNvPr id="35" name="TextBox 34"/>
                        <a:cNvSpPr txBox="1"/>
                      </a:nvSpPr>
                      <a:spPr bwMode="auto">
                        <a:xfrm>
                          <a:off x="2060575" y="2417926"/>
                          <a:ext cx="1189038" cy="400050"/>
                        </a:xfrm>
                        <a:prstGeom prst="rect">
                          <a:avLst/>
                        </a:prstGeom>
                        <a:solidFill>
                          <a:srgbClr val="B6533F">
                            <a:alpha val="30196"/>
                          </a:srgbClr>
                        </a:solidFill>
                        <a:ln>
                          <a:solidFill>
                            <a:srgbClr val="070000"/>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Chlorophyll a</a:t>
                            </a:r>
                          </a:p>
                        </a:txBody>
                        <a:useSpRect/>
                      </a:txSp>
                    </a:sp>
                    <a:sp>
                      <a:nvSpPr>
                        <a:cNvPr id="17" name="TextBox 16"/>
                        <a:cNvSpPr txBox="1"/>
                      </a:nvSpPr>
                      <a:spPr bwMode="auto">
                        <a:xfrm>
                          <a:off x="2060848" y="2893600"/>
                          <a:ext cx="1189038" cy="399600"/>
                        </a:xfrm>
                        <a:prstGeom prst="rect">
                          <a:avLst/>
                        </a:prstGeom>
                        <a:solidFill>
                          <a:srgbClr val="B6533F">
                            <a:alpha val="30196"/>
                          </a:srgbClr>
                        </a:solidFill>
                        <a:ln>
                          <a:solidFill>
                            <a:srgbClr val="070000"/>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Biofilms</a:t>
                            </a:r>
                            <a:endParaRPr lang="en-AU" sz="1000" b="1" dirty="0">
                              <a:latin typeface="Century Gothic" pitchFamily="34" charset="0"/>
                              <a:cs typeface="+mn-cs"/>
                            </a:endParaRPr>
                          </a:p>
                        </a:txBody>
                        <a:useSpRect/>
                      </a:txSp>
                    </a:sp>
                    <a:sp>
                      <a:nvSpPr>
                        <a:cNvPr id="23" name="TextBox 22"/>
                        <a:cNvSpPr txBox="1"/>
                      </a:nvSpPr>
                      <a:spPr bwMode="auto">
                        <a:xfrm>
                          <a:off x="3990975" y="3368824"/>
                          <a:ext cx="1189037" cy="400050"/>
                        </a:xfrm>
                        <a:prstGeom prst="rect">
                          <a:avLst/>
                        </a:prstGeom>
                        <a:solidFill>
                          <a:srgbClr val="B6533F">
                            <a:alpha val="30196"/>
                          </a:srgbClr>
                        </a:solidFill>
                        <a:ln>
                          <a:solidFill>
                            <a:srgbClr val="070000"/>
                          </a:solidFill>
                        </a:ln>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Arial" charset="0"/>
                              </a:defRPr>
                            </a:lvl1pPr>
                            <a:lvl2pPr marL="457200" algn="l" rtl="0" fontAlgn="base">
                              <a:spcBef>
                                <a:spcPct val="0"/>
                              </a:spcBef>
                              <a:spcAft>
                                <a:spcPct val="0"/>
                              </a:spcAft>
                              <a:defRPr kern="1200">
                                <a:solidFill>
                                  <a:schemeClr val="tx1"/>
                                </a:solidFill>
                                <a:latin typeface="Arial" charset="0"/>
                                <a:ea typeface="+mn-ea"/>
                                <a:cs typeface="Arial" charset="0"/>
                              </a:defRPr>
                            </a:lvl2pPr>
                            <a:lvl3pPr marL="914400" algn="l" rtl="0" fontAlgn="base">
                              <a:spcBef>
                                <a:spcPct val="0"/>
                              </a:spcBef>
                              <a:spcAft>
                                <a:spcPct val="0"/>
                              </a:spcAft>
                              <a:defRPr kern="1200">
                                <a:solidFill>
                                  <a:schemeClr val="tx1"/>
                                </a:solidFill>
                                <a:latin typeface="Arial" charset="0"/>
                                <a:ea typeface="+mn-ea"/>
                                <a:cs typeface="Arial" charset="0"/>
                              </a:defRPr>
                            </a:lvl3pPr>
                            <a:lvl4pPr marL="1371600" algn="l" rtl="0" fontAlgn="base">
                              <a:spcBef>
                                <a:spcPct val="0"/>
                              </a:spcBef>
                              <a:spcAft>
                                <a:spcPct val="0"/>
                              </a:spcAft>
                              <a:defRPr kern="1200">
                                <a:solidFill>
                                  <a:schemeClr val="tx1"/>
                                </a:solidFill>
                                <a:latin typeface="Arial" charset="0"/>
                                <a:ea typeface="+mn-ea"/>
                                <a:cs typeface="Arial" charset="0"/>
                              </a:defRPr>
                            </a:lvl4pPr>
                            <a:lvl5pPr marL="1828800" algn="l" rtl="0" fontAlgn="base">
                              <a:spcBef>
                                <a:spcPct val="0"/>
                              </a:spcBef>
                              <a:spcAft>
                                <a:spcPct val="0"/>
                              </a:spcAft>
                              <a:defRPr kern="1200">
                                <a:solidFill>
                                  <a:schemeClr val="tx1"/>
                                </a:solidFill>
                                <a:latin typeface="Arial" charset="0"/>
                                <a:ea typeface="+mn-ea"/>
                                <a:cs typeface="Arial" charset="0"/>
                              </a:defRPr>
                            </a:lvl5pPr>
                            <a:lvl6pPr marL="2286000" algn="l" defTabSz="914400" rtl="0" eaLnBrk="1" latinLnBrk="0" hangingPunct="1">
                              <a:defRPr kern="1200">
                                <a:solidFill>
                                  <a:schemeClr val="tx1"/>
                                </a:solidFill>
                                <a:latin typeface="Arial" charset="0"/>
                                <a:ea typeface="+mn-ea"/>
                                <a:cs typeface="Arial" charset="0"/>
                              </a:defRPr>
                            </a:lvl6pPr>
                            <a:lvl7pPr marL="2743200" algn="l" defTabSz="914400" rtl="0" eaLnBrk="1" latinLnBrk="0" hangingPunct="1">
                              <a:defRPr kern="1200">
                                <a:solidFill>
                                  <a:schemeClr val="tx1"/>
                                </a:solidFill>
                                <a:latin typeface="Arial" charset="0"/>
                                <a:ea typeface="+mn-ea"/>
                                <a:cs typeface="Arial" charset="0"/>
                              </a:defRPr>
                            </a:lvl7pPr>
                            <a:lvl8pPr marL="3200400" algn="l" defTabSz="914400" rtl="0" eaLnBrk="1" latinLnBrk="0" hangingPunct="1">
                              <a:defRPr kern="1200">
                                <a:solidFill>
                                  <a:schemeClr val="tx1"/>
                                </a:solidFill>
                                <a:latin typeface="Arial" charset="0"/>
                                <a:ea typeface="+mn-ea"/>
                                <a:cs typeface="Arial" charset="0"/>
                              </a:defRPr>
                            </a:lvl8pPr>
                            <a:lvl9pPr marL="3657600" algn="l" defTabSz="914400" rtl="0" eaLnBrk="1" latinLnBrk="0" hangingPunct="1">
                              <a:defRPr kern="1200">
                                <a:solidFill>
                                  <a:schemeClr val="tx1"/>
                                </a:solidFill>
                                <a:latin typeface="Arial" charset="0"/>
                                <a:ea typeface="+mn-ea"/>
                                <a:cs typeface="Arial" charset="0"/>
                              </a:defRPr>
                            </a:lvl9pPr>
                          </a:lstStyle>
                          <a:p>
                            <a:pPr algn="ctr" fontAlgn="auto">
                              <a:spcBef>
                                <a:spcPts val="0"/>
                              </a:spcBef>
                              <a:spcAft>
                                <a:spcPts val="0"/>
                              </a:spcAft>
                              <a:defRPr/>
                            </a:pPr>
                            <a:r>
                              <a:rPr lang="en-AU" sz="1000" b="1" dirty="0">
                                <a:latin typeface="Century Gothic" pitchFamily="34" charset="0"/>
                                <a:cs typeface="+mn-cs"/>
                              </a:rPr>
                              <a:t>Microcrustacea</a:t>
                            </a:r>
                          </a:p>
                        </a:txBody>
                        <a:useSpRect/>
                      </a:txSp>
                    </a:sp>
                  </a:grpSp>
                </lc:lockedCanvas>
              </a:graphicData>
            </a:graphic>
          </wp:inline>
        </w:drawing>
      </w:r>
      <w:bookmarkEnd w:id="93"/>
    </w:p>
    <w:p w:rsidR="00AC69E7" w:rsidRPr="00D26927" w:rsidRDefault="00AC69E7" w:rsidP="00AC69E7">
      <w:pPr>
        <w:pStyle w:val="Caption1"/>
      </w:pPr>
      <w:bookmarkStart w:id="94" w:name="_Toc370738721"/>
      <w:r w:rsidRPr="00D26927">
        <w:rPr>
          <w:b/>
        </w:rPr>
        <w:t xml:space="preserve">Figure </w:t>
      </w:r>
      <w:r w:rsidR="00D20FAE" w:rsidRPr="00D26927">
        <w:rPr>
          <w:b/>
        </w:rPr>
        <w:fldChar w:fldCharType="begin"/>
      </w:r>
      <w:r w:rsidRPr="00D26927">
        <w:rPr>
          <w:b/>
        </w:rPr>
        <w:instrText xml:space="preserve"> SEQ Figure \* ARABIC </w:instrText>
      </w:r>
      <w:r w:rsidR="00D20FAE" w:rsidRPr="00D26927">
        <w:rPr>
          <w:b/>
        </w:rPr>
        <w:fldChar w:fldCharType="separate"/>
      </w:r>
      <w:r w:rsidR="00436595">
        <w:rPr>
          <w:b/>
          <w:noProof/>
        </w:rPr>
        <w:t>6</w:t>
      </w:r>
      <w:r w:rsidR="00D20FAE" w:rsidRPr="00D26927">
        <w:rPr>
          <w:b/>
        </w:rPr>
        <w:fldChar w:fldCharType="end"/>
      </w:r>
      <w:bookmarkEnd w:id="92"/>
      <w:r>
        <w:t xml:space="preserve"> Conceptualisation of the monitoring framework used to assess the outcomes of Commonwealth environmental water in 2012-13.</w:t>
      </w:r>
      <w:bookmarkEnd w:id="94"/>
      <w:r>
        <w:t xml:space="preserve"> </w:t>
      </w:r>
    </w:p>
    <w:p w:rsidR="00CE2909" w:rsidRPr="00505588" w:rsidRDefault="00C15548" w:rsidP="00BA28CC">
      <w:pPr>
        <w:pStyle w:val="Caption"/>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3"/>
      </w:tblGrid>
      <w:tr w:rsidR="00CE2909" w:rsidTr="00AC69E7">
        <w:trPr>
          <w:cnfStyle w:val="100000000000"/>
        </w:trPr>
        <w:tc>
          <w:tcPr>
            <w:tcW w:w="9242" w:type="dxa"/>
            <w:shd w:val="clear" w:color="auto" w:fill="auto"/>
          </w:tcPr>
          <w:p w:rsidR="00CE2909" w:rsidRPr="00CE2909" w:rsidRDefault="00CE2909" w:rsidP="00CE2909">
            <w:pPr>
              <w:pStyle w:val="Title"/>
              <w:rPr>
                <w:color w:val="auto"/>
              </w:rPr>
            </w:pPr>
            <w:bookmarkStart w:id="95" w:name="_Toc370738722"/>
            <w:r w:rsidRPr="00CE2909">
              <w:rPr>
                <w:color w:val="auto"/>
              </w:rPr>
              <w:t>Supporting ecosystem function – nutrients, carbon, primary productivity and secondary productivity</w:t>
            </w:r>
            <w:bookmarkEnd w:id="95"/>
          </w:p>
          <w:p w:rsidR="00CE2909" w:rsidRDefault="00B9396A" w:rsidP="00CE2909">
            <w:pPr>
              <w:pStyle w:val="Caption"/>
              <w:jc w:val="center"/>
            </w:pPr>
            <w:r w:rsidRPr="00B9396A">
              <w:rPr>
                <w:noProof/>
                <w:lang w:eastAsia="en-AU"/>
              </w:rPr>
              <w:drawing>
                <wp:inline distT="0" distB="0" distL="0" distR="0">
                  <wp:extent cx="5743701" cy="4320000"/>
                  <wp:effectExtent l="19050" t="0" r="9399" b="0"/>
                  <wp:docPr id="201" name="Picture 199" descr="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0.JPG"/>
                          <pic:cNvPicPr/>
                        </pic:nvPicPr>
                        <pic:blipFill>
                          <a:blip r:embed="rId55" cstate="print"/>
                          <a:stretch>
                            <a:fillRect/>
                          </a:stretch>
                        </pic:blipFill>
                        <pic:spPr>
                          <a:xfrm>
                            <a:off x="0" y="0"/>
                            <a:ext cx="5743701" cy="4320000"/>
                          </a:xfrm>
                          <a:prstGeom prst="rect">
                            <a:avLst/>
                          </a:prstGeom>
                        </pic:spPr>
                      </pic:pic>
                    </a:graphicData>
                  </a:graphic>
                </wp:inline>
              </w:drawing>
            </w:r>
          </w:p>
          <w:p w:rsidR="00CE2909" w:rsidRPr="00C625C4" w:rsidRDefault="00CE2909" w:rsidP="00CE2909"/>
          <w:p w:rsidR="00CE2909" w:rsidRDefault="00CE2909" w:rsidP="00CE2909">
            <w:pPr>
              <w:spacing w:after="0" w:line="240" w:lineRule="auto"/>
              <w:jc w:val="left"/>
            </w:pPr>
            <w:r>
              <w:t>In this section</w:t>
            </w:r>
            <w:r w:rsidR="00834E37">
              <w:t>,</w:t>
            </w:r>
            <w:r>
              <w:t xml:space="preserve"> we provide an overview of the key outcomes for water </w:t>
            </w:r>
            <w:r w:rsidR="00012DF0">
              <w:t>quality</w:t>
            </w:r>
            <w:r>
              <w:t>, nutrient and carbon mobilisation, aquatic primary productivity (Chlorophyll a) and secondary productivity (microcrustacea) in rivers and wetlands. These parameters, while important in their own right</w:t>
            </w:r>
            <w:r w:rsidR="00834E37">
              <w:t>,</w:t>
            </w:r>
            <w:r>
              <w:t xml:space="preserve"> are critical covariates influencing the breeding and recruitment outcomes for fish, frogs and other wetland fauna following Commonwealth environmental watering actions. This section is designed to provide a general overview of these parameters, with data from these sections included as a covariate in later sections related to breeding outcomes for fish and frogs.</w:t>
            </w:r>
          </w:p>
          <w:p w:rsidR="00CE2909" w:rsidRDefault="00CE2909" w:rsidP="00CE2909">
            <w:pPr>
              <w:spacing w:after="0" w:line="240" w:lineRule="auto"/>
              <w:jc w:val="left"/>
            </w:pPr>
          </w:p>
          <w:p w:rsidR="00CE2909" w:rsidRDefault="00CE2909" w:rsidP="00CE2909">
            <w:pPr>
              <w:spacing w:after="0" w:line="240" w:lineRule="auto"/>
              <w:jc w:val="left"/>
            </w:pPr>
          </w:p>
          <w:p w:rsidR="00CE2909" w:rsidRDefault="00CE2909" w:rsidP="00CE2909">
            <w:pPr>
              <w:spacing w:after="0" w:line="240" w:lineRule="auto"/>
              <w:jc w:val="left"/>
            </w:pPr>
          </w:p>
          <w:p w:rsidR="00CE2909" w:rsidRDefault="00CE2909" w:rsidP="00CE2909">
            <w:pPr>
              <w:spacing w:after="0" w:line="240" w:lineRule="auto"/>
              <w:jc w:val="left"/>
            </w:pPr>
          </w:p>
          <w:p w:rsidR="00CE2909" w:rsidRDefault="00CE2909" w:rsidP="00CE2909">
            <w:pPr>
              <w:spacing w:after="0" w:line="240" w:lineRule="auto"/>
              <w:jc w:val="left"/>
            </w:pPr>
          </w:p>
          <w:p w:rsidR="00CE2909" w:rsidRDefault="00CE2909" w:rsidP="00BA28CC">
            <w:pPr>
              <w:pStyle w:val="Caption"/>
            </w:pPr>
          </w:p>
        </w:tc>
      </w:tr>
    </w:tbl>
    <w:p w:rsidR="00C625C4" w:rsidRDefault="00C625C4" w:rsidP="00CE2909"/>
    <w:p w:rsidR="009D5586" w:rsidRDefault="009D5586">
      <w:pPr>
        <w:spacing w:after="0" w:line="240" w:lineRule="auto"/>
        <w:jc w:val="left"/>
      </w:pPr>
    </w:p>
    <w:tbl>
      <w:tblPr>
        <w:tblStyle w:val="TableGrid"/>
        <w:tblW w:w="0" w:type="auto"/>
        <w:tblLook w:val="04A0"/>
      </w:tblPr>
      <w:tblGrid>
        <w:gridCol w:w="9242"/>
      </w:tblGrid>
      <w:tr w:rsidR="000215FF" w:rsidTr="000215FF">
        <w:trPr>
          <w:cnfStyle w:val="100000000000"/>
        </w:trPr>
        <w:tc>
          <w:tcPr>
            <w:tcW w:w="9242" w:type="dxa"/>
          </w:tcPr>
          <w:p w:rsidR="000215FF" w:rsidRDefault="000215FF" w:rsidP="0041159B">
            <w:pPr>
              <w:pStyle w:val="Title"/>
              <w:rPr>
                <w:lang w:eastAsia="en-AU"/>
              </w:rPr>
            </w:pPr>
            <w:bookmarkStart w:id="96" w:name="_Toc370738723"/>
            <w:r>
              <w:rPr>
                <w:lang w:eastAsia="en-AU"/>
              </w:rPr>
              <w:t>Water quality</w:t>
            </w:r>
            <w:bookmarkEnd w:id="96"/>
          </w:p>
          <w:p w:rsidR="000215FF" w:rsidRDefault="000215FF" w:rsidP="00D14E0E">
            <w:pPr>
              <w:pStyle w:val="NoSpacing"/>
              <w:jc w:val="center"/>
              <w:rPr>
                <w:lang w:eastAsia="en-AU"/>
              </w:rPr>
            </w:pPr>
            <w:r w:rsidRPr="000215FF">
              <w:rPr>
                <w:noProof/>
                <w:lang w:eastAsia="en-AU"/>
              </w:rPr>
              <w:drawing>
                <wp:inline distT="0" distB="0" distL="0" distR="0">
                  <wp:extent cx="3580950" cy="2685910"/>
                  <wp:effectExtent l="19050" t="0" r="450" b="0"/>
                  <wp:docPr id="176" name="Picture 139" descr="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5.JPG"/>
                          <pic:cNvPicPr/>
                        </pic:nvPicPr>
                        <pic:blipFill>
                          <a:blip r:embed="rId56" cstate="print"/>
                          <a:stretch>
                            <a:fillRect/>
                          </a:stretch>
                        </pic:blipFill>
                        <pic:spPr>
                          <a:xfrm>
                            <a:off x="0" y="0"/>
                            <a:ext cx="3581408" cy="2686254"/>
                          </a:xfrm>
                          <a:prstGeom prst="rect">
                            <a:avLst/>
                          </a:prstGeom>
                        </pic:spPr>
                      </pic:pic>
                    </a:graphicData>
                  </a:graphic>
                </wp:inline>
              </w:drawing>
            </w:r>
          </w:p>
          <w:p w:rsidR="0041159B" w:rsidRDefault="00D14E0E" w:rsidP="00D14E0E">
            <w:pPr>
              <w:pStyle w:val="NoSpacing"/>
              <w:rPr>
                <w:kern w:val="32"/>
              </w:rPr>
            </w:pPr>
            <w:r>
              <w:rPr>
                <w:kern w:val="32"/>
              </w:rPr>
              <w:t>Water quality parameters</w:t>
            </w:r>
            <w:r w:rsidR="00834E37">
              <w:rPr>
                <w:kern w:val="32"/>
              </w:rPr>
              <w:t>:</w:t>
            </w:r>
            <w:r w:rsidRPr="00961A71">
              <w:t xml:space="preserve"> </w:t>
            </w:r>
            <w:r>
              <w:t>temperature (°</w:t>
            </w:r>
            <w:r w:rsidR="00834E37">
              <w:t xml:space="preserve">C), electrical conductivity (EC, </w:t>
            </w:r>
            <w:r>
              <w:t xml:space="preserve">µS/cm), turbidity (NTU), </w:t>
            </w:r>
            <w:r w:rsidR="004471D1">
              <w:t xml:space="preserve">pH and dissolved oxygen (mg/L) </w:t>
            </w:r>
            <w:r>
              <w:rPr>
                <w:kern w:val="32"/>
              </w:rPr>
              <w:t>where routinely measured in association with the larval fish monitoring (weekly between September and December 2012 during the Commonwealth environmental release in the Murrumbidgee River and every second month between August 2012 and April 2013 in wetlands</w:t>
            </w:r>
            <w:r w:rsidR="00834E37">
              <w:rPr>
                <w:kern w:val="32"/>
              </w:rPr>
              <w:t>)</w:t>
            </w:r>
            <w:r w:rsidR="006B2B41">
              <w:rPr>
                <w:kern w:val="32"/>
              </w:rPr>
              <w:t>.</w:t>
            </w:r>
            <w:r w:rsidR="00BE0607">
              <w:rPr>
                <w:kern w:val="32"/>
              </w:rPr>
              <w:t xml:space="preserve"> </w:t>
            </w:r>
            <w:r w:rsidR="00BE0607" w:rsidRPr="00A3614F">
              <w:rPr>
                <w:rFonts w:eastAsia="Calibri"/>
                <w:szCs w:val="20"/>
              </w:rPr>
              <w:t xml:space="preserve">This section provides a general overview of </w:t>
            </w:r>
            <w:r w:rsidR="00BE0607">
              <w:rPr>
                <w:rFonts w:eastAsia="Calibri"/>
                <w:szCs w:val="20"/>
              </w:rPr>
              <w:t>water quality</w:t>
            </w:r>
            <w:r w:rsidR="00BE0607" w:rsidRPr="00A3614F">
              <w:rPr>
                <w:rFonts w:eastAsia="Calibri"/>
                <w:szCs w:val="20"/>
              </w:rPr>
              <w:t xml:space="preserve"> </w:t>
            </w:r>
            <w:r w:rsidR="00BE0607">
              <w:rPr>
                <w:rFonts w:eastAsia="Calibri"/>
                <w:szCs w:val="20"/>
              </w:rPr>
              <w:t>in the Murrumbidgee River</w:t>
            </w:r>
            <w:r w:rsidR="008A5858">
              <w:rPr>
                <w:rFonts w:eastAsia="Calibri"/>
                <w:szCs w:val="20"/>
              </w:rPr>
              <w:t xml:space="preserve"> and wetlands</w:t>
            </w:r>
            <w:r w:rsidR="00BE0607">
              <w:rPr>
                <w:rFonts w:eastAsia="Calibri"/>
                <w:szCs w:val="20"/>
              </w:rPr>
              <w:t xml:space="preserve"> as </w:t>
            </w:r>
            <w:r w:rsidR="008A5858">
              <w:rPr>
                <w:rFonts w:eastAsia="Calibri"/>
                <w:szCs w:val="20"/>
              </w:rPr>
              <w:t>water quality is a</w:t>
            </w:r>
            <w:r w:rsidR="00BE0607">
              <w:rPr>
                <w:rFonts w:eastAsia="Calibri"/>
                <w:szCs w:val="20"/>
              </w:rPr>
              <w:t xml:space="preserve"> critical covariate contributing to the outcomes for </w:t>
            </w:r>
            <w:r w:rsidR="008A5858">
              <w:rPr>
                <w:rFonts w:eastAsia="Calibri"/>
                <w:szCs w:val="20"/>
              </w:rPr>
              <w:t>a range of other ecological responses</w:t>
            </w:r>
            <w:r w:rsidR="00DF1562">
              <w:rPr>
                <w:rFonts w:eastAsia="Calibri"/>
                <w:szCs w:val="20"/>
              </w:rPr>
              <w:t>.</w:t>
            </w:r>
            <w:r w:rsidR="008A5858">
              <w:rPr>
                <w:rFonts w:eastAsia="Calibri"/>
                <w:szCs w:val="20"/>
              </w:rPr>
              <w:t xml:space="preserve"> </w:t>
            </w:r>
            <w:r w:rsidR="00834E37">
              <w:rPr>
                <w:rFonts w:eastAsia="Calibri"/>
                <w:szCs w:val="20"/>
              </w:rPr>
              <w:t>T</w:t>
            </w:r>
            <w:r w:rsidR="008A5858">
              <w:rPr>
                <w:rFonts w:eastAsia="Calibri"/>
                <w:szCs w:val="20"/>
              </w:rPr>
              <w:t xml:space="preserve">hese data are analysed </w:t>
            </w:r>
            <w:r w:rsidR="00834E37">
              <w:rPr>
                <w:rFonts w:eastAsia="Calibri"/>
                <w:szCs w:val="20"/>
              </w:rPr>
              <w:t xml:space="preserve">further </w:t>
            </w:r>
            <w:r w:rsidR="008A5858">
              <w:rPr>
                <w:rFonts w:eastAsia="Calibri"/>
                <w:szCs w:val="20"/>
              </w:rPr>
              <w:t>with</w:t>
            </w:r>
            <w:r w:rsidR="00BE0607">
              <w:rPr>
                <w:rFonts w:eastAsia="Calibri"/>
                <w:szCs w:val="20"/>
              </w:rPr>
              <w:t xml:space="preserve"> respect to flow and other related parameters in section 9 </w:t>
            </w:r>
            <w:r w:rsidR="008A5858">
              <w:rPr>
                <w:rFonts w:eastAsia="Calibri"/>
                <w:szCs w:val="20"/>
              </w:rPr>
              <w:t>(rivers) and section 13 (wetlands).</w:t>
            </w:r>
          </w:p>
          <w:p w:rsidR="006B2B41" w:rsidRDefault="006B2B41" w:rsidP="00D14E0E">
            <w:pPr>
              <w:pStyle w:val="NoSpacing"/>
              <w:rPr>
                <w:kern w:val="32"/>
              </w:rPr>
            </w:pPr>
          </w:p>
          <w:p w:rsidR="006B2B41" w:rsidRPr="004471D1" w:rsidRDefault="006B2B41" w:rsidP="00D14E0E">
            <w:pPr>
              <w:pStyle w:val="NoSpacing"/>
              <w:rPr>
                <w:b/>
                <w:kern w:val="32"/>
              </w:rPr>
            </w:pPr>
            <w:r w:rsidRPr="004471D1">
              <w:rPr>
                <w:b/>
                <w:kern w:val="32"/>
              </w:rPr>
              <w:t>Key outcomes</w:t>
            </w:r>
          </w:p>
          <w:p w:rsidR="006B2B41" w:rsidRDefault="006B2B41" w:rsidP="00CA49FE">
            <w:pPr>
              <w:pStyle w:val="NoSpacing"/>
              <w:numPr>
                <w:ilvl w:val="0"/>
                <w:numId w:val="46"/>
              </w:numPr>
            </w:pPr>
            <w:r>
              <w:t xml:space="preserve">Dissolved oxygen concentrations remained above the critical threshold of 4mg/L </w:t>
            </w:r>
            <w:r w:rsidR="00834E37">
              <w:t>through the monitoring period in</w:t>
            </w:r>
            <w:r>
              <w:t xml:space="preserve"> rivers and wetlands</w:t>
            </w:r>
            <w:r w:rsidR="00834E37">
              <w:t>.</w:t>
            </w:r>
            <w:r>
              <w:t xml:space="preserve"> </w:t>
            </w:r>
          </w:p>
          <w:p w:rsidR="006B2B41" w:rsidRDefault="006B2B41" w:rsidP="00DF1562">
            <w:pPr>
              <w:pStyle w:val="NoSpacing"/>
              <w:numPr>
                <w:ilvl w:val="0"/>
                <w:numId w:val="46"/>
              </w:numPr>
              <w:rPr>
                <w:lang w:eastAsia="en-AU" w:bidi="th-TH"/>
              </w:rPr>
            </w:pPr>
            <w:r>
              <w:t xml:space="preserve">Water temperature in </w:t>
            </w:r>
            <w:r w:rsidR="004471D1">
              <w:t>the</w:t>
            </w:r>
            <w:r>
              <w:t xml:space="preserve"> </w:t>
            </w:r>
            <w:r w:rsidR="004471D1">
              <w:t>Murrumbidgee</w:t>
            </w:r>
            <w:r>
              <w:t xml:space="preserve"> River was above </w:t>
            </w:r>
            <w:r w:rsidR="00DF1562">
              <w:t xml:space="preserve">the </w:t>
            </w:r>
            <w:r>
              <w:t>threshold f</w:t>
            </w:r>
            <w:r w:rsidR="00834E37">
              <w:t>or Murray cod spawning (over 16°</w:t>
            </w:r>
            <w:r>
              <w:t xml:space="preserve">C) by </w:t>
            </w:r>
            <w:r w:rsidR="004471D1">
              <w:t xml:space="preserve">early </w:t>
            </w:r>
            <w:r>
              <w:t>October 2012</w:t>
            </w:r>
            <w:r w:rsidR="00834E37">
              <w:t>,</w:t>
            </w:r>
            <w:r w:rsidR="004471D1">
              <w:t xml:space="preserve"> and there is no evidence that the Common</w:t>
            </w:r>
            <w:r w:rsidR="00834E37">
              <w:t>wealth environmental release le</w:t>
            </w:r>
            <w:r w:rsidR="004471D1">
              <w:t>d to a decrease in water temperature.</w:t>
            </w:r>
          </w:p>
          <w:p w:rsidR="00CD463A" w:rsidRDefault="00CD463A" w:rsidP="00CD463A">
            <w:pPr>
              <w:pStyle w:val="NoSpacing"/>
            </w:pPr>
          </w:p>
          <w:p w:rsidR="00CD463A" w:rsidRDefault="00CD463A" w:rsidP="00CD463A">
            <w:pPr>
              <w:pStyle w:val="NoSpacing"/>
            </w:pPr>
          </w:p>
          <w:p w:rsidR="00CD463A" w:rsidRDefault="00CD463A" w:rsidP="00CD463A">
            <w:pPr>
              <w:pStyle w:val="NoSpacing"/>
            </w:pPr>
          </w:p>
          <w:p w:rsidR="00CD463A" w:rsidRDefault="00CD463A" w:rsidP="00CD463A">
            <w:pPr>
              <w:pStyle w:val="NoSpacing"/>
            </w:pPr>
          </w:p>
          <w:p w:rsidR="00CD463A" w:rsidRDefault="00CD463A" w:rsidP="00CD463A">
            <w:pPr>
              <w:pStyle w:val="NoSpacing"/>
            </w:pPr>
          </w:p>
          <w:p w:rsidR="00CD463A" w:rsidRDefault="00CD463A" w:rsidP="00CD463A">
            <w:pPr>
              <w:pStyle w:val="NoSpacing"/>
            </w:pPr>
          </w:p>
          <w:p w:rsidR="00CD463A" w:rsidRDefault="00CD463A" w:rsidP="00CD463A">
            <w:pPr>
              <w:pStyle w:val="NoSpacing"/>
            </w:pPr>
          </w:p>
          <w:p w:rsidR="00CD463A" w:rsidRPr="0041159B" w:rsidRDefault="00CD463A" w:rsidP="00CD463A">
            <w:pPr>
              <w:pStyle w:val="NoSpacing"/>
              <w:rPr>
                <w:lang w:eastAsia="en-AU" w:bidi="th-TH"/>
              </w:rPr>
            </w:pPr>
          </w:p>
        </w:tc>
      </w:tr>
    </w:tbl>
    <w:p w:rsidR="00B20868" w:rsidRDefault="00B20868" w:rsidP="00B20868">
      <w:pPr>
        <w:pStyle w:val="TOCHeading"/>
        <w:rPr>
          <w:rFonts w:cs="Angsana New"/>
          <w:lang w:eastAsia="en-AU" w:bidi="th-TH"/>
        </w:rPr>
      </w:pPr>
      <w:r>
        <w:rPr>
          <w:lang w:eastAsia="en-AU"/>
        </w:rPr>
        <w:br w:type="page"/>
      </w:r>
    </w:p>
    <w:p w:rsidR="00D14E0E" w:rsidRDefault="00D14E0E" w:rsidP="00D14E0E">
      <w:pPr>
        <w:pStyle w:val="Heading1"/>
        <w:rPr>
          <w:lang w:eastAsia="en-AU"/>
        </w:rPr>
      </w:pPr>
      <w:bookmarkStart w:id="97" w:name="_Toc370299180"/>
      <w:bookmarkStart w:id="98" w:name="_Toc370738724"/>
      <w:bookmarkStart w:id="99" w:name="_Toc378168515"/>
      <w:r>
        <w:rPr>
          <w:lang w:eastAsia="en-AU"/>
        </w:rPr>
        <w:t>Water quality</w:t>
      </w:r>
      <w:bookmarkEnd w:id="97"/>
      <w:bookmarkEnd w:id="98"/>
      <w:bookmarkEnd w:id="99"/>
    </w:p>
    <w:p w:rsidR="009D5586" w:rsidRDefault="00126A40" w:rsidP="00C44F46">
      <w:pPr>
        <w:pStyle w:val="Heading2"/>
        <w:rPr>
          <w:lang w:eastAsia="en-AU"/>
        </w:rPr>
      </w:pPr>
      <w:bookmarkStart w:id="100" w:name="_Toc370299181"/>
      <w:bookmarkStart w:id="101" w:name="_Toc370738725"/>
      <w:bookmarkStart w:id="102" w:name="_Toc378168516"/>
      <w:r>
        <w:rPr>
          <w:lang w:eastAsia="en-AU"/>
        </w:rPr>
        <w:t>Introduction</w:t>
      </w:r>
      <w:bookmarkEnd w:id="100"/>
      <w:bookmarkEnd w:id="101"/>
      <w:bookmarkEnd w:id="102"/>
    </w:p>
    <w:p w:rsidR="007469E0" w:rsidRPr="00834E37" w:rsidRDefault="009D5586" w:rsidP="007469E0">
      <w:pPr>
        <w:pStyle w:val="BodyText1"/>
        <w:rPr>
          <w:szCs w:val="24"/>
          <w:lang w:eastAsia="en-AU"/>
        </w:rPr>
      </w:pPr>
      <w:r w:rsidRPr="00834E37">
        <w:rPr>
          <w:szCs w:val="24"/>
          <w:lang w:eastAsia="en-AU"/>
        </w:rPr>
        <w:t>The physiochemical properties of water are naturally variable over time</w:t>
      </w:r>
      <w:r w:rsidR="00834E37">
        <w:rPr>
          <w:szCs w:val="24"/>
          <w:lang w:eastAsia="en-AU"/>
        </w:rPr>
        <w:t>,</w:t>
      </w:r>
      <w:r w:rsidRPr="00834E37">
        <w:rPr>
          <w:szCs w:val="24"/>
          <w:lang w:eastAsia="en-AU"/>
        </w:rPr>
        <w:t xml:space="preserve"> reflecting changes </w:t>
      </w:r>
      <w:r w:rsidR="000B7EEE" w:rsidRPr="00834E37">
        <w:rPr>
          <w:szCs w:val="24"/>
          <w:lang w:eastAsia="en-AU"/>
        </w:rPr>
        <w:t xml:space="preserve">in </w:t>
      </w:r>
      <w:r w:rsidRPr="00834E37">
        <w:rPr>
          <w:szCs w:val="24"/>
          <w:lang w:eastAsia="en-AU"/>
        </w:rPr>
        <w:t xml:space="preserve">air temperatures, </w:t>
      </w:r>
      <w:r w:rsidR="00126A40" w:rsidRPr="00834E37">
        <w:rPr>
          <w:szCs w:val="24"/>
          <w:lang w:eastAsia="en-AU"/>
        </w:rPr>
        <w:t xml:space="preserve">discharge levels, inflows </w:t>
      </w:r>
      <w:r w:rsidRPr="00834E37">
        <w:rPr>
          <w:szCs w:val="24"/>
          <w:lang w:eastAsia="en-AU"/>
        </w:rPr>
        <w:t xml:space="preserve">and wetting and drying patterns. In this section we provide a general summary of the key water </w:t>
      </w:r>
      <w:r w:rsidR="00126A40" w:rsidRPr="00834E37">
        <w:rPr>
          <w:szCs w:val="24"/>
          <w:lang w:eastAsia="en-AU"/>
        </w:rPr>
        <w:t>physiochemical measurements (water temperature, conductivity, dissolved oxygen, pH and turbidity)</w:t>
      </w:r>
      <w:r w:rsidR="007469E0" w:rsidRPr="00834E37">
        <w:rPr>
          <w:szCs w:val="24"/>
          <w:lang w:eastAsia="en-AU"/>
        </w:rPr>
        <w:t xml:space="preserve"> in </w:t>
      </w:r>
      <w:r w:rsidR="00202FB2" w:rsidRPr="00834E37">
        <w:rPr>
          <w:szCs w:val="24"/>
          <w:lang w:eastAsia="en-AU"/>
        </w:rPr>
        <w:t>r</w:t>
      </w:r>
      <w:r w:rsidR="007469E0" w:rsidRPr="00834E37">
        <w:rPr>
          <w:szCs w:val="24"/>
          <w:lang w:eastAsia="en-AU"/>
        </w:rPr>
        <w:t>ivers and wetlands.</w:t>
      </w:r>
    </w:p>
    <w:p w:rsidR="0041159B" w:rsidRPr="00834E37" w:rsidRDefault="0041159B" w:rsidP="009D5586">
      <w:pPr>
        <w:pStyle w:val="BodyText1"/>
        <w:rPr>
          <w:szCs w:val="24"/>
          <w:lang w:eastAsia="en-AU"/>
        </w:rPr>
      </w:pPr>
    </w:p>
    <w:p w:rsidR="009D5586" w:rsidRDefault="007469E0" w:rsidP="00C44F46">
      <w:pPr>
        <w:pStyle w:val="Heading2"/>
        <w:rPr>
          <w:lang w:eastAsia="en-AU"/>
        </w:rPr>
      </w:pPr>
      <w:bookmarkStart w:id="103" w:name="_Toc370299182"/>
      <w:bookmarkStart w:id="104" w:name="_Toc370738726"/>
      <w:bookmarkStart w:id="105" w:name="_Toc378168517"/>
      <w:r>
        <w:rPr>
          <w:lang w:eastAsia="en-AU"/>
        </w:rPr>
        <w:t>Methods</w:t>
      </w:r>
      <w:bookmarkEnd w:id="103"/>
      <w:bookmarkEnd w:id="104"/>
      <w:bookmarkEnd w:id="105"/>
    </w:p>
    <w:p w:rsidR="00961A71" w:rsidRDefault="0041159B" w:rsidP="00961A71">
      <w:pPr>
        <w:pStyle w:val="BodyText1"/>
      </w:pPr>
      <w:r>
        <w:rPr>
          <w:kern w:val="32"/>
        </w:rPr>
        <w:t>Water quality parameters</w:t>
      </w:r>
      <w:r w:rsidR="00834E37">
        <w:rPr>
          <w:kern w:val="32"/>
        </w:rPr>
        <w:t>,</w:t>
      </w:r>
      <w:r w:rsidR="00961A71" w:rsidRPr="00961A71">
        <w:t xml:space="preserve"> </w:t>
      </w:r>
      <w:r w:rsidR="00961A71">
        <w:t>temperature (°</w:t>
      </w:r>
      <w:r w:rsidR="00834E37">
        <w:t xml:space="preserve">C), electrical conductivity (EC, </w:t>
      </w:r>
      <w:r w:rsidR="00961A71">
        <w:t>µS/cm), turbidity (NTU), pH and dissolved oxygen (mg/L</w:t>
      </w:r>
      <w:r w:rsidR="004471D1">
        <w:t>)</w:t>
      </w:r>
      <w:r w:rsidR="00834E37">
        <w:t>,</w:t>
      </w:r>
      <w:r w:rsidR="004471D1">
        <w:t xml:space="preserve"> </w:t>
      </w:r>
      <w:r>
        <w:rPr>
          <w:kern w:val="32"/>
        </w:rPr>
        <w:t xml:space="preserve">where routinely </w:t>
      </w:r>
      <w:r w:rsidR="00834E37">
        <w:rPr>
          <w:kern w:val="32"/>
        </w:rPr>
        <w:t>measured in association with</w:t>
      </w:r>
      <w:r>
        <w:rPr>
          <w:kern w:val="32"/>
        </w:rPr>
        <w:t xml:space="preserve"> larval fish monitoring (weekly between September and December 2012 during the Commonwealth environmental release in the Murrumbidgee River and every second month between August 2012 and April 2013 in wetlands</w:t>
      </w:r>
      <w:r w:rsidR="00834E37">
        <w:rPr>
          <w:kern w:val="32"/>
        </w:rPr>
        <w:t>)</w:t>
      </w:r>
      <w:r>
        <w:rPr>
          <w:kern w:val="32"/>
        </w:rPr>
        <w:t xml:space="preserve">. </w:t>
      </w:r>
    </w:p>
    <w:p w:rsidR="00961A71" w:rsidRDefault="00961A71" w:rsidP="00961A71">
      <w:pPr>
        <w:pStyle w:val="BodyText1"/>
      </w:pPr>
      <w:r>
        <w:t>In the Murrumbidgee River and Old Man Creek</w:t>
      </w:r>
      <w:r w:rsidR="00834E37">
        <w:t>,</w:t>
      </w:r>
      <w:r>
        <w:t xml:space="preserve"> water quality parameters were measured three times per week at each larval sampling site. A HORIBA U-52G water quality multi probe </w:t>
      </w:r>
      <w:r w:rsidR="000B7EEE">
        <w:t xml:space="preserve">was used </w:t>
      </w:r>
      <w:r>
        <w:t>at 0.2 metres below the surface. In wetlands</w:t>
      </w:r>
      <w:r w:rsidR="00834E37">
        <w:t>,</w:t>
      </w:r>
      <w:r>
        <w:t xml:space="preserve"> the same water quality parameters were mea</w:t>
      </w:r>
      <w:r w:rsidR="00834E37">
        <w:t>sured every second month (August</w:t>
      </w:r>
      <w:r>
        <w:t>, October, December, February and April</w:t>
      </w:r>
      <w:r w:rsidR="00834E37">
        <w:t>)</w:t>
      </w:r>
      <w:r>
        <w:t xml:space="preserve"> using a handheld YSI</w:t>
      </w:r>
      <w:r w:rsidR="00753458">
        <w:t xml:space="preserve"> sonde unit.</w:t>
      </w:r>
    </w:p>
    <w:p w:rsidR="002A520D" w:rsidRDefault="002A520D" w:rsidP="0041159B">
      <w:pPr>
        <w:pStyle w:val="BodyText1"/>
        <w:rPr>
          <w:kern w:val="32"/>
        </w:rPr>
      </w:pPr>
    </w:p>
    <w:p w:rsidR="0041159B" w:rsidRDefault="002A520D" w:rsidP="00C44F46">
      <w:pPr>
        <w:pStyle w:val="Heading3"/>
      </w:pPr>
      <w:bookmarkStart w:id="106" w:name="_Toc370299183"/>
      <w:bookmarkStart w:id="107" w:name="_Toc370738727"/>
      <w:bookmarkStart w:id="108" w:name="_Toc378168518"/>
      <w:r>
        <w:t>Rivers</w:t>
      </w:r>
      <w:bookmarkEnd w:id="106"/>
      <w:bookmarkEnd w:id="107"/>
      <w:bookmarkEnd w:id="108"/>
    </w:p>
    <w:p w:rsidR="0057037E" w:rsidRDefault="002A520D" w:rsidP="0057037E">
      <w:pPr>
        <w:pStyle w:val="BodyText1"/>
      </w:pPr>
      <w:r>
        <w:t>As expected</w:t>
      </w:r>
      <w:r w:rsidR="00834E37">
        <w:t>,</w:t>
      </w:r>
      <w:r>
        <w:t xml:space="preserve"> water temperature in the rivers increased during the monitoring period and was above </w:t>
      </w:r>
      <w:r w:rsidR="00834E37">
        <w:t xml:space="preserve">the </w:t>
      </w:r>
      <w:r>
        <w:t xml:space="preserve">threshold </w:t>
      </w:r>
      <w:r w:rsidR="0057037E">
        <w:t>for Murray</w:t>
      </w:r>
      <w:r w:rsidR="00834E37">
        <w:t xml:space="preserve"> cod spawning (over 16°C</w:t>
      </w:r>
      <w:r>
        <w:t xml:space="preserve">) by </w:t>
      </w:r>
      <w:r w:rsidR="0057037E">
        <w:t>mid-October</w:t>
      </w:r>
      <w:r>
        <w:t xml:space="preserve"> </w:t>
      </w:r>
      <w:r w:rsidR="0057037E">
        <w:t xml:space="preserve">2012 </w:t>
      </w:r>
      <w:r>
        <w:t>(</w:t>
      </w:r>
      <w:r w:rsidR="00D20FAE">
        <w:fldChar w:fldCharType="begin"/>
      </w:r>
      <w:r w:rsidR="0057037E">
        <w:instrText xml:space="preserve"> REF _Ref369783148 \h </w:instrText>
      </w:r>
      <w:r w:rsidR="00D20FAE">
        <w:fldChar w:fldCharType="separate"/>
      </w:r>
      <w:r w:rsidR="00436595">
        <w:t xml:space="preserve">Figure </w:t>
      </w:r>
      <w:r w:rsidR="00436595">
        <w:rPr>
          <w:noProof/>
        </w:rPr>
        <w:t>7</w:t>
      </w:r>
      <w:r w:rsidR="00D20FAE">
        <w:fldChar w:fldCharType="end"/>
      </w:r>
      <w:r w:rsidR="0057037E">
        <w:t>). There is no evi</w:t>
      </w:r>
      <w:r w:rsidR="00EF3FDB">
        <w:t>de</w:t>
      </w:r>
      <w:r w:rsidR="0057037E">
        <w:t xml:space="preserve">nce that the Commonwealth environmental water release led to a change </w:t>
      </w:r>
      <w:r w:rsidR="000B7EEE">
        <w:t xml:space="preserve">in </w:t>
      </w:r>
      <w:r w:rsidR="0057037E">
        <w:t xml:space="preserve">water temperatures during the </w:t>
      </w:r>
      <w:r w:rsidR="00386CE5">
        <w:t xml:space="preserve">critical </w:t>
      </w:r>
      <w:r w:rsidR="0057037E">
        <w:t>Murray cod spawning period. Dissolved oxygen levels were also well above the critical threshold of 4</w:t>
      </w:r>
      <w:r w:rsidR="005B2A21">
        <w:t xml:space="preserve"> </w:t>
      </w:r>
      <w:r w:rsidR="0057037E">
        <w:t>mg/L through the duration of the monitoring period. Conductivity and turbidity were more variable over</w:t>
      </w:r>
      <w:r w:rsidR="000B7EEE">
        <w:t xml:space="preserve"> </w:t>
      </w:r>
      <w:r w:rsidR="0057037E">
        <w:t>time</w:t>
      </w:r>
      <w:r w:rsidR="005B2A21">
        <w:t>,</w:t>
      </w:r>
      <w:r w:rsidR="0057037E">
        <w:t xml:space="preserve"> with turbidity undergoing a few spikes </w:t>
      </w:r>
      <w:r w:rsidR="005B2A21">
        <w:t xml:space="preserve">both </w:t>
      </w:r>
      <w:r w:rsidR="0057037E">
        <w:t>in the Murrumbidgee River</w:t>
      </w:r>
      <w:r w:rsidR="005B2A21">
        <w:t>,</w:t>
      </w:r>
      <w:r w:rsidR="0057037E">
        <w:t xml:space="preserve"> which received Commonwealth environmental water</w:t>
      </w:r>
      <w:r w:rsidR="005B2A21">
        <w:t>,</w:t>
      </w:r>
      <w:r w:rsidR="0057037E">
        <w:t xml:space="preserve"> and </w:t>
      </w:r>
      <w:r w:rsidR="005B2A21">
        <w:t xml:space="preserve">in </w:t>
      </w:r>
      <w:r w:rsidR="0057037E">
        <w:t xml:space="preserve">Old </w:t>
      </w:r>
      <w:r w:rsidR="000B7EEE">
        <w:t>M</w:t>
      </w:r>
      <w:r w:rsidR="0057037E">
        <w:t>an Creek (</w:t>
      </w:r>
      <w:r w:rsidR="00B354B5">
        <w:t>control)</w:t>
      </w:r>
      <w:r w:rsidR="000B7EEE">
        <w:t xml:space="preserve">. </w:t>
      </w:r>
      <w:r w:rsidR="0057037E">
        <w:t xml:space="preserve"> </w:t>
      </w:r>
      <w:r w:rsidR="000B7EEE">
        <w:t>T</w:t>
      </w:r>
      <w:r w:rsidR="0057037E">
        <w:t xml:space="preserve">hese spikes may be attributed to rainfall during </w:t>
      </w:r>
      <w:r w:rsidR="000B7EEE">
        <w:t xml:space="preserve">the </w:t>
      </w:r>
      <w:r w:rsidR="00386CE5">
        <w:t xml:space="preserve">monitoring period. Turbidity levels during these spikes still remained below critical thresholds for lowland river systems </w:t>
      </w:r>
      <w:r w:rsidR="00D20FAE">
        <w:fldChar w:fldCharType="begin"/>
      </w:r>
      <w:r w:rsidR="006171E9">
        <w:instrText xml:space="preserve"> ADDIN EN.CITE &lt;EndNote&gt;&lt;Cite&gt;&lt;Author&gt;ANZECC water quality guidelines&lt;/Author&gt;&lt;Year&gt;2000&lt;/Year&gt;&lt;RecNum&gt;3217&lt;/RecNum&gt;&lt;DisplayText&gt;(ANZECC water quality guidelines 2000)&lt;/DisplayText&gt;&lt;record&gt;&lt;rec-number&gt;3217&lt;/rec-number&gt;&lt;foreign-keys&gt;&lt;key app="EN" db-id="vxxvsda2b05fxpeaw2dp552mtrd5trxdrf0s"&gt;3217&lt;/key&gt;&lt;/foreign-keys&gt;&lt;ref-type name="Electronic Book"&gt;44&lt;/ref-type&gt;&lt;contributors&gt;&lt;authors&gt;&lt;author&gt;ANZECC water quality guidelines,&lt;/author&gt;&lt;/authors&gt;&lt;/contributors&gt;&lt;titles&gt;&lt;title&gt;Australia and New Zealand guidelines for fresh and marine water quality &lt;/title&gt;&lt;secondary-title&gt;&lt;style face="normal" font="Times New Roman" size="100%"&gt;&amp;#xD;&lt;/style&gt;&lt;/secondary-title&gt;&lt;/titles&gt;&lt;volume&gt;4A&lt;/volume&gt;&lt;dates&gt;&lt;year&gt;2000&lt;/year&gt;&lt;/dates&gt;&lt;publisher&gt;Australian and New Zealand environment and conservation council and Agriculture and resource management council of Australia and New Zealand&lt;/publisher&gt;&lt;urls&gt;&lt;related-urls&gt;&lt;url&gt;http://www.mincos.gov.au/publications/australian_and_new_zealand_guidelines_for_fresh_and_marine_water_quality&lt;/url&gt;&lt;/related-urls&gt;&lt;/urls&gt;&lt;/record&gt;&lt;/Cite&gt;&lt;/EndNote&gt;</w:instrText>
      </w:r>
      <w:r w:rsidR="00D20FAE">
        <w:fldChar w:fldCharType="separate"/>
      </w:r>
      <w:r w:rsidR="006171E9">
        <w:rPr>
          <w:noProof/>
        </w:rPr>
        <w:t>(</w:t>
      </w:r>
      <w:hyperlink w:anchor="_ENREF_6" w:tooltip="ANZECC water quality guidelines, 2000 #3217" w:history="1">
        <w:r w:rsidR="006810E6">
          <w:rPr>
            <w:noProof/>
          </w:rPr>
          <w:t>ANZECC water quality guidelines 2000</w:t>
        </w:r>
      </w:hyperlink>
      <w:r w:rsidR="006171E9">
        <w:rPr>
          <w:noProof/>
        </w:rPr>
        <w:t>)</w:t>
      </w:r>
      <w:r w:rsidR="00D20FAE">
        <w:fldChar w:fldCharType="end"/>
      </w:r>
      <w:r w:rsidR="00386CE5">
        <w:t>.</w:t>
      </w:r>
    </w:p>
    <w:p w:rsidR="002D0505" w:rsidRDefault="002D0505" w:rsidP="002D0505">
      <w:pPr>
        <w:autoSpaceDE w:val="0"/>
        <w:autoSpaceDN w:val="0"/>
        <w:adjustRightInd w:val="0"/>
        <w:spacing w:after="0" w:line="400" w:lineRule="atLeast"/>
        <w:jc w:val="left"/>
        <w:rPr>
          <w:rFonts w:ascii="Times New Roman" w:hAnsi="Times New Roman"/>
          <w:sz w:val="24"/>
          <w:szCs w:val="24"/>
          <w:lang w:eastAsia="en-AU"/>
        </w:rPr>
      </w:pPr>
    </w:p>
    <w:p w:rsidR="00AF29B9" w:rsidRDefault="00AF29B9" w:rsidP="008C3D82">
      <w:pPr>
        <w:spacing w:after="0" w:line="240" w:lineRule="auto"/>
        <w:jc w:val="left"/>
      </w:pPr>
    </w:p>
    <w:p w:rsidR="00B354B5" w:rsidRDefault="00C0326F" w:rsidP="008C3D82">
      <w:pPr>
        <w:spacing w:after="0" w:line="240" w:lineRule="auto"/>
        <w:jc w:val="left"/>
        <w:rPr>
          <w:lang w:eastAsia="en-AU" w:bidi="th-TH"/>
        </w:rPr>
      </w:pPr>
      <w:r>
        <w:rPr>
          <w:noProof/>
          <w:lang w:eastAsia="en-AU"/>
        </w:rPr>
        <w:drawing>
          <wp:inline distT="0" distB="0" distL="0" distR="0">
            <wp:extent cx="5731510" cy="4298950"/>
            <wp:effectExtent l="19050" t="0" r="2540" b="0"/>
            <wp:docPr id="57" name="Picture 56" descr="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3.JPG"/>
                    <pic:cNvPicPr/>
                  </pic:nvPicPr>
                  <pic:blipFill>
                    <a:blip r:embed="rId57" cstate="print"/>
                    <a:stretch>
                      <a:fillRect/>
                    </a:stretch>
                  </pic:blipFill>
                  <pic:spPr>
                    <a:xfrm>
                      <a:off x="0" y="0"/>
                      <a:ext cx="5731510" cy="4298950"/>
                    </a:xfrm>
                    <a:prstGeom prst="rect">
                      <a:avLst/>
                    </a:prstGeom>
                  </pic:spPr>
                </pic:pic>
              </a:graphicData>
            </a:graphic>
          </wp:inline>
        </w:drawing>
      </w:r>
    </w:p>
    <w:p w:rsidR="00B354B5" w:rsidRDefault="00B354B5" w:rsidP="008C3D82">
      <w:pPr>
        <w:spacing w:after="0" w:line="240" w:lineRule="auto"/>
        <w:jc w:val="left"/>
        <w:rPr>
          <w:lang w:eastAsia="en-AU" w:bidi="th-TH"/>
        </w:rPr>
      </w:pPr>
    </w:p>
    <w:p w:rsidR="00B354B5" w:rsidRDefault="00B354B5" w:rsidP="00B354B5">
      <w:pPr>
        <w:pStyle w:val="Caption1"/>
      </w:pPr>
      <w:bookmarkStart w:id="109" w:name="_Toc370738728"/>
      <w:r w:rsidRPr="00B354B5">
        <w:rPr>
          <w:b/>
        </w:rPr>
        <w:t xml:space="preserve">Plate </w:t>
      </w:r>
      <w:r w:rsidR="00D20FAE" w:rsidRPr="00B354B5">
        <w:rPr>
          <w:b/>
        </w:rPr>
        <w:fldChar w:fldCharType="begin"/>
      </w:r>
      <w:r w:rsidRPr="00B354B5">
        <w:rPr>
          <w:b/>
        </w:rPr>
        <w:instrText xml:space="preserve"> SEQ Plate \* ARABIC </w:instrText>
      </w:r>
      <w:r w:rsidR="00D20FAE" w:rsidRPr="00B354B5">
        <w:rPr>
          <w:b/>
        </w:rPr>
        <w:fldChar w:fldCharType="separate"/>
      </w:r>
      <w:r w:rsidR="00436595">
        <w:rPr>
          <w:b/>
          <w:noProof/>
        </w:rPr>
        <w:t>7</w:t>
      </w:r>
      <w:r w:rsidR="00D20FAE" w:rsidRPr="00B354B5">
        <w:rPr>
          <w:b/>
        </w:rPr>
        <w:fldChar w:fldCharType="end"/>
      </w:r>
      <w:r>
        <w:t xml:space="preserve"> Sun set over Paika </w:t>
      </w:r>
      <w:r w:rsidR="00A05851">
        <w:t>Lake</w:t>
      </w:r>
      <w:r>
        <w:t xml:space="preserve"> (</w:t>
      </w:r>
      <w:r w:rsidR="00A05851">
        <w:t>Western L</w:t>
      </w:r>
      <w:r>
        <w:t>akes)</w:t>
      </w:r>
      <w:r w:rsidR="005B2A21">
        <w:t>. D</w:t>
      </w:r>
      <w:r>
        <w:t>espite the extended peri</w:t>
      </w:r>
      <w:r w:rsidR="005B2A21">
        <w:t>od that wetlands in this system</w:t>
      </w:r>
      <w:r>
        <w:t xml:space="preserve"> had been dry</w:t>
      </w:r>
      <w:r w:rsidR="005B2A21">
        <w:t>,</w:t>
      </w:r>
      <w:r>
        <w:t xml:space="preserve"> </w:t>
      </w:r>
      <w:r w:rsidR="000B7EEE">
        <w:t>d</w:t>
      </w:r>
      <w:r>
        <w:t xml:space="preserve">issolved </w:t>
      </w:r>
      <w:r w:rsidR="000B7EEE">
        <w:t>o</w:t>
      </w:r>
      <w:r>
        <w:t>xygen levels remained above the critical threshold of 4</w:t>
      </w:r>
      <w:r w:rsidR="005B2A21">
        <w:t xml:space="preserve"> </w:t>
      </w:r>
      <w:r>
        <w:t>mg/</w:t>
      </w:r>
      <w:r w:rsidR="00A05851">
        <w:t>L</w:t>
      </w:r>
      <w:r>
        <w:t xml:space="preserve"> throughout the monitoring period.</w:t>
      </w:r>
      <w:bookmarkEnd w:id="109"/>
      <w:r>
        <w:t xml:space="preserve"> </w:t>
      </w:r>
    </w:p>
    <w:p w:rsidR="00AD4C14" w:rsidRDefault="0057037E" w:rsidP="00B354B5">
      <w:pPr>
        <w:pStyle w:val="Caption1"/>
        <w:rPr>
          <w:lang w:eastAsia="en-AU" w:bidi="th-TH"/>
        </w:rPr>
      </w:pPr>
      <w:r>
        <w:rPr>
          <w:lang w:eastAsia="en-AU" w:bidi="th-TH"/>
        </w:rPr>
        <w:br w:type="page"/>
      </w:r>
      <w:r w:rsidR="00AD4C14">
        <w:rPr>
          <w:noProof/>
          <w:lang w:eastAsia="en-AU"/>
        </w:rPr>
        <w:drawing>
          <wp:anchor distT="0" distB="0" distL="114300" distR="114300" simplePos="0" relativeHeight="251717120" behindDoc="0" locked="0" layoutInCell="1" allowOverlap="1">
            <wp:simplePos x="0" y="0"/>
            <wp:positionH relativeFrom="column">
              <wp:posOffset>90805</wp:posOffset>
            </wp:positionH>
            <wp:positionV relativeFrom="paragraph">
              <wp:posOffset>175895</wp:posOffset>
            </wp:positionV>
            <wp:extent cx="5728335" cy="2440305"/>
            <wp:effectExtent l="19050" t="0" r="5715" b="0"/>
            <wp:wrapNone/>
            <wp:docPr id="1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cstate="print"/>
                    <a:srcRect/>
                    <a:stretch>
                      <a:fillRect/>
                    </a:stretch>
                  </pic:blipFill>
                  <pic:spPr bwMode="auto">
                    <a:xfrm>
                      <a:off x="0" y="0"/>
                      <a:ext cx="5728335" cy="2440305"/>
                    </a:xfrm>
                    <a:prstGeom prst="rect">
                      <a:avLst/>
                    </a:prstGeom>
                    <a:noFill/>
                    <a:ln w="9525">
                      <a:noFill/>
                      <a:miter lim="800000"/>
                      <a:headEnd/>
                      <a:tailEnd/>
                    </a:ln>
                  </pic:spPr>
                </pic:pic>
              </a:graphicData>
            </a:graphic>
          </wp:anchor>
        </w:drawing>
      </w:r>
      <w:r w:rsidR="008C3D82">
        <w:rPr>
          <w:lang w:eastAsia="en-AU" w:bidi="th-TH"/>
        </w:rPr>
        <w:t xml:space="preserve"> </w:t>
      </w:r>
    </w:p>
    <w:p w:rsidR="00AD4C14" w:rsidRDefault="00AD4C14" w:rsidP="00AD4C14">
      <w:pPr>
        <w:rPr>
          <w:lang w:eastAsia="en-AU" w:bidi="th-TH"/>
        </w:rPr>
      </w:pPr>
    </w:p>
    <w:p w:rsidR="00AD4C14" w:rsidRDefault="00AD4C14" w:rsidP="00AD4C14">
      <w:pPr>
        <w:rPr>
          <w:lang w:eastAsia="en-AU" w:bidi="th-TH"/>
        </w:rPr>
      </w:pPr>
    </w:p>
    <w:p w:rsidR="00AD4C14" w:rsidRDefault="00AD4C14" w:rsidP="00AD4C14">
      <w:pPr>
        <w:rPr>
          <w:lang w:eastAsia="en-AU" w:bidi="th-TH"/>
        </w:rPr>
      </w:pPr>
    </w:p>
    <w:p w:rsidR="00AD4C14" w:rsidRDefault="00AD4C14" w:rsidP="00AD4C14">
      <w:pPr>
        <w:rPr>
          <w:lang w:eastAsia="en-AU" w:bidi="th-TH"/>
        </w:rPr>
      </w:pPr>
    </w:p>
    <w:p w:rsidR="00AD4C14" w:rsidRDefault="00AD4C14" w:rsidP="00AD4C14">
      <w:pPr>
        <w:rPr>
          <w:lang w:eastAsia="en-AU" w:bidi="th-TH"/>
        </w:rPr>
      </w:pPr>
      <w:r>
        <w:rPr>
          <w:noProof/>
          <w:lang w:eastAsia="en-AU"/>
        </w:rPr>
        <w:drawing>
          <wp:anchor distT="0" distB="0" distL="114300" distR="114300" simplePos="0" relativeHeight="251718144" behindDoc="0" locked="0" layoutInCell="1" allowOverlap="1">
            <wp:simplePos x="0" y="0"/>
            <wp:positionH relativeFrom="column">
              <wp:posOffset>88265</wp:posOffset>
            </wp:positionH>
            <wp:positionV relativeFrom="paragraph">
              <wp:posOffset>29210</wp:posOffset>
            </wp:positionV>
            <wp:extent cx="5730240" cy="2440305"/>
            <wp:effectExtent l="19050" t="0" r="3810" b="0"/>
            <wp:wrapNone/>
            <wp:docPr id="15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print"/>
                    <a:srcRect/>
                    <a:stretch>
                      <a:fillRect/>
                    </a:stretch>
                  </pic:blipFill>
                  <pic:spPr bwMode="auto">
                    <a:xfrm>
                      <a:off x="0" y="0"/>
                      <a:ext cx="5730240" cy="2440305"/>
                    </a:xfrm>
                    <a:prstGeom prst="rect">
                      <a:avLst/>
                    </a:prstGeom>
                    <a:noFill/>
                    <a:ln w="9525">
                      <a:noFill/>
                      <a:miter lim="800000"/>
                      <a:headEnd/>
                      <a:tailEnd/>
                    </a:ln>
                  </pic:spPr>
                </pic:pic>
              </a:graphicData>
            </a:graphic>
          </wp:anchor>
        </w:drawing>
      </w:r>
    </w:p>
    <w:p w:rsidR="00AD4C14" w:rsidRDefault="00AD4C14" w:rsidP="00AD4C14">
      <w:pPr>
        <w:rPr>
          <w:lang w:eastAsia="en-AU" w:bidi="th-TH"/>
        </w:rPr>
      </w:pPr>
    </w:p>
    <w:p w:rsidR="00AD4C14" w:rsidRDefault="00AD4C14" w:rsidP="00AD4C14">
      <w:pPr>
        <w:rPr>
          <w:lang w:eastAsia="en-AU" w:bidi="th-TH"/>
        </w:rPr>
      </w:pPr>
    </w:p>
    <w:p w:rsidR="00AD4C14" w:rsidRDefault="00AD4C14" w:rsidP="00AD4C14">
      <w:pPr>
        <w:rPr>
          <w:lang w:eastAsia="en-AU" w:bidi="th-TH"/>
        </w:rPr>
      </w:pPr>
    </w:p>
    <w:p w:rsidR="00AD4C14" w:rsidRDefault="00AD4C14" w:rsidP="00AD4C14">
      <w:pPr>
        <w:rPr>
          <w:lang w:eastAsia="en-AU" w:bidi="th-TH"/>
        </w:rPr>
      </w:pPr>
      <w:r>
        <w:rPr>
          <w:noProof/>
          <w:lang w:eastAsia="en-AU"/>
        </w:rPr>
        <w:drawing>
          <wp:anchor distT="0" distB="0" distL="114300" distR="114300" simplePos="0" relativeHeight="251719168" behindDoc="0" locked="0" layoutInCell="1" allowOverlap="1">
            <wp:simplePos x="0" y="0"/>
            <wp:positionH relativeFrom="column">
              <wp:posOffset>-117750</wp:posOffset>
            </wp:positionH>
            <wp:positionV relativeFrom="paragraph">
              <wp:posOffset>216035</wp:posOffset>
            </wp:positionV>
            <wp:extent cx="6000150" cy="2440800"/>
            <wp:effectExtent l="19050" t="0" r="600" b="0"/>
            <wp:wrapNone/>
            <wp:docPr id="15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srcRect/>
                    <a:stretch>
                      <a:fillRect/>
                    </a:stretch>
                  </pic:blipFill>
                  <pic:spPr bwMode="auto">
                    <a:xfrm>
                      <a:off x="0" y="0"/>
                      <a:ext cx="6000150" cy="2440800"/>
                    </a:xfrm>
                    <a:prstGeom prst="rect">
                      <a:avLst/>
                    </a:prstGeom>
                    <a:noFill/>
                    <a:ln w="9525">
                      <a:noFill/>
                      <a:miter lim="800000"/>
                      <a:headEnd/>
                      <a:tailEnd/>
                    </a:ln>
                  </pic:spPr>
                </pic:pic>
              </a:graphicData>
            </a:graphic>
          </wp:anchor>
        </w:drawing>
      </w:r>
    </w:p>
    <w:p w:rsidR="00AD4C14" w:rsidRDefault="00AD4C14" w:rsidP="00AD4C14">
      <w:pPr>
        <w:rPr>
          <w:lang w:eastAsia="en-AU" w:bidi="th-TH"/>
        </w:rPr>
      </w:pPr>
    </w:p>
    <w:p w:rsidR="00AD4C14" w:rsidRDefault="00AD4C14" w:rsidP="00AD4C14">
      <w:pPr>
        <w:rPr>
          <w:lang w:eastAsia="en-AU" w:bidi="th-TH"/>
        </w:rPr>
      </w:pPr>
    </w:p>
    <w:p w:rsidR="00AD4C14" w:rsidRDefault="00AD4C14" w:rsidP="00AD4C14">
      <w:pPr>
        <w:rPr>
          <w:lang w:eastAsia="en-AU" w:bidi="th-TH"/>
        </w:rPr>
      </w:pPr>
    </w:p>
    <w:p w:rsidR="00AD4C14" w:rsidRDefault="00AD4C14" w:rsidP="00AD4C14">
      <w:pPr>
        <w:rPr>
          <w:lang w:eastAsia="en-AU" w:bidi="th-TH"/>
        </w:rPr>
      </w:pPr>
    </w:p>
    <w:p w:rsidR="00AD4C14" w:rsidRDefault="001B097F" w:rsidP="00AD4C14">
      <w:pPr>
        <w:rPr>
          <w:lang w:eastAsia="en-AU" w:bidi="th-TH"/>
        </w:rPr>
      </w:pPr>
      <w:r>
        <w:rPr>
          <w:noProof/>
          <w:lang w:eastAsia="en-AU"/>
        </w:rPr>
        <w:drawing>
          <wp:anchor distT="0" distB="0" distL="114300" distR="114300" simplePos="0" relativeHeight="251720192" behindDoc="0" locked="0" layoutInCell="1" allowOverlap="1">
            <wp:simplePos x="0" y="0"/>
            <wp:positionH relativeFrom="column">
              <wp:posOffset>227850</wp:posOffset>
            </wp:positionH>
            <wp:positionV relativeFrom="paragraph">
              <wp:posOffset>70400</wp:posOffset>
            </wp:positionV>
            <wp:extent cx="5546550" cy="2440800"/>
            <wp:effectExtent l="19050" t="0" r="0" b="0"/>
            <wp:wrapNone/>
            <wp:docPr id="156"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srcRect/>
                    <a:stretch>
                      <a:fillRect/>
                    </a:stretch>
                  </pic:blipFill>
                  <pic:spPr bwMode="auto">
                    <a:xfrm>
                      <a:off x="0" y="0"/>
                      <a:ext cx="5546550" cy="2440800"/>
                    </a:xfrm>
                    <a:prstGeom prst="rect">
                      <a:avLst/>
                    </a:prstGeom>
                    <a:noFill/>
                    <a:ln w="9525">
                      <a:noFill/>
                      <a:miter lim="800000"/>
                      <a:headEnd/>
                      <a:tailEnd/>
                    </a:ln>
                  </pic:spPr>
                </pic:pic>
              </a:graphicData>
            </a:graphic>
          </wp:anchor>
        </w:drawing>
      </w:r>
    </w:p>
    <w:p w:rsidR="00AD4C14" w:rsidRDefault="00AD4C14" w:rsidP="00AD4C14">
      <w:pPr>
        <w:rPr>
          <w:lang w:eastAsia="en-AU" w:bidi="th-TH"/>
        </w:rPr>
      </w:pPr>
    </w:p>
    <w:p w:rsidR="00AD4C14" w:rsidRDefault="00AD4C14" w:rsidP="00AD4C14">
      <w:pPr>
        <w:rPr>
          <w:lang w:eastAsia="en-AU" w:bidi="th-TH"/>
        </w:rPr>
      </w:pPr>
    </w:p>
    <w:p w:rsidR="00AD4C14" w:rsidRPr="00AD4C14" w:rsidRDefault="00AD4C14" w:rsidP="00AD4C14">
      <w:pPr>
        <w:rPr>
          <w:lang w:eastAsia="en-AU" w:bidi="th-TH"/>
        </w:rPr>
      </w:pPr>
    </w:p>
    <w:p w:rsidR="00126A40" w:rsidRDefault="00126A40" w:rsidP="001B097F">
      <w:pPr>
        <w:pStyle w:val="Caption"/>
      </w:pPr>
    </w:p>
    <w:p w:rsidR="00126A40" w:rsidRDefault="00126A40" w:rsidP="001B097F">
      <w:pPr>
        <w:pStyle w:val="Caption"/>
      </w:pPr>
    </w:p>
    <w:p w:rsidR="00126A40" w:rsidRDefault="00126A40" w:rsidP="001B097F">
      <w:pPr>
        <w:pStyle w:val="Caption"/>
      </w:pPr>
    </w:p>
    <w:p w:rsidR="00126A40" w:rsidRDefault="00126A40" w:rsidP="001B097F">
      <w:pPr>
        <w:pStyle w:val="Caption"/>
      </w:pPr>
    </w:p>
    <w:p w:rsidR="00070DB4" w:rsidRDefault="001B097F" w:rsidP="001B097F">
      <w:pPr>
        <w:pStyle w:val="Caption"/>
      </w:pPr>
      <w:bookmarkStart w:id="110" w:name="_Ref369783148"/>
      <w:r>
        <w:t xml:space="preserve">Figure </w:t>
      </w:r>
      <w:fldSimple w:instr=" SEQ Figure \* ARABIC ">
        <w:r w:rsidR="00436595">
          <w:rPr>
            <w:noProof/>
          </w:rPr>
          <w:t>7</w:t>
        </w:r>
      </w:fldSimple>
      <w:bookmarkEnd w:id="110"/>
      <w:r w:rsidR="00753458">
        <w:t xml:space="preserve"> </w:t>
      </w:r>
      <w:r w:rsidR="00753458">
        <w:rPr>
          <w:b w:val="0"/>
        </w:rPr>
        <w:t>C</w:t>
      </w:r>
      <w:r w:rsidR="00753458" w:rsidRPr="00753458">
        <w:rPr>
          <w:b w:val="0"/>
        </w:rPr>
        <w:t xml:space="preserve">hange in key water quality parameters </w:t>
      </w:r>
      <w:r w:rsidR="005B2A21">
        <w:rPr>
          <w:b w:val="0"/>
        </w:rPr>
        <w:t>from 10 September to 19 December 2012 in the Murrumbidgee R</w:t>
      </w:r>
      <w:r w:rsidR="00753458" w:rsidRPr="00753458">
        <w:rPr>
          <w:b w:val="0"/>
        </w:rPr>
        <w:t>iver</w:t>
      </w:r>
      <w:r w:rsidR="005B2A21">
        <w:rPr>
          <w:b w:val="0"/>
        </w:rPr>
        <w:t xml:space="preserve"> and Old Man Creek.</w:t>
      </w:r>
    </w:p>
    <w:p w:rsidR="00126A40" w:rsidRDefault="00126A40">
      <w:pPr>
        <w:spacing w:after="0" w:line="240" w:lineRule="auto"/>
        <w:jc w:val="left"/>
      </w:pPr>
      <w:r>
        <w:br w:type="page"/>
      </w:r>
    </w:p>
    <w:p w:rsidR="00C625C4" w:rsidRDefault="00E235F2" w:rsidP="00C44F46">
      <w:pPr>
        <w:pStyle w:val="Heading3"/>
      </w:pPr>
      <w:bookmarkStart w:id="111" w:name="_Toc370299184"/>
      <w:bookmarkStart w:id="112" w:name="_Toc370738729"/>
      <w:bookmarkStart w:id="113" w:name="_Toc378168519"/>
      <w:r>
        <w:t>Wetlands</w:t>
      </w:r>
      <w:bookmarkEnd w:id="111"/>
      <w:bookmarkEnd w:id="112"/>
      <w:bookmarkEnd w:id="113"/>
    </w:p>
    <w:p w:rsidR="00753458" w:rsidRDefault="009D5586" w:rsidP="00852C60">
      <w:pPr>
        <w:pStyle w:val="BodyText1"/>
      </w:pPr>
      <w:r>
        <w:t xml:space="preserve">Temperature did not differ </w:t>
      </w:r>
      <w:r w:rsidR="0057037E">
        <w:t>significantly between regions (</w:t>
      </w:r>
      <w:r>
        <w:t>G</w:t>
      </w:r>
      <w:r w:rsidR="0057037E">
        <w:t xml:space="preserve">eneralised linear models: </w:t>
      </w:r>
      <w:proofErr w:type="gramStart"/>
      <w:r>
        <w:t>wald</w:t>
      </w:r>
      <w:proofErr w:type="gramEnd"/>
      <w:r>
        <w:t xml:space="preserve"> 18.04, p&lt;0.001) and between survey occasions (</w:t>
      </w:r>
      <w:r w:rsidR="0057037E">
        <w:t xml:space="preserve">wald </w:t>
      </w:r>
      <w:r>
        <w:t>917.92</w:t>
      </w:r>
      <w:r w:rsidR="0057037E">
        <w:t>, p&lt;0.001</w:t>
      </w:r>
      <w:r>
        <w:t>)</w:t>
      </w:r>
      <w:r w:rsidR="000B7EEE">
        <w:t>.</w:t>
      </w:r>
      <w:r>
        <w:t xml:space="preserve"> </w:t>
      </w:r>
      <w:r w:rsidR="000B7EEE">
        <w:t>T</w:t>
      </w:r>
      <w:r>
        <w:t xml:space="preserve">here was also a significant interaction between region and time </w:t>
      </w:r>
      <w:r w:rsidR="0057037E">
        <w:t>(</w:t>
      </w:r>
      <w:proofErr w:type="gramStart"/>
      <w:r w:rsidR="0057037E">
        <w:t>wald</w:t>
      </w:r>
      <w:proofErr w:type="gramEnd"/>
      <w:r w:rsidR="0057037E">
        <w:t xml:space="preserve"> 62.37</w:t>
      </w:r>
      <w:r w:rsidR="009A6FB5">
        <w:t>, p&lt;</w:t>
      </w:r>
      <w:r>
        <w:t>0.001) indicating the temperature changed at different rates in different regions. As expected</w:t>
      </w:r>
      <w:r w:rsidR="005B2A21">
        <w:t>,</w:t>
      </w:r>
      <w:r>
        <w:t xml:space="preserve"> water temperature</w:t>
      </w:r>
      <w:r w:rsidR="005B2A21">
        <w:t>s</w:t>
      </w:r>
      <w:r>
        <w:t xml:space="preserve"> were hig</w:t>
      </w:r>
      <w:r w:rsidR="005B2A21">
        <w:t>h through summer in all regions. H</w:t>
      </w:r>
      <w:r>
        <w:t>owever</w:t>
      </w:r>
      <w:r w:rsidR="005B2A21">
        <w:t>,</w:t>
      </w:r>
      <w:r>
        <w:t xml:space="preserve"> </w:t>
      </w:r>
      <w:r w:rsidR="005B2A21">
        <w:t xml:space="preserve">due to their depth, </w:t>
      </w:r>
      <w:r>
        <w:t>the Western lakes were</w:t>
      </w:r>
      <w:r w:rsidR="005B2A21">
        <w:t xml:space="preserve"> on </w:t>
      </w:r>
      <w:r>
        <w:t>average cooler following Commonwealth environmental</w:t>
      </w:r>
      <w:r w:rsidR="005B2A21">
        <w:t xml:space="preserve"> watering actions</w:t>
      </w:r>
      <w:r>
        <w:t xml:space="preserve"> than wetlands in the mid and Lowbidgee</w:t>
      </w:r>
      <w:r w:rsidR="000B7EEE">
        <w:t>.</w:t>
      </w:r>
      <w:r>
        <w:t xml:space="preserve"> </w:t>
      </w:r>
      <w:r w:rsidR="000B7EEE">
        <w:t>By</w:t>
      </w:r>
      <w:r>
        <w:t xml:space="preserve"> February</w:t>
      </w:r>
      <w:r w:rsidR="005B2A21">
        <w:t>,</w:t>
      </w:r>
      <w:r>
        <w:t xml:space="preserve"> </w:t>
      </w:r>
      <w:r w:rsidR="000B7EEE">
        <w:t xml:space="preserve">when </w:t>
      </w:r>
      <w:r>
        <w:t xml:space="preserve">all wetlands were </w:t>
      </w:r>
      <w:r w:rsidR="000B7EEE">
        <w:t>almost</w:t>
      </w:r>
      <w:r>
        <w:t xml:space="preserve"> dry</w:t>
      </w:r>
      <w:r w:rsidR="000B7EEE">
        <w:t>,</w:t>
      </w:r>
      <w:r>
        <w:t xml:space="preserve"> water temperatures were similar between regions. </w:t>
      </w:r>
    </w:p>
    <w:p w:rsidR="009D5586" w:rsidRDefault="009D5586" w:rsidP="00753458">
      <w:pPr>
        <w:pStyle w:val="BodyText1"/>
      </w:pPr>
      <w:r>
        <w:t>Dissolved oxygen concentrations remained above the critical threshold of 4</w:t>
      </w:r>
      <w:r w:rsidR="009A6FB5">
        <w:t> </w:t>
      </w:r>
      <w:r>
        <w:t>mg/L through</w:t>
      </w:r>
      <w:r w:rsidR="009A6FB5">
        <w:t>out</w:t>
      </w:r>
      <w:r>
        <w:t xml:space="preserve"> the monitoring period at wetlands in the Western lakes that received Commonwealth environmental water in 2012-13.  As expected</w:t>
      </w:r>
      <w:r w:rsidR="009A6FB5">
        <w:t>,</w:t>
      </w:r>
      <w:r>
        <w:t xml:space="preserve"> dissolved oxygen concentrations differed significantly </w:t>
      </w:r>
      <w:r w:rsidR="009A6FB5">
        <w:t>between regions (</w:t>
      </w:r>
      <w:proofErr w:type="gramStart"/>
      <w:r w:rsidR="009A6FB5">
        <w:t>wald</w:t>
      </w:r>
      <w:proofErr w:type="gramEnd"/>
      <w:r w:rsidR="009A6FB5">
        <w:t xml:space="preserve"> 10.07, p&lt;0.001) and over time (wald 135.15, p&lt;</w:t>
      </w:r>
      <w:r>
        <w:t xml:space="preserve">0.001). A peak in dissolved oxygen concentrations in summer </w:t>
      </w:r>
      <w:r w:rsidR="009A6FB5">
        <w:t xml:space="preserve">was </w:t>
      </w:r>
      <w:r>
        <w:t xml:space="preserve">probably </w:t>
      </w:r>
      <w:r w:rsidR="009A6FB5">
        <w:t xml:space="preserve">caused by </w:t>
      </w:r>
      <w:r>
        <w:t>increases in wetland primary productivity. Conductivity levels changed predictably over</w:t>
      </w:r>
      <w:r w:rsidR="000B7EEE">
        <w:t xml:space="preserve"> </w:t>
      </w:r>
      <w:r>
        <w:t>time</w:t>
      </w:r>
      <w:r w:rsidR="000B7EEE">
        <w:t>,</w:t>
      </w:r>
      <w:r>
        <w:t xml:space="preserve"> increasing as wetlands dried between December and April in all regions. There were significant differences in conductivit</w:t>
      </w:r>
      <w:r w:rsidR="000B7EEE">
        <w:t>y levels</w:t>
      </w:r>
      <w:r>
        <w:t xml:space="preserve"> between regions</w:t>
      </w:r>
      <w:r w:rsidR="009A6FB5">
        <w:t>. I</w:t>
      </w:r>
      <w:r>
        <w:t xml:space="preserve">n the Western Lakes, the very high conductivity </w:t>
      </w:r>
      <w:r w:rsidR="009A6FB5">
        <w:t>levels were driven by one site r</w:t>
      </w:r>
      <w:r>
        <w:t>eed</w:t>
      </w:r>
      <w:r w:rsidR="006B2B41">
        <w:t xml:space="preserve"> b</w:t>
      </w:r>
      <w:r>
        <w:t xml:space="preserve">ed </w:t>
      </w:r>
      <w:r w:rsidR="009A6FB5">
        <w:t xml:space="preserve">that </w:t>
      </w:r>
      <w:r>
        <w:t xml:space="preserve">was included as part of the broader scale monitoring program but did not receive </w:t>
      </w:r>
      <w:r w:rsidR="008739FC">
        <w:t>Commonwealth</w:t>
      </w:r>
      <w:r>
        <w:t xml:space="preserve"> environmental water 2012-13. </w:t>
      </w:r>
    </w:p>
    <w:p w:rsidR="0045056E" w:rsidRDefault="0045056E">
      <w:pPr>
        <w:spacing w:after="0" w:line="240" w:lineRule="auto"/>
        <w:jc w:val="left"/>
      </w:pPr>
      <w:r>
        <w:br w:type="page"/>
      </w:r>
    </w:p>
    <w:p w:rsidR="00542465" w:rsidRPr="00542465" w:rsidRDefault="00542465" w:rsidP="00542465">
      <w:bookmarkStart w:id="114" w:name="_Toc370738730"/>
    </w:p>
    <w:p w:rsidR="00542465" w:rsidRDefault="00542465" w:rsidP="00852C60">
      <w:pPr>
        <w:pStyle w:val="Caption1"/>
        <w:rPr>
          <w:b/>
        </w:rPr>
      </w:pPr>
      <w:r w:rsidRPr="00542465">
        <w:rPr>
          <w:b/>
          <w:noProof/>
          <w:lang w:eastAsia="en-AU"/>
        </w:rPr>
        <w:drawing>
          <wp:inline distT="0" distB="0" distL="0" distR="0">
            <wp:extent cx="4471988" cy="1907381"/>
            <wp:effectExtent l="19050" t="0" r="4762" b="0"/>
            <wp:docPr id="3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print"/>
                    <a:srcRect/>
                    <a:stretch>
                      <a:fillRect/>
                    </a:stretch>
                  </pic:blipFill>
                  <pic:spPr bwMode="auto">
                    <a:xfrm>
                      <a:off x="0" y="0"/>
                      <a:ext cx="4471988" cy="1907381"/>
                    </a:xfrm>
                    <a:prstGeom prst="rect">
                      <a:avLst/>
                    </a:prstGeom>
                    <a:noFill/>
                    <a:ln w="9525">
                      <a:noFill/>
                      <a:miter lim="800000"/>
                      <a:headEnd/>
                      <a:tailEnd/>
                    </a:ln>
                  </pic:spPr>
                </pic:pic>
              </a:graphicData>
            </a:graphic>
          </wp:inline>
        </w:drawing>
      </w:r>
    </w:p>
    <w:p w:rsidR="00542465" w:rsidRDefault="00542465" w:rsidP="00852C60">
      <w:pPr>
        <w:pStyle w:val="Caption1"/>
        <w:rPr>
          <w:b/>
        </w:rPr>
      </w:pPr>
      <w:r w:rsidRPr="00542465">
        <w:rPr>
          <w:b/>
          <w:noProof/>
          <w:lang w:eastAsia="en-AU"/>
        </w:rPr>
        <w:drawing>
          <wp:inline distT="0" distB="0" distL="0" distR="0">
            <wp:extent cx="4471988" cy="1907381"/>
            <wp:effectExtent l="19050" t="0" r="4762" b="0"/>
            <wp:docPr id="5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3" cstate="print"/>
                    <a:srcRect/>
                    <a:stretch>
                      <a:fillRect/>
                    </a:stretch>
                  </pic:blipFill>
                  <pic:spPr bwMode="auto">
                    <a:xfrm>
                      <a:off x="0" y="0"/>
                      <a:ext cx="4471988" cy="1907381"/>
                    </a:xfrm>
                    <a:prstGeom prst="rect">
                      <a:avLst/>
                    </a:prstGeom>
                    <a:noFill/>
                    <a:ln w="9525">
                      <a:noFill/>
                      <a:miter lim="800000"/>
                      <a:headEnd/>
                      <a:tailEnd/>
                    </a:ln>
                  </pic:spPr>
                </pic:pic>
              </a:graphicData>
            </a:graphic>
          </wp:inline>
        </w:drawing>
      </w:r>
    </w:p>
    <w:p w:rsidR="00542465" w:rsidRDefault="00542465" w:rsidP="00852C60">
      <w:pPr>
        <w:pStyle w:val="Caption1"/>
        <w:rPr>
          <w:b/>
        </w:rPr>
      </w:pPr>
      <w:r w:rsidRPr="00542465">
        <w:rPr>
          <w:b/>
          <w:noProof/>
          <w:lang w:eastAsia="en-AU"/>
        </w:rPr>
        <w:drawing>
          <wp:inline distT="0" distB="0" distL="0" distR="0">
            <wp:extent cx="4471988" cy="1907381"/>
            <wp:effectExtent l="19050" t="0" r="4762" b="0"/>
            <wp:docPr id="7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cstate="print"/>
                    <a:srcRect/>
                    <a:stretch>
                      <a:fillRect/>
                    </a:stretch>
                  </pic:blipFill>
                  <pic:spPr bwMode="auto">
                    <a:xfrm>
                      <a:off x="0" y="0"/>
                      <a:ext cx="4471988" cy="1907381"/>
                    </a:xfrm>
                    <a:prstGeom prst="rect">
                      <a:avLst/>
                    </a:prstGeom>
                    <a:noFill/>
                    <a:ln w="9525">
                      <a:noFill/>
                      <a:miter lim="800000"/>
                      <a:headEnd/>
                      <a:tailEnd/>
                    </a:ln>
                  </pic:spPr>
                </pic:pic>
              </a:graphicData>
            </a:graphic>
          </wp:inline>
        </w:drawing>
      </w:r>
    </w:p>
    <w:p w:rsidR="00542465" w:rsidRDefault="00542465" w:rsidP="00852C60">
      <w:pPr>
        <w:pStyle w:val="Caption1"/>
        <w:rPr>
          <w:b/>
        </w:rPr>
      </w:pPr>
      <w:r w:rsidRPr="00542465">
        <w:rPr>
          <w:b/>
          <w:noProof/>
          <w:lang w:eastAsia="en-AU"/>
        </w:rPr>
        <w:drawing>
          <wp:inline distT="0" distB="0" distL="0" distR="0">
            <wp:extent cx="4471988" cy="1907381"/>
            <wp:effectExtent l="19050" t="0" r="4762" b="0"/>
            <wp:docPr id="9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cstate="print"/>
                    <a:srcRect/>
                    <a:stretch>
                      <a:fillRect/>
                    </a:stretch>
                  </pic:blipFill>
                  <pic:spPr bwMode="auto">
                    <a:xfrm>
                      <a:off x="0" y="0"/>
                      <a:ext cx="4471988" cy="1907381"/>
                    </a:xfrm>
                    <a:prstGeom prst="rect">
                      <a:avLst/>
                    </a:prstGeom>
                    <a:noFill/>
                    <a:ln w="9525">
                      <a:noFill/>
                      <a:miter lim="800000"/>
                      <a:headEnd/>
                      <a:tailEnd/>
                    </a:ln>
                  </pic:spPr>
                </pic:pic>
              </a:graphicData>
            </a:graphic>
          </wp:inline>
        </w:drawing>
      </w:r>
    </w:p>
    <w:p w:rsidR="00852C60" w:rsidRDefault="00852C60" w:rsidP="00852C60">
      <w:pPr>
        <w:pStyle w:val="Caption1"/>
      </w:pPr>
      <w:r w:rsidRPr="00852C60">
        <w:rPr>
          <w:b/>
        </w:rPr>
        <w:t xml:space="preserve">Figure </w:t>
      </w:r>
      <w:r w:rsidR="00D20FAE" w:rsidRPr="00852C60">
        <w:rPr>
          <w:b/>
        </w:rPr>
        <w:fldChar w:fldCharType="begin"/>
      </w:r>
      <w:r w:rsidRPr="00852C60">
        <w:rPr>
          <w:b/>
        </w:rPr>
        <w:instrText xml:space="preserve"> SEQ Figure \* ARABIC </w:instrText>
      </w:r>
      <w:r w:rsidR="00D20FAE" w:rsidRPr="00852C60">
        <w:rPr>
          <w:b/>
        </w:rPr>
        <w:fldChar w:fldCharType="separate"/>
      </w:r>
      <w:r w:rsidR="00436595">
        <w:rPr>
          <w:b/>
          <w:noProof/>
        </w:rPr>
        <w:t>8</w:t>
      </w:r>
      <w:r w:rsidR="00D20FAE" w:rsidRPr="00852C60">
        <w:rPr>
          <w:b/>
        </w:rPr>
        <w:fldChar w:fldCharType="end"/>
      </w:r>
      <w:r>
        <w:t xml:space="preserve">  </w:t>
      </w:r>
      <w:r w:rsidRPr="00852C60">
        <w:rPr>
          <w:rFonts w:eastAsia="Calibri"/>
        </w:rPr>
        <w:t>Mean (±SE) of water quality parameters in wetlands of the mid-Murrumbidgee, Lowbidgee and Western Lakes between August 2012 and April 2013.</w:t>
      </w:r>
      <w:bookmarkEnd w:id="114"/>
      <w:r>
        <w:t xml:space="preserve"> </w:t>
      </w:r>
    </w:p>
    <w:p w:rsidR="00852C60" w:rsidRDefault="00852C60">
      <w:pPr>
        <w:spacing w:after="0" w:line="240" w:lineRule="auto"/>
        <w:jc w:val="left"/>
      </w:pPr>
      <w:r>
        <w:br w:type="page"/>
      </w:r>
    </w:p>
    <w:p w:rsidR="0041159B" w:rsidRDefault="0041159B">
      <w:pPr>
        <w:spacing w:after="0" w:line="240" w:lineRule="auto"/>
        <w:jc w:val="left"/>
      </w:pPr>
    </w:p>
    <w:p w:rsidR="00A16A23" w:rsidRPr="00A16A23" w:rsidRDefault="00A16A23" w:rsidP="00A16A23"/>
    <w:tbl>
      <w:tblPr>
        <w:tblStyle w:val="TableGrid"/>
        <w:tblW w:w="0" w:type="auto"/>
        <w:tblLook w:val="04A0"/>
      </w:tblPr>
      <w:tblGrid>
        <w:gridCol w:w="9242"/>
      </w:tblGrid>
      <w:tr w:rsidR="00DB1B77" w:rsidTr="009D099C">
        <w:trPr>
          <w:cnfStyle w:val="100000000000"/>
        </w:trPr>
        <w:tc>
          <w:tcPr>
            <w:tcW w:w="9242" w:type="dxa"/>
          </w:tcPr>
          <w:p w:rsidR="00DB1B77" w:rsidRPr="00DC1B70" w:rsidRDefault="00DB1B77" w:rsidP="000C2710">
            <w:pPr>
              <w:pStyle w:val="Title"/>
            </w:pPr>
            <w:bookmarkStart w:id="115" w:name="_Toc370738731"/>
            <w:r w:rsidRPr="00DC1B70">
              <w:t>Nutrients and carbon</w:t>
            </w:r>
            <w:bookmarkEnd w:id="115"/>
          </w:p>
          <w:p w:rsidR="00DB1B77" w:rsidRPr="000C2710" w:rsidRDefault="0087202F" w:rsidP="000C2710">
            <w:pPr>
              <w:jc w:val="center"/>
              <w:rPr>
                <w:b/>
                <w:color w:val="FFFFFF"/>
              </w:rPr>
            </w:pPr>
            <w:r>
              <w:rPr>
                <w:b/>
                <w:noProof/>
                <w:color w:val="FFFFFF"/>
                <w:lang w:eastAsia="en-AU"/>
              </w:rPr>
              <w:drawing>
                <wp:inline distT="0" distB="0" distL="0" distR="0">
                  <wp:extent cx="2875280" cy="2162810"/>
                  <wp:effectExtent l="19050" t="0" r="1270" b="0"/>
                  <wp:docPr id="26" name="Picture 26" descr="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86"/>
                          <pic:cNvPicPr>
                            <a:picLocks noChangeAspect="1" noChangeArrowheads="1"/>
                          </pic:cNvPicPr>
                        </pic:nvPicPr>
                        <pic:blipFill>
                          <a:blip r:embed="rId66" cstate="print"/>
                          <a:srcRect/>
                          <a:stretch>
                            <a:fillRect/>
                          </a:stretch>
                        </pic:blipFill>
                        <pic:spPr bwMode="auto">
                          <a:xfrm>
                            <a:off x="0" y="0"/>
                            <a:ext cx="2875280" cy="2162810"/>
                          </a:xfrm>
                          <a:prstGeom prst="rect">
                            <a:avLst/>
                          </a:prstGeom>
                          <a:noFill/>
                          <a:ln w="9525">
                            <a:noFill/>
                            <a:miter lim="800000"/>
                            <a:headEnd/>
                            <a:tailEnd/>
                          </a:ln>
                        </pic:spPr>
                      </pic:pic>
                    </a:graphicData>
                  </a:graphic>
                </wp:inline>
              </w:drawing>
            </w:r>
          </w:p>
          <w:p w:rsidR="000748A3" w:rsidRPr="009D099C" w:rsidRDefault="000748A3" w:rsidP="000C2710">
            <w:pPr>
              <w:jc w:val="center"/>
              <w:rPr>
                <w:b/>
              </w:rPr>
            </w:pPr>
          </w:p>
          <w:p w:rsidR="00DB1B77" w:rsidRPr="00F9265D" w:rsidRDefault="00505588" w:rsidP="00F9265D">
            <w:pPr>
              <w:pStyle w:val="NoSpacing"/>
            </w:pPr>
            <w:r w:rsidRPr="00505588">
              <w:t xml:space="preserve">The change in concentrations of nutrients (nitrogen and phosphorus) and carbon during the Commonwealth environmental watering action was monitored fortnightly in the mid-Murrumbidgee River (October to December) and every two months in wetlands from August 2012 to February 2013 in the mid-Murrumbidgee wetlands, Lowbidgee wetlands and Western Lakes.  </w:t>
            </w:r>
          </w:p>
          <w:p w:rsidR="00DB1B77" w:rsidRDefault="00505588" w:rsidP="00F9265D">
            <w:pPr>
              <w:pStyle w:val="NoSpacing"/>
            </w:pPr>
            <w:r w:rsidRPr="00505588">
              <w:t>The key objective of the Commonwealth environmental water release related to nutrients and carbon was to</w:t>
            </w:r>
            <w:r w:rsidR="009A6FB5">
              <w:t xml:space="preserve"> </w:t>
            </w:r>
            <w:r w:rsidRPr="00505588">
              <w:rPr>
                <w:b/>
                <w:i/>
              </w:rPr>
              <w:t>“</w:t>
            </w:r>
            <w:r w:rsidR="00DB1B77" w:rsidRPr="003777B9">
              <w:rPr>
                <w:b/>
                <w:i/>
              </w:rPr>
              <w:t>Support ecosystem functions that relate to mobilisation, transport and dispersal of biotic and abiotic material (e.g. sediment</w:t>
            </w:r>
            <w:r w:rsidR="008A5858">
              <w:rPr>
                <w:b/>
                <w:i/>
              </w:rPr>
              <w:t>, nutrients and organic matter)</w:t>
            </w:r>
            <w:r w:rsidR="009A6FB5">
              <w:rPr>
                <w:b/>
                <w:i/>
              </w:rPr>
              <w:t>”</w:t>
            </w:r>
            <w:r w:rsidR="008A5858">
              <w:rPr>
                <w:b/>
                <w:i/>
              </w:rPr>
              <w:t xml:space="preserve"> </w:t>
            </w:r>
            <w:r w:rsidR="008A5858" w:rsidRPr="009A6FB5">
              <w:t>and</w:t>
            </w:r>
            <w:r w:rsidR="008A5858">
              <w:rPr>
                <w:b/>
                <w:i/>
              </w:rPr>
              <w:t xml:space="preserve"> “support habit</w:t>
            </w:r>
            <w:r w:rsidR="009A6FB5">
              <w:rPr>
                <w:b/>
                <w:i/>
              </w:rPr>
              <w:t>at requirements for native fish</w:t>
            </w:r>
            <w:r w:rsidR="00DB1B77" w:rsidRPr="003777B9">
              <w:rPr>
                <w:b/>
                <w:i/>
              </w:rPr>
              <w:t>”</w:t>
            </w:r>
            <w:r w:rsidR="009A6FB5">
              <w:rPr>
                <w:rFonts w:eastAsia="Calibri"/>
                <w:szCs w:val="20"/>
              </w:rPr>
              <w:t>. T</w:t>
            </w:r>
            <w:r w:rsidR="00BE0607" w:rsidRPr="00A3614F">
              <w:rPr>
                <w:rFonts w:eastAsia="Calibri"/>
                <w:szCs w:val="20"/>
              </w:rPr>
              <w:t xml:space="preserve">his section provides a general overview of </w:t>
            </w:r>
            <w:r w:rsidR="008A5858">
              <w:rPr>
                <w:rFonts w:eastAsia="Calibri"/>
                <w:szCs w:val="20"/>
              </w:rPr>
              <w:t>nutrients and carbon</w:t>
            </w:r>
            <w:r w:rsidR="00BE0607" w:rsidRPr="00A3614F">
              <w:rPr>
                <w:rFonts w:eastAsia="Calibri"/>
                <w:szCs w:val="20"/>
              </w:rPr>
              <w:t xml:space="preserve"> </w:t>
            </w:r>
            <w:r w:rsidR="00BE0607">
              <w:rPr>
                <w:rFonts w:eastAsia="Calibri"/>
                <w:szCs w:val="20"/>
              </w:rPr>
              <w:t>in the Murrumbidgee River</w:t>
            </w:r>
            <w:r w:rsidR="009A6FB5">
              <w:rPr>
                <w:rFonts w:eastAsia="Calibri"/>
                <w:szCs w:val="20"/>
              </w:rPr>
              <w:t xml:space="preserve"> and connected wetlands. A</w:t>
            </w:r>
            <w:r w:rsidR="008A5858">
              <w:rPr>
                <w:rFonts w:eastAsia="Calibri"/>
                <w:szCs w:val="20"/>
              </w:rPr>
              <w:t xml:space="preserve">s nutrients and carbon availability is a </w:t>
            </w:r>
            <w:r w:rsidR="00BE0607">
              <w:rPr>
                <w:rFonts w:eastAsia="Calibri"/>
                <w:szCs w:val="20"/>
              </w:rPr>
              <w:t>critical covariate contributing to the outcomes for larval fish, these data are analysed with respect to flow, water quality and other related parameters in section 9 of this report.</w:t>
            </w:r>
          </w:p>
          <w:p w:rsidR="00F9265D" w:rsidRPr="00F9265D" w:rsidRDefault="00505588" w:rsidP="00F9265D">
            <w:pPr>
              <w:pStyle w:val="NoSpacing"/>
              <w:rPr>
                <w:b/>
              </w:rPr>
            </w:pPr>
            <w:r w:rsidRPr="00505588">
              <w:rPr>
                <w:b/>
              </w:rPr>
              <w:t>Key findings</w:t>
            </w:r>
          </w:p>
          <w:p w:rsidR="00E1766B" w:rsidRDefault="00505588">
            <w:pPr>
              <w:pStyle w:val="NoSpacing"/>
              <w:numPr>
                <w:ilvl w:val="0"/>
                <w:numId w:val="23"/>
              </w:numPr>
            </w:pPr>
            <w:r w:rsidRPr="00505588">
              <w:t>Using discharge rate at Narrandera as an indicator of the Commonwealth environmental watering action from October−December 2012</w:t>
            </w:r>
            <w:r w:rsidR="000B7EEE">
              <w:t>,</w:t>
            </w:r>
            <w:r w:rsidRPr="00505588">
              <w:t xml:space="preserve"> </w:t>
            </w:r>
            <w:r w:rsidR="000B7EEE">
              <w:t>t</w:t>
            </w:r>
            <w:r w:rsidRPr="00505588">
              <w:t xml:space="preserve">here was evidence the Commonwealth environmental water release increased nutrient and carbon transport in the mid-Murrumbidgee River. </w:t>
            </w:r>
          </w:p>
          <w:p w:rsidR="00E1766B" w:rsidRDefault="00505588">
            <w:pPr>
              <w:pStyle w:val="NoSpacing"/>
              <w:numPr>
                <w:ilvl w:val="0"/>
                <w:numId w:val="23"/>
              </w:numPr>
            </w:pPr>
            <w:r w:rsidRPr="00505588">
              <w:t xml:space="preserve">There was also an indication of enhanced biological activities and interaction at the wetland sites, </w:t>
            </w:r>
            <w:r w:rsidR="009A6FB5">
              <w:t xml:space="preserve">evidenced by </w:t>
            </w:r>
            <w:r w:rsidRPr="00505588">
              <w:t xml:space="preserve">greater concentrations of total nutrients and carbon. </w:t>
            </w:r>
          </w:p>
          <w:p w:rsidR="00E1766B" w:rsidRDefault="00505588">
            <w:pPr>
              <w:pStyle w:val="NoSpacing"/>
              <w:numPr>
                <w:ilvl w:val="0"/>
                <w:numId w:val="23"/>
              </w:numPr>
            </w:pPr>
            <w:r w:rsidRPr="00505588">
              <w:t>The results present</w:t>
            </w:r>
            <w:r w:rsidR="000B7EEE">
              <w:t>ed</w:t>
            </w:r>
            <w:r w:rsidRPr="00505588">
              <w:t xml:space="preserve"> show that the </w:t>
            </w:r>
            <w:r w:rsidR="008739FC">
              <w:t>Commonwealth</w:t>
            </w:r>
            <w:r w:rsidRPr="00505588">
              <w:t xml:space="preserve"> environmental </w:t>
            </w:r>
            <w:r w:rsidR="009A6FB5">
              <w:t xml:space="preserve">watering action </w:t>
            </w:r>
            <w:r w:rsidRPr="00505588">
              <w:t>was successful in achieving its objectives related to mobilisation, transport and dispersal of nutrients and organic matter within the Murrumbidgee River.</w:t>
            </w:r>
          </w:p>
          <w:p w:rsidR="00407848" w:rsidRPr="000C2710" w:rsidRDefault="00407848" w:rsidP="003B53BF">
            <w:pPr>
              <w:rPr>
                <w:b/>
                <w:color w:val="FFFFFF"/>
              </w:rPr>
            </w:pPr>
          </w:p>
        </w:tc>
      </w:tr>
    </w:tbl>
    <w:p w:rsidR="00A37CAB" w:rsidRDefault="00A37CAB" w:rsidP="00DB1B77"/>
    <w:p w:rsidR="003D2B57" w:rsidRDefault="00A37CAB" w:rsidP="009D5586">
      <w:pPr>
        <w:spacing w:after="0" w:line="240" w:lineRule="auto"/>
        <w:jc w:val="left"/>
        <w:rPr>
          <w:rFonts w:ascii="Times New Roman" w:hAnsi="Times New Roman"/>
          <w:sz w:val="24"/>
          <w:szCs w:val="24"/>
          <w:lang w:eastAsia="en-AU"/>
        </w:rPr>
      </w:pPr>
      <w:r>
        <w:br w:type="page"/>
      </w:r>
    </w:p>
    <w:p w:rsidR="00DB1B77" w:rsidRDefault="00DB1B77" w:rsidP="00A37CAB">
      <w:pPr>
        <w:pStyle w:val="Heading1"/>
      </w:pPr>
      <w:bookmarkStart w:id="116" w:name="_Toc370299185"/>
      <w:bookmarkStart w:id="117" w:name="_Toc370738732"/>
      <w:bookmarkStart w:id="118" w:name="_Toc378168520"/>
      <w:r>
        <w:t>Nutrients and carbon</w:t>
      </w:r>
      <w:bookmarkEnd w:id="116"/>
      <w:bookmarkEnd w:id="117"/>
      <w:bookmarkEnd w:id="118"/>
    </w:p>
    <w:p w:rsidR="00DB1B77" w:rsidRPr="003558F8" w:rsidRDefault="00DB1B77" w:rsidP="00C44F46">
      <w:pPr>
        <w:pStyle w:val="Heading2"/>
      </w:pPr>
      <w:bookmarkStart w:id="119" w:name="_Toc370299186"/>
      <w:bookmarkStart w:id="120" w:name="_Toc370738733"/>
      <w:bookmarkStart w:id="121" w:name="_Toc378168521"/>
      <w:r w:rsidRPr="003558F8">
        <w:t>Introduction</w:t>
      </w:r>
      <w:bookmarkEnd w:id="119"/>
      <w:bookmarkEnd w:id="120"/>
      <w:bookmarkEnd w:id="121"/>
    </w:p>
    <w:p w:rsidR="00B70CD0" w:rsidRDefault="00DB1B77" w:rsidP="00B70CD0">
      <w:pPr>
        <w:pStyle w:val="BodyText1"/>
        <w:rPr>
          <w:rFonts w:ascii="Times New Roman" w:hAnsi="Times New Roman"/>
          <w:sz w:val="24"/>
          <w:szCs w:val="24"/>
          <w:lang w:eastAsia="en-AU"/>
        </w:rPr>
      </w:pPr>
      <w:r w:rsidRPr="003558F8">
        <w:t>Nutrients and carbon (and their chemical forms) are a key factor driving primary productivity</w:t>
      </w:r>
      <w:r w:rsidR="00213D8D">
        <w:t xml:space="preserve">, </w:t>
      </w:r>
      <w:r>
        <w:t xml:space="preserve">for example the growth of photosynthetic algae and plants </w:t>
      </w:r>
      <w:r w:rsidR="00D20FAE">
        <w:fldChar w:fldCharType="begin">
          <w:fldData xml:space="preserve">PEVuZE5vdGU+PENpdGU+PEF1dGhvcj5Lb2JheWFzaGk8L0F1dGhvcj48WWVhcj4yMDA5PC9ZZWFy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</w:fldData>
        </w:fldChar>
      </w:r>
      <w:r w:rsidR="006171E9">
        <w:instrText xml:space="preserve"> ADDIN EN.CITE </w:instrText>
      </w:r>
      <w:r w:rsidR="00D20FAE">
        <w:fldChar w:fldCharType="begin">
          <w:fldData xml:space="preserve">PEVuZE5vdGU+PENpdGU+PEF1dGhvcj5Lb2JheWFzaGk8L0F1dGhvcj48WWVhcj4yMDA5PC9ZZWFy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</w:fldData>
        </w:fldChar>
      </w:r>
      <w:r w:rsidR="006171E9">
        <w:instrText xml:space="preserve"> ADDIN EN.CITE.DATA </w:instrText>
      </w:r>
      <w:r w:rsidR="00D20FAE">
        <w:fldChar w:fldCharType="end"/>
      </w:r>
      <w:r w:rsidR="00D20FAE">
        <w:fldChar w:fldCharType="separate"/>
      </w:r>
      <w:r w:rsidR="006171E9">
        <w:rPr>
          <w:noProof/>
        </w:rPr>
        <w:t>(</w:t>
      </w:r>
      <w:hyperlink w:anchor="_ENREF_65" w:tooltip="Kobayashi, 2009 #3223" w:history="1">
        <w:r w:rsidR="006810E6">
          <w:rPr>
            <w:noProof/>
          </w:rPr>
          <w:t>Kobayashi, Ryder</w:t>
        </w:r>
        <w:r w:rsidR="006810E6" w:rsidRPr="006171E9">
          <w:rPr>
            <w:i/>
            <w:noProof/>
          </w:rPr>
          <w:t xml:space="preserve"> et al.</w:t>
        </w:r>
        <w:r w:rsidR="006810E6">
          <w:rPr>
            <w:noProof/>
          </w:rPr>
          <w:t xml:space="preserve"> 2009</w:t>
        </w:r>
      </w:hyperlink>
      <w:r w:rsidR="006171E9">
        <w:rPr>
          <w:noProof/>
        </w:rPr>
        <w:t xml:space="preserve">, </w:t>
      </w:r>
      <w:hyperlink w:anchor="_ENREF_64" w:tooltip="Kobayashi, 2013 #3416" w:history="1">
        <w:r w:rsidR="006810E6">
          <w:rPr>
            <w:noProof/>
          </w:rPr>
          <w:t>Kobayashi, Ralph</w:t>
        </w:r>
        <w:r w:rsidR="006810E6" w:rsidRPr="006171E9">
          <w:rPr>
            <w:i/>
            <w:noProof/>
          </w:rPr>
          <w:t xml:space="preserve"> et al.</w:t>
        </w:r>
        <w:r w:rsidR="006810E6">
          <w:rPr>
            <w:noProof/>
          </w:rPr>
          <w:t xml:space="preserve"> 2013</w:t>
        </w:r>
      </w:hyperlink>
      <w:r w:rsidR="006171E9">
        <w:rPr>
          <w:noProof/>
        </w:rPr>
        <w:t>)</w:t>
      </w:r>
      <w:r w:rsidR="00D20FAE">
        <w:fldChar w:fldCharType="end"/>
      </w:r>
      <w:r>
        <w:t>. This</w:t>
      </w:r>
      <w:r w:rsidR="00082EBE">
        <w:t>, in turn,</w:t>
      </w:r>
      <w:r>
        <w:t xml:space="preserve"> feeds the complex food-web of </w:t>
      </w:r>
      <w:r w:rsidR="00B11BCD">
        <w:t>microinvertebrates</w:t>
      </w:r>
      <w:r>
        <w:t xml:space="preserve">, which are consumed by </w:t>
      </w:r>
      <w:r w:rsidRPr="003558F8">
        <w:t xml:space="preserve">larval fish </w:t>
      </w:r>
      <w:r>
        <w:t xml:space="preserve">and so on. </w:t>
      </w:r>
      <w:r w:rsidR="0061505E">
        <w:t>In some</w:t>
      </w:r>
      <w:r w:rsidR="007364DE">
        <w:t xml:space="preserve"> instances</w:t>
      </w:r>
      <w:r w:rsidR="00082EBE">
        <w:t>,</w:t>
      </w:r>
      <w:r w:rsidR="007364DE">
        <w:t xml:space="preserve"> where floodplains have been dry for </w:t>
      </w:r>
      <w:r w:rsidR="0061505E">
        <w:t>extended</w:t>
      </w:r>
      <w:r w:rsidR="007364DE">
        <w:t xml:space="preserve"> periods before re-wetting</w:t>
      </w:r>
      <w:r w:rsidR="00082EBE">
        <w:t>,</w:t>
      </w:r>
      <w:r w:rsidR="007364DE" w:rsidRPr="003B07DA">
        <w:t xml:space="preserve"> large amounts of organic carbon can accumulate in floodplain wetlands as litter and coarse woody debris, with floods releasing substantial amounts of dissolved organic carbon </w:t>
      </w:r>
      <w:r w:rsidR="00D20FAE">
        <w:fldChar w:fldCharType="begin"/>
      </w:r>
      <w:r w:rsidR="006171E9">
        <w:instrText xml:space="preserve"> ADDIN EN.CITE &lt;EndNote&gt;&lt;Cite&gt;&lt;Author&gt;Robertson&lt;/Author&gt;&lt;Year&gt;1999&lt;/Year&gt;&lt;RecNum&gt;3268&lt;/RecNum&gt;&lt;DisplayText&gt;(Robertson, Bunn&lt;style face="italic"&gt; et al.&lt;/style&gt; 1999)&lt;/DisplayText&gt;&lt;record&gt;&lt;rec-number&gt;3268&lt;/rec-number&gt;&lt;foreign-keys&gt;&lt;key app="EN" db-id="vxxvsda2b05fxpeaw2dp552mtrd5trxdrf0s"&gt;3268&lt;/key&gt;&lt;/foreign-keys&gt;&lt;ref-type name="Journal Article"&gt;17&lt;/ref-type&gt;&lt;contributors&gt;&lt;authors&gt;&lt;author&gt;Robertson,A. I.&lt;/author&gt;&lt;author&gt;Bunn,S. E.&lt;/author&gt;&lt;author&gt;Walker,K. F.&lt;/author&gt;&lt;author&gt;Boon,P. I.&lt;/author&gt;&lt;/authors&gt;&lt;/contributors&gt;&lt;titles&gt;&lt;title&gt;Sources, sinks and transformations of organic carbon in Australian floodplain rivers&lt;/title&gt;&lt;secondary-title&gt;Marine and Freshwater Research&lt;/secondary-title&gt;&lt;/titles&gt;&lt;periodical&gt;&lt;full-title&gt;Marine and Freshwater Research&lt;/full-title&gt;&lt;/periodical&gt;&lt;pages&gt;813-829&lt;/pages&gt;&lt;volume&gt;50&lt;/volume&gt;&lt;number&gt;8&lt;/number&gt;&lt;dates&gt;&lt;year&gt;1999&lt;/year&gt;&lt;/dates&gt;&lt;urls&gt;&lt;related-urls&gt;&lt;url&gt;http://www.publish.csiro.au/paper/MF99112&lt;/url&gt;&lt;/related-urls&gt;&lt;/urls&gt;&lt;electronic-resource-num&gt;http://dx.doi.org/10.1071/MF99112&lt;/electronic-resource-num&gt;&lt;/record&gt;&lt;/Cite&gt;&lt;/EndNote&gt;</w:instrText>
      </w:r>
      <w:r w:rsidR="00D20FAE">
        <w:fldChar w:fldCharType="separate"/>
      </w:r>
      <w:r w:rsidR="006171E9">
        <w:rPr>
          <w:noProof/>
        </w:rPr>
        <w:t>(</w:t>
      </w:r>
      <w:hyperlink w:anchor="_ENREF_86" w:tooltip="Robertson, 1999 #3268" w:history="1">
        <w:r w:rsidR="006810E6">
          <w:rPr>
            <w:noProof/>
          </w:rPr>
          <w:t>Robertson, Bunn</w:t>
        </w:r>
        <w:r w:rsidR="006810E6" w:rsidRPr="006171E9">
          <w:rPr>
            <w:i/>
            <w:noProof/>
          </w:rPr>
          <w:t xml:space="preserve"> et al.</w:t>
        </w:r>
        <w:r w:rsidR="006810E6">
          <w:rPr>
            <w:noProof/>
          </w:rPr>
          <w:t xml:space="preserve"> 1999</w:t>
        </w:r>
      </w:hyperlink>
      <w:r w:rsidR="006171E9">
        <w:rPr>
          <w:noProof/>
        </w:rPr>
        <w:t>)</w:t>
      </w:r>
      <w:r w:rsidR="00D20FAE">
        <w:fldChar w:fldCharType="end"/>
      </w:r>
      <w:r w:rsidR="007364DE">
        <w:t xml:space="preserve">. </w:t>
      </w:r>
      <w:r w:rsidR="007364DE" w:rsidRPr="003B07DA">
        <w:t xml:space="preserve">Under certain conditions, </w:t>
      </w:r>
      <w:r w:rsidR="0061505E">
        <w:t xml:space="preserve">these </w:t>
      </w:r>
      <w:r w:rsidR="007364DE" w:rsidRPr="003B07DA">
        <w:t xml:space="preserve">very high organic matter inputs coupled with high water temperatures can lead to a rapid increase in microbial metabolism </w:t>
      </w:r>
      <w:r w:rsidR="00B11BCD">
        <w:t>that</w:t>
      </w:r>
      <w:r w:rsidR="007364DE" w:rsidRPr="003B07DA">
        <w:t xml:space="preserve"> decreases </w:t>
      </w:r>
      <w:r w:rsidR="00B11BCD">
        <w:t xml:space="preserve">the </w:t>
      </w:r>
      <w:r w:rsidR="00B11BCD" w:rsidRPr="003B07DA">
        <w:t xml:space="preserve">concentration </w:t>
      </w:r>
      <w:r w:rsidR="00B11BCD">
        <w:t xml:space="preserve">of </w:t>
      </w:r>
      <w:r w:rsidR="007364DE" w:rsidRPr="003B07DA">
        <w:t xml:space="preserve">dissolved oxygen (often referred to as blackwater events) </w:t>
      </w:r>
      <w:r w:rsidR="00D20FAE">
        <w:fldChar w:fldCharType="begin">
          <w:fldData xml:space="preserve">PEVuZE5vdGU+PENpdGU+PEF1dGhvcj5Ib3dpdHQ8L0F1dGhvcj48WWVhcj4yMDA3PC9ZZWFyPjxS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</w:fldData>
        </w:fldChar>
      </w:r>
      <w:r w:rsidR="006171E9">
        <w:instrText xml:space="preserve"> ADDIN EN.CITE </w:instrText>
      </w:r>
      <w:r w:rsidR="00D20FAE">
        <w:fldChar w:fldCharType="begin">
          <w:fldData xml:space="preserve">PEVuZE5vdGU+PENpdGU+PEF1dGhvcj5Ib3dpdHQ8L0F1dGhvcj48WWVhcj4yMDA3PC9ZZWFyPjxS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</w:fldData>
        </w:fldChar>
      </w:r>
      <w:r w:rsidR="006171E9">
        <w:instrText xml:space="preserve"> ADDIN EN.CITE.DATA </w:instrText>
      </w:r>
      <w:r w:rsidR="00D20FAE">
        <w:fldChar w:fldCharType="end"/>
      </w:r>
      <w:r w:rsidR="00D20FAE">
        <w:fldChar w:fldCharType="separate"/>
      </w:r>
      <w:r w:rsidR="006171E9">
        <w:rPr>
          <w:noProof/>
        </w:rPr>
        <w:t>(</w:t>
      </w:r>
      <w:hyperlink w:anchor="_ENREF_38" w:tooltip="Howitt, 2007 #3186" w:history="1">
        <w:r w:rsidR="006810E6">
          <w:rPr>
            <w:noProof/>
          </w:rPr>
          <w:t>Howitt, Baldwin</w:t>
        </w:r>
        <w:r w:rsidR="006810E6" w:rsidRPr="006171E9">
          <w:rPr>
            <w:i/>
            <w:noProof/>
          </w:rPr>
          <w:t xml:space="preserve"> et al.</w:t>
        </w:r>
        <w:r w:rsidR="006810E6">
          <w:rPr>
            <w:noProof/>
          </w:rPr>
          <w:t xml:space="preserve"> 2007</w:t>
        </w:r>
      </w:hyperlink>
      <w:r w:rsidR="006171E9">
        <w:rPr>
          <w:noProof/>
        </w:rPr>
        <w:t xml:space="preserve">, </w:t>
      </w:r>
      <w:hyperlink w:anchor="_ENREF_36" w:tooltip="Hladyz, 2011 #3404" w:history="1">
        <w:r w:rsidR="006810E6">
          <w:rPr>
            <w:noProof/>
          </w:rPr>
          <w:t>Hladyz, Watkins</w:t>
        </w:r>
        <w:r w:rsidR="006810E6" w:rsidRPr="006171E9">
          <w:rPr>
            <w:i/>
            <w:noProof/>
          </w:rPr>
          <w:t xml:space="preserve"> et al.</w:t>
        </w:r>
        <w:r w:rsidR="006810E6">
          <w:rPr>
            <w:noProof/>
          </w:rPr>
          <w:t xml:space="preserve"> 2011</w:t>
        </w:r>
      </w:hyperlink>
      <w:r w:rsidR="006171E9">
        <w:rPr>
          <w:noProof/>
        </w:rPr>
        <w:t>)</w:t>
      </w:r>
      <w:r w:rsidR="00D20FAE">
        <w:fldChar w:fldCharType="end"/>
      </w:r>
      <w:r w:rsidR="007364DE" w:rsidRPr="003B07DA">
        <w:t>.</w:t>
      </w:r>
      <w:r w:rsidR="0061505E">
        <w:t xml:space="preserve"> </w:t>
      </w:r>
      <w:r>
        <w:t>While excessive inputs of nutrients and carbon can sometimes contribute to declining water quality, extended dry periods and loss of in channel freshes can cause bioavailable nutrients to become limiting, reducing primary productivity and</w:t>
      </w:r>
      <w:r w:rsidR="00082EBE">
        <w:t>,</w:t>
      </w:r>
      <w:r>
        <w:t xml:space="preserve"> in turn</w:t>
      </w:r>
      <w:r w:rsidR="00082EBE">
        <w:t>,</w:t>
      </w:r>
      <w:r>
        <w:t xml:space="preserve"> food availability for aquatic species, even though concentrations of total nutrients are relatively high </w:t>
      </w:r>
      <w:r w:rsidR="00D20FAE">
        <w:fldChar w:fldCharType="begin">
          <w:fldData xml:space="preserve">PEVuZE5vdGU+PENpdGUgRXhjbHVkZVllYXI9IjEiPjxBdXRob3I+UmV5bm9sZHM8L0F1dGhvcj48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</w:fldData>
        </w:fldChar>
      </w:r>
      <w:r w:rsidR="006171E9">
        <w:instrText xml:space="preserve"> ADDIN EN.CITE </w:instrText>
      </w:r>
      <w:r w:rsidR="00D20FAE">
        <w:fldChar w:fldCharType="begin">
          <w:fldData xml:space="preserve">PEVuZE5vdGU+PENpdGUgRXhjbHVkZVllYXI9IjEiPjxBdXRob3I+UmV5bm9sZHM8L0F1dGhvcj48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</w:fldData>
        </w:fldChar>
      </w:r>
      <w:r w:rsidR="006171E9">
        <w:instrText xml:space="preserve"> ADDIN EN.CITE.DATA </w:instrText>
      </w:r>
      <w:r w:rsidR="00D20FAE">
        <w:fldChar w:fldCharType="end"/>
      </w:r>
      <w:r w:rsidR="00D20FAE">
        <w:fldChar w:fldCharType="separate"/>
      </w:r>
      <w:r w:rsidR="006171E9">
        <w:rPr>
          <w:noProof/>
        </w:rPr>
        <w:t>(</w:t>
      </w:r>
      <w:hyperlink w:anchor="_ENREF_97" w:tooltip="Tilman, 1982 #3424" w:history="1">
        <w:r w:rsidR="006810E6">
          <w:rPr>
            <w:noProof/>
          </w:rPr>
          <w:t>Tilman, Kilham</w:t>
        </w:r>
        <w:r w:rsidR="006810E6" w:rsidRPr="006171E9">
          <w:rPr>
            <w:i/>
            <w:noProof/>
          </w:rPr>
          <w:t xml:space="preserve"> et al.</w:t>
        </w:r>
        <w:r w:rsidR="006810E6">
          <w:rPr>
            <w:noProof/>
          </w:rPr>
          <w:t xml:space="preserve"> </w:t>
        </w:r>
      </w:hyperlink>
      <w:r w:rsidR="006171E9">
        <w:rPr>
          <w:noProof/>
        </w:rPr>
        <w:t xml:space="preserve">, </w:t>
      </w:r>
      <w:hyperlink w:anchor="_ENREF_82" w:tooltip="Reynolds, 1997 #3423" w:history="1">
        <w:r w:rsidR="006810E6">
          <w:rPr>
            <w:noProof/>
          </w:rPr>
          <w:t xml:space="preserve">Reynolds and Irish </w:t>
        </w:r>
      </w:hyperlink>
      <w:r w:rsidR="006171E9">
        <w:rPr>
          <w:noProof/>
        </w:rPr>
        <w:t xml:space="preserve">, </w:t>
      </w:r>
      <w:hyperlink w:anchor="_ENREF_62" w:tooltip="Kobayashi, 2003 #3425" w:history="1">
        <w:r w:rsidR="006810E6">
          <w:rPr>
            <w:noProof/>
          </w:rPr>
          <w:t>Kobayashi and Church 2003</w:t>
        </w:r>
      </w:hyperlink>
      <w:r w:rsidR="006171E9">
        <w:rPr>
          <w:noProof/>
        </w:rPr>
        <w:t>)</w:t>
      </w:r>
      <w:r w:rsidR="00D20FAE">
        <w:fldChar w:fldCharType="end"/>
      </w:r>
      <w:r>
        <w:t>.</w:t>
      </w:r>
      <w:r w:rsidR="00B70CD0" w:rsidRPr="00B70CD0">
        <w:rPr>
          <w:rFonts w:ascii="Times New Roman" w:hAnsi="Times New Roman"/>
          <w:sz w:val="24"/>
          <w:szCs w:val="24"/>
          <w:lang w:eastAsia="en-AU"/>
        </w:rPr>
        <w:t xml:space="preserve"> </w:t>
      </w:r>
    </w:p>
    <w:p w:rsidR="00DB1B77" w:rsidRDefault="00B11BCD" w:rsidP="00B70CD0">
      <w:pPr>
        <w:pStyle w:val="BodyText1"/>
      </w:pPr>
      <w:r>
        <w:t>C</w:t>
      </w:r>
      <w:r w:rsidR="00DB1B77">
        <w:t>oncentrations of nutrients and carbon were monitored during the environmental watering action in 2012</w:t>
      </w:r>
      <w:r w:rsidR="00DB1B77" w:rsidRPr="00A103F4">
        <w:t>−</w:t>
      </w:r>
      <w:r w:rsidR="00DB1B77">
        <w:t>2013 in order to determine if e</w:t>
      </w:r>
      <w:r w:rsidR="00DB1B77" w:rsidRPr="003558F8">
        <w:t>nvironmental flows support</w:t>
      </w:r>
      <w:r w:rsidR="00DB1B77">
        <w:t>ed</w:t>
      </w:r>
      <w:r w:rsidR="00DB1B77" w:rsidRPr="003558F8">
        <w:t xml:space="preserve"> wetland ecosystem functions that relate to mobilisation, transport and dispersal of nutrients and organ</w:t>
      </w:r>
      <w:r w:rsidR="00DB1B77">
        <w:t>ic matter</w:t>
      </w:r>
      <w:r w:rsidR="00DB1B77" w:rsidRPr="003558F8">
        <w:t xml:space="preserve">.  </w:t>
      </w:r>
    </w:p>
    <w:p w:rsidR="00DB1B77" w:rsidRPr="003558F8" w:rsidRDefault="00DB1B77" w:rsidP="00B70CD0">
      <w:pPr>
        <w:pStyle w:val="BodyText1"/>
      </w:pPr>
      <w:r w:rsidRPr="003558F8">
        <w:t xml:space="preserve"> </w:t>
      </w:r>
    </w:p>
    <w:p w:rsidR="00DB1B77" w:rsidRPr="003558F8" w:rsidRDefault="00617287" w:rsidP="00C44F46">
      <w:pPr>
        <w:pStyle w:val="Heading2"/>
      </w:pPr>
      <w:r>
        <w:t xml:space="preserve"> </w:t>
      </w:r>
      <w:bookmarkStart w:id="122" w:name="_Toc370299187"/>
      <w:bookmarkStart w:id="123" w:name="_Toc370738734"/>
      <w:bookmarkStart w:id="124" w:name="_Toc378168522"/>
      <w:r w:rsidR="00DB1B77" w:rsidRPr="003558F8">
        <w:t>Methods</w:t>
      </w:r>
      <w:bookmarkEnd w:id="122"/>
      <w:bookmarkEnd w:id="123"/>
      <w:bookmarkEnd w:id="124"/>
    </w:p>
    <w:p w:rsidR="00DB1B77" w:rsidRDefault="00DB1B77" w:rsidP="00DB1B77">
      <w:r>
        <w:t>T</w:t>
      </w:r>
      <w:r w:rsidRPr="003558F8">
        <w:t xml:space="preserve">otal nitrogen </w:t>
      </w:r>
      <w:r>
        <w:t>(</w:t>
      </w:r>
      <w:r w:rsidRPr="003558F8">
        <w:t>TN</w:t>
      </w:r>
      <w:r>
        <w:t>)</w:t>
      </w:r>
      <w:r w:rsidRPr="003558F8">
        <w:t>, total phosphorus</w:t>
      </w:r>
      <w:r>
        <w:t xml:space="preserve"> (</w:t>
      </w:r>
      <w:r w:rsidRPr="003558F8">
        <w:t>TP</w:t>
      </w:r>
      <w:r>
        <w:t>)</w:t>
      </w:r>
      <w:r w:rsidRPr="003558F8">
        <w:t>, dissolved inorganic nitrogen</w:t>
      </w:r>
      <w:r>
        <w:t xml:space="preserve"> (</w:t>
      </w:r>
      <w:r w:rsidRPr="003558F8">
        <w:t>DIN</w:t>
      </w:r>
      <w:r>
        <w:t xml:space="preserve">), </w:t>
      </w:r>
      <w:r w:rsidRPr="003558F8">
        <w:t>dissolved reactive phosphorus</w:t>
      </w:r>
      <w:r>
        <w:t xml:space="preserve"> (</w:t>
      </w:r>
      <w:r w:rsidRPr="003558F8">
        <w:t>DRP)</w:t>
      </w:r>
      <w:r>
        <w:t>, dissolved silica (DSi)</w:t>
      </w:r>
      <w:r w:rsidRPr="003558F8">
        <w:t xml:space="preserve"> and</w:t>
      </w:r>
      <w:r>
        <w:t xml:space="preserve"> </w:t>
      </w:r>
      <w:r w:rsidRPr="003558F8">
        <w:t>dissolved organic carbon</w:t>
      </w:r>
      <w:r>
        <w:t xml:space="preserve"> (</w:t>
      </w:r>
      <w:r w:rsidRPr="003558F8">
        <w:t>DOC) were measured by analysing water samples (n</w:t>
      </w:r>
      <w:r w:rsidR="00082EBE">
        <w:t xml:space="preserve"> </w:t>
      </w:r>
      <w:r w:rsidRPr="003558F8">
        <w:t>=</w:t>
      </w:r>
      <w:r w:rsidR="00082EBE">
        <w:t xml:space="preserve"> 3 – </w:t>
      </w:r>
      <w:r w:rsidRPr="003558F8">
        <w:t xml:space="preserve">4 at each site) collected at a total of </w:t>
      </w:r>
      <w:r>
        <w:t xml:space="preserve">21 </w:t>
      </w:r>
      <w:r w:rsidRPr="003558F8">
        <w:t>sites from one channel and three wetland areas consisting of the mid-Murrumbidgee River channel (</w:t>
      </w:r>
      <w:r>
        <w:t xml:space="preserve"> Old Man Creek, Berry Jerry, Euroley Bridge, McKennas and Narrandera</w:t>
      </w:r>
      <w:r w:rsidRPr="003558F8">
        <w:t>), mid-Murrumbidgee wetlands (</w:t>
      </w:r>
      <w:r>
        <w:t>Berry Jerry, Euroley, Gooragool, McKennas, Narrandera, Sunshower and Yarrada)</w:t>
      </w:r>
      <w:r w:rsidRPr="003558F8">
        <w:t xml:space="preserve">, </w:t>
      </w:r>
      <w:r>
        <w:t xml:space="preserve">Lowbidgee </w:t>
      </w:r>
      <w:r w:rsidRPr="003558F8">
        <w:t>(</w:t>
      </w:r>
      <w:r>
        <w:t>Little Piggery, Mercedes Swamp, Two Bridges Swamp and Wagourah Lagoon</w:t>
      </w:r>
      <w:r w:rsidRPr="003558F8">
        <w:t>)</w:t>
      </w:r>
      <w:r>
        <w:t>,</w:t>
      </w:r>
      <w:r w:rsidRPr="003558F8">
        <w:t xml:space="preserve"> and Western Lakes (</w:t>
      </w:r>
      <w:r>
        <w:t>Cherax, Hobblers, Paika Lake and Pencarie Creek</w:t>
      </w:r>
      <w:r w:rsidRPr="003558F8">
        <w:t>)</w:t>
      </w:r>
      <w:r>
        <w:t xml:space="preserve"> </w:t>
      </w:r>
      <w:r w:rsidRPr="003558F8">
        <w:t>(</w:t>
      </w:r>
      <w:r w:rsidR="00D20FAE">
        <w:fldChar w:fldCharType="begin"/>
      </w:r>
      <w:r w:rsidR="000B3CBC">
        <w:instrText xml:space="preserve"> REF _Ref355339062 \h </w:instrText>
      </w:r>
      <w:r w:rsidR="00D20FAE">
        <w:fldChar w:fldCharType="separate"/>
      </w:r>
      <w:r w:rsidR="00436595" w:rsidRPr="006A0B9F">
        <w:rPr>
          <w:b/>
        </w:rPr>
        <w:t xml:space="preserve">Figure </w:t>
      </w:r>
      <w:r w:rsidR="00436595">
        <w:rPr>
          <w:b/>
          <w:noProof/>
        </w:rPr>
        <w:t>4</w:t>
      </w:r>
      <w:r w:rsidR="00D20FAE">
        <w:fldChar w:fldCharType="end"/>
      </w:r>
      <w:r w:rsidRPr="003558F8">
        <w:t xml:space="preserve">).  </w:t>
      </w:r>
      <w:r w:rsidR="00B11BCD">
        <w:t xml:space="preserve">The </w:t>
      </w:r>
      <w:r w:rsidRPr="003558F8">
        <w:t>overall sampling period (23</w:t>
      </w:r>
      <w:r>
        <w:t xml:space="preserve"> August 2012</w:t>
      </w:r>
      <w:r w:rsidR="00082EBE">
        <w:t xml:space="preserve"> </w:t>
      </w:r>
      <w:r>
        <w:t>−</w:t>
      </w:r>
      <w:r w:rsidR="00082EBE">
        <w:t xml:space="preserve"> </w:t>
      </w:r>
      <w:r w:rsidRPr="003558F8">
        <w:t xml:space="preserve">4 February 2013) covered the period of the </w:t>
      </w:r>
      <w:r>
        <w:t xml:space="preserve">environmental </w:t>
      </w:r>
      <w:r w:rsidRPr="003558F8">
        <w:t>watering action (option 1)</w:t>
      </w:r>
      <w:r>
        <w:t xml:space="preserve"> (</w:t>
      </w:r>
      <w:r w:rsidRPr="003558F8">
        <w:t>10 October</w:t>
      </w:r>
      <w:r w:rsidR="00082EBE">
        <w:t xml:space="preserve"> </w:t>
      </w:r>
      <w:r>
        <w:t>−</w:t>
      </w:r>
      <w:r w:rsidR="00082EBE">
        <w:t xml:space="preserve"> </w:t>
      </w:r>
      <w:r w:rsidRPr="003558F8">
        <w:t>14 December 2012)</w:t>
      </w:r>
      <w:r>
        <w:t xml:space="preserve">.  In the present study, discharge (ML/day) at Narrandera was used as an indicator of the environmental watering action in the mid-Murrumbidgee region.  </w:t>
      </w:r>
      <w:r w:rsidR="00B11BCD">
        <w:t>Water samples were filtered in the field using a 0.45</w:t>
      </w:r>
      <w:r w:rsidR="00190DFF">
        <w:t xml:space="preserve"> </w:t>
      </w:r>
      <w:r w:rsidR="005D3B56">
        <w:rPr>
          <w:rFonts w:ascii="Symbol" w:hAnsi="Symbol"/>
        </w:rPr>
        <w:t></w:t>
      </w:r>
      <w:r w:rsidR="00B11BCD">
        <w:t>m plastic filter (</w:t>
      </w:r>
      <w:r w:rsidR="005D3B56">
        <w:t>Sarstedt</w:t>
      </w:r>
      <w:r w:rsidR="00B11BCD">
        <w:t>)</w:t>
      </w:r>
      <w:r w:rsidR="005D3B56">
        <w:t xml:space="preserve"> and were frozen until analysis. </w:t>
      </w:r>
      <w:r w:rsidRPr="003558F8">
        <w:t xml:space="preserve">Nutrient and DOC analysis methods followed </w:t>
      </w:r>
      <w:r w:rsidR="00D20FAE">
        <w:fldChar w:fldCharType="begin"/>
      </w:r>
      <w:r w:rsidR="006171E9">
        <w:instrText xml:space="preserve"> ADDIN EN.CITE &lt;EndNote&gt;&lt;Cite ExcludeYear="1"&gt;&lt;Author&gt;Hosomi&lt;/Author&gt;&lt;Year&gt;1986&lt;/Year&gt;&lt;RecNum&gt;3303&lt;/RecNum&gt;&lt;DisplayText&gt;(Hosomi and Sudo , ASTM)&lt;/DisplayText&gt;&lt;record&gt;&lt;rec-number&gt;3303&lt;/rec-number&gt;&lt;foreign-keys&gt;&lt;key app="EN" db-id="vxxvsda2b05fxpeaw2dp552mtrd5trxdrf0s"&gt;3303&lt;/key&gt;&lt;/foreign-keys&gt;&lt;ref-type name="Journal Article"&gt;17&lt;/ref-type&gt;&lt;contributors&gt;&lt;authors&gt;&lt;author&gt;Hosomi, Masaaki&lt;/author&gt;&lt;author&gt;Sudo, Ryuichi&lt;/author&gt;&lt;/authors&gt;&lt;/contributors&gt;&lt;titles&gt;&lt;title&gt;Simultaneous determination of total nitrogen and total phosphorus in freshwater samples using persulfate digestion&lt;/title&gt;&lt;secondary-title&gt;International Journal of Environmental Studies&lt;/secondary-title&gt;&lt;/titles&gt;&lt;periodical&gt;&lt;full-title&gt;International Journal of Environmental Studies&lt;/full-title&gt;&lt;/periodical&gt;&lt;pages&gt;267-275&lt;/pages&gt;&lt;volume&gt;27&lt;/volume&gt;&lt;number&gt;3-4&lt;/number&gt;&lt;dates&gt;&lt;year&gt;1986&lt;/year&gt;&lt;pub-dates&gt;&lt;date&gt;1986/10/01&lt;/date&gt;&lt;/pub-dates&gt;&lt;/dates&gt;&lt;publisher&gt;Routledge&lt;/publisher&gt;&lt;isbn&gt;0020-7233&lt;/isbn&gt;&lt;urls&gt;&lt;related-urls&gt;&lt;url&gt;http://dx.doi.org/10.1080/00207238608710296&lt;/url&gt;&lt;/related-urls&gt;&lt;/urls&gt;&lt;electronic-resource-num&gt;10.1080/00207238608710296&lt;/electronic-resource-num&gt;&lt;access-date&gt;2012/07/31&lt;/access-date&gt;&lt;/record&gt;&lt;/Cite&gt;&lt;Cite ExcludeYear="1"&gt;&lt;Author&gt;ASTM&lt;/Author&gt;&lt;Year&gt;1993&lt;/Year&gt;&lt;RecNum&gt;3430&lt;/RecNum&gt;&lt;record&gt;&lt;rec-number&gt;3430&lt;/rec-number&gt;&lt;foreign-keys&gt;&lt;key app="EN" db-id="vxxvsda2b05fxpeaw2dp552mtrd5trxdrf0s"&gt;3430&lt;/key&gt;&lt;/foreign-keys&gt;&lt;ref-type name="Book"&gt;6&lt;/ref-type&gt;&lt;contributors&gt;&lt;authors&gt;&lt;author&gt;ASTM&lt;/author&gt;&lt;/authors&gt;&lt;/contributors&gt;&lt;titles&gt;&lt;title&gt;Annual Book of ASTM Standards. D 4779-93: Standard Test Methods for Total, Organic and Inorganic Carbon in High Purity Water by Ultraviolet (UV) or Persulfate Oxidation, or Both, and Infrared Detection&lt;/title&gt;&lt;/titles&gt;&lt;dates&gt;&lt;year&gt;1993&lt;/year&gt;&lt;/dates&gt;&lt;pub-location&gt;Philadelphia, PA&lt;/pub-location&gt;&lt;publisher&gt;American Society for Testing and Materials&lt;/publisher&gt;&lt;urls&gt;&lt;/urls&gt;&lt;/record&gt;&lt;/Cite&gt;&lt;/EndNote&gt;</w:instrText>
      </w:r>
      <w:r w:rsidR="00D20FAE">
        <w:fldChar w:fldCharType="separate"/>
      </w:r>
      <w:r w:rsidR="006171E9">
        <w:rPr>
          <w:noProof/>
        </w:rPr>
        <w:t>(</w:t>
      </w:r>
      <w:hyperlink w:anchor="_ENREF_37" w:tooltip="Hosomi, 1986 #3303" w:history="1">
        <w:r w:rsidR="006810E6">
          <w:rPr>
            <w:noProof/>
          </w:rPr>
          <w:t xml:space="preserve">Hosomi and Sudo </w:t>
        </w:r>
      </w:hyperlink>
      <w:r w:rsidR="006171E9">
        <w:rPr>
          <w:noProof/>
        </w:rPr>
        <w:t xml:space="preserve">, </w:t>
      </w:r>
      <w:hyperlink w:anchor="_ENREF_7" w:tooltip="ASTM, 1993 #3430" w:history="1">
        <w:r w:rsidR="006810E6">
          <w:rPr>
            <w:noProof/>
          </w:rPr>
          <w:t>ASTM</w:t>
        </w:r>
      </w:hyperlink>
      <w:r w:rsidR="006171E9">
        <w:rPr>
          <w:noProof/>
        </w:rPr>
        <w:t>)</w:t>
      </w:r>
      <w:r w:rsidR="00D20FAE">
        <w:fldChar w:fldCharType="end"/>
      </w:r>
      <w:r>
        <w:t xml:space="preserve"> </w:t>
      </w:r>
      <w:r w:rsidRPr="003558F8">
        <w:t xml:space="preserve">and </w:t>
      </w:r>
      <w:r w:rsidR="00D20FAE">
        <w:fldChar w:fldCharType="begin"/>
      </w:r>
      <w:r w:rsidR="006171E9">
        <w:instrText xml:space="preserve"> ADDIN EN.CITE &lt;EndNote&gt;&lt;Cite ExcludeYear="1"&gt;&lt;Author&gt;Eaton&lt;/Author&gt;&lt;Year&gt;2005&lt;/Year&gt;&lt;RecNum&gt;3376&lt;/RecNum&gt;&lt;DisplayText&gt;(Eaton, Clesceri&lt;style face="italic"&gt; et al.&lt;/style&gt;)&lt;/DisplayText&gt;&lt;record&gt;&lt;rec-number&gt;3376&lt;/rec-number&gt;&lt;foreign-keys&gt;&lt;key app="EN" db-id="vxxvsda2b05fxpeaw2dp552mtrd5trxdrf0s"&gt;3376&lt;/key&gt;&lt;/foreign-keys&gt;&lt;ref-type name="Book"&gt;6&lt;/ref-type&gt;&lt;contributors&gt;&lt;authors&gt;&lt;author&gt;Eaton, A.D.&lt;/author&gt;&lt;author&gt;Clesceri, L.S.&lt;/author&gt;&lt;author&gt;Rice, E.W. &lt;/author&gt;&lt;author&gt;Greenberg, A.E.&lt;/author&gt;&lt;/authors&gt;&lt;/contributors&gt;&lt;titles&gt;&lt;title&gt;Standard Methods for the Examination of Water &amp;amp; Wasterwater. &lt;/title&gt;&lt;/titles&gt;&lt;dates&gt;&lt;year&gt;2005&lt;/year&gt;&lt;/dates&gt;&lt;pub-location&gt;Washington, D.C&lt;/pub-location&gt;&lt;publisher&gt;American Public Health Association&lt;/publisher&gt;&lt;urls&gt;&lt;/urls&gt;&lt;/record&gt;&lt;/Cite&gt;&lt;/EndNote&gt;</w:instrText>
      </w:r>
      <w:r w:rsidR="00D20FAE">
        <w:fldChar w:fldCharType="separate"/>
      </w:r>
      <w:r w:rsidR="006171E9">
        <w:rPr>
          <w:noProof/>
        </w:rPr>
        <w:t>(</w:t>
      </w:r>
      <w:hyperlink w:anchor="_ENREF_32" w:tooltip="Eaton, 2005 #3376" w:history="1">
        <w:r w:rsidR="006810E6">
          <w:rPr>
            <w:noProof/>
          </w:rPr>
          <w:t>Eaton, Clesceri</w:t>
        </w:r>
        <w:r w:rsidR="006810E6" w:rsidRPr="006171E9">
          <w:rPr>
            <w:i/>
            <w:noProof/>
          </w:rPr>
          <w:t xml:space="preserve"> et al.</w:t>
        </w:r>
      </w:hyperlink>
      <w:r w:rsidR="006171E9">
        <w:rPr>
          <w:noProof/>
        </w:rPr>
        <w:t>)</w:t>
      </w:r>
      <w:r w:rsidR="00D20FAE">
        <w:fldChar w:fldCharType="end"/>
      </w:r>
      <w:r w:rsidRPr="003558F8">
        <w:t>.</w:t>
      </w:r>
    </w:p>
    <w:p w:rsidR="00DB1B77" w:rsidRPr="003558F8" w:rsidRDefault="00DB1B77" w:rsidP="00C44F46">
      <w:pPr>
        <w:pStyle w:val="Heading2"/>
      </w:pPr>
      <w:bookmarkStart w:id="125" w:name="_Toc370299188"/>
      <w:bookmarkStart w:id="126" w:name="_Toc370738735"/>
      <w:bookmarkStart w:id="127" w:name="_Toc378168523"/>
      <w:r w:rsidRPr="003558F8">
        <w:t>Results</w:t>
      </w:r>
      <w:bookmarkEnd w:id="125"/>
      <w:bookmarkEnd w:id="126"/>
      <w:bookmarkEnd w:id="127"/>
    </w:p>
    <w:p w:rsidR="00B70CD0" w:rsidRDefault="00B70CD0" w:rsidP="00B70CD0">
      <w:pPr>
        <w:autoSpaceDE w:val="0"/>
        <w:autoSpaceDN w:val="0"/>
        <w:adjustRightInd w:val="0"/>
        <w:spacing w:after="0" w:line="240" w:lineRule="auto"/>
        <w:jc w:val="left"/>
        <w:rPr>
          <w:rFonts w:ascii="Times New Roman" w:hAnsi="Times New Roman"/>
          <w:sz w:val="24"/>
          <w:szCs w:val="24"/>
          <w:lang w:eastAsia="en-AU"/>
        </w:rPr>
      </w:pPr>
    </w:p>
    <w:p w:rsidR="00DB1B77" w:rsidRDefault="00DB1B77" w:rsidP="00DB1B77">
      <w:r w:rsidRPr="003558F8">
        <w:t xml:space="preserve">Concentrations of nutrients and carbon </w:t>
      </w:r>
      <w:r>
        <w:t>differed between the Murrumbidgee River and wetland sites (Mid-Murrumbidgee, Lowbidgee and Western Lake</w:t>
      </w:r>
      <w:r w:rsidRPr="003850A8">
        <w:t>s)</w:t>
      </w:r>
      <w:r w:rsidR="00190DFF">
        <w:t xml:space="preserve"> </w:t>
      </w:r>
      <w:r w:rsidR="00AD1B84" w:rsidRPr="003850A8">
        <w:t>(</w:t>
      </w:r>
      <w:fldSimple w:instr=" REF _Ref369784021 \h  \* MERGEFORMAT ">
        <w:r w:rsidR="00436595" w:rsidRPr="00436595">
          <w:t xml:space="preserve">Figure </w:t>
        </w:r>
        <w:r w:rsidR="00436595" w:rsidRPr="00436595">
          <w:rPr>
            <w:noProof/>
          </w:rPr>
          <w:t>9</w:t>
        </w:r>
      </w:fldSimple>
      <w:r w:rsidR="00190DFF">
        <w:t>,</w:t>
      </w:r>
      <w:r w:rsidR="003850A8" w:rsidRPr="003850A8">
        <w:t xml:space="preserve"> </w:t>
      </w:r>
      <w:fldSimple w:instr=" REF _Ref369784158 \h  \* MERGEFORMAT ">
        <w:r w:rsidR="00436595" w:rsidRPr="00436595">
          <w:t xml:space="preserve">Table </w:t>
        </w:r>
        <w:r w:rsidR="00436595" w:rsidRPr="00436595">
          <w:rPr>
            <w:noProof/>
          </w:rPr>
          <w:t>3</w:t>
        </w:r>
      </w:fldSimple>
      <w:r w:rsidR="00AD1B84" w:rsidRPr="003850A8">
        <w:t>)</w:t>
      </w:r>
      <w:r w:rsidRPr="003850A8">
        <w:t xml:space="preserve">. In </w:t>
      </w:r>
      <w:r>
        <w:t>general</w:t>
      </w:r>
      <w:r w:rsidR="00190DFF">
        <w:t>,</w:t>
      </w:r>
      <w:r>
        <w:t xml:space="preserve"> </w:t>
      </w:r>
      <w:r w:rsidRPr="003558F8">
        <w:t xml:space="preserve">dissolved (or bioavailable) nutrients </w:t>
      </w:r>
      <w:r>
        <w:t xml:space="preserve">such as </w:t>
      </w:r>
      <w:r w:rsidR="005D3B56">
        <w:t>d</w:t>
      </w:r>
      <w:r>
        <w:t xml:space="preserve">issolved reactive phosphate (DRP), </w:t>
      </w:r>
      <w:r w:rsidR="005D3B56">
        <w:t>d</w:t>
      </w:r>
      <w:r>
        <w:t xml:space="preserve">issolved </w:t>
      </w:r>
      <w:r w:rsidR="005D3B56">
        <w:t>i</w:t>
      </w:r>
      <w:r>
        <w:t xml:space="preserve">norganic </w:t>
      </w:r>
      <w:r w:rsidR="005D3B56">
        <w:t>n</w:t>
      </w:r>
      <w:r>
        <w:t xml:space="preserve">itrogen (DIN) (GLM </w:t>
      </w:r>
      <w:r w:rsidR="005D3B56">
        <w:t xml:space="preserve">F </w:t>
      </w:r>
      <w:r w:rsidR="00190DFF">
        <w:t>= 4.228, p &lt; 0.01</w:t>
      </w:r>
      <w:r>
        <w:t>) and dissolved in</w:t>
      </w:r>
      <w:r w:rsidR="005D3B56">
        <w:t>organic</w:t>
      </w:r>
      <w:r>
        <w:t xml:space="preserve"> </w:t>
      </w:r>
      <w:r w:rsidR="005D3B56">
        <w:t>s</w:t>
      </w:r>
      <w:r>
        <w:t>ilica (Si) (</w:t>
      </w:r>
      <w:r w:rsidR="005D3B56">
        <w:t xml:space="preserve">F </w:t>
      </w:r>
      <w:r w:rsidR="00190DFF">
        <w:t>= 2.735, p &lt; 0.05</w:t>
      </w:r>
      <w:r>
        <w:t xml:space="preserve">), </w:t>
      </w:r>
      <w:r w:rsidRPr="003558F8">
        <w:t>tended to be similar between the</w:t>
      </w:r>
      <w:r>
        <w:t xml:space="preserve"> four regions </w:t>
      </w:r>
      <w:r w:rsidRPr="003558F8">
        <w:t xml:space="preserve">or lower </w:t>
      </w:r>
      <w:r>
        <w:t>at</w:t>
      </w:r>
      <w:r w:rsidRPr="003558F8">
        <w:t xml:space="preserve"> the wetland </w:t>
      </w:r>
      <w:r>
        <w:t>sites</w:t>
      </w:r>
      <w:r w:rsidRPr="003558F8">
        <w:t>.</w:t>
      </w:r>
      <w:r w:rsidRPr="0055354A">
        <w:t xml:space="preserve"> </w:t>
      </w:r>
      <w:r>
        <w:t xml:space="preserve">In contrast, </w:t>
      </w:r>
      <w:r w:rsidR="005D3B56">
        <w:t>t</w:t>
      </w:r>
      <w:r>
        <w:t xml:space="preserve">otal </w:t>
      </w:r>
      <w:r w:rsidR="005D3B56">
        <w:t>n</w:t>
      </w:r>
      <w:r>
        <w:t xml:space="preserve">itrogen (TN) (GLM </w:t>
      </w:r>
      <w:r w:rsidR="005D3B56">
        <w:t xml:space="preserve">F = </w:t>
      </w:r>
      <w:r>
        <w:t>8.157, p &lt;</w:t>
      </w:r>
      <w:r w:rsidR="00190DFF">
        <w:t xml:space="preserve"> </w:t>
      </w:r>
      <w:r>
        <w:t xml:space="preserve">0.001), </w:t>
      </w:r>
      <w:r w:rsidR="005D3B56">
        <w:t>t</w:t>
      </w:r>
      <w:r>
        <w:t xml:space="preserve">otal </w:t>
      </w:r>
      <w:r w:rsidR="005D3B56">
        <w:t>p</w:t>
      </w:r>
      <w:r>
        <w:t xml:space="preserve">hosphorus (TP) (GLM </w:t>
      </w:r>
      <w:r w:rsidR="005D3B56">
        <w:t xml:space="preserve">F </w:t>
      </w:r>
      <w:r>
        <w:t xml:space="preserve">= 12.022, p &lt; 0.001), and </w:t>
      </w:r>
      <w:r w:rsidR="005D3B56">
        <w:t>d</w:t>
      </w:r>
      <w:r>
        <w:t xml:space="preserve">issolved </w:t>
      </w:r>
      <w:r w:rsidR="005D3B56">
        <w:t>o</w:t>
      </w:r>
      <w:r>
        <w:t xml:space="preserve">rganic </w:t>
      </w:r>
      <w:r w:rsidR="005D3B56">
        <w:t>c</w:t>
      </w:r>
      <w:r>
        <w:t xml:space="preserve">arbon (DOC) (GLM </w:t>
      </w:r>
      <w:r w:rsidR="005D3B56">
        <w:t xml:space="preserve">F </w:t>
      </w:r>
      <w:r>
        <w:t>= 6.693, p &lt;</w:t>
      </w:r>
      <w:r w:rsidR="00190DFF">
        <w:t xml:space="preserve"> </w:t>
      </w:r>
      <w:r>
        <w:t xml:space="preserve">0.001) were </w:t>
      </w:r>
      <w:r w:rsidRPr="003558F8">
        <w:t xml:space="preserve">higher </w:t>
      </w:r>
      <w:r>
        <w:t xml:space="preserve">and more variable (changed more over time) at </w:t>
      </w:r>
      <w:r w:rsidRPr="003558F8">
        <w:t>the wetland</w:t>
      </w:r>
      <w:r>
        <w:t xml:space="preserve"> sites</w:t>
      </w:r>
      <w:r w:rsidRPr="003558F8">
        <w:t xml:space="preserve"> than those </w:t>
      </w:r>
      <w:r>
        <w:t xml:space="preserve">at </w:t>
      </w:r>
      <w:r w:rsidRPr="003558F8">
        <w:t xml:space="preserve">the river </w:t>
      </w:r>
      <w:r>
        <w:t xml:space="preserve">sites. </w:t>
      </w:r>
    </w:p>
    <w:p w:rsidR="00A37CAB" w:rsidRDefault="00A37CAB" w:rsidP="00DB1B77">
      <w:r>
        <w:br w:type="page"/>
      </w:r>
    </w:p>
    <w:p w:rsidR="00DB1B77" w:rsidRPr="0070713E" w:rsidRDefault="00542465" w:rsidP="00DB1B77">
      <w:pPr>
        <w:rPr>
          <w:rFonts w:ascii="Calibri" w:hAnsi="Calibri"/>
        </w:rPr>
      </w:pPr>
      <w:r>
        <w:rPr>
          <w:rFonts w:ascii="Calibri" w:hAnsi="Calibri"/>
          <w:noProof/>
          <w:lang w:eastAsia="en-AU"/>
        </w:rPr>
        <w:drawing>
          <wp:inline distT="0" distB="0" distL="0" distR="0">
            <wp:extent cx="5732145" cy="4792359"/>
            <wp:effectExtent l="19050" t="0" r="1905" b="0"/>
            <wp:docPr id="110" name="Picture 31" descr="D:\Users\ahall\Documents\Data\private\New Pictur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ers\ahall\Documents\Data\private\New Picture.bmp"/>
                    <pic:cNvPicPr>
                      <a:picLocks noChangeAspect="1" noChangeArrowheads="1"/>
                    </pic:cNvPicPr>
                  </pic:nvPicPr>
                  <pic:blipFill>
                    <a:blip r:embed="rId67" cstate="print"/>
                    <a:srcRect/>
                    <a:stretch>
                      <a:fillRect/>
                    </a:stretch>
                  </pic:blipFill>
                  <pic:spPr bwMode="auto">
                    <a:xfrm>
                      <a:off x="0" y="0"/>
                      <a:ext cx="5732145" cy="4792359"/>
                    </a:xfrm>
                    <a:prstGeom prst="rect">
                      <a:avLst/>
                    </a:prstGeom>
                    <a:noFill/>
                    <a:ln w="9525">
                      <a:noFill/>
                      <a:miter lim="800000"/>
                      <a:headEnd/>
                      <a:tailEnd/>
                    </a:ln>
                  </pic:spPr>
                </pic:pic>
              </a:graphicData>
            </a:graphic>
          </wp:inline>
        </w:drawing>
      </w:r>
    </w:p>
    <w:p w:rsidR="00DB1B77" w:rsidRDefault="00DC1B70" w:rsidP="00DC1B70">
      <w:pPr>
        <w:pStyle w:val="Caption1"/>
      </w:pPr>
      <w:bookmarkStart w:id="128" w:name="_Ref369784021"/>
      <w:bookmarkStart w:id="129" w:name="_Toc370738736"/>
      <w:r w:rsidRPr="00DC1B70">
        <w:rPr>
          <w:b/>
        </w:rPr>
        <w:t xml:space="preserve">Figure </w:t>
      </w:r>
      <w:r w:rsidR="00D20FAE" w:rsidRPr="00DC1B70">
        <w:rPr>
          <w:b/>
        </w:rPr>
        <w:fldChar w:fldCharType="begin"/>
      </w:r>
      <w:r w:rsidRPr="00DC1B70">
        <w:rPr>
          <w:b/>
        </w:rPr>
        <w:instrText xml:space="preserve"> SEQ Figure \* ARABIC </w:instrText>
      </w:r>
      <w:r w:rsidR="00D20FAE" w:rsidRPr="00DC1B70">
        <w:rPr>
          <w:b/>
        </w:rPr>
        <w:fldChar w:fldCharType="separate"/>
      </w:r>
      <w:r w:rsidR="00436595">
        <w:rPr>
          <w:b/>
          <w:noProof/>
        </w:rPr>
        <w:t>9</w:t>
      </w:r>
      <w:r w:rsidR="00D20FAE" w:rsidRPr="00DC1B70">
        <w:rPr>
          <w:b/>
        </w:rPr>
        <w:fldChar w:fldCharType="end"/>
      </w:r>
      <w:bookmarkEnd w:id="128"/>
      <w:r>
        <w:t xml:space="preserve"> </w:t>
      </w:r>
      <w:r w:rsidR="00DB1B77" w:rsidRPr="002B7D1A">
        <w:t xml:space="preserve"> Boxplots of log</w:t>
      </w:r>
      <w:r w:rsidR="00DB1B77" w:rsidRPr="002B7D1A">
        <w:rPr>
          <w:vertAlign w:val="subscript"/>
        </w:rPr>
        <w:t>10</w:t>
      </w:r>
      <w:r w:rsidR="00DB1B77" w:rsidRPr="002B7D1A">
        <w:t>-transformed concentrations o</w:t>
      </w:r>
      <w:r w:rsidR="00D67203">
        <w:t>f nutrients (TN: total nitrogen, TP: total phosphorus,</w:t>
      </w:r>
      <w:r w:rsidR="00DB1B77" w:rsidRPr="002B7D1A">
        <w:t xml:space="preserve"> DI</w:t>
      </w:r>
      <w:r w:rsidR="00D67203">
        <w:t>N: dissolved inorganic nitrogen,</w:t>
      </w:r>
      <w:r w:rsidR="00DB1B77" w:rsidRPr="002B7D1A">
        <w:t xml:space="preserve"> DRP</w:t>
      </w:r>
      <w:r w:rsidR="00D67203">
        <w:t>: dissolved reactive phosphorus,</w:t>
      </w:r>
      <w:r w:rsidR="00DB1B77" w:rsidRPr="002B7D1A">
        <w:t xml:space="preserve"> DSi: dissolved silica) and carbon (DOC: dissolve</w:t>
      </w:r>
      <w:r w:rsidR="00D67203">
        <w:t>d organic carbon).  Sample size,</w:t>
      </w:r>
      <w:r w:rsidR="00DB1B77" w:rsidRPr="002B7D1A">
        <w:t xml:space="preserve"> n</w:t>
      </w:r>
      <w:r w:rsidR="00D67203">
        <w:t xml:space="preserve"> </w:t>
      </w:r>
      <w:r w:rsidR="00DB1B77" w:rsidRPr="002B7D1A">
        <w:t>=</w:t>
      </w:r>
      <w:r w:rsidR="00D67203">
        <w:t xml:space="preserve"> </w:t>
      </w:r>
      <w:r w:rsidR="00DB1B77" w:rsidRPr="002B7D1A">
        <w:t>70 for mid-MR (mid-Murrumbidgee River channel), n</w:t>
      </w:r>
      <w:r w:rsidR="00D67203">
        <w:t> </w:t>
      </w:r>
      <w:r w:rsidR="00DB1B77" w:rsidRPr="002B7D1A">
        <w:t>=</w:t>
      </w:r>
      <w:r w:rsidR="00D67203">
        <w:t> </w:t>
      </w:r>
      <w:r w:rsidR="00DB1B77" w:rsidRPr="002B7D1A">
        <w:t>57</w:t>
      </w:r>
      <w:r w:rsidR="00D67203">
        <w:t> – </w:t>
      </w:r>
      <w:r w:rsidR="00DB1B77" w:rsidRPr="002B7D1A">
        <w:t>60 for mid-MW (mid-Murrumbidgee wetlands), n</w:t>
      </w:r>
      <w:r w:rsidR="00D67203">
        <w:t> </w:t>
      </w:r>
      <w:r w:rsidR="00DB1B77" w:rsidRPr="002B7D1A">
        <w:t>=</w:t>
      </w:r>
      <w:r w:rsidR="00D67203">
        <w:t> </w:t>
      </w:r>
      <w:r w:rsidR="00DB1B77" w:rsidRPr="002B7D1A">
        <w:t xml:space="preserve">64 for </w:t>
      </w:r>
      <w:r w:rsidR="00DB1B77">
        <w:t>L</w:t>
      </w:r>
      <w:r w:rsidR="00DB1B77" w:rsidRPr="002B7D1A">
        <w:t>B (</w:t>
      </w:r>
      <w:r w:rsidR="00DB1B77">
        <w:t>Lowbidgee</w:t>
      </w:r>
      <w:r w:rsidR="00DB1B77" w:rsidRPr="002B7D1A">
        <w:t>) and n</w:t>
      </w:r>
      <w:r w:rsidR="00D67203">
        <w:t> </w:t>
      </w:r>
      <w:r w:rsidR="00DB1B77" w:rsidRPr="002B7D1A">
        <w:t>=</w:t>
      </w:r>
      <w:r w:rsidR="00D67203">
        <w:t> </w:t>
      </w:r>
      <w:r w:rsidR="00DB1B77" w:rsidRPr="002B7D1A">
        <w:t>41 for WL (Western Lakes).</w:t>
      </w:r>
      <w:bookmarkEnd w:id="129"/>
      <w:r w:rsidR="00DB1B77" w:rsidRPr="002B7D1A">
        <w:t xml:space="preserve">  </w:t>
      </w:r>
    </w:p>
    <w:p w:rsidR="00DB1B77" w:rsidRDefault="00DB1B77" w:rsidP="00DB1B77"/>
    <w:p w:rsidR="00DB1B77" w:rsidRDefault="00A37CAB" w:rsidP="00DB1B77">
      <w:r>
        <w:br w:type="page"/>
      </w:r>
    </w:p>
    <w:p w:rsidR="00E1766B" w:rsidRDefault="003850A8" w:rsidP="003850A8">
      <w:pPr>
        <w:pStyle w:val="Caption1"/>
        <w:rPr>
          <w:rFonts w:eastAsia="Calibri"/>
        </w:rPr>
      </w:pPr>
      <w:bookmarkStart w:id="130" w:name="_Ref369784158"/>
      <w:bookmarkStart w:id="131" w:name="_Toc370738737"/>
      <w:r w:rsidRPr="003850A8">
        <w:rPr>
          <w:b/>
        </w:rPr>
        <w:t xml:space="preserve">Table </w:t>
      </w:r>
      <w:r w:rsidR="00D20FAE" w:rsidRPr="003850A8">
        <w:rPr>
          <w:b/>
        </w:rPr>
        <w:fldChar w:fldCharType="begin"/>
      </w:r>
      <w:r w:rsidRPr="003850A8">
        <w:rPr>
          <w:b/>
        </w:rPr>
        <w:instrText xml:space="preserve"> SEQ Table \* ARABIC </w:instrText>
      </w:r>
      <w:r w:rsidR="00D20FAE" w:rsidRPr="003850A8">
        <w:rPr>
          <w:b/>
        </w:rPr>
        <w:fldChar w:fldCharType="separate"/>
      </w:r>
      <w:r w:rsidR="00436595">
        <w:rPr>
          <w:b/>
          <w:noProof/>
        </w:rPr>
        <w:t>3</w:t>
      </w:r>
      <w:r w:rsidR="00D20FAE" w:rsidRPr="003850A8">
        <w:rPr>
          <w:b/>
        </w:rPr>
        <w:fldChar w:fldCharType="end"/>
      </w:r>
      <w:bookmarkEnd w:id="130"/>
      <w:r w:rsidR="00DB1B77" w:rsidRPr="002B7D1A">
        <w:t xml:space="preserve"> </w:t>
      </w:r>
      <w:r w:rsidR="00DB1B77" w:rsidRPr="003850A8">
        <w:rPr>
          <w:rFonts w:eastAsia="Calibri"/>
        </w:rPr>
        <w:t>Summary statistics for nutrients and carbon in the mid-Murrumbidgee, Lowbidgee and Western Lakes between August 2012 and February 2013.  Mean, median in parentheses, range in square brackets and sample size (n) are shown.</w:t>
      </w:r>
      <w:bookmarkEnd w:id="131"/>
    </w:p>
    <w:p w:rsidR="00D67203" w:rsidRPr="00D67203" w:rsidRDefault="00D67203" w:rsidP="00D67203"/>
    <w:tbl>
      <w:tblPr>
        <w:tblW w:w="0" w:type="auto"/>
        <w:tblInd w:w="288" w:type="dxa"/>
        <w:tblLook w:val="01E0"/>
      </w:tblPr>
      <w:tblGrid>
        <w:gridCol w:w="1928"/>
        <w:gridCol w:w="1199"/>
        <w:gridCol w:w="1225"/>
        <w:gridCol w:w="1080"/>
        <w:gridCol w:w="1225"/>
        <w:gridCol w:w="1165"/>
        <w:gridCol w:w="1133"/>
      </w:tblGrid>
      <w:tr w:rsidR="00DB1B77" w:rsidRPr="0027368A" w:rsidTr="003B53BF">
        <w:tc>
          <w:tcPr>
            <w:tcW w:w="0" w:type="auto"/>
            <w:tcBorders>
              <w:top w:val="single" w:sz="4" w:space="0" w:color="auto"/>
              <w:bottom w:val="single" w:sz="4" w:space="0" w:color="auto"/>
            </w:tcBorders>
          </w:tcPr>
          <w:p w:rsidR="00DB1B77" w:rsidRPr="0027368A" w:rsidRDefault="00DB1B77" w:rsidP="003B53BF">
            <w:pPr>
              <w:pStyle w:val="Tabletext"/>
              <w:rPr>
                <w:b/>
              </w:rPr>
            </w:pPr>
            <w:r w:rsidRPr="0027368A">
              <w:rPr>
                <w:b/>
              </w:rPr>
              <w:t>Area</w:t>
            </w:r>
          </w:p>
        </w:tc>
        <w:tc>
          <w:tcPr>
            <w:tcW w:w="0" w:type="auto"/>
            <w:tcBorders>
              <w:top w:val="single" w:sz="4" w:space="0" w:color="auto"/>
              <w:bottom w:val="single" w:sz="4" w:space="0" w:color="auto"/>
            </w:tcBorders>
          </w:tcPr>
          <w:p w:rsidR="00DB1B77" w:rsidRPr="0027368A" w:rsidRDefault="00DB1B77" w:rsidP="003B53BF">
            <w:pPr>
              <w:pStyle w:val="Tabletext"/>
              <w:rPr>
                <w:b/>
                <w:lang w:val="sv-SE"/>
              </w:rPr>
            </w:pPr>
            <w:r w:rsidRPr="0027368A">
              <w:rPr>
                <w:b/>
                <w:lang w:val="sv-SE"/>
              </w:rPr>
              <w:t xml:space="preserve">Total </w:t>
            </w:r>
          </w:p>
          <w:p w:rsidR="00DB1B77" w:rsidRPr="0027368A" w:rsidRDefault="00DB1B77" w:rsidP="003B53BF">
            <w:pPr>
              <w:pStyle w:val="Tabletext"/>
              <w:rPr>
                <w:b/>
                <w:lang w:val="sv-SE"/>
              </w:rPr>
            </w:pPr>
            <w:r w:rsidRPr="0027368A">
              <w:rPr>
                <w:b/>
                <w:lang w:val="sv-SE"/>
              </w:rPr>
              <w:t>ntrogen</w:t>
            </w:r>
          </w:p>
          <w:p w:rsidR="00DB1B77" w:rsidRPr="0027368A" w:rsidRDefault="00DB1B77" w:rsidP="003B53BF">
            <w:pPr>
              <w:pStyle w:val="Tabletext"/>
              <w:rPr>
                <w:b/>
                <w:lang w:val="sv-SE"/>
              </w:rPr>
            </w:pPr>
            <w:r w:rsidRPr="0027368A">
              <w:rPr>
                <w:b/>
                <w:lang w:val="sv-SE"/>
              </w:rPr>
              <w:t>(TN, µg/L)</w:t>
            </w:r>
          </w:p>
        </w:tc>
        <w:tc>
          <w:tcPr>
            <w:tcW w:w="0" w:type="auto"/>
            <w:tcBorders>
              <w:top w:val="single" w:sz="4" w:space="0" w:color="auto"/>
              <w:bottom w:val="single" w:sz="4" w:space="0" w:color="auto"/>
            </w:tcBorders>
          </w:tcPr>
          <w:p w:rsidR="00DB1B77" w:rsidRPr="0027368A" w:rsidRDefault="00DB1B77" w:rsidP="003B53BF">
            <w:pPr>
              <w:pStyle w:val="Tabletext"/>
              <w:rPr>
                <w:b/>
              </w:rPr>
            </w:pPr>
            <w:r w:rsidRPr="0027368A">
              <w:rPr>
                <w:b/>
              </w:rPr>
              <w:t>Total</w:t>
            </w:r>
          </w:p>
          <w:p w:rsidR="00DB1B77" w:rsidRPr="0027368A" w:rsidRDefault="00DB1B77" w:rsidP="003B53BF">
            <w:pPr>
              <w:pStyle w:val="Tabletext"/>
              <w:rPr>
                <w:b/>
              </w:rPr>
            </w:pPr>
            <w:r w:rsidRPr="0027368A">
              <w:rPr>
                <w:b/>
              </w:rPr>
              <w:t>phosphorus</w:t>
            </w:r>
          </w:p>
          <w:p w:rsidR="00DB1B77" w:rsidRPr="0027368A" w:rsidRDefault="00DB1B77" w:rsidP="003B53BF">
            <w:pPr>
              <w:pStyle w:val="Tabletext"/>
              <w:rPr>
                <w:b/>
              </w:rPr>
            </w:pPr>
            <w:r w:rsidRPr="0027368A">
              <w:rPr>
                <w:b/>
              </w:rPr>
              <w:t>(TP, µg/L)</w:t>
            </w:r>
          </w:p>
        </w:tc>
        <w:tc>
          <w:tcPr>
            <w:tcW w:w="0" w:type="auto"/>
            <w:tcBorders>
              <w:top w:val="single" w:sz="4" w:space="0" w:color="auto"/>
              <w:bottom w:val="single" w:sz="4" w:space="0" w:color="auto"/>
            </w:tcBorders>
          </w:tcPr>
          <w:p w:rsidR="00DB1B77" w:rsidRPr="0027368A" w:rsidRDefault="00DB1B77" w:rsidP="003B53BF">
            <w:pPr>
              <w:pStyle w:val="Tabletext"/>
              <w:rPr>
                <w:b/>
                <w:lang w:val="sv-SE"/>
              </w:rPr>
            </w:pPr>
            <w:r w:rsidRPr="0027368A">
              <w:rPr>
                <w:b/>
                <w:lang w:val="sv-SE"/>
              </w:rPr>
              <w:t>Dissolved</w:t>
            </w:r>
          </w:p>
          <w:p w:rsidR="00DB1B77" w:rsidRPr="0027368A" w:rsidRDefault="00DB1B77" w:rsidP="003B53BF">
            <w:pPr>
              <w:pStyle w:val="Tabletext"/>
              <w:rPr>
                <w:b/>
                <w:lang w:val="sv-SE"/>
              </w:rPr>
            </w:pPr>
            <w:r w:rsidRPr="0027368A">
              <w:rPr>
                <w:b/>
                <w:lang w:val="sv-SE"/>
              </w:rPr>
              <w:t>inorganic</w:t>
            </w:r>
          </w:p>
          <w:p w:rsidR="00DB1B77" w:rsidRPr="0027368A" w:rsidRDefault="00DB1B77" w:rsidP="003B53BF">
            <w:pPr>
              <w:pStyle w:val="Tabletext"/>
              <w:rPr>
                <w:b/>
                <w:lang w:val="sv-SE"/>
              </w:rPr>
            </w:pPr>
            <w:r w:rsidRPr="0027368A">
              <w:rPr>
                <w:b/>
                <w:lang w:val="sv-SE"/>
              </w:rPr>
              <w:t>ntrogen</w:t>
            </w:r>
          </w:p>
          <w:p w:rsidR="00DB1B77" w:rsidRPr="0027368A" w:rsidRDefault="00DB1B77" w:rsidP="003B53BF">
            <w:pPr>
              <w:pStyle w:val="Tabletext"/>
              <w:rPr>
                <w:rFonts w:cs="Arial"/>
                <w:b/>
                <w:lang w:val="sv-SE"/>
              </w:rPr>
            </w:pPr>
            <w:r w:rsidRPr="0027368A">
              <w:rPr>
                <w:b/>
                <w:lang w:val="sv-SE"/>
              </w:rPr>
              <w:t>(DIN, µg/L)</w:t>
            </w:r>
          </w:p>
        </w:tc>
        <w:tc>
          <w:tcPr>
            <w:tcW w:w="0" w:type="auto"/>
            <w:tcBorders>
              <w:top w:val="single" w:sz="4" w:space="0" w:color="auto"/>
              <w:bottom w:val="single" w:sz="4" w:space="0" w:color="auto"/>
            </w:tcBorders>
          </w:tcPr>
          <w:p w:rsidR="00DB1B77" w:rsidRPr="0027368A" w:rsidRDefault="00DB1B77" w:rsidP="003B53BF">
            <w:pPr>
              <w:pStyle w:val="Tabletext"/>
              <w:rPr>
                <w:b/>
              </w:rPr>
            </w:pPr>
            <w:r w:rsidRPr="0027368A">
              <w:rPr>
                <w:b/>
              </w:rPr>
              <w:t>Dissolved</w:t>
            </w:r>
          </w:p>
          <w:p w:rsidR="00DB1B77" w:rsidRPr="0027368A" w:rsidRDefault="00DB1B77" w:rsidP="003B53BF">
            <w:pPr>
              <w:pStyle w:val="Tabletext"/>
              <w:rPr>
                <w:b/>
              </w:rPr>
            </w:pPr>
            <w:r w:rsidRPr="0027368A">
              <w:rPr>
                <w:b/>
              </w:rPr>
              <w:t>reactive</w:t>
            </w:r>
          </w:p>
          <w:p w:rsidR="00DB1B77" w:rsidRPr="0027368A" w:rsidRDefault="00DB1B77" w:rsidP="003B53BF">
            <w:pPr>
              <w:pStyle w:val="Tabletext"/>
              <w:rPr>
                <w:b/>
              </w:rPr>
            </w:pPr>
            <w:r w:rsidRPr="0027368A">
              <w:rPr>
                <w:b/>
              </w:rPr>
              <w:t>phosphorus</w:t>
            </w:r>
          </w:p>
          <w:p w:rsidR="00DB1B77" w:rsidRPr="0027368A" w:rsidRDefault="00DB1B77" w:rsidP="003B53BF">
            <w:pPr>
              <w:pStyle w:val="Tabletext"/>
              <w:rPr>
                <w:b/>
              </w:rPr>
            </w:pPr>
            <w:r w:rsidRPr="0027368A">
              <w:rPr>
                <w:b/>
              </w:rPr>
              <w:t>(DRP, µg/L)</w:t>
            </w:r>
          </w:p>
        </w:tc>
        <w:tc>
          <w:tcPr>
            <w:tcW w:w="0" w:type="auto"/>
            <w:tcBorders>
              <w:top w:val="single" w:sz="4" w:space="0" w:color="auto"/>
              <w:bottom w:val="single" w:sz="4" w:space="0" w:color="auto"/>
            </w:tcBorders>
          </w:tcPr>
          <w:p w:rsidR="00DB1B77" w:rsidRPr="0027368A" w:rsidRDefault="00DB1B77" w:rsidP="003B53BF">
            <w:pPr>
              <w:pStyle w:val="Tabletext"/>
              <w:rPr>
                <w:b/>
              </w:rPr>
            </w:pPr>
            <w:r w:rsidRPr="0027368A">
              <w:rPr>
                <w:b/>
              </w:rPr>
              <w:t>Dissolved</w:t>
            </w:r>
          </w:p>
          <w:p w:rsidR="00DB1B77" w:rsidRPr="0027368A" w:rsidRDefault="00DB1B77" w:rsidP="003B53BF">
            <w:pPr>
              <w:pStyle w:val="Tabletext"/>
              <w:rPr>
                <w:b/>
              </w:rPr>
            </w:pPr>
            <w:r w:rsidRPr="0027368A">
              <w:rPr>
                <w:b/>
              </w:rPr>
              <w:t>silica</w:t>
            </w:r>
          </w:p>
          <w:p w:rsidR="00DB1B77" w:rsidRPr="0027368A" w:rsidRDefault="00DB1B77" w:rsidP="003B53BF">
            <w:pPr>
              <w:pStyle w:val="Tabletext"/>
              <w:rPr>
                <w:b/>
              </w:rPr>
            </w:pPr>
            <w:r w:rsidRPr="0027368A">
              <w:rPr>
                <w:b/>
              </w:rPr>
              <w:t xml:space="preserve">(DSi, </w:t>
            </w:r>
            <w:r w:rsidR="008654A8" w:rsidRPr="0027368A">
              <w:rPr>
                <w:b/>
              </w:rPr>
              <w:t xml:space="preserve">µg </w:t>
            </w:r>
            <w:r w:rsidRPr="0027368A">
              <w:rPr>
                <w:b/>
              </w:rPr>
              <w:t>/L)</w:t>
            </w:r>
          </w:p>
        </w:tc>
        <w:tc>
          <w:tcPr>
            <w:tcW w:w="0" w:type="auto"/>
            <w:tcBorders>
              <w:top w:val="single" w:sz="4" w:space="0" w:color="auto"/>
              <w:bottom w:val="single" w:sz="4" w:space="0" w:color="auto"/>
            </w:tcBorders>
          </w:tcPr>
          <w:p w:rsidR="00DB1B77" w:rsidRPr="0027368A" w:rsidRDefault="00DB1B77" w:rsidP="003B53BF">
            <w:pPr>
              <w:pStyle w:val="Tabletext"/>
              <w:rPr>
                <w:b/>
              </w:rPr>
            </w:pPr>
            <w:r w:rsidRPr="0027368A">
              <w:rPr>
                <w:b/>
              </w:rPr>
              <w:t>Dissolved</w:t>
            </w:r>
          </w:p>
          <w:p w:rsidR="00DB1B77" w:rsidRPr="0027368A" w:rsidRDefault="00DB1B77" w:rsidP="003B53BF">
            <w:pPr>
              <w:pStyle w:val="Tabletext"/>
              <w:rPr>
                <w:b/>
              </w:rPr>
            </w:pPr>
            <w:r w:rsidRPr="0027368A">
              <w:rPr>
                <w:b/>
              </w:rPr>
              <w:t>organic</w:t>
            </w:r>
          </w:p>
          <w:p w:rsidR="00DB1B77" w:rsidRPr="0027368A" w:rsidRDefault="00DB1B77" w:rsidP="003B53BF">
            <w:pPr>
              <w:pStyle w:val="Tabletext"/>
              <w:rPr>
                <w:b/>
              </w:rPr>
            </w:pPr>
            <w:r w:rsidRPr="0027368A">
              <w:rPr>
                <w:b/>
              </w:rPr>
              <w:t>carbon</w:t>
            </w:r>
          </w:p>
          <w:p w:rsidR="00DB1B77" w:rsidRPr="0027368A" w:rsidRDefault="00DB1B77" w:rsidP="003B53BF">
            <w:pPr>
              <w:pStyle w:val="Tabletext"/>
              <w:rPr>
                <w:b/>
              </w:rPr>
            </w:pPr>
            <w:r w:rsidRPr="0027368A">
              <w:rPr>
                <w:b/>
              </w:rPr>
              <w:t>(DOC, mg/L)</w:t>
            </w:r>
          </w:p>
        </w:tc>
      </w:tr>
      <w:tr w:rsidR="00DB1B77" w:rsidRPr="00CE4DB2" w:rsidTr="003B53BF">
        <w:tc>
          <w:tcPr>
            <w:tcW w:w="0" w:type="auto"/>
            <w:tcBorders>
              <w:top w:val="single" w:sz="4" w:space="0" w:color="auto"/>
            </w:tcBorders>
          </w:tcPr>
          <w:p w:rsidR="00DB1B77" w:rsidRPr="00CE4DB2" w:rsidRDefault="00DB1B77" w:rsidP="003B53BF">
            <w:pPr>
              <w:pStyle w:val="Tabletext"/>
              <w:rPr>
                <w:sz w:val="6"/>
                <w:szCs w:val="6"/>
              </w:rPr>
            </w:pPr>
          </w:p>
        </w:tc>
        <w:tc>
          <w:tcPr>
            <w:tcW w:w="0" w:type="auto"/>
            <w:tcBorders>
              <w:top w:val="single" w:sz="4" w:space="0" w:color="auto"/>
            </w:tcBorders>
          </w:tcPr>
          <w:p w:rsidR="00DB1B77" w:rsidRPr="00CE4DB2" w:rsidRDefault="00DB1B77" w:rsidP="003B53BF">
            <w:pPr>
              <w:pStyle w:val="Tabletext"/>
              <w:rPr>
                <w:sz w:val="6"/>
                <w:szCs w:val="6"/>
              </w:rPr>
            </w:pPr>
          </w:p>
        </w:tc>
        <w:tc>
          <w:tcPr>
            <w:tcW w:w="0" w:type="auto"/>
            <w:tcBorders>
              <w:top w:val="single" w:sz="4" w:space="0" w:color="auto"/>
            </w:tcBorders>
          </w:tcPr>
          <w:p w:rsidR="00DB1B77" w:rsidRPr="00CE4DB2" w:rsidRDefault="00DB1B77" w:rsidP="003B53BF">
            <w:pPr>
              <w:pStyle w:val="Tabletext"/>
              <w:rPr>
                <w:sz w:val="6"/>
                <w:szCs w:val="6"/>
              </w:rPr>
            </w:pPr>
          </w:p>
        </w:tc>
        <w:tc>
          <w:tcPr>
            <w:tcW w:w="0" w:type="auto"/>
            <w:tcBorders>
              <w:top w:val="single" w:sz="4" w:space="0" w:color="auto"/>
            </w:tcBorders>
          </w:tcPr>
          <w:p w:rsidR="00DB1B77" w:rsidRPr="00CE4DB2" w:rsidRDefault="00DB1B77" w:rsidP="003B53BF">
            <w:pPr>
              <w:pStyle w:val="Tabletext"/>
              <w:rPr>
                <w:sz w:val="6"/>
                <w:szCs w:val="6"/>
              </w:rPr>
            </w:pPr>
          </w:p>
        </w:tc>
        <w:tc>
          <w:tcPr>
            <w:tcW w:w="0" w:type="auto"/>
            <w:tcBorders>
              <w:top w:val="single" w:sz="4" w:space="0" w:color="auto"/>
            </w:tcBorders>
          </w:tcPr>
          <w:p w:rsidR="00DB1B77" w:rsidRPr="00CE4DB2" w:rsidRDefault="00DB1B77" w:rsidP="003B53BF">
            <w:pPr>
              <w:pStyle w:val="Tabletext"/>
              <w:rPr>
                <w:sz w:val="6"/>
                <w:szCs w:val="6"/>
              </w:rPr>
            </w:pPr>
          </w:p>
        </w:tc>
        <w:tc>
          <w:tcPr>
            <w:tcW w:w="0" w:type="auto"/>
            <w:tcBorders>
              <w:top w:val="single" w:sz="4" w:space="0" w:color="auto"/>
            </w:tcBorders>
          </w:tcPr>
          <w:p w:rsidR="00DB1B77" w:rsidRPr="00CE4DB2" w:rsidRDefault="00DB1B77" w:rsidP="003B53BF">
            <w:pPr>
              <w:pStyle w:val="Tabletext"/>
              <w:rPr>
                <w:sz w:val="6"/>
                <w:szCs w:val="6"/>
              </w:rPr>
            </w:pPr>
          </w:p>
        </w:tc>
        <w:tc>
          <w:tcPr>
            <w:tcW w:w="0" w:type="auto"/>
            <w:tcBorders>
              <w:top w:val="single" w:sz="4" w:space="0" w:color="auto"/>
            </w:tcBorders>
          </w:tcPr>
          <w:p w:rsidR="00DB1B77" w:rsidRPr="00CE4DB2" w:rsidRDefault="00DB1B77" w:rsidP="003B53BF">
            <w:pPr>
              <w:pStyle w:val="Tabletext"/>
              <w:rPr>
                <w:sz w:val="6"/>
                <w:szCs w:val="6"/>
              </w:rPr>
            </w:pPr>
          </w:p>
        </w:tc>
      </w:tr>
      <w:tr w:rsidR="00DB1B77" w:rsidRPr="00CE4DB2" w:rsidTr="003B53BF">
        <w:tc>
          <w:tcPr>
            <w:tcW w:w="0" w:type="auto"/>
          </w:tcPr>
          <w:p w:rsidR="00DB1B77" w:rsidRPr="00CE4DB2" w:rsidRDefault="00DB1B77" w:rsidP="003B53BF">
            <w:pPr>
              <w:pStyle w:val="Tabletext"/>
            </w:pPr>
            <w:smartTag w:uri="urn:schemas-microsoft-com:office:smarttags" w:element="place">
              <w:smartTag w:uri="urn:schemas-microsoft-com:office:smarttags" w:element="PlaceName">
                <w:r>
                  <w:t>Murrumbidgee</w:t>
                </w:r>
              </w:smartTag>
              <w:r>
                <w:t xml:space="preserve"> </w:t>
              </w:r>
              <w:smartTag w:uri="urn:schemas-microsoft-com:office:smarttags" w:element="PlaceType">
                <w:r>
                  <w:t>River</w:t>
                </w:r>
              </w:smartTag>
            </w:smartTag>
          </w:p>
          <w:p w:rsidR="00DB1B77" w:rsidRPr="00CE4DB2" w:rsidRDefault="00DB1B77" w:rsidP="003B53BF">
            <w:pPr>
              <w:pStyle w:val="Tabletext"/>
            </w:pPr>
          </w:p>
        </w:tc>
        <w:tc>
          <w:tcPr>
            <w:tcW w:w="0" w:type="auto"/>
          </w:tcPr>
          <w:p w:rsidR="00DB1B77" w:rsidRPr="00CE4DB2" w:rsidRDefault="00DB1B77" w:rsidP="003B53BF">
            <w:pPr>
              <w:pStyle w:val="Tabletext"/>
            </w:pPr>
            <w:r w:rsidRPr="00CE4DB2">
              <w:t>707(554)</w:t>
            </w:r>
          </w:p>
          <w:p w:rsidR="00DB1B77" w:rsidRPr="00CE4DB2" w:rsidRDefault="00DB1B77" w:rsidP="003B53BF">
            <w:pPr>
              <w:pStyle w:val="Tabletext"/>
            </w:pPr>
            <w:r w:rsidRPr="00CE4DB2">
              <w:t>[232-3904]</w:t>
            </w:r>
          </w:p>
          <w:p w:rsidR="00DB1B77" w:rsidRPr="00CE4DB2" w:rsidRDefault="00DB1B77" w:rsidP="003B53BF">
            <w:pPr>
              <w:pStyle w:val="Tabletext"/>
            </w:pPr>
            <w:r w:rsidRPr="00CE4DB2">
              <w:t>n=70</w:t>
            </w:r>
          </w:p>
        </w:tc>
        <w:tc>
          <w:tcPr>
            <w:tcW w:w="0" w:type="auto"/>
          </w:tcPr>
          <w:p w:rsidR="00DB1B77" w:rsidRPr="00CE4DB2" w:rsidRDefault="00DB1B77" w:rsidP="003B53BF">
            <w:pPr>
              <w:pStyle w:val="Tabletext"/>
            </w:pPr>
            <w:r w:rsidRPr="00CE4DB2">
              <w:t>62(36)</w:t>
            </w:r>
          </w:p>
          <w:p w:rsidR="00DB1B77" w:rsidRPr="00CE4DB2" w:rsidRDefault="00DB1B77" w:rsidP="003B53BF">
            <w:pPr>
              <w:pStyle w:val="Tabletext"/>
            </w:pPr>
            <w:r w:rsidRPr="00CE4DB2">
              <w:t>[22-492]</w:t>
            </w:r>
          </w:p>
          <w:p w:rsidR="00DB1B77" w:rsidRPr="00CE4DB2" w:rsidRDefault="00DB1B77" w:rsidP="003B53BF">
            <w:pPr>
              <w:pStyle w:val="Tabletext"/>
            </w:pPr>
            <w:r w:rsidRPr="00CE4DB2">
              <w:t>n=70</w:t>
            </w:r>
          </w:p>
        </w:tc>
        <w:tc>
          <w:tcPr>
            <w:tcW w:w="0" w:type="auto"/>
          </w:tcPr>
          <w:p w:rsidR="00DB1B77" w:rsidRPr="00CE4DB2" w:rsidRDefault="00DB1B77" w:rsidP="003B53BF">
            <w:pPr>
              <w:pStyle w:val="Tabletext"/>
            </w:pPr>
            <w:r w:rsidRPr="00CE4DB2">
              <w:t>188(196)</w:t>
            </w:r>
          </w:p>
          <w:p w:rsidR="00DB1B77" w:rsidRPr="00CE4DB2" w:rsidRDefault="00DB1B77" w:rsidP="003B53BF">
            <w:pPr>
              <w:pStyle w:val="Tabletext"/>
            </w:pPr>
            <w:r w:rsidRPr="00CE4DB2">
              <w:t>[8-302]</w:t>
            </w:r>
          </w:p>
          <w:p w:rsidR="00DB1B77" w:rsidRPr="00CE4DB2" w:rsidRDefault="00DB1B77" w:rsidP="003B53BF">
            <w:pPr>
              <w:pStyle w:val="Tabletext"/>
            </w:pPr>
            <w:r w:rsidRPr="00CE4DB2">
              <w:t>n=70</w:t>
            </w:r>
          </w:p>
        </w:tc>
        <w:tc>
          <w:tcPr>
            <w:tcW w:w="0" w:type="auto"/>
          </w:tcPr>
          <w:p w:rsidR="00DB1B77" w:rsidRPr="00CE4DB2" w:rsidRDefault="00DB1B77" w:rsidP="003B53BF">
            <w:pPr>
              <w:pStyle w:val="Tabletext"/>
            </w:pPr>
            <w:r w:rsidRPr="00CE4DB2">
              <w:t>7(7)</w:t>
            </w:r>
          </w:p>
          <w:p w:rsidR="00DB1B77" w:rsidRPr="00CE4DB2" w:rsidRDefault="00DB1B77" w:rsidP="003B53BF">
            <w:pPr>
              <w:pStyle w:val="Tabletext"/>
            </w:pPr>
            <w:r w:rsidRPr="00CE4DB2">
              <w:t>[4-11]</w:t>
            </w:r>
          </w:p>
          <w:p w:rsidR="00DB1B77" w:rsidRPr="00CE4DB2" w:rsidRDefault="00DB1B77" w:rsidP="003B53BF">
            <w:pPr>
              <w:pStyle w:val="Tabletext"/>
            </w:pPr>
            <w:r w:rsidRPr="00CE4DB2">
              <w:t>n=70</w:t>
            </w:r>
          </w:p>
        </w:tc>
        <w:tc>
          <w:tcPr>
            <w:tcW w:w="0" w:type="auto"/>
          </w:tcPr>
          <w:p w:rsidR="00DB1B77" w:rsidRPr="00CE4DB2" w:rsidRDefault="00DB1B77" w:rsidP="003B53BF">
            <w:pPr>
              <w:pStyle w:val="Tabletext"/>
            </w:pPr>
            <w:r w:rsidRPr="00CE4DB2">
              <w:t>3986(3738)</w:t>
            </w:r>
          </w:p>
          <w:p w:rsidR="00DB1B77" w:rsidRPr="00CE4DB2" w:rsidRDefault="00DB1B77" w:rsidP="003B53BF">
            <w:pPr>
              <w:pStyle w:val="Tabletext"/>
            </w:pPr>
            <w:r w:rsidRPr="00CE4DB2">
              <w:t>[2699-6819]</w:t>
            </w:r>
          </w:p>
          <w:p w:rsidR="00DB1B77" w:rsidRPr="00CE4DB2" w:rsidRDefault="00DB1B77" w:rsidP="003B53BF">
            <w:pPr>
              <w:pStyle w:val="Tabletext"/>
            </w:pPr>
            <w:r w:rsidRPr="00CE4DB2">
              <w:t>n=70</w:t>
            </w:r>
          </w:p>
        </w:tc>
        <w:tc>
          <w:tcPr>
            <w:tcW w:w="0" w:type="auto"/>
          </w:tcPr>
          <w:p w:rsidR="00DB1B77" w:rsidRPr="00CE4DB2" w:rsidRDefault="00DB1B77" w:rsidP="003B53BF">
            <w:pPr>
              <w:pStyle w:val="Tabletext"/>
            </w:pPr>
            <w:r w:rsidRPr="00CE4DB2">
              <w:t>7(6)</w:t>
            </w:r>
          </w:p>
          <w:p w:rsidR="00DB1B77" w:rsidRPr="00CE4DB2" w:rsidRDefault="00DB1B77" w:rsidP="003B53BF">
            <w:pPr>
              <w:pStyle w:val="Tabletext"/>
            </w:pPr>
            <w:r w:rsidRPr="00CE4DB2">
              <w:t>[4-26]</w:t>
            </w:r>
          </w:p>
          <w:p w:rsidR="00DB1B77" w:rsidRPr="00CE4DB2" w:rsidRDefault="00DB1B77" w:rsidP="003B53BF">
            <w:pPr>
              <w:pStyle w:val="Tabletext"/>
            </w:pPr>
            <w:r w:rsidRPr="00CE4DB2">
              <w:t>n=70</w:t>
            </w:r>
          </w:p>
        </w:tc>
      </w:tr>
      <w:tr w:rsidR="00DB1B77" w:rsidRPr="00CE4DB2" w:rsidTr="003B53BF">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r>
      <w:tr w:rsidR="00DB1B77" w:rsidRPr="00CE4DB2" w:rsidTr="003B53BF">
        <w:tc>
          <w:tcPr>
            <w:tcW w:w="0" w:type="auto"/>
          </w:tcPr>
          <w:p w:rsidR="00DB1B77" w:rsidRPr="00CE4DB2" w:rsidRDefault="00DB1B77" w:rsidP="003B53BF">
            <w:pPr>
              <w:pStyle w:val="Tabletext"/>
            </w:pPr>
            <w:r w:rsidRPr="00CE4DB2">
              <w:t>mid-</w:t>
            </w:r>
            <w:r>
              <w:t>Murrumbidgee wetlands</w:t>
            </w:r>
          </w:p>
          <w:p w:rsidR="00DB1B77" w:rsidRPr="00CE4DB2" w:rsidRDefault="00DB1B77" w:rsidP="003B53BF">
            <w:pPr>
              <w:pStyle w:val="Tabletext"/>
            </w:pPr>
          </w:p>
        </w:tc>
        <w:tc>
          <w:tcPr>
            <w:tcW w:w="0" w:type="auto"/>
          </w:tcPr>
          <w:p w:rsidR="00DB1B77" w:rsidRPr="00CE4DB2" w:rsidRDefault="00DB1B77" w:rsidP="003B53BF">
            <w:pPr>
              <w:pStyle w:val="Tabletext"/>
            </w:pPr>
            <w:r w:rsidRPr="00CE4DB2">
              <w:t>3288(1822)</w:t>
            </w:r>
          </w:p>
          <w:p w:rsidR="00DB1B77" w:rsidRPr="00CE4DB2" w:rsidRDefault="00DB1B77" w:rsidP="003B53BF">
            <w:pPr>
              <w:pStyle w:val="Tabletext"/>
            </w:pPr>
            <w:r w:rsidRPr="00CE4DB2">
              <w:t>[380-14780]</w:t>
            </w:r>
          </w:p>
          <w:p w:rsidR="00DB1B77" w:rsidRPr="00CE4DB2" w:rsidRDefault="00DB1B77" w:rsidP="003B53BF">
            <w:pPr>
              <w:pStyle w:val="Tabletext"/>
            </w:pPr>
            <w:r w:rsidRPr="00CE4DB2">
              <w:t>n=57</w:t>
            </w:r>
          </w:p>
        </w:tc>
        <w:tc>
          <w:tcPr>
            <w:tcW w:w="0" w:type="auto"/>
          </w:tcPr>
          <w:p w:rsidR="00DB1B77" w:rsidRPr="00CE4DB2" w:rsidRDefault="00DB1B77" w:rsidP="003B53BF">
            <w:pPr>
              <w:pStyle w:val="Tabletext"/>
            </w:pPr>
            <w:r w:rsidRPr="00CE4DB2">
              <w:t>356(243)</w:t>
            </w:r>
          </w:p>
          <w:p w:rsidR="00DB1B77" w:rsidRPr="00CE4DB2" w:rsidRDefault="00DB1B77" w:rsidP="003B53BF">
            <w:pPr>
              <w:pStyle w:val="Tabletext"/>
            </w:pPr>
            <w:r w:rsidRPr="00CE4DB2">
              <w:t>[24-1533]</w:t>
            </w:r>
          </w:p>
          <w:p w:rsidR="00DB1B77" w:rsidRPr="00CE4DB2" w:rsidRDefault="00DB1B77" w:rsidP="003B53BF">
            <w:pPr>
              <w:pStyle w:val="Tabletext"/>
            </w:pPr>
            <w:r w:rsidRPr="00CE4DB2">
              <w:t>n=57</w:t>
            </w:r>
          </w:p>
        </w:tc>
        <w:tc>
          <w:tcPr>
            <w:tcW w:w="0" w:type="auto"/>
          </w:tcPr>
          <w:p w:rsidR="00DB1B77" w:rsidRPr="00CE4DB2" w:rsidRDefault="00DB1B77" w:rsidP="003B53BF">
            <w:pPr>
              <w:pStyle w:val="Tabletext"/>
            </w:pPr>
            <w:r w:rsidRPr="00CE4DB2">
              <w:t>105(28)</w:t>
            </w:r>
          </w:p>
          <w:p w:rsidR="00DB1B77" w:rsidRPr="00CE4DB2" w:rsidRDefault="00DB1B77" w:rsidP="003B53BF">
            <w:pPr>
              <w:pStyle w:val="Tabletext"/>
            </w:pPr>
            <w:r w:rsidRPr="00CE4DB2">
              <w:t>[5-500]</w:t>
            </w:r>
          </w:p>
          <w:p w:rsidR="00DB1B77" w:rsidRPr="00CE4DB2" w:rsidRDefault="00DB1B77" w:rsidP="003B53BF">
            <w:pPr>
              <w:pStyle w:val="Tabletext"/>
            </w:pPr>
            <w:r w:rsidRPr="00CE4DB2">
              <w:t>n=60</w:t>
            </w:r>
          </w:p>
        </w:tc>
        <w:tc>
          <w:tcPr>
            <w:tcW w:w="0" w:type="auto"/>
          </w:tcPr>
          <w:p w:rsidR="00DB1B77" w:rsidRPr="00CE4DB2" w:rsidRDefault="00DB1B77" w:rsidP="003B53BF">
            <w:pPr>
              <w:pStyle w:val="Tabletext"/>
            </w:pPr>
            <w:r w:rsidRPr="00CE4DB2">
              <w:t>13(8)</w:t>
            </w:r>
          </w:p>
          <w:p w:rsidR="00DB1B77" w:rsidRPr="00CE4DB2" w:rsidRDefault="00DB1B77" w:rsidP="003B53BF">
            <w:pPr>
              <w:pStyle w:val="Tabletext"/>
            </w:pPr>
            <w:r w:rsidRPr="00CE4DB2">
              <w:t>[4-58]</w:t>
            </w:r>
          </w:p>
          <w:p w:rsidR="00DB1B77" w:rsidRPr="00CE4DB2" w:rsidRDefault="00DB1B77" w:rsidP="003B53BF">
            <w:pPr>
              <w:pStyle w:val="Tabletext"/>
            </w:pPr>
            <w:r w:rsidRPr="00CE4DB2">
              <w:t>n=60</w:t>
            </w:r>
          </w:p>
        </w:tc>
        <w:tc>
          <w:tcPr>
            <w:tcW w:w="0" w:type="auto"/>
          </w:tcPr>
          <w:p w:rsidR="00DB1B77" w:rsidRPr="00CE4DB2" w:rsidRDefault="00DB1B77" w:rsidP="003B53BF">
            <w:pPr>
              <w:pStyle w:val="Tabletext"/>
            </w:pPr>
            <w:r w:rsidRPr="00CE4DB2">
              <w:t>3073(3408)</w:t>
            </w:r>
          </w:p>
          <w:p w:rsidR="00DB1B77" w:rsidRPr="00CE4DB2" w:rsidRDefault="00DB1B77" w:rsidP="003B53BF">
            <w:pPr>
              <w:pStyle w:val="Tabletext"/>
            </w:pPr>
            <w:r w:rsidRPr="00CE4DB2">
              <w:t>[206-6162]</w:t>
            </w:r>
          </w:p>
          <w:p w:rsidR="00DB1B77" w:rsidRPr="00CE4DB2" w:rsidRDefault="00DB1B77" w:rsidP="003B53BF">
            <w:pPr>
              <w:pStyle w:val="Tabletext"/>
            </w:pPr>
            <w:r w:rsidRPr="00CE4DB2">
              <w:t>n=60</w:t>
            </w:r>
          </w:p>
        </w:tc>
        <w:tc>
          <w:tcPr>
            <w:tcW w:w="0" w:type="auto"/>
          </w:tcPr>
          <w:p w:rsidR="00DB1B77" w:rsidRPr="00CE4DB2" w:rsidRDefault="00DB1B77" w:rsidP="003B53BF">
            <w:pPr>
              <w:pStyle w:val="Tabletext"/>
            </w:pPr>
            <w:r w:rsidRPr="00CE4DB2">
              <w:t>24(14)</w:t>
            </w:r>
          </w:p>
          <w:p w:rsidR="00DB1B77" w:rsidRPr="00CE4DB2" w:rsidRDefault="00DB1B77" w:rsidP="003B53BF">
            <w:pPr>
              <w:pStyle w:val="Tabletext"/>
            </w:pPr>
            <w:r w:rsidRPr="00CE4DB2">
              <w:t>[4-130]</w:t>
            </w:r>
          </w:p>
          <w:p w:rsidR="00DB1B77" w:rsidRPr="00CE4DB2" w:rsidRDefault="00DB1B77" w:rsidP="003B53BF">
            <w:pPr>
              <w:pStyle w:val="Tabletext"/>
            </w:pPr>
            <w:r w:rsidRPr="00CE4DB2">
              <w:t>n=60</w:t>
            </w:r>
          </w:p>
        </w:tc>
      </w:tr>
      <w:tr w:rsidR="00DB1B77" w:rsidRPr="00CE4DB2" w:rsidTr="003B53BF">
        <w:trPr>
          <w:trHeight w:val="74"/>
        </w:trPr>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r>
      <w:tr w:rsidR="00DB1B77" w:rsidRPr="00CE4DB2" w:rsidTr="003B53BF">
        <w:tc>
          <w:tcPr>
            <w:tcW w:w="0" w:type="auto"/>
          </w:tcPr>
          <w:p w:rsidR="00DB1B77" w:rsidRPr="00CE4DB2" w:rsidRDefault="00DB1B77" w:rsidP="003B53BF">
            <w:pPr>
              <w:pStyle w:val="Tabletext"/>
            </w:pPr>
            <w:r>
              <w:t>Lowbidgee wetlands</w:t>
            </w:r>
          </w:p>
          <w:p w:rsidR="00DB1B77" w:rsidRPr="00CE4DB2" w:rsidRDefault="00DB1B77" w:rsidP="003B53BF">
            <w:pPr>
              <w:pStyle w:val="Tabletext"/>
            </w:pPr>
          </w:p>
        </w:tc>
        <w:tc>
          <w:tcPr>
            <w:tcW w:w="0" w:type="auto"/>
          </w:tcPr>
          <w:p w:rsidR="00DB1B77" w:rsidRPr="00CE4DB2" w:rsidRDefault="00DB1B77" w:rsidP="003B53BF">
            <w:pPr>
              <w:pStyle w:val="Tabletext"/>
            </w:pPr>
            <w:r w:rsidRPr="00CE4DB2">
              <w:t>4474(1228)</w:t>
            </w:r>
          </w:p>
          <w:p w:rsidR="00DB1B77" w:rsidRPr="00CE4DB2" w:rsidRDefault="00DB1B77" w:rsidP="003B53BF">
            <w:pPr>
              <w:pStyle w:val="Tabletext"/>
            </w:pPr>
            <w:r w:rsidRPr="00CE4DB2">
              <w:t>[512-36980]</w:t>
            </w:r>
          </w:p>
          <w:p w:rsidR="00DB1B77" w:rsidRPr="00CE4DB2" w:rsidRDefault="00DB1B77" w:rsidP="003B53BF">
            <w:pPr>
              <w:pStyle w:val="Tabletext"/>
            </w:pPr>
            <w:r w:rsidRPr="00CE4DB2">
              <w:t>n=64</w:t>
            </w:r>
          </w:p>
        </w:tc>
        <w:tc>
          <w:tcPr>
            <w:tcW w:w="0" w:type="auto"/>
          </w:tcPr>
          <w:p w:rsidR="00DB1B77" w:rsidRPr="00CE4DB2" w:rsidRDefault="00DB1B77" w:rsidP="003B53BF">
            <w:pPr>
              <w:pStyle w:val="Tabletext"/>
            </w:pPr>
            <w:r w:rsidRPr="00CE4DB2">
              <w:t>425(132)</w:t>
            </w:r>
          </w:p>
          <w:p w:rsidR="00DB1B77" w:rsidRPr="00CE4DB2" w:rsidRDefault="00DB1B77" w:rsidP="003B53BF">
            <w:pPr>
              <w:pStyle w:val="Tabletext"/>
            </w:pPr>
            <w:r w:rsidRPr="00CE4DB2">
              <w:t>[51-2546]</w:t>
            </w:r>
          </w:p>
          <w:p w:rsidR="00DB1B77" w:rsidRPr="00CE4DB2" w:rsidRDefault="00DB1B77" w:rsidP="003B53BF">
            <w:pPr>
              <w:pStyle w:val="Tabletext"/>
            </w:pPr>
            <w:r w:rsidRPr="00CE4DB2">
              <w:t>n=64</w:t>
            </w:r>
          </w:p>
        </w:tc>
        <w:tc>
          <w:tcPr>
            <w:tcW w:w="0" w:type="auto"/>
          </w:tcPr>
          <w:p w:rsidR="00DB1B77" w:rsidRPr="00CE4DB2" w:rsidRDefault="00DB1B77" w:rsidP="003B53BF">
            <w:pPr>
              <w:pStyle w:val="Tabletext"/>
            </w:pPr>
            <w:r w:rsidRPr="00CE4DB2">
              <w:t>75(12)</w:t>
            </w:r>
          </w:p>
          <w:p w:rsidR="00DB1B77" w:rsidRPr="00CE4DB2" w:rsidRDefault="00DB1B77" w:rsidP="003B53BF">
            <w:pPr>
              <w:pStyle w:val="Tabletext"/>
            </w:pPr>
            <w:r w:rsidRPr="00CE4DB2">
              <w:t>[4-1578]</w:t>
            </w:r>
          </w:p>
          <w:p w:rsidR="00DB1B77" w:rsidRPr="00CE4DB2" w:rsidRDefault="00DB1B77" w:rsidP="003B53BF">
            <w:pPr>
              <w:pStyle w:val="Tabletext"/>
            </w:pPr>
            <w:r w:rsidRPr="00CE4DB2">
              <w:t>n=64</w:t>
            </w:r>
          </w:p>
        </w:tc>
        <w:tc>
          <w:tcPr>
            <w:tcW w:w="0" w:type="auto"/>
          </w:tcPr>
          <w:p w:rsidR="00DB1B77" w:rsidRPr="00CE4DB2" w:rsidRDefault="00DB1B77" w:rsidP="003B53BF">
            <w:pPr>
              <w:pStyle w:val="Tabletext"/>
            </w:pPr>
            <w:r w:rsidRPr="00CE4DB2">
              <w:t>22(18)</w:t>
            </w:r>
          </w:p>
          <w:p w:rsidR="00DB1B77" w:rsidRPr="00CE4DB2" w:rsidRDefault="00DB1B77" w:rsidP="003B53BF">
            <w:pPr>
              <w:pStyle w:val="Tabletext"/>
            </w:pPr>
            <w:r w:rsidRPr="00CE4DB2">
              <w:t>[1-164]</w:t>
            </w:r>
          </w:p>
          <w:p w:rsidR="00DB1B77" w:rsidRPr="00CE4DB2" w:rsidRDefault="00DB1B77" w:rsidP="003B53BF">
            <w:pPr>
              <w:pStyle w:val="Tabletext"/>
            </w:pPr>
            <w:r w:rsidRPr="00CE4DB2">
              <w:t>n=64</w:t>
            </w:r>
          </w:p>
        </w:tc>
        <w:tc>
          <w:tcPr>
            <w:tcW w:w="0" w:type="auto"/>
          </w:tcPr>
          <w:p w:rsidR="00DB1B77" w:rsidRPr="00CE4DB2" w:rsidRDefault="00DB1B77" w:rsidP="003B53BF">
            <w:pPr>
              <w:pStyle w:val="Tabletext"/>
            </w:pPr>
            <w:r w:rsidRPr="00CE4DB2">
              <w:t>2993(1860)</w:t>
            </w:r>
          </w:p>
          <w:p w:rsidR="00DB1B77" w:rsidRPr="00CE4DB2" w:rsidRDefault="00DB1B77" w:rsidP="003B53BF">
            <w:pPr>
              <w:pStyle w:val="Tabletext"/>
            </w:pPr>
            <w:r w:rsidRPr="00CE4DB2">
              <w:t>[115-21490]</w:t>
            </w:r>
          </w:p>
          <w:p w:rsidR="00DB1B77" w:rsidRPr="00CE4DB2" w:rsidRDefault="00DB1B77" w:rsidP="003B53BF">
            <w:pPr>
              <w:pStyle w:val="Tabletext"/>
            </w:pPr>
            <w:r w:rsidRPr="00CE4DB2">
              <w:t>n=64</w:t>
            </w:r>
          </w:p>
        </w:tc>
        <w:tc>
          <w:tcPr>
            <w:tcW w:w="0" w:type="auto"/>
          </w:tcPr>
          <w:p w:rsidR="00DB1B77" w:rsidRPr="00CE4DB2" w:rsidRDefault="00DB1B77" w:rsidP="003B53BF">
            <w:pPr>
              <w:pStyle w:val="Tabletext"/>
            </w:pPr>
            <w:r w:rsidRPr="00CE4DB2">
              <w:t>40(13)</w:t>
            </w:r>
          </w:p>
          <w:p w:rsidR="00DB1B77" w:rsidRPr="00CE4DB2" w:rsidRDefault="00DB1B77" w:rsidP="003B53BF">
            <w:pPr>
              <w:pStyle w:val="Tabletext"/>
            </w:pPr>
            <w:r w:rsidRPr="00CE4DB2">
              <w:t>[7-390]</w:t>
            </w:r>
          </w:p>
          <w:p w:rsidR="00DB1B77" w:rsidRPr="00CE4DB2" w:rsidRDefault="00DB1B77" w:rsidP="003B53BF">
            <w:pPr>
              <w:pStyle w:val="Tabletext"/>
            </w:pPr>
            <w:r w:rsidRPr="00CE4DB2">
              <w:t>n=64</w:t>
            </w:r>
          </w:p>
        </w:tc>
      </w:tr>
      <w:tr w:rsidR="00DB1B77" w:rsidRPr="00CE4DB2" w:rsidTr="003B53BF">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c>
          <w:tcPr>
            <w:tcW w:w="0" w:type="auto"/>
          </w:tcPr>
          <w:p w:rsidR="00DB1B77" w:rsidRPr="00CE4DB2" w:rsidRDefault="00DB1B77" w:rsidP="003B53BF">
            <w:pPr>
              <w:pStyle w:val="Tabletext"/>
              <w:rPr>
                <w:sz w:val="6"/>
                <w:szCs w:val="6"/>
              </w:rPr>
            </w:pPr>
          </w:p>
        </w:tc>
      </w:tr>
      <w:tr w:rsidR="00DB1B77" w:rsidRPr="00CE4DB2" w:rsidTr="003B53BF">
        <w:tc>
          <w:tcPr>
            <w:tcW w:w="0" w:type="auto"/>
          </w:tcPr>
          <w:p w:rsidR="00DB1B77" w:rsidRPr="00CE4DB2" w:rsidRDefault="00DB1B77" w:rsidP="003B53BF">
            <w:pPr>
              <w:pStyle w:val="Tabletext"/>
            </w:pPr>
            <w:smartTag w:uri="urn:schemas-microsoft-com:office:smarttags" w:element="place">
              <w:smartTag w:uri="urn:schemas-microsoft-com:office:smarttags" w:element="PlaceName">
                <w:r>
                  <w:t>Western</w:t>
                </w:r>
              </w:smartTag>
              <w:r>
                <w:t xml:space="preserve"> </w:t>
              </w:r>
              <w:smartTag w:uri="urn:schemas-microsoft-com:office:smarttags" w:element="PlaceType">
                <w:r>
                  <w:t>Lakes</w:t>
                </w:r>
              </w:smartTag>
            </w:smartTag>
          </w:p>
          <w:p w:rsidR="00DB1B77" w:rsidRPr="00CE4DB2" w:rsidRDefault="00DB1B77" w:rsidP="003B53BF">
            <w:pPr>
              <w:pStyle w:val="Tabletext"/>
            </w:pPr>
          </w:p>
        </w:tc>
        <w:tc>
          <w:tcPr>
            <w:tcW w:w="0" w:type="auto"/>
          </w:tcPr>
          <w:p w:rsidR="00DB1B77" w:rsidRPr="00CE4DB2" w:rsidRDefault="00DB1B77" w:rsidP="003B53BF">
            <w:pPr>
              <w:pStyle w:val="Tabletext"/>
            </w:pPr>
            <w:r w:rsidRPr="00CE4DB2">
              <w:t>4247(3259)</w:t>
            </w:r>
          </w:p>
          <w:p w:rsidR="00DB1B77" w:rsidRPr="00CE4DB2" w:rsidRDefault="00DB1B77" w:rsidP="003B53BF">
            <w:pPr>
              <w:pStyle w:val="Tabletext"/>
            </w:pPr>
            <w:r w:rsidRPr="00CE4DB2">
              <w:t>[1416-12880]</w:t>
            </w:r>
          </w:p>
          <w:p w:rsidR="00DB1B77" w:rsidRPr="00CE4DB2" w:rsidRDefault="00DB1B77" w:rsidP="003B53BF">
            <w:pPr>
              <w:pStyle w:val="Tabletext"/>
            </w:pPr>
            <w:r w:rsidRPr="00CE4DB2">
              <w:t>n=41</w:t>
            </w:r>
          </w:p>
        </w:tc>
        <w:tc>
          <w:tcPr>
            <w:tcW w:w="0" w:type="auto"/>
          </w:tcPr>
          <w:p w:rsidR="00DB1B77" w:rsidRPr="00CE4DB2" w:rsidRDefault="00DB1B77" w:rsidP="003B53BF">
            <w:pPr>
              <w:pStyle w:val="Tabletext"/>
            </w:pPr>
            <w:r w:rsidRPr="00CE4DB2">
              <w:t>384(319)</w:t>
            </w:r>
          </w:p>
          <w:p w:rsidR="00DB1B77" w:rsidRPr="00CE4DB2" w:rsidRDefault="00DB1B77" w:rsidP="003B53BF">
            <w:pPr>
              <w:pStyle w:val="Tabletext"/>
            </w:pPr>
            <w:r w:rsidRPr="00CE4DB2">
              <w:t>[98-1070]</w:t>
            </w:r>
          </w:p>
          <w:p w:rsidR="00DB1B77" w:rsidRPr="00CE4DB2" w:rsidRDefault="00DB1B77" w:rsidP="003B53BF">
            <w:pPr>
              <w:pStyle w:val="Tabletext"/>
            </w:pPr>
            <w:r w:rsidRPr="00CE4DB2">
              <w:t>n=41</w:t>
            </w:r>
          </w:p>
        </w:tc>
        <w:tc>
          <w:tcPr>
            <w:tcW w:w="0" w:type="auto"/>
          </w:tcPr>
          <w:p w:rsidR="00DB1B77" w:rsidRPr="00CE4DB2" w:rsidRDefault="00DB1B77" w:rsidP="003B53BF">
            <w:pPr>
              <w:pStyle w:val="Tabletext"/>
            </w:pPr>
            <w:r w:rsidRPr="00CE4DB2">
              <w:t>199(20)</w:t>
            </w:r>
          </w:p>
          <w:p w:rsidR="00DB1B77" w:rsidRPr="00CE4DB2" w:rsidRDefault="00DB1B77" w:rsidP="003B53BF">
            <w:pPr>
              <w:pStyle w:val="Tabletext"/>
            </w:pPr>
            <w:r w:rsidRPr="00CE4DB2">
              <w:t>[5-1465]</w:t>
            </w:r>
          </w:p>
          <w:p w:rsidR="00DB1B77" w:rsidRPr="00CE4DB2" w:rsidRDefault="00DB1B77" w:rsidP="003B53BF">
            <w:pPr>
              <w:pStyle w:val="Tabletext"/>
            </w:pPr>
            <w:r w:rsidRPr="00CE4DB2">
              <w:t>n=41</w:t>
            </w:r>
          </w:p>
        </w:tc>
        <w:tc>
          <w:tcPr>
            <w:tcW w:w="0" w:type="auto"/>
          </w:tcPr>
          <w:p w:rsidR="00DB1B77" w:rsidRPr="00CE4DB2" w:rsidRDefault="00DB1B77" w:rsidP="003B53BF">
            <w:pPr>
              <w:pStyle w:val="Tabletext"/>
            </w:pPr>
            <w:r w:rsidRPr="00CE4DB2">
              <w:t>37(6)</w:t>
            </w:r>
          </w:p>
          <w:p w:rsidR="00DB1B77" w:rsidRPr="00CE4DB2" w:rsidRDefault="00DB1B77" w:rsidP="003B53BF">
            <w:pPr>
              <w:pStyle w:val="Tabletext"/>
            </w:pPr>
            <w:r w:rsidRPr="00CE4DB2">
              <w:t>[2-224]</w:t>
            </w:r>
          </w:p>
          <w:p w:rsidR="00DB1B77" w:rsidRPr="00CE4DB2" w:rsidRDefault="00DB1B77" w:rsidP="003B53BF">
            <w:pPr>
              <w:pStyle w:val="Tabletext"/>
            </w:pPr>
            <w:r w:rsidRPr="00CE4DB2">
              <w:t>n=41</w:t>
            </w:r>
          </w:p>
        </w:tc>
        <w:tc>
          <w:tcPr>
            <w:tcW w:w="0" w:type="auto"/>
          </w:tcPr>
          <w:p w:rsidR="00DB1B77" w:rsidRPr="00CE4DB2" w:rsidRDefault="00DB1B77" w:rsidP="003B53BF">
            <w:pPr>
              <w:pStyle w:val="Tabletext"/>
            </w:pPr>
            <w:r w:rsidRPr="00CE4DB2">
              <w:t>4348(4311)</w:t>
            </w:r>
          </w:p>
          <w:p w:rsidR="00DB1B77" w:rsidRPr="00CE4DB2" w:rsidRDefault="00DB1B77" w:rsidP="003B53BF">
            <w:pPr>
              <w:pStyle w:val="Tabletext"/>
            </w:pPr>
            <w:r w:rsidRPr="00CE4DB2">
              <w:t>[1586-9010]</w:t>
            </w:r>
          </w:p>
          <w:p w:rsidR="00DB1B77" w:rsidRPr="00CE4DB2" w:rsidRDefault="00DB1B77" w:rsidP="003B53BF">
            <w:pPr>
              <w:pStyle w:val="Tabletext"/>
            </w:pPr>
            <w:r w:rsidRPr="00CE4DB2">
              <w:t>n=41</w:t>
            </w:r>
          </w:p>
        </w:tc>
        <w:tc>
          <w:tcPr>
            <w:tcW w:w="0" w:type="auto"/>
          </w:tcPr>
          <w:p w:rsidR="00DB1B77" w:rsidRPr="00CE4DB2" w:rsidRDefault="00DB1B77" w:rsidP="003B53BF">
            <w:pPr>
              <w:pStyle w:val="Tabletext"/>
            </w:pPr>
            <w:r w:rsidRPr="00CE4DB2">
              <w:t>32(23)</w:t>
            </w:r>
          </w:p>
          <w:p w:rsidR="00DB1B77" w:rsidRPr="00CE4DB2" w:rsidRDefault="00DB1B77" w:rsidP="003B53BF">
            <w:pPr>
              <w:pStyle w:val="Tabletext"/>
            </w:pPr>
            <w:r w:rsidRPr="00CE4DB2">
              <w:t>[12-94]</w:t>
            </w:r>
          </w:p>
          <w:p w:rsidR="00DB1B77" w:rsidRPr="00CE4DB2" w:rsidRDefault="00DB1B77" w:rsidP="003B53BF">
            <w:pPr>
              <w:pStyle w:val="Tabletext"/>
            </w:pPr>
            <w:r w:rsidRPr="00CE4DB2">
              <w:t>n=41</w:t>
            </w:r>
          </w:p>
        </w:tc>
      </w:tr>
      <w:tr w:rsidR="00DB1B77" w:rsidRPr="00CE4DB2" w:rsidTr="003B53BF">
        <w:tc>
          <w:tcPr>
            <w:tcW w:w="0" w:type="auto"/>
            <w:tcBorders>
              <w:bottom w:val="single" w:sz="4" w:space="0" w:color="auto"/>
            </w:tcBorders>
          </w:tcPr>
          <w:p w:rsidR="00DB1B77" w:rsidRPr="00CE4DB2" w:rsidRDefault="00DB1B77" w:rsidP="003B53BF">
            <w:pPr>
              <w:pStyle w:val="Tabletext"/>
              <w:rPr>
                <w:sz w:val="6"/>
                <w:szCs w:val="6"/>
              </w:rPr>
            </w:pPr>
          </w:p>
        </w:tc>
        <w:tc>
          <w:tcPr>
            <w:tcW w:w="0" w:type="auto"/>
            <w:tcBorders>
              <w:bottom w:val="single" w:sz="4" w:space="0" w:color="auto"/>
            </w:tcBorders>
          </w:tcPr>
          <w:p w:rsidR="00DB1B77" w:rsidRPr="00CE4DB2" w:rsidRDefault="00DB1B77" w:rsidP="003B53BF">
            <w:pPr>
              <w:pStyle w:val="Tabletext"/>
              <w:rPr>
                <w:sz w:val="6"/>
                <w:szCs w:val="6"/>
              </w:rPr>
            </w:pPr>
          </w:p>
        </w:tc>
        <w:tc>
          <w:tcPr>
            <w:tcW w:w="0" w:type="auto"/>
            <w:tcBorders>
              <w:bottom w:val="single" w:sz="4" w:space="0" w:color="auto"/>
            </w:tcBorders>
          </w:tcPr>
          <w:p w:rsidR="00DB1B77" w:rsidRPr="00CE4DB2" w:rsidRDefault="00DB1B77" w:rsidP="003B53BF">
            <w:pPr>
              <w:pStyle w:val="Tabletext"/>
              <w:rPr>
                <w:sz w:val="6"/>
                <w:szCs w:val="6"/>
              </w:rPr>
            </w:pPr>
          </w:p>
        </w:tc>
        <w:tc>
          <w:tcPr>
            <w:tcW w:w="0" w:type="auto"/>
            <w:tcBorders>
              <w:bottom w:val="single" w:sz="4" w:space="0" w:color="auto"/>
            </w:tcBorders>
          </w:tcPr>
          <w:p w:rsidR="00DB1B77" w:rsidRPr="00CE4DB2" w:rsidRDefault="00DB1B77" w:rsidP="003B53BF">
            <w:pPr>
              <w:pStyle w:val="Tabletext"/>
              <w:rPr>
                <w:sz w:val="6"/>
                <w:szCs w:val="6"/>
              </w:rPr>
            </w:pPr>
          </w:p>
        </w:tc>
        <w:tc>
          <w:tcPr>
            <w:tcW w:w="0" w:type="auto"/>
            <w:tcBorders>
              <w:bottom w:val="single" w:sz="4" w:space="0" w:color="auto"/>
            </w:tcBorders>
          </w:tcPr>
          <w:p w:rsidR="00DB1B77" w:rsidRPr="00CE4DB2" w:rsidRDefault="00DB1B77" w:rsidP="003B53BF">
            <w:pPr>
              <w:pStyle w:val="Tabletext"/>
              <w:rPr>
                <w:sz w:val="6"/>
                <w:szCs w:val="6"/>
              </w:rPr>
            </w:pPr>
          </w:p>
        </w:tc>
        <w:tc>
          <w:tcPr>
            <w:tcW w:w="0" w:type="auto"/>
            <w:tcBorders>
              <w:bottom w:val="single" w:sz="4" w:space="0" w:color="auto"/>
            </w:tcBorders>
          </w:tcPr>
          <w:p w:rsidR="00DB1B77" w:rsidRPr="00CE4DB2" w:rsidRDefault="00DB1B77" w:rsidP="003B53BF">
            <w:pPr>
              <w:pStyle w:val="Tabletext"/>
              <w:rPr>
                <w:sz w:val="6"/>
                <w:szCs w:val="6"/>
              </w:rPr>
            </w:pPr>
          </w:p>
        </w:tc>
        <w:tc>
          <w:tcPr>
            <w:tcW w:w="0" w:type="auto"/>
            <w:tcBorders>
              <w:bottom w:val="single" w:sz="4" w:space="0" w:color="auto"/>
            </w:tcBorders>
          </w:tcPr>
          <w:p w:rsidR="00DB1B77" w:rsidRPr="00CE4DB2" w:rsidRDefault="00DB1B77" w:rsidP="003B53BF">
            <w:pPr>
              <w:pStyle w:val="Tabletext"/>
              <w:rPr>
                <w:sz w:val="6"/>
                <w:szCs w:val="6"/>
              </w:rPr>
            </w:pPr>
          </w:p>
        </w:tc>
      </w:tr>
    </w:tbl>
    <w:p w:rsidR="00DB1B77" w:rsidRDefault="00DB1B77" w:rsidP="00DB1B77">
      <w:pPr>
        <w:rPr>
          <w:b/>
        </w:rPr>
      </w:pPr>
    </w:p>
    <w:p w:rsidR="00DB1B77" w:rsidRDefault="00DB1B77" w:rsidP="00DB1B77">
      <w:pPr>
        <w:rPr>
          <w:b/>
        </w:rPr>
      </w:pPr>
    </w:p>
    <w:p w:rsidR="00DB1B77" w:rsidRPr="001E3E34" w:rsidRDefault="00DB1B77" w:rsidP="00C44F46">
      <w:pPr>
        <w:pStyle w:val="Heading3"/>
      </w:pPr>
      <w:bookmarkStart w:id="132" w:name="_Toc370299189"/>
      <w:bookmarkStart w:id="133" w:name="_Toc370738738"/>
      <w:bookmarkStart w:id="134" w:name="_Toc378168524"/>
      <w:r w:rsidRPr="001E3E34">
        <w:t>Mobilisation of Nutrients</w:t>
      </w:r>
      <w:bookmarkEnd w:id="132"/>
      <w:bookmarkEnd w:id="133"/>
      <w:bookmarkEnd w:id="134"/>
    </w:p>
    <w:p w:rsidR="00DB1B77" w:rsidRPr="003850A8" w:rsidRDefault="00DB1B77" w:rsidP="00DB1B77">
      <w:r w:rsidRPr="00233E60">
        <w:t>Time-series responses of nutrients and carbon differed between channel and wetlands in the mid-Murrumbidgee.  In th</w:t>
      </w:r>
      <w:r w:rsidR="00C1433E">
        <w:t>re</w:t>
      </w:r>
      <w:r w:rsidRPr="00233E60">
        <w:t xml:space="preserve">e channel </w:t>
      </w:r>
      <w:r w:rsidR="00C1433E">
        <w:t xml:space="preserve">sites </w:t>
      </w:r>
      <w:r w:rsidRPr="00233E60">
        <w:t>(e.g. Euroley Bridge</w:t>
      </w:r>
      <w:r w:rsidR="00C1433E">
        <w:t>, Berry Jerry and Old Man Creek</w:t>
      </w:r>
      <w:r w:rsidRPr="00233E60">
        <w:t xml:space="preserve">), the concentrations </w:t>
      </w:r>
      <w:r w:rsidR="00C20FEA" w:rsidRPr="00233E60">
        <w:t>of dissolved</w:t>
      </w:r>
      <w:r w:rsidR="00C1433E">
        <w:t xml:space="preserve"> organic </w:t>
      </w:r>
      <w:r w:rsidRPr="00233E60">
        <w:t xml:space="preserve">carbon </w:t>
      </w:r>
      <w:r w:rsidR="00C1433E">
        <w:t>were</w:t>
      </w:r>
      <w:r w:rsidRPr="00233E60">
        <w:t xml:space="preserve"> high</w:t>
      </w:r>
      <w:r w:rsidR="00C1433E">
        <w:t>er</w:t>
      </w:r>
      <w:r w:rsidRPr="00233E60">
        <w:t xml:space="preserve"> at the beginning of the</w:t>
      </w:r>
      <w:r>
        <w:t xml:space="preserve"> Commonwealth environmental </w:t>
      </w:r>
      <w:r w:rsidRPr="00233E60">
        <w:t>watering action period</w:t>
      </w:r>
      <w:r w:rsidR="00C1433E">
        <w:t xml:space="preserve"> and declined towards the end (</w:t>
      </w:r>
      <w:r w:rsidR="00065B1E">
        <w:t>Figure 10)</w:t>
      </w:r>
      <w:r w:rsidR="00C1433E">
        <w:t xml:space="preserve">. </w:t>
      </w:r>
    </w:p>
    <w:p w:rsidR="003850A8" w:rsidRDefault="00874916" w:rsidP="003850A8">
      <w:pPr>
        <w:pStyle w:val="Caption1"/>
      </w:pPr>
      <w:bookmarkStart w:id="135" w:name="_Ref369784229"/>
      <w:bookmarkStart w:id="136" w:name="_Toc370738739"/>
      <w:r>
        <w:rPr>
          <w:rFonts w:eastAsia="Calibri"/>
          <w:noProof/>
          <w:sz w:val="22"/>
          <w:szCs w:val="22"/>
          <w:lang w:eastAsia="en-AU"/>
        </w:rPr>
        <w:drawing>
          <wp:inline distT="0" distB="0" distL="0" distR="0">
            <wp:extent cx="5732145" cy="7798779"/>
            <wp:effectExtent l="19050" t="0" r="1905" b="0"/>
            <wp:docPr id="112" name="Picture 32" descr="D:\Users\ahall\Documents\Data\private\New Picture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Users\ahall\Documents\Data\private\New Picture (1).bmp"/>
                    <pic:cNvPicPr>
                      <a:picLocks noChangeAspect="1" noChangeArrowheads="1"/>
                    </pic:cNvPicPr>
                  </pic:nvPicPr>
                  <pic:blipFill>
                    <a:blip r:embed="rId68" cstate="print"/>
                    <a:srcRect/>
                    <a:stretch>
                      <a:fillRect/>
                    </a:stretch>
                  </pic:blipFill>
                  <pic:spPr bwMode="auto">
                    <a:xfrm>
                      <a:off x="0" y="0"/>
                      <a:ext cx="5732145" cy="7798779"/>
                    </a:xfrm>
                    <a:prstGeom prst="rect">
                      <a:avLst/>
                    </a:prstGeom>
                    <a:noFill/>
                    <a:ln w="9525">
                      <a:noFill/>
                      <a:miter lim="800000"/>
                      <a:headEnd/>
                      <a:tailEnd/>
                    </a:ln>
                  </pic:spPr>
                </pic:pic>
              </a:graphicData>
            </a:graphic>
          </wp:inline>
        </w:drawing>
      </w:r>
      <w:r w:rsidR="003850A8" w:rsidRPr="003850A8">
        <w:rPr>
          <w:b/>
        </w:rPr>
        <w:t xml:space="preserve">Figure </w:t>
      </w:r>
      <w:r w:rsidR="00D20FAE" w:rsidRPr="003850A8">
        <w:rPr>
          <w:b/>
        </w:rPr>
        <w:fldChar w:fldCharType="begin"/>
      </w:r>
      <w:r w:rsidR="003850A8" w:rsidRPr="003850A8">
        <w:rPr>
          <w:b/>
        </w:rPr>
        <w:instrText xml:space="preserve"> SEQ Figure \* ARABIC </w:instrText>
      </w:r>
      <w:r w:rsidR="00D20FAE" w:rsidRPr="003850A8">
        <w:rPr>
          <w:b/>
        </w:rPr>
        <w:fldChar w:fldCharType="separate"/>
      </w:r>
      <w:r w:rsidR="00436595">
        <w:rPr>
          <w:b/>
          <w:noProof/>
        </w:rPr>
        <w:t>10</w:t>
      </w:r>
      <w:r w:rsidR="00D20FAE" w:rsidRPr="003850A8">
        <w:rPr>
          <w:b/>
        </w:rPr>
        <w:fldChar w:fldCharType="end"/>
      </w:r>
      <w:bookmarkEnd w:id="135"/>
      <w:r w:rsidR="003850A8" w:rsidRPr="003850A8">
        <w:t xml:space="preserve"> </w:t>
      </w:r>
      <w:r w:rsidR="003850A8" w:rsidRPr="00685408">
        <w:t xml:space="preserve">Time-series plots of river </w:t>
      </w:r>
      <w:r w:rsidR="003850A8">
        <w:t xml:space="preserve">channel </w:t>
      </w:r>
      <w:r w:rsidR="003850A8" w:rsidRPr="00685408">
        <w:t>discharge and concentration</w:t>
      </w:r>
      <w:r w:rsidR="003850A8">
        <w:t>s</w:t>
      </w:r>
      <w:r w:rsidR="003850A8" w:rsidRPr="00685408">
        <w:t xml:space="preserve"> of dissolved organic carbon (DOC) in the mid-Murrumbidgee</w:t>
      </w:r>
      <w:r w:rsidR="003850A8">
        <w:t xml:space="preserve"> River channel and Old Man Creek. Dotted line indicates Commonwealth environmental watering period.</w:t>
      </w:r>
      <w:bookmarkEnd w:id="136"/>
      <w:r w:rsidR="003850A8">
        <w:t xml:space="preserve"> </w:t>
      </w:r>
    </w:p>
    <w:p w:rsidR="003850A8" w:rsidRDefault="003850A8" w:rsidP="003850A8">
      <w:pPr>
        <w:pStyle w:val="Caption"/>
        <w:jc w:val="both"/>
      </w:pPr>
    </w:p>
    <w:p w:rsidR="00DB1B77" w:rsidRPr="00F458AA" w:rsidRDefault="00DB1B77" w:rsidP="00C44F46">
      <w:pPr>
        <w:pStyle w:val="Heading2"/>
      </w:pPr>
      <w:bookmarkStart w:id="137" w:name="_Toc370299190"/>
      <w:bookmarkStart w:id="138" w:name="_Toc370738740"/>
      <w:bookmarkStart w:id="139" w:name="_Toc378168525"/>
      <w:r w:rsidRPr="00F458AA">
        <w:t>Discussion</w:t>
      </w:r>
      <w:bookmarkEnd w:id="137"/>
      <w:bookmarkEnd w:id="138"/>
      <w:bookmarkEnd w:id="139"/>
    </w:p>
    <w:p w:rsidR="00DB1B77" w:rsidRDefault="00DB1B77" w:rsidP="00DB1B77">
      <w:r>
        <w:t xml:space="preserve">There is evidence that nutrients and carbon were mobilised and transported downstream in the mid-Murrumbidgee River channel during the environmental watering period. In addition to enhancing the river channel ecology, environmental flows feeding into areas of dry/semi-dry floodplains and wetlands can trigger aquatic processes at the water-sediment interface and within </w:t>
      </w:r>
      <w:r w:rsidR="00D67203">
        <w:t xml:space="preserve">the </w:t>
      </w:r>
      <w:r>
        <w:t xml:space="preserve">water-column </w:t>
      </w:r>
      <w:r w:rsidR="00D20FAE">
        <w:fldChar w:fldCharType="begin">
          <w:fldData xml:space="preserve">PEVuZE5vdGU+PENpdGUgRXhjbHVkZVllYXI9IjEiPjxBdXRob3I+QmFsZHdpbjwvQXV0aG9yPjxZ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=
</w:fldData>
        </w:fldChar>
      </w:r>
      <w:r w:rsidR="006171E9">
        <w:instrText xml:space="preserve"> ADDIN EN.CITE </w:instrText>
      </w:r>
      <w:r w:rsidR="00D20FAE">
        <w:fldChar w:fldCharType="begin">
          <w:fldData xml:space="preserve">PEVuZE5vdGU+PENpdGUgRXhjbHVkZVllYXI9IjEiPjxBdXRob3I+QmFsZHdpbjwvQXV0aG9yPjxZ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=
</w:fldData>
        </w:fldChar>
      </w:r>
      <w:r w:rsidR="006171E9">
        <w:instrText xml:space="preserve"> ADDIN EN.CITE.DATA </w:instrText>
      </w:r>
      <w:r w:rsidR="00D20FAE">
        <w:fldChar w:fldCharType="end"/>
      </w:r>
      <w:r w:rsidR="00D20FAE">
        <w:fldChar w:fldCharType="separate"/>
      </w:r>
      <w:r w:rsidR="006171E9">
        <w:rPr>
          <w:noProof/>
        </w:rPr>
        <w:t>(</w:t>
      </w:r>
      <w:hyperlink w:anchor="_ENREF_12" w:tooltip="Baldwin, 2000 #3426" w:history="1">
        <w:r w:rsidR="006810E6">
          <w:rPr>
            <w:noProof/>
          </w:rPr>
          <w:t xml:space="preserve">Baldwin and Mitchell </w:t>
        </w:r>
      </w:hyperlink>
      <w:r w:rsidR="006171E9">
        <w:rPr>
          <w:noProof/>
        </w:rPr>
        <w:t xml:space="preserve">, </w:t>
      </w:r>
      <w:hyperlink w:anchor="_ENREF_62" w:tooltip="Kobayashi, 2003 #3425" w:history="1">
        <w:r w:rsidR="006810E6">
          <w:rPr>
            <w:noProof/>
          </w:rPr>
          <w:t xml:space="preserve">Kobayashi and Church </w:t>
        </w:r>
      </w:hyperlink>
      <w:r w:rsidR="006171E9">
        <w:rPr>
          <w:noProof/>
        </w:rPr>
        <w:t xml:space="preserve">, </w:t>
      </w:r>
      <w:hyperlink w:anchor="_ENREF_61" w:tooltip="Knowles, 2012 #3428" w:history="1">
        <w:r w:rsidR="006810E6">
          <w:rPr>
            <w:noProof/>
          </w:rPr>
          <w:t>Knowles, Iles</w:t>
        </w:r>
        <w:r w:rsidR="006810E6" w:rsidRPr="006171E9">
          <w:rPr>
            <w:i/>
            <w:noProof/>
          </w:rPr>
          <w:t xml:space="preserve"> et al.</w:t>
        </w:r>
        <w:r w:rsidR="006810E6">
          <w:rPr>
            <w:noProof/>
          </w:rPr>
          <w:t xml:space="preserve"> 2012</w:t>
        </w:r>
      </w:hyperlink>
      <w:r w:rsidR="006171E9">
        <w:rPr>
          <w:noProof/>
        </w:rPr>
        <w:t>)</w:t>
      </w:r>
      <w:r w:rsidR="00D20FAE">
        <w:fldChar w:fldCharType="end"/>
      </w:r>
      <w:r>
        <w:t xml:space="preserve">. The concentrations of total nutrients (TN and TP) and carbon (DOC) at the wetland sites were much greater than those in the river channel site.  However, the concentrations of dissolved inorganic (or bioavailable) nutrients, especially dissolved inorganic nitrogen (DIN), were much lower at the wetland sites than those at the channel sites.  These results likely reflect the enhanced biological activities (e.g. extensive use of bioavailable nutrients by algae) and interactions (e.g. retention of particulate nutrients in the form of </w:t>
      </w:r>
      <w:r w:rsidR="00C1433E">
        <w:t xml:space="preserve">microinvertebrate </w:t>
      </w:r>
      <w:r>
        <w:t xml:space="preserve">growth), coupled with release of nutrients and carbon from inundated soils and sediments at the wetland sites </w:t>
      </w:r>
      <w:r w:rsidR="00D20FAE">
        <w:fldChar w:fldCharType="begin">
          <w:fldData xml:space="preserve">PEVuZE5vdGU+PENpdGU+PEF1dGhvcj5Lb2JheWFzaGk8L0F1dGhvcj48WWVhcj4yMDExPC9ZZWFy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=
</w:fldData>
        </w:fldChar>
      </w:r>
      <w:r w:rsidR="006171E9">
        <w:instrText xml:space="preserve"> ADDIN EN.CITE </w:instrText>
      </w:r>
      <w:r w:rsidR="00D20FAE">
        <w:fldChar w:fldCharType="begin">
          <w:fldData xml:space="preserve">PEVuZE5vdGU+PENpdGU+PEF1dGhvcj5Lb2JheWFzaGk8L0F1dGhvcj48WWVhcj4yMDExPC9ZZWFy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=
</w:fldData>
        </w:fldChar>
      </w:r>
      <w:r w:rsidR="006171E9">
        <w:instrText xml:space="preserve"> ADDIN EN.CITE.DATA </w:instrText>
      </w:r>
      <w:r w:rsidR="00D20FAE">
        <w:fldChar w:fldCharType="end"/>
      </w:r>
      <w:r w:rsidR="00D20FAE">
        <w:fldChar w:fldCharType="separate"/>
      </w:r>
      <w:r w:rsidR="006171E9">
        <w:rPr>
          <w:noProof/>
        </w:rPr>
        <w:t>(</w:t>
      </w:r>
      <w:hyperlink w:anchor="_ENREF_63" w:tooltip="Kobayashi, 2011 #3429" w:history="1">
        <w:r w:rsidR="006810E6">
          <w:rPr>
            <w:noProof/>
          </w:rPr>
          <w:t>Kobayashi, Iles</w:t>
        </w:r>
        <w:r w:rsidR="006810E6" w:rsidRPr="006171E9">
          <w:rPr>
            <w:i/>
            <w:noProof/>
          </w:rPr>
          <w:t xml:space="preserve"> et al.</w:t>
        </w:r>
        <w:r w:rsidR="006810E6">
          <w:rPr>
            <w:noProof/>
          </w:rPr>
          <w:t xml:space="preserve"> 2011</w:t>
        </w:r>
      </w:hyperlink>
      <w:r w:rsidR="006171E9">
        <w:rPr>
          <w:noProof/>
        </w:rPr>
        <w:t xml:space="preserve">, </w:t>
      </w:r>
      <w:hyperlink w:anchor="_ENREF_61" w:tooltip="Knowles, 2012 #3428" w:history="1">
        <w:r w:rsidR="006810E6">
          <w:rPr>
            <w:noProof/>
          </w:rPr>
          <w:t>Knowles, Iles</w:t>
        </w:r>
        <w:r w:rsidR="006810E6" w:rsidRPr="006171E9">
          <w:rPr>
            <w:i/>
            <w:noProof/>
          </w:rPr>
          <w:t xml:space="preserve"> et al.</w:t>
        </w:r>
        <w:r w:rsidR="006810E6">
          <w:rPr>
            <w:noProof/>
          </w:rPr>
          <w:t xml:space="preserve"> 2012</w:t>
        </w:r>
      </w:hyperlink>
      <w:r w:rsidR="006171E9">
        <w:rPr>
          <w:noProof/>
        </w:rPr>
        <w:t xml:space="preserve">, </w:t>
      </w:r>
      <w:hyperlink w:anchor="_ENREF_11" w:tooltip="Baldwin, 2013 #3381" w:history="1">
        <w:r w:rsidR="006810E6">
          <w:rPr>
            <w:noProof/>
          </w:rPr>
          <w:t>Baldwin, Rees</w:t>
        </w:r>
        <w:r w:rsidR="006810E6" w:rsidRPr="006171E9">
          <w:rPr>
            <w:i/>
            <w:noProof/>
          </w:rPr>
          <w:t xml:space="preserve"> et al.</w:t>
        </w:r>
        <w:r w:rsidR="006810E6">
          <w:rPr>
            <w:noProof/>
          </w:rPr>
          <w:t xml:space="preserve"> 2013</w:t>
        </w:r>
      </w:hyperlink>
      <w:r w:rsidR="006171E9">
        <w:rPr>
          <w:noProof/>
        </w:rPr>
        <w:t>)</w:t>
      </w:r>
      <w:r w:rsidR="00D20FAE">
        <w:fldChar w:fldCharType="end"/>
      </w:r>
      <w:r>
        <w:t xml:space="preserve">.    These aspects can be tested experimentally </w:t>
      </w:r>
      <w:r w:rsidRPr="00880F95">
        <w:rPr>
          <w:i/>
        </w:rPr>
        <w:t>in situ</w:t>
      </w:r>
      <w:r>
        <w:t>.</w:t>
      </w:r>
    </w:p>
    <w:p w:rsidR="009D099C" w:rsidRDefault="00DB1B77" w:rsidP="00DB1B77">
      <w:r>
        <w:t>The present monitoring results summarise the response of nutrients and carbon during the environmental watering action in 2012−2013.  There was an indication of increased nutrient and carbon transport in the mid-Murrumbidgee River channel during the e</w:t>
      </w:r>
      <w:r w:rsidR="00D67203">
        <w:t xml:space="preserve">nvironmental watering action. </w:t>
      </w:r>
      <w:r>
        <w:t>There was also an indication of enhanced biological activities and interaction at the wetland sites, coupled with release of nutrients and carbon from inundated soils and sediments.  We conclude that e</w:t>
      </w:r>
      <w:r w:rsidRPr="003558F8">
        <w:t>nvironmental flows support</w:t>
      </w:r>
      <w:r>
        <w:t>ed</w:t>
      </w:r>
      <w:r w:rsidRPr="003558F8">
        <w:t xml:space="preserve"> wetland ecosystem functio</w:t>
      </w:r>
      <w:r>
        <w:t xml:space="preserve">ns that relate to mobilisation, </w:t>
      </w:r>
      <w:r w:rsidRPr="003558F8">
        <w:t>transport and dispersal of nutrients and organic matter</w:t>
      </w:r>
      <w:r>
        <w:t xml:space="preserve">.  </w:t>
      </w:r>
    </w:p>
    <w:p w:rsidR="002D0505" w:rsidRPr="002D0505" w:rsidRDefault="009D099C" w:rsidP="002D0505">
      <w:pPr>
        <w:pStyle w:val="TOCHeading"/>
        <w:rPr>
          <w:lang w:eastAsia="zh-CN" w:bidi="th-TH"/>
        </w:rPr>
      </w:pPr>
      <w:r>
        <w:br w:type="page"/>
      </w:r>
    </w:p>
    <w:p w:rsidR="002D0505" w:rsidRDefault="002D0505" w:rsidP="002D0505">
      <w:pPr>
        <w:autoSpaceDE w:val="0"/>
        <w:autoSpaceDN w:val="0"/>
        <w:adjustRightInd w:val="0"/>
        <w:spacing w:after="0" w:line="240" w:lineRule="auto"/>
        <w:jc w:val="left"/>
        <w:rPr>
          <w:rFonts w:ascii="Times New Roman" w:hAnsi="Times New Roman"/>
          <w:sz w:val="24"/>
          <w:szCs w:val="24"/>
          <w:lang w:eastAsia="en-AU"/>
        </w:rPr>
      </w:pPr>
    </w:p>
    <w:p w:rsidR="00CF05D6" w:rsidRPr="00A16A23" w:rsidRDefault="00CF05D6" w:rsidP="00CF05D6"/>
    <w:tbl>
      <w:tblPr>
        <w:tblStyle w:val="TableGrid"/>
        <w:tblW w:w="0" w:type="auto"/>
        <w:tblLook w:val="04A0"/>
      </w:tblPr>
      <w:tblGrid>
        <w:gridCol w:w="9242"/>
      </w:tblGrid>
      <w:tr w:rsidR="00CF05D6" w:rsidTr="00CF05D6">
        <w:trPr>
          <w:cnfStyle w:val="100000000000"/>
        </w:trPr>
        <w:tc>
          <w:tcPr>
            <w:tcW w:w="9242" w:type="dxa"/>
          </w:tcPr>
          <w:p w:rsidR="00CF05D6" w:rsidRPr="00DC1B70" w:rsidRDefault="00CF05D6" w:rsidP="00CF05D6">
            <w:pPr>
              <w:pStyle w:val="Title"/>
            </w:pPr>
            <w:bookmarkStart w:id="140" w:name="_Toc370738741"/>
            <w:r>
              <w:t>Primary productivity</w:t>
            </w:r>
            <w:r w:rsidR="002A0BBB">
              <w:t>-</w:t>
            </w:r>
            <w:r>
              <w:t xml:space="preserve">Chlorophyll </w:t>
            </w:r>
            <w:r w:rsidRPr="00CF05D6">
              <w:rPr>
                <w:i/>
              </w:rPr>
              <w:t>a</w:t>
            </w:r>
            <w:bookmarkEnd w:id="140"/>
          </w:p>
          <w:p w:rsidR="00CF05D6" w:rsidRPr="000C2710" w:rsidRDefault="00CF05D6" w:rsidP="00CF05D6">
            <w:pPr>
              <w:jc w:val="center"/>
              <w:rPr>
                <w:b/>
                <w:color w:val="FFFFFF"/>
              </w:rPr>
            </w:pPr>
            <w:r w:rsidRPr="007D5F71">
              <w:rPr>
                <w:b/>
                <w:noProof/>
                <w:color w:val="FFFFFF"/>
                <w:lang w:eastAsia="en-AU"/>
              </w:rPr>
              <w:drawing>
                <wp:inline distT="0" distB="0" distL="0" distR="0">
                  <wp:extent cx="3640153" cy="2880000"/>
                  <wp:effectExtent l="19050" t="0" r="0" b="0"/>
                  <wp:docPr id="41" name="Picture 2" descr="volvox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descr="volvox1"/>
                          <pic:cNvPicPr>
                            <a:picLocks noChangeAspect="1" noChangeArrowheads="1"/>
                          </pic:cNvPicPr>
                        </pic:nvPicPr>
                        <pic:blipFill>
                          <a:blip r:embed="rId69" cstate="print"/>
                          <a:srcRect l="1158"/>
                          <a:stretch>
                            <a:fillRect/>
                          </a:stretch>
                        </pic:blipFill>
                        <pic:spPr bwMode="auto">
                          <a:xfrm>
                            <a:off x="0" y="0"/>
                            <a:ext cx="3640153" cy="2880000"/>
                          </a:xfrm>
                          <a:prstGeom prst="rect">
                            <a:avLst/>
                          </a:prstGeom>
                          <a:noFill/>
                          <a:ln w="9525">
                            <a:noFill/>
                            <a:miter lim="800000"/>
                            <a:headEnd/>
                            <a:tailEnd/>
                          </a:ln>
                        </pic:spPr>
                      </pic:pic>
                    </a:graphicData>
                  </a:graphic>
                </wp:inline>
              </w:drawing>
            </w:r>
          </w:p>
          <w:p w:rsidR="00CF05D6" w:rsidRPr="007D5F71" w:rsidRDefault="00AD0E0C" w:rsidP="00CF05D6">
            <w:pPr>
              <w:autoSpaceDE w:val="0"/>
              <w:autoSpaceDN w:val="0"/>
              <w:adjustRightInd w:val="0"/>
              <w:spacing w:after="0" w:line="240" w:lineRule="auto"/>
              <w:jc w:val="left"/>
              <w:rPr>
                <w:sz w:val="20"/>
                <w:szCs w:val="20"/>
              </w:rPr>
            </w:pPr>
            <w:r>
              <w:rPr>
                <w:rFonts w:cs="Calibri"/>
                <w:sz w:val="20"/>
                <w:szCs w:val="20"/>
                <w:lang w:val="en-US" w:eastAsia="en-AU"/>
              </w:rPr>
              <w:t>Phytoplankton and biofilms (algae and diatoms) are key components of aquatic ecosystems</w:t>
            </w:r>
            <w:r w:rsidR="00C1433E">
              <w:rPr>
                <w:rFonts w:cs="Calibri"/>
                <w:sz w:val="20"/>
                <w:szCs w:val="20"/>
                <w:lang w:val="en-US" w:eastAsia="en-AU"/>
              </w:rPr>
              <w:t>.</w:t>
            </w:r>
            <w:r>
              <w:rPr>
                <w:rFonts w:cs="Calibri"/>
                <w:sz w:val="20"/>
                <w:szCs w:val="20"/>
                <w:lang w:val="en-US" w:eastAsia="en-AU"/>
              </w:rPr>
              <w:t xml:space="preserve"> </w:t>
            </w:r>
            <w:r w:rsidR="00C1433E">
              <w:rPr>
                <w:rFonts w:cs="Calibri"/>
                <w:sz w:val="20"/>
                <w:szCs w:val="20"/>
                <w:lang w:val="en-US" w:eastAsia="en-AU"/>
              </w:rPr>
              <w:t>P</w:t>
            </w:r>
            <w:r>
              <w:rPr>
                <w:rFonts w:cs="Calibri"/>
                <w:sz w:val="20"/>
                <w:szCs w:val="20"/>
                <w:lang w:val="en-US" w:eastAsia="en-AU"/>
              </w:rPr>
              <w:t xml:space="preserve">hotosynthetic algae play similar roles in aquatic systems as they do on land, providing food for aquatic animals and contributing dissolved oxygen while fixing </w:t>
            </w:r>
            <w:r w:rsidR="00C1433E">
              <w:rPr>
                <w:rFonts w:cs="Calibri"/>
                <w:sz w:val="20"/>
                <w:szCs w:val="20"/>
                <w:lang w:val="en-US" w:eastAsia="en-AU"/>
              </w:rPr>
              <w:t>c</w:t>
            </w:r>
            <w:r>
              <w:rPr>
                <w:rFonts w:cs="Calibri"/>
                <w:sz w:val="20"/>
                <w:szCs w:val="20"/>
                <w:lang w:val="en-US" w:eastAsia="en-AU"/>
              </w:rPr>
              <w:t xml:space="preserve">arbon.  </w:t>
            </w:r>
            <w:r w:rsidR="00CF05D6">
              <w:rPr>
                <w:rFonts w:cs="Calibri"/>
                <w:sz w:val="20"/>
                <w:szCs w:val="20"/>
                <w:lang w:val="en-US" w:eastAsia="en-AU"/>
              </w:rPr>
              <w:t>The balance between primary production</w:t>
            </w:r>
            <w:r w:rsidR="00040DED">
              <w:rPr>
                <w:rFonts w:cs="Calibri"/>
                <w:sz w:val="20"/>
                <w:szCs w:val="20"/>
                <w:lang w:val="en-US" w:eastAsia="en-AU"/>
              </w:rPr>
              <w:t xml:space="preserve"> (algae and diatom growth)</w:t>
            </w:r>
            <w:r w:rsidR="00CF05D6">
              <w:rPr>
                <w:rFonts w:cs="Calibri"/>
                <w:sz w:val="20"/>
                <w:szCs w:val="20"/>
                <w:lang w:val="en-US" w:eastAsia="en-AU"/>
              </w:rPr>
              <w:t xml:space="preserve"> and the breakdown of o</w:t>
            </w:r>
            <w:r w:rsidR="00CF05D6" w:rsidRPr="007D5F71">
              <w:rPr>
                <w:rFonts w:cs="Calibri"/>
                <w:sz w:val="20"/>
                <w:szCs w:val="20"/>
                <w:lang w:val="en-US" w:eastAsia="en-AU"/>
              </w:rPr>
              <w:t>rganic matter</w:t>
            </w:r>
            <w:r w:rsidR="00040DED">
              <w:rPr>
                <w:rFonts w:cs="Calibri"/>
                <w:sz w:val="20"/>
                <w:szCs w:val="20"/>
                <w:lang w:val="en-US" w:eastAsia="en-AU"/>
              </w:rPr>
              <w:t xml:space="preserve"> (carbon release)</w:t>
            </w:r>
            <w:r w:rsidR="00CF05D6" w:rsidRPr="007D5F71">
              <w:rPr>
                <w:rFonts w:cs="Calibri"/>
                <w:sz w:val="20"/>
                <w:szCs w:val="20"/>
                <w:lang w:val="en-US" w:eastAsia="en-AU"/>
              </w:rPr>
              <w:t xml:space="preserve"> </w:t>
            </w:r>
            <w:r w:rsidR="00CF05D6">
              <w:rPr>
                <w:rFonts w:cs="Calibri"/>
                <w:sz w:val="20"/>
                <w:szCs w:val="20"/>
                <w:lang w:val="en-US" w:eastAsia="en-AU"/>
              </w:rPr>
              <w:t xml:space="preserve">are </w:t>
            </w:r>
            <w:r w:rsidR="00CF05D6" w:rsidRPr="007D5F71">
              <w:rPr>
                <w:rFonts w:cs="Calibri"/>
                <w:sz w:val="20"/>
                <w:szCs w:val="20"/>
                <w:lang w:val="en-US" w:eastAsia="en-AU"/>
              </w:rPr>
              <w:t>critical parameter</w:t>
            </w:r>
            <w:r w:rsidR="00CF05D6">
              <w:rPr>
                <w:rFonts w:cs="Calibri"/>
                <w:sz w:val="20"/>
                <w:szCs w:val="20"/>
                <w:lang w:val="en-US" w:eastAsia="en-AU"/>
              </w:rPr>
              <w:t>s</w:t>
            </w:r>
            <w:r w:rsidR="00CF05D6" w:rsidRPr="007D5F71">
              <w:rPr>
                <w:rFonts w:cs="Calibri"/>
                <w:sz w:val="20"/>
                <w:szCs w:val="20"/>
                <w:lang w:val="en-US" w:eastAsia="en-AU"/>
              </w:rPr>
              <w:t xml:space="preserve"> for understanding the functioning of river and wetland ecosystems. </w:t>
            </w:r>
            <w:r w:rsidR="00CF05D6" w:rsidRPr="007D5F71">
              <w:rPr>
                <w:rFonts w:eastAsia="Calibri"/>
                <w:sz w:val="20"/>
                <w:szCs w:val="20"/>
              </w:rPr>
              <w:t xml:space="preserve">The change in concentrations of </w:t>
            </w:r>
            <w:r w:rsidR="00CF05D6">
              <w:rPr>
                <w:rFonts w:eastAsia="Calibri"/>
                <w:sz w:val="20"/>
                <w:szCs w:val="20"/>
              </w:rPr>
              <w:t xml:space="preserve">chlorophyll </w:t>
            </w:r>
            <w:r w:rsidR="00E2611D">
              <w:rPr>
                <w:rFonts w:eastAsia="Calibri"/>
                <w:sz w:val="20"/>
                <w:szCs w:val="20"/>
              </w:rPr>
              <w:t xml:space="preserve">a </w:t>
            </w:r>
            <w:r w:rsidR="00CF05D6" w:rsidRPr="007D5F71">
              <w:rPr>
                <w:rFonts w:eastAsia="Calibri"/>
                <w:sz w:val="20"/>
                <w:szCs w:val="20"/>
              </w:rPr>
              <w:t xml:space="preserve">during the Commonwealth environmental watering action </w:t>
            </w:r>
            <w:r w:rsidR="00CF05D6">
              <w:rPr>
                <w:rFonts w:eastAsia="Calibri"/>
                <w:sz w:val="20"/>
                <w:szCs w:val="20"/>
              </w:rPr>
              <w:t>were</w:t>
            </w:r>
            <w:r w:rsidR="00CF05D6" w:rsidRPr="007D5F71">
              <w:rPr>
                <w:rFonts w:eastAsia="Calibri"/>
                <w:sz w:val="20"/>
                <w:szCs w:val="20"/>
              </w:rPr>
              <w:t xml:space="preserve"> monitored fortnightly in the mid-Murrumbidgee River </w:t>
            </w:r>
            <w:r w:rsidR="00CF05D6">
              <w:rPr>
                <w:rFonts w:eastAsia="Calibri"/>
                <w:sz w:val="20"/>
                <w:szCs w:val="20"/>
              </w:rPr>
              <w:t xml:space="preserve">and Old </w:t>
            </w:r>
            <w:r w:rsidR="00E2611D">
              <w:rPr>
                <w:rFonts w:eastAsia="Calibri"/>
                <w:sz w:val="20"/>
                <w:szCs w:val="20"/>
              </w:rPr>
              <w:t>M</w:t>
            </w:r>
            <w:r w:rsidR="00CF05D6">
              <w:rPr>
                <w:rFonts w:eastAsia="Calibri"/>
                <w:sz w:val="20"/>
                <w:szCs w:val="20"/>
              </w:rPr>
              <w:t xml:space="preserve">an Creek </w:t>
            </w:r>
            <w:r w:rsidR="00CF05D6" w:rsidRPr="007D5F71">
              <w:rPr>
                <w:rFonts w:eastAsia="Calibri"/>
                <w:sz w:val="20"/>
                <w:szCs w:val="20"/>
              </w:rPr>
              <w:t xml:space="preserve">(October to December).  The key objective of the Commonwealth environmental water release related to </w:t>
            </w:r>
            <w:r w:rsidR="00CF05D6">
              <w:rPr>
                <w:rFonts w:eastAsia="Calibri"/>
                <w:sz w:val="20"/>
                <w:szCs w:val="20"/>
              </w:rPr>
              <w:t>primary production</w:t>
            </w:r>
            <w:r w:rsidR="00CF05D6" w:rsidRPr="007D5F71">
              <w:rPr>
                <w:rFonts w:eastAsia="Calibri"/>
                <w:sz w:val="20"/>
                <w:szCs w:val="20"/>
              </w:rPr>
              <w:t xml:space="preserve"> was </w:t>
            </w:r>
            <w:r w:rsidR="001435E0" w:rsidRPr="007D5F71">
              <w:rPr>
                <w:rFonts w:eastAsia="Calibri"/>
                <w:sz w:val="20"/>
                <w:szCs w:val="20"/>
              </w:rPr>
              <w:t>to</w:t>
            </w:r>
            <w:r w:rsidR="001435E0" w:rsidRPr="007D5F71">
              <w:rPr>
                <w:sz w:val="20"/>
                <w:szCs w:val="20"/>
              </w:rPr>
              <w:t xml:space="preserve"> “</w:t>
            </w:r>
            <w:r w:rsidR="00CF05D6" w:rsidRPr="007D5F71">
              <w:rPr>
                <w:b/>
                <w:i/>
                <w:sz w:val="20"/>
                <w:szCs w:val="20"/>
              </w:rPr>
              <w:t>Support ecosystem functions that relate to mobilisation, transport and dispersal of biotic and abiotic material (e.g. sediment, nutrients and organic matter).”</w:t>
            </w:r>
            <w:r w:rsidR="00CF05D6" w:rsidRPr="007D5F71">
              <w:rPr>
                <w:rFonts w:eastAsia="Calibri"/>
                <w:b/>
                <w:i/>
                <w:sz w:val="20"/>
                <w:szCs w:val="20"/>
              </w:rPr>
              <w:t xml:space="preserve"> </w:t>
            </w:r>
            <w:r w:rsidR="00E816DB" w:rsidRPr="00A3614F">
              <w:rPr>
                <w:rFonts w:eastAsia="Calibri"/>
                <w:sz w:val="20"/>
                <w:szCs w:val="20"/>
              </w:rPr>
              <w:t xml:space="preserve">This section provides a general overview of primary productivity </w:t>
            </w:r>
            <w:r w:rsidR="00A3614F">
              <w:rPr>
                <w:rFonts w:eastAsia="Calibri"/>
                <w:sz w:val="20"/>
                <w:szCs w:val="20"/>
              </w:rPr>
              <w:t>in the Murrumbidgee River</w:t>
            </w:r>
            <w:r w:rsidR="00C1433E">
              <w:rPr>
                <w:rFonts w:eastAsia="Calibri"/>
                <w:sz w:val="20"/>
                <w:szCs w:val="20"/>
              </w:rPr>
              <w:t>.</w:t>
            </w:r>
            <w:r w:rsidR="00A3614F">
              <w:rPr>
                <w:rFonts w:eastAsia="Calibri"/>
                <w:sz w:val="20"/>
                <w:szCs w:val="20"/>
              </w:rPr>
              <w:t xml:space="preserve"> </w:t>
            </w:r>
            <w:r w:rsidR="00C1433E">
              <w:rPr>
                <w:rFonts w:eastAsia="Calibri"/>
                <w:sz w:val="20"/>
                <w:szCs w:val="20"/>
              </w:rPr>
              <w:t>A</w:t>
            </w:r>
            <w:r w:rsidR="001435E0">
              <w:rPr>
                <w:rFonts w:eastAsia="Calibri"/>
                <w:sz w:val="20"/>
                <w:szCs w:val="20"/>
              </w:rPr>
              <w:t xml:space="preserve">s Chlorophyll a is a critical covariate contributing to the outcomes for larval fish, these data are analysed </w:t>
            </w:r>
            <w:r w:rsidR="00BE0607">
              <w:rPr>
                <w:rFonts w:eastAsia="Calibri"/>
                <w:sz w:val="20"/>
                <w:szCs w:val="20"/>
              </w:rPr>
              <w:t xml:space="preserve">with respect to flow, water quality and other related parameters in section 9 of this report. </w:t>
            </w:r>
          </w:p>
          <w:p w:rsidR="00CF05D6" w:rsidRPr="00F9265D" w:rsidRDefault="00CF05D6" w:rsidP="00CF05D6">
            <w:pPr>
              <w:pStyle w:val="NoSpacing"/>
              <w:rPr>
                <w:b/>
              </w:rPr>
            </w:pPr>
            <w:r w:rsidRPr="005875E0">
              <w:rPr>
                <w:rFonts w:eastAsia="Calibri"/>
                <w:b/>
              </w:rPr>
              <w:t>Key findings</w:t>
            </w:r>
          </w:p>
          <w:p w:rsidR="00CF05D6" w:rsidRPr="00E2611D" w:rsidRDefault="00CF05D6" w:rsidP="00E2611D">
            <w:pPr>
              <w:pStyle w:val="NoSpacing"/>
              <w:numPr>
                <w:ilvl w:val="0"/>
                <w:numId w:val="23"/>
              </w:numPr>
            </w:pPr>
            <w:r w:rsidRPr="005875E0">
              <w:rPr>
                <w:rFonts w:eastAsia="Calibri"/>
              </w:rPr>
              <w:t>Using discharge rate at Narrandera</w:t>
            </w:r>
            <w:r w:rsidR="00D45EB8">
              <w:rPr>
                <w:rFonts w:eastAsia="Calibri"/>
              </w:rPr>
              <w:t>,</w:t>
            </w:r>
            <w:r w:rsidRPr="005875E0">
              <w:rPr>
                <w:rFonts w:eastAsia="Calibri"/>
              </w:rPr>
              <w:t xml:space="preserve"> </w:t>
            </w:r>
            <w:r w:rsidR="004A3F44">
              <w:rPr>
                <w:rFonts w:eastAsia="Calibri"/>
              </w:rPr>
              <w:t>t</w:t>
            </w:r>
            <w:r w:rsidRPr="005875E0">
              <w:rPr>
                <w:rFonts w:eastAsia="Calibri"/>
              </w:rPr>
              <w:t>here was evidence the Commonwealth environmental water release</w:t>
            </w:r>
            <w:r w:rsidR="004A3F44">
              <w:rPr>
                <w:rFonts w:eastAsia="Calibri"/>
              </w:rPr>
              <w:t xml:space="preserve"> from </w:t>
            </w:r>
            <w:r w:rsidR="004A3F44" w:rsidRPr="005875E0">
              <w:rPr>
                <w:rFonts w:eastAsia="Calibri"/>
              </w:rPr>
              <w:t>October</w:t>
            </w:r>
            <w:r w:rsidR="00D45EB8">
              <w:rPr>
                <w:rFonts w:eastAsia="Calibri"/>
              </w:rPr>
              <w:t xml:space="preserve"> </w:t>
            </w:r>
            <w:r w:rsidR="004A3F44" w:rsidRPr="005875E0">
              <w:rPr>
                <w:rFonts w:eastAsia="Calibri"/>
              </w:rPr>
              <w:t>−</w:t>
            </w:r>
            <w:r w:rsidR="00D45EB8">
              <w:rPr>
                <w:rFonts w:eastAsia="Calibri"/>
              </w:rPr>
              <w:t xml:space="preserve"> December 2012</w:t>
            </w:r>
            <w:r w:rsidRPr="005875E0">
              <w:rPr>
                <w:rFonts w:eastAsia="Calibri"/>
              </w:rPr>
              <w:t xml:space="preserve"> increased </w:t>
            </w:r>
            <w:r>
              <w:rPr>
                <w:rFonts w:eastAsia="Calibri"/>
              </w:rPr>
              <w:t>primary production</w:t>
            </w:r>
            <w:r w:rsidRPr="005875E0">
              <w:rPr>
                <w:rFonts w:eastAsia="Calibri"/>
              </w:rPr>
              <w:t xml:space="preserve"> </w:t>
            </w:r>
            <w:r>
              <w:rPr>
                <w:rFonts w:eastAsia="Calibri"/>
              </w:rPr>
              <w:t>at</w:t>
            </w:r>
            <w:r w:rsidR="00E2611D">
              <w:rPr>
                <w:rFonts w:eastAsia="Calibri"/>
              </w:rPr>
              <w:t xml:space="preserve"> the target reaches downstream of Narrandera.</w:t>
            </w:r>
            <w:r w:rsidRPr="005875E0">
              <w:rPr>
                <w:rFonts w:eastAsia="Calibri"/>
              </w:rPr>
              <w:t xml:space="preserve"> </w:t>
            </w:r>
          </w:p>
          <w:p w:rsidR="00CF05D6" w:rsidRDefault="00CF05D6" w:rsidP="00CF05D6">
            <w:pPr>
              <w:pStyle w:val="NoSpacing"/>
              <w:numPr>
                <w:ilvl w:val="0"/>
                <w:numId w:val="23"/>
              </w:numPr>
            </w:pPr>
            <w:r w:rsidRPr="005875E0">
              <w:rPr>
                <w:rFonts w:eastAsia="Calibri"/>
              </w:rPr>
              <w:t xml:space="preserve">The results show that the </w:t>
            </w:r>
            <w:r w:rsidR="004A3F44">
              <w:rPr>
                <w:rFonts w:eastAsia="Calibri"/>
              </w:rPr>
              <w:t>C</w:t>
            </w:r>
            <w:r w:rsidRPr="005875E0">
              <w:rPr>
                <w:rFonts w:eastAsia="Calibri"/>
              </w:rPr>
              <w:t xml:space="preserve">ommonwealth environmental release was successful in achieving its objectives related to mobilisation, transport and dispersal of nutrients and organic matter within </w:t>
            </w:r>
            <w:r>
              <w:rPr>
                <w:rFonts w:eastAsia="Calibri"/>
              </w:rPr>
              <w:t xml:space="preserve">a stretch of </w:t>
            </w:r>
            <w:r w:rsidRPr="005875E0">
              <w:rPr>
                <w:rFonts w:eastAsia="Calibri"/>
              </w:rPr>
              <w:t>the Murrumbidgee River.</w:t>
            </w:r>
          </w:p>
          <w:p w:rsidR="00CF05D6" w:rsidRPr="000C2710" w:rsidRDefault="00CF05D6" w:rsidP="00CF05D6">
            <w:pPr>
              <w:rPr>
                <w:b/>
                <w:color w:val="FFFFFF"/>
              </w:rPr>
            </w:pPr>
          </w:p>
        </w:tc>
      </w:tr>
    </w:tbl>
    <w:p w:rsidR="00CF05D6" w:rsidRDefault="00CF05D6" w:rsidP="00CF05D6"/>
    <w:p w:rsidR="00CF05D6" w:rsidRPr="006A6D5D" w:rsidRDefault="00CF05D6" w:rsidP="006A6D5D">
      <w:pPr>
        <w:pStyle w:val="Heading1"/>
      </w:pPr>
      <w:bookmarkStart w:id="141" w:name="_Toc370299192"/>
      <w:bookmarkStart w:id="142" w:name="_Toc370738742"/>
      <w:bookmarkStart w:id="143" w:name="_Toc378168526"/>
      <w:r w:rsidRPr="006A6D5D">
        <w:t>Primary productivity</w:t>
      </w:r>
      <w:bookmarkEnd w:id="141"/>
      <w:bookmarkEnd w:id="142"/>
      <w:bookmarkEnd w:id="143"/>
    </w:p>
    <w:p w:rsidR="00CF05D6" w:rsidRDefault="00CF05D6" w:rsidP="00C44F46">
      <w:pPr>
        <w:pStyle w:val="Heading2"/>
      </w:pPr>
      <w:bookmarkStart w:id="144" w:name="_Toc370299193"/>
      <w:bookmarkStart w:id="145" w:name="_Toc370738743"/>
      <w:bookmarkStart w:id="146" w:name="_Toc378168527"/>
      <w:r>
        <w:t>Introduction</w:t>
      </w:r>
      <w:bookmarkEnd w:id="144"/>
      <w:bookmarkEnd w:id="145"/>
      <w:bookmarkEnd w:id="146"/>
    </w:p>
    <w:p w:rsidR="00CF05D6" w:rsidRDefault="00040DED" w:rsidP="002A63C5">
      <w:pPr>
        <w:pStyle w:val="BodyText1"/>
      </w:pPr>
      <w:r>
        <w:rPr>
          <w:lang w:val="en-US"/>
        </w:rPr>
        <w:t>As we have seen from the previous section, during</w:t>
      </w:r>
      <w:r w:rsidR="006C1E85" w:rsidRPr="007D5F71">
        <w:rPr>
          <w:lang w:val="en-US"/>
        </w:rPr>
        <w:t xml:space="preserve"> periods of high flow, nutrients (dissolved inorganic, dissolved organic and particulate N and P) and dissolved organic carbon (DOC) </w:t>
      </w:r>
      <w:r>
        <w:rPr>
          <w:lang w:val="en-US"/>
        </w:rPr>
        <w:t>can be mobili</w:t>
      </w:r>
      <w:r w:rsidR="004A3F44">
        <w:rPr>
          <w:lang w:val="en-US"/>
        </w:rPr>
        <w:t>s</w:t>
      </w:r>
      <w:r>
        <w:rPr>
          <w:lang w:val="en-US"/>
        </w:rPr>
        <w:t>e</w:t>
      </w:r>
      <w:r w:rsidR="004A3F44">
        <w:rPr>
          <w:lang w:val="en-US"/>
        </w:rPr>
        <w:t>d</w:t>
      </w:r>
      <w:r>
        <w:rPr>
          <w:lang w:val="en-US"/>
        </w:rPr>
        <w:t xml:space="preserve"> and redistributed through aquatic systems. </w:t>
      </w:r>
      <w:r w:rsidR="006C1E85" w:rsidRPr="007D5F71">
        <w:rPr>
          <w:lang w:val="en-US"/>
        </w:rPr>
        <w:t xml:space="preserve"> </w:t>
      </w:r>
      <w:r>
        <w:rPr>
          <w:lang w:val="en-US"/>
        </w:rPr>
        <w:t>This mobili</w:t>
      </w:r>
      <w:r w:rsidR="004A3F44">
        <w:rPr>
          <w:lang w:val="en-US"/>
        </w:rPr>
        <w:t>s</w:t>
      </w:r>
      <w:r>
        <w:rPr>
          <w:lang w:val="en-US"/>
        </w:rPr>
        <w:t>ation of nutrients</w:t>
      </w:r>
      <w:r w:rsidR="002A63C5">
        <w:rPr>
          <w:lang w:val="en-US"/>
        </w:rPr>
        <w:t>, combined with increasing water temperatures and daylight hours promotes the</w:t>
      </w:r>
      <w:r w:rsidR="006C1E85" w:rsidRPr="007D5F71">
        <w:rPr>
          <w:lang w:val="en-US"/>
        </w:rPr>
        <w:t xml:space="preserve"> growth of phytoplankton communities</w:t>
      </w:r>
      <w:r w:rsidR="002A63C5">
        <w:rPr>
          <w:lang w:val="en-US"/>
        </w:rPr>
        <w:t xml:space="preserve"> leading to changes in </w:t>
      </w:r>
      <w:r w:rsidR="002A63C5" w:rsidRPr="007D5F71">
        <w:rPr>
          <w:lang w:val="en-US"/>
        </w:rPr>
        <w:t xml:space="preserve">primary productivity, </w:t>
      </w:r>
      <w:r w:rsidR="006C1E85" w:rsidRPr="007D5F71">
        <w:rPr>
          <w:lang w:val="en-US"/>
        </w:rPr>
        <w:t xml:space="preserve">which in turn influence the </w:t>
      </w:r>
      <w:r w:rsidR="006C1E85">
        <w:rPr>
          <w:lang w:val="en-US"/>
        </w:rPr>
        <w:t>abundance</w:t>
      </w:r>
      <w:r w:rsidR="006C1E85" w:rsidRPr="007D5F71">
        <w:rPr>
          <w:lang w:val="en-US"/>
        </w:rPr>
        <w:t xml:space="preserve"> </w:t>
      </w:r>
      <w:r w:rsidR="006C1E85">
        <w:rPr>
          <w:lang w:val="en-US"/>
        </w:rPr>
        <w:t>of</w:t>
      </w:r>
      <w:r w:rsidR="006C1E85" w:rsidRPr="007D5F71">
        <w:rPr>
          <w:lang w:val="en-US"/>
        </w:rPr>
        <w:t xml:space="preserve"> </w:t>
      </w:r>
      <w:r w:rsidR="006C1E85">
        <w:rPr>
          <w:lang w:val="en-US"/>
        </w:rPr>
        <w:t>microcrustacea</w:t>
      </w:r>
      <w:r w:rsidR="006C1E85" w:rsidRPr="007D5F71">
        <w:rPr>
          <w:lang w:val="en-US"/>
        </w:rPr>
        <w:t xml:space="preserve"> </w:t>
      </w:r>
      <w:r w:rsidR="006C1E85">
        <w:rPr>
          <w:lang w:val="en-US"/>
        </w:rPr>
        <w:t xml:space="preserve">and food availability for fish. </w:t>
      </w:r>
      <w:r w:rsidR="00CF05D6" w:rsidRPr="003B07DA">
        <w:t xml:space="preserve">Chlorophyll </w:t>
      </w:r>
      <w:r w:rsidR="00CF05D6" w:rsidRPr="003B07DA">
        <w:rPr>
          <w:i/>
          <w:iCs/>
        </w:rPr>
        <w:t xml:space="preserve">a </w:t>
      </w:r>
      <w:r w:rsidR="00CF05D6" w:rsidRPr="003B07DA">
        <w:t>is the most dominant photosynthetic pigment</w:t>
      </w:r>
      <w:r w:rsidR="00D05561">
        <w:t xml:space="preserve"> in plants</w:t>
      </w:r>
      <w:r w:rsidR="006C1E85">
        <w:t xml:space="preserve"> </w:t>
      </w:r>
      <w:r w:rsidR="00CF05D6" w:rsidRPr="003B07DA">
        <w:t xml:space="preserve">and is </w:t>
      </w:r>
      <w:r w:rsidR="006C1E85">
        <w:t xml:space="preserve">frequently </w:t>
      </w:r>
      <w:r w:rsidR="00CF05D6" w:rsidRPr="003B07DA">
        <w:t>utilised as an indicator of phytoplankton primary productivity</w:t>
      </w:r>
      <w:r w:rsidR="006C1E85">
        <w:t xml:space="preserve"> (algae)</w:t>
      </w:r>
      <w:r w:rsidR="00CF05D6" w:rsidRPr="003B07DA">
        <w:t xml:space="preserve"> and algal biomass </w:t>
      </w:r>
      <w:r w:rsidR="00D20FAE">
        <w:fldChar w:fldCharType="begin"/>
      </w:r>
      <w:r w:rsidR="006171E9">
        <w:instrText xml:space="preserve"> ADDIN EN.CITE &lt;EndNote&gt;&lt;Cite&gt;&lt;Author&gt;Wetzel&lt;/Author&gt;&lt;Year&gt;2000&lt;/Year&gt;&lt;RecNum&gt;3375&lt;/RecNum&gt;&lt;DisplayText&gt;(Wetzel and Likens 2000)&lt;/DisplayText&gt;&lt;record&gt;&lt;rec-number&gt;3375&lt;/rec-number&gt;&lt;foreign-keys&gt;&lt;key app="EN" db-id="vxxvsda2b05fxpeaw2dp552mtrd5trxdrf0s"&gt;3375&lt;/key&gt;&lt;/foreign-keys&gt;&lt;ref-type name="Book Section"&gt;5&lt;/ref-type&gt;&lt;contributors&gt;&lt;authors&gt;&lt;author&gt;Wetzel, R. G.&lt;/author&gt;&lt;author&gt;Likens, G. E.&lt;/author&gt;&lt;/authors&gt;&lt;/contributors&gt;&lt;titles&gt;&lt;title&gt;Composition and Biomass of Phytoplankton&lt;/title&gt;&lt;secondary-title&gt;Limnological Analyses&lt;/secondary-title&gt;&lt;/titles&gt;&lt;pages&gt;147-174&lt;/pages&gt;&lt;section&gt;10&lt;/section&gt;&lt;dates&gt;&lt;year&gt;2000&lt;/year&gt;&lt;pub-dates&gt;&lt;date&gt;2000/01/01&lt;/date&gt;&lt;/pub-dates&gt;&lt;/dates&gt;&lt;publisher&gt;Springer New York&lt;/publisher&gt;&lt;isbn&gt;978-1-4419-3186-3&lt;/isbn&gt;&lt;urls&gt;&lt;related-urls&gt;&lt;url&gt;http://dx.doi.org/10.1007/978-1-4757-3250-4_10&lt;/url&gt;&lt;/related-urls&gt;&lt;/urls&gt;&lt;electronic-resource-num&gt;10.1007/978-1-4757-3250-4_10&lt;/electronic-resource-num&gt;&lt;language&gt;English&lt;/language&gt;&lt;/record&gt;&lt;/Cite&gt;&lt;/EndNote&gt;</w:instrText>
      </w:r>
      <w:r w:rsidR="00D20FAE">
        <w:fldChar w:fldCharType="separate"/>
      </w:r>
      <w:r w:rsidR="006171E9">
        <w:rPr>
          <w:noProof/>
        </w:rPr>
        <w:t>(</w:t>
      </w:r>
      <w:hyperlink w:anchor="_ENREF_112" w:tooltip="Wetzel, 2000 #3375" w:history="1">
        <w:r w:rsidR="006810E6">
          <w:rPr>
            <w:noProof/>
          </w:rPr>
          <w:t>Wetzel and Likens 2000</w:t>
        </w:r>
      </w:hyperlink>
      <w:r w:rsidR="006171E9">
        <w:rPr>
          <w:noProof/>
        </w:rPr>
        <w:t>)</w:t>
      </w:r>
      <w:r w:rsidR="00D20FAE">
        <w:fldChar w:fldCharType="end"/>
      </w:r>
      <w:r w:rsidR="00CF05D6" w:rsidRPr="003B07DA">
        <w:t xml:space="preserve">. Monitoring Chlorophyll </w:t>
      </w:r>
      <w:r w:rsidR="00CF05D6" w:rsidRPr="003B07DA">
        <w:rPr>
          <w:i/>
          <w:iCs/>
        </w:rPr>
        <w:t xml:space="preserve">a </w:t>
      </w:r>
      <w:r w:rsidR="00CF05D6" w:rsidRPr="003B07DA">
        <w:t xml:space="preserve">within river sites </w:t>
      </w:r>
      <w:r w:rsidR="00D45EB8">
        <w:t xml:space="preserve">provides </w:t>
      </w:r>
      <w:r w:rsidR="00CF05D6" w:rsidRPr="003B07DA">
        <w:t>an indication of the level of primary productivity before, during and after the delivery of</w:t>
      </w:r>
      <w:r w:rsidR="00455A7B">
        <w:t xml:space="preserve"> Commonwealth environmental water and in this monitoring program is m</w:t>
      </w:r>
      <w:r w:rsidR="00CF05D6" w:rsidRPr="003B07DA">
        <w:t xml:space="preserve">easured in conjunction with </w:t>
      </w:r>
      <w:r w:rsidR="00455A7B">
        <w:t xml:space="preserve">water quality, nutrients, </w:t>
      </w:r>
      <w:r w:rsidR="002A63C5">
        <w:t>microcrustacea</w:t>
      </w:r>
      <w:r w:rsidR="00455A7B">
        <w:t xml:space="preserve"> and larval fish. The complex interaction between these components of th</w:t>
      </w:r>
      <w:r w:rsidR="006A6D5D">
        <w:t>e food web and the relative contribution that primary productivity makes in supporting larval fish is considered in section 9.</w:t>
      </w:r>
    </w:p>
    <w:p w:rsidR="00CF05D6" w:rsidRDefault="00CF05D6" w:rsidP="00C44F46">
      <w:pPr>
        <w:pStyle w:val="Heading2"/>
      </w:pPr>
      <w:bookmarkStart w:id="147" w:name="_Toc370299194"/>
      <w:bookmarkStart w:id="148" w:name="_Toc370738744"/>
      <w:bookmarkStart w:id="149" w:name="_Toc378168528"/>
      <w:r w:rsidRPr="002821B9">
        <w:t>Methods</w:t>
      </w:r>
      <w:bookmarkEnd w:id="147"/>
      <w:bookmarkEnd w:id="148"/>
      <w:bookmarkEnd w:id="149"/>
    </w:p>
    <w:p w:rsidR="00CF05D6" w:rsidRPr="003B07DA" w:rsidRDefault="00CF05D6" w:rsidP="00CF05D6">
      <w:r>
        <w:t>Sampling for Chlorophyll</w:t>
      </w:r>
      <w:r w:rsidR="004A3F44">
        <w:t xml:space="preserve"> a</w:t>
      </w:r>
      <w:r>
        <w:t xml:space="preserve"> was paired with sampling of larval fish, nutrients and microcrustaceans in three sites within the Murrumbidgee River and one control site in Old Man Creek. </w:t>
      </w:r>
      <w:r w:rsidRPr="003B07DA">
        <w:t>Three replicate water samples were collected from each site by submerging a one litre Schott bottle under the surface of the water (bottle triple rinsed before being submerged approximately 200 mm deep). A 250</w:t>
      </w:r>
      <w:r w:rsidR="00D45EB8">
        <w:t> </w:t>
      </w:r>
      <w:r w:rsidRPr="003B07DA">
        <w:t xml:space="preserve">mL sub-sample of water was measured and filtered through a 0.45 μm Whatman filter paper using </w:t>
      </w:r>
      <w:proofErr w:type="gramStart"/>
      <w:r w:rsidRPr="003B07DA">
        <w:t>a Nalgene</w:t>
      </w:r>
      <w:proofErr w:type="gramEnd"/>
      <w:r w:rsidRPr="003B07DA">
        <w:t xml:space="preserve"> vacuum pump plastic filter housing. Once water was filtered, filter papers were folded twice and stored in a sterile 15 mL c</w:t>
      </w:r>
      <w:r w:rsidR="00D45EB8">
        <w:t xml:space="preserve">entrifuge tube, and kept below </w:t>
      </w:r>
      <w:r w:rsidR="00D45EB8">
        <w:noBreakHyphen/>
      </w:r>
      <w:r w:rsidRPr="003B07DA">
        <w:t xml:space="preserve">18°C until processing. All filter paper samples were kept out of UV light by wrapping in aluminium foil before being stored. In the lab, Chlorophyll </w:t>
      </w:r>
      <w:r w:rsidRPr="003B07DA">
        <w:rPr>
          <w:i/>
          <w:iCs/>
        </w:rPr>
        <w:t xml:space="preserve">a </w:t>
      </w:r>
      <w:r w:rsidRPr="003B07DA">
        <w:t xml:space="preserve">was extracted from filter papers using an ethanol buffer technique (heated in </w:t>
      </w:r>
      <w:r w:rsidR="00D45EB8">
        <w:t xml:space="preserve">a </w:t>
      </w:r>
      <w:r w:rsidRPr="003B07DA">
        <w:t xml:space="preserve">water bath) and filter papers were discarded. Chlorophyll </w:t>
      </w:r>
      <w:r w:rsidRPr="003B07DA">
        <w:rPr>
          <w:i/>
          <w:iCs/>
        </w:rPr>
        <w:t xml:space="preserve">a </w:t>
      </w:r>
      <w:r w:rsidRPr="003B07DA">
        <w:t xml:space="preserve">concentration was measured using a spectrophotometer at both 650 and 750 nm wavelengths </w:t>
      </w:r>
      <w:r w:rsidR="00D20FAE">
        <w:fldChar w:fldCharType="begin"/>
      </w:r>
      <w:r w:rsidR="006171E9">
        <w:instrText xml:space="preserve"> ADDIN EN.CITE &lt;EndNote&gt;&lt;Cite&gt;&lt;Author&gt;Eaton&lt;/Author&gt;&lt;Year&gt;2005&lt;/Year&gt;&lt;RecNum&gt;3302&lt;/RecNum&gt;&lt;DisplayText&gt;(Eaton, Clesceri&lt;style face="italic"&gt; et al.&lt;/style&gt; 2005)&lt;/DisplayText&gt;&lt;record&gt;&lt;rec-number&gt;3302&lt;/rec-number&gt;&lt;foreign-keys&gt;&lt;key app="EN" db-id="vxxvsda2b05fxpeaw2dp552mtrd5trxdrf0s"&gt;3302&lt;/key&gt;&lt;/foreign-keys&gt;&lt;ref-type name="Book"&gt;6&lt;/ref-type&gt;&lt;contributors&gt;&lt;authors&gt;&lt;author&gt;Eaton, A.D&lt;/author&gt;&lt;author&gt;Clesceri, L.S&lt;/author&gt;&lt;author&gt;Rice, E.W,&lt;/author&gt;&lt;author&gt;Greenberg, A.E &lt;/author&gt;&lt;/authors&gt;&lt;/contributors&gt;&lt;titles&gt;&lt;title&gt;Standard methods for examination of water &amp;amp; wastewater. Centennial edition.&lt;/title&gt;&lt;/titles&gt;&lt;volume&gt;21&lt;/volume&gt;&lt;dates&gt;&lt;year&gt;2005&lt;/year&gt;&lt;/dates&gt;&lt;pub-location&gt;Washington, USA&lt;/pub-location&gt;&lt;publisher&gt;American Public Health Associatio&lt;/publisher&gt;&lt;urls&gt;&lt;/urls&gt;&lt;/record&gt;&lt;/Cite&gt;&lt;/EndNote&gt;</w:instrText>
      </w:r>
      <w:r w:rsidR="00D20FAE">
        <w:fldChar w:fldCharType="separate"/>
      </w:r>
      <w:r w:rsidR="006171E9">
        <w:rPr>
          <w:noProof/>
        </w:rPr>
        <w:t>(</w:t>
      </w:r>
      <w:hyperlink w:anchor="_ENREF_31" w:tooltip="Eaton, 2005 #3302" w:history="1">
        <w:r w:rsidR="006810E6">
          <w:rPr>
            <w:noProof/>
          </w:rPr>
          <w:t>Eaton, Clesceri</w:t>
        </w:r>
        <w:r w:rsidR="006810E6" w:rsidRPr="006171E9">
          <w:rPr>
            <w:i/>
            <w:noProof/>
          </w:rPr>
          <w:t xml:space="preserve"> et al.</w:t>
        </w:r>
        <w:r w:rsidR="006810E6">
          <w:rPr>
            <w:noProof/>
          </w:rPr>
          <w:t xml:space="preserve"> 2005</w:t>
        </w:r>
      </w:hyperlink>
      <w:r w:rsidR="006171E9">
        <w:rPr>
          <w:noProof/>
        </w:rPr>
        <w:t>)</w:t>
      </w:r>
      <w:r w:rsidR="00D20FAE">
        <w:fldChar w:fldCharType="end"/>
      </w:r>
      <w:r w:rsidR="00F26D1A">
        <w:t xml:space="preserve"> which </w:t>
      </w:r>
      <w:r w:rsidR="00E37AB2">
        <w:t>were</w:t>
      </w:r>
      <w:r w:rsidR="00F26D1A">
        <w:t xml:space="preserve"> converted into a concentration </w:t>
      </w:r>
      <w:r w:rsidR="004A3F44">
        <w:t xml:space="preserve">in </w:t>
      </w:r>
      <w:r w:rsidR="00F26D1A">
        <w:t>microgram</w:t>
      </w:r>
      <w:r w:rsidR="004A3F44">
        <w:t>s</w:t>
      </w:r>
      <w:r w:rsidR="00D45EB8">
        <w:t xml:space="preserve"> per l</w:t>
      </w:r>
      <w:r w:rsidR="00F26D1A">
        <w:t xml:space="preserve">itre (µg/L) according to </w:t>
      </w:r>
      <w:r w:rsidR="00D20FAE">
        <w:fldChar w:fldCharType="begin"/>
      </w:r>
      <w:r w:rsidR="006171E9">
        <w:instrText xml:space="preserve"> ADDIN EN.CITE &lt;EndNote&gt;&lt;Cite&gt;&lt;Author&gt;Ritchie&lt;/Author&gt;&lt;Year&gt;2006&lt;/Year&gt;&lt;RecNum&gt;3440&lt;/RecNum&gt;&lt;DisplayText&gt;(Ritchie 2006)&lt;/DisplayText&gt;&lt;record&gt;&lt;rec-number&gt;3440&lt;/rec-number&gt;&lt;foreign-keys&gt;&lt;key app="EN" db-id="vxxvsda2b05fxpeaw2dp552mtrd5trxdrf0s"&gt;3440&lt;/key&gt;&lt;/foreign-keys&gt;&lt;ref-type name="Journal Article"&gt;17&lt;/ref-type&gt;&lt;contributors&gt;&lt;authors&gt;&lt;author&gt;Ritchie, RaymondJ&lt;/author&gt;&lt;/authors&gt;&lt;/contributors&gt;&lt;titles&gt;&lt;title&gt;Consistent Sets of Spectrophotometric Chlorophyll Equations for Acetone, Methanol and Ethanol Solvents&lt;/title&gt;&lt;secondary-title&gt;Photosynthesis Research&lt;/secondary-title&gt;&lt;alt-title&gt;Photosynth Res&lt;/alt-title&gt;&lt;/titles&gt;&lt;periodical&gt;&lt;full-title&gt;Photosynthesis Research&lt;/full-title&gt;&lt;abbr-1&gt;Photosynth Res&lt;/abbr-1&gt;&lt;/periodical&gt;&lt;alt-periodical&gt;&lt;full-title&gt;Photosynthesis Research&lt;/full-title&gt;&lt;abbr-1&gt;Photosynth Res&lt;/abbr-1&gt;&lt;/alt-periodical&gt;&lt;pages&gt;27-41&lt;/pages&gt;&lt;volume&gt;89&lt;/volume&gt;&lt;number&gt;1&lt;/number&gt;&lt;keywords&gt;&lt;keyword&gt;Chlorophyll&lt;/keyword&gt;&lt;keyword&gt;Acetone&lt;/keyword&gt;&lt;keyword&gt;Methanol&lt;/keyword&gt;&lt;keyword&gt;Ethanol&lt;/keyword&gt;&lt;keyword&gt;Algorithms&lt;/keyword&gt;&lt;keyword&gt;Chlorophyll a&lt;/keyword&gt;&lt;keyword&gt;Chlorophyll b&lt;/keyword&gt;&lt;keyword&gt;Chlorophyll c 2&lt;/keyword&gt;&lt;keyword&gt;Chlorophyll c 1  + c 2&lt;/keyword&gt;&lt;keyword&gt;Chlorophyll d&lt;/keyword&gt;&lt;keyword&gt;Error structure&lt;/keyword&gt;&lt;/keywords&gt;&lt;dates&gt;&lt;year&gt;2006&lt;/year&gt;&lt;pub-dates&gt;&lt;date&gt;2006/07/01&lt;/date&gt;&lt;/pub-dates&gt;&lt;/dates&gt;&lt;publisher&gt;Springer Netherlands&lt;/publisher&gt;&lt;isbn&gt;0166-8595&lt;/isbn&gt;&lt;urls&gt;&lt;related-urls&gt;&lt;url&gt;http://dx.doi.org/10.1007/s11120-006-9065-9&lt;/url&gt;&lt;/related-urls&gt;&lt;/urls&gt;&lt;electronic-resource-num&gt;10.1007/s11120-006-9065-9&lt;/electronic-resource-num&gt;&lt;language&gt;English&lt;/language&gt;&lt;/record&gt;&lt;/Cite&gt;&lt;/EndNote&gt;</w:instrText>
      </w:r>
      <w:r w:rsidR="00D20FAE">
        <w:fldChar w:fldCharType="separate"/>
      </w:r>
      <w:r w:rsidR="006171E9">
        <w:rPr>
          <w:noProof/>
        </w:rPr>
        <w:t>(</w:t>
      </w:r>
      <w:hyperlink w:anchor="_ENREF_84" w:tooltip="Ritchie, 2006 #3440" w:history="1">
        <w:r w:rsidR="006810E6">
          <w:rPr>
            <w:noProof/>
          </w:rPr>
          <w:t>Ritchie 2006</w:t>
        </w:r>
      </w:hyperlink>
      <w:r w:rsidR="006171E9">
        <w:rPr>
          <w:noProof/>
        </w:rPr>
        <w:t>)</w:t>
      </w:r>
      <w:r w:rsidR="00D20FAE">
        <w:fldChar w:fldCharType="end"/>
      </w:r>
      <w:r w:rsidR="0031556D">
        <w:t>.</w:t>
      </w:r>
    </w:p>
    <w:p w:rsidR="00CF05D6" w:rsidRDefault="00CF05D6" w:rsidP="00C44F46">
      <w:pPr>
        <w:pStyle w:val="Heading2"/>
      </w:pPr>
      <w:bookmarkStart w:id="150" w:name="_Toc370299195"/>
      <w:bookmarkStart w:id="151" w:name="_Toc370738745"/>
      <w:bookmarkStart w:id="152" w:name="_Toc378168529"/>
      <w:r>
        <w:t>Results</w:t>
      </w:r>
      <w:bookmarkEnd w:id="150"/>
      <w:bookmarkEnd w:id="151"/>
      <w:bookmarkEnd w:id="152"/>
    </w:p>
    <w:p w:rsidR="00CF05D6" w:rsidRDefault="00CF05D6" w:rsidP="00CF05D6">
      <w:r>
        <w:t xml:space="preserve">Chlorophyll concentrations in the Murrumbidgee River showed a small increase in September 2012 following the release of Commonwealth environmental water and a larger peak in late November </w:t>
      </w:r>
      <w:r w:rsidRPr="00512568">
        <w:t>(</w:t>
      </w:r>
      <w:fldSimple w:instr=" REF _Ref370286501 \h  \* MERGEFORMAT ">
        <w:r w:rsidR="00436595" w:rsidRPr="00436595">
          <w:t xml:space="preserve">Figure </w:t>
        </w:r>
        <w:r w:rsidR="00436595" w:rsidRPr="00436595">
          <w:rPr>
            <w:noProof/>
          </w:rPr>
          <w:t>11</w:t>
        </w:r>
      </w:fldSimple>
      <w:r w:rsidRPr="00512568">
        <w:t>).</w:t>
      </w:r>
      <w:r>
        <w:t xml:space="preserve"> This response was not consistent as </w:t>
      </w:r>
      <w:r w:rsidR="009937A6">
        <w:t>c</w:t>
      </w:r>
      <w:r>
        <w:t>hlorophyll a concentrations did not pulse at one of the Murrumbidgee River sites, Berry Jerry. The control site in Old Man Creek</w:t>
      </w:r>
      <w:r w:rsidR="00D45EB8">
        <w:t>,</w:t>
      </w:r>
      <w:r>
        <w:t xml:space="preserve"> which did not receive environmental water</w:t>
      </w:r>
      <w:r w:rsidR="00D45EB8">
        <w:t>,</w:t>
      </w:r>
      <w:r>
        <w:t xml:space="preserve"> </w:t>
      </w:r>
      <w:r w:rsidR="00D45EB8">
        <w:t xml:space="preserve">experienced </w:t>
      </w:r>
      <w:r>
        <w:t>a small and lagged increase in September and a small peak in mid-November.</w:t>
      </w:r>
    </w:p>
    <w:p w:rsidR="00CF05D6" w:rsidRDefault="00E12FC3" w:rsidP="00CF05D6">
      <w:r w:rsidRPr="00E12FC3">
        <w:rPr>
          <w:noProof/>
          <w:lang w:eastAsia="en-AU"/>
        </w:rPr>
        <w:drawing>
          <wp:inline distT="0" distB="0" distL="0" distR="0">
            <wp:extent cx="5731510" cy="4579496"/>
            <wp:effectExtent l="19050" t="0" r="2540" b="0"/>
            <wp:docPr id="9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0" cstate="print"/>
                    <a:srcRect/>
                    <a:stretch>
                      <a:fillRect/>
                    </a:stretch>
                  </pic:blipFill>
                  <pic:spPr bwMode="auto">
                    <a:xfrm>
                      <a:off x="0" y="0"/>
                      <a:ext cx="5731510" cy="4579496"/>
                    </a:xfrm>
                    <a:prstGeom prst="rect">
                      <a:avLst/>
                    </a:prstGeom>
                    <a:noFill/>
                    <a:ln w="9525">
                      <a:noFill/>
                      <a:miter lim="800000"/>
                      <a:headEnd/>
                      <a:tailEnd/>
                    </a:ln>
                  </pic:spPr>
                </pic:pic>
              </a:graphicData>
            </a:graphic>
          </wp:inline>
        </w:drawing>
      </w:r>
    </w:p>
    <w:p w:rsidR="00C44F46" w:rsidRDefault="00C44F46" w:rsidP="00C44F46">
      <w:pPr>
        <w:pStyle w:val="Caption1"/>
      </w:pPr>
      <w:bookmarkStart w:id="153" w:name="_Ref370286501"/>
      <w:bookmarkStart w:id="154" w:name="_Toc370738746"/>
      <w:r w:rsidRPr="00C44F46">
        <w:rPr>
          <w:b/>
        </w:rPr>
        <w:t xml:space="preserve">Figure </w:t>
      </w:r>
      <w:r w:rsidR="00D20FAE" w:rsidRPr="00C44F46">
        <w:rPr>
          <w:b/>
        </w:rPr>
        <w:fldChar w:fldCharType="begin"/>
      </w:r>
      <w:r w:rsidRPr="00C44F46">
        <w:rPr>
          <w:b/>
        </w:rPr>
        <w:instrText xml:space="preserve"> SEQ Figure \* ARABIC </w:instrText>
      </w:r>
      <w:r w:rsidR="00D20FAE" w:rsidRPr="00C44F46">
        <w:rPr>
          <w:b/>
        </w:rPr>
        <w:fldChar w:fldCharType="separate"/>
      </w:r>
      <w:r w:rsidR="00436595">
        <w:rPr>
          <w:b/>
          <w:noProof/>
        </w:rPr>
        <w:t>11</w:t>
      </w:r>
      <w:r w:rsidR="00D20FAE" w:rsidRPr="00C44F46">
        <w:rPr>
          <w:b/>
        </w:rPr>
        <w:fldChar w:fldCharType="end"/>
      </w:r>
      <w:bookmarkEnd w:id="153"/>
      <w:r w:rsidRPr="00C44F46">
        <w:t xml:space="preserve"> </w:t>
      </w:r>
      <w:r>
        <w:t>Chlorophyll concentrations over time in the Murrumbidgee River at Berry Jerry, Euroley Bridge and Narrandera and in Old Man Creek.</w:t>
      </w:r>
      <w:bookmarkEnd w:id="154"/>
    </w:p>
    <w:p w:rsidR="00C44F46" w:rsidRDefault="00C44F46" w:rsidP="00C44F46">
      <w:pPr>
        <w:rPr>
          <w:rFonts w:eastAsia="Times New Roman"/>
          <w:sz w:val="20"/>
          <w:szCs w:val="24"/>
        </w:rPr>
      </w:pPr>
      <w:r>
        <w:br w:type="page"/>
      </w:r>
    </w:p>
    <w:p w:rsidR="00C44F46" w:rsidRDefault="00C44F46" w:rsidP="00C44F46">
      <w:pPr>
        <w:pStyle w:val="Caption1"/>
      </w:pPr>
    </w:p>
    <w:p w:rsidR="00CF05D6" w:rsidRDefault="00CF05D6" w:rsidP="00C44F46">
      <w:pPr>
        <w:pStyle w:val="Heading2"/>
      </w:pPr>
      <w:bookmarkStart w:id="155" w:name="_Toc370299196"/>
      <w:bookmarkStart w:id="156" w:name="_Toc370738747"/>
      <w:bookmarkStart w:id="157" w:name="_Toc378168530"/>
      <w:r>
        <w:t>Discussion</w:t>
      </w:r>
      <w:bookmarkEnd w:id="155"/>
      <w:bookmarkEnd w:id="156"/>
      <w:bookmarkEnd w:id="157"/>
    </w:p>
    <w:p w:rsidR="00FE78C1" w:rsidRDefault="00CF05D6" w:rsidP="00CF05D6">
      <w:r w:rsidRPr="00FC57DC">
        <w:t xml:space="preserve">Overall, the </w:t>
      </w:r>
      <w:r>
        <w:t>chlorophyll</w:t>
      </w:r>
      <w:r w:rsidRPr="00FC57DC">
        <w:t xml:space="preserve"> monitoring detected </w:t>
      </w:r>
      <w:r>
        <w:t xml:space="preserve">two pulses in </w:t>
      </w:r>
      <w:r w:rsidR="009937A6">
        <w:t>c</w:t>
      </w:r>
      <w:r>
        <w:t xml:space="preserve">hlorophyll </w:t>
      </w:r>
      <w:r w:rsidR="009937A6">
        <w:t xml:space="preserve">a </w:t>
      </w:r>
      <w:r>
        <w:t>concentrations</w:t>
      </w:r>
      <w:r w:rsidRPr="00FC57DC">
        <w:t xml:space="preserve"> </w:t>
      </w:r>
      <w:r>
        <w:t>within</w:t>
      </w:r>
      <w:r w:rsidRPr="00FC57DC">
        <w:t xml:space="preserve"> the Murrumbidgee </w:t>
      </w:r>
      <w:r>
        <w:t>River in 2012</w:t>
      </w:r>
      <w:r w:rsidRPr="00FC57DC">
        <w:t xml:space="preserve">. </w:t>
      </w:r>
      <w:r>
        <w:t>The pulses follow the release of Commonwealth environmental water, although</w:t>
      </w:r>
      <w:r w:rsidR="00D45EB8">
        <w:t xml:space="preserve"> the largest peak also coincided</w:t>
      </w:r>
      <w:r>
        <w:t xml:space="preserve"> with warmer temperatures and increased available light</w:t>
      </w:r>
      <w:r w:rsidR="00D45EB8">
        <w:t>, which both act to increase chlorophyll production</w:t>
      </w:r>
      <w:r>
        <w:t xml:space="preserve">. However, given that </w:t>
      </w:r>
      <w:r w:rsidR="009937A6">
        <w:t>c</w:t>
      </w:r>
      <w:r>
        <w:t xml:space="preserve">hlorophyll </w:t>
      </w:r>
      <w:r w:rsidR="009937A6">
        <w:t xml:space="preserve">a </w:t>
      </w:r>
      <w:r>
        <w:t>concentrations</w:t>
      </w:r>
      <w:r w:rsidRPr="00FC57DC">
        <w:t xml:space="preserve"> </w:t>
      </w:r>
      <w:r>
        <w:t>showed a reduced peak at the control site which did not experience higher flows, it appears that the environmental watering boosted primary productivity. This peak coincided with a pulse in microcrustaceans and larval fish</w:t>
      </w:r>
      <w:r w:rsidR="00512568">
        <w:t xml:space="preserve">. </w:t>
      </w:r>
    </w:p>
    <w:p w:rsidR="00FE78C1" w:rsidRDefault="00FE78C1">
      <w:pPr>
        <w:spacing w:after="0" w:line="240" w:lineRule="auto"/>
        <w:jc w:val="left"/>
      </w:pPr>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6B29E"/>
        <w:tblLook w:val="04A0"/>
      </w:tblPr>
      <w:tblGrid>
        <w:gridCol w:w="9242"/>
      </w:tblGrid>
      <w:tr w:rsidR="00FE78C1" w:rsidTr="00B5695C">
        <w:tc>
          <w:tcPr>
            <w:tcW w:w="9242" w:type="dxa"/>
            <w:shd w:val="clear" w:color="auto" w:fill="86B29E"/>
          </w:tcPr>
          <w:p w:rsidR="00FE78C1" w:rsidRDefault="00FE78C1" w:rsidP="00B5695C">
            <w:pPr>
              <w:pStyle w:val="Title"/>
              <w:rPr>
                <w:lang w:eastAsia="en-AU"/>
              </w:rPr>
            </w:pPr>
            <w:bookmarkStart w:id="158" w:name="_Toc370738748"/>
            <w:r>
              <w:rPr>
                <w:lang w:eastAsia="en-AU"/>
              </w:rPr>
              <w:t>Biofilms</w:t>
            </w:r>
            <w:bookmarkEnd w:id="158"/>
          </w:p>
          <w:p w:rsidR="00FE78C1" w:rsidRPr="00594239" w:rsidRDefault="00FE78C1" w:rsidP="00B5695C">
            <w:pPr>
              <w:pStyle w:val="NoSpacing"/>
              <w:spacing w:line="360" w:lineRule="auto"/>
              <w:jc w:val="center"/>
              <w:rPr>
                <w:sz w:val="22"/>
                <w:lang w:eastAsia="en-AU"/>
              </w:rPr>
            </w:pPr>
            <w:r>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noProof/>
                <w:sz w:val="22"/>
                <w:lang w:eastAsia="en-AU"/>
              </w:rPr>
              <w:drawing>
                <wp:inline distT="0" distB="0" distL="0" distR="0">
                  <wp:extent cx="3302000" cy="2057400"/>
                  <wp:effectExtent l="19050" t="0" r="0" b="0"/>
                  <wp:docPr id="125" name="Picture 43" descr="cob1site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ob1site119"/>
                          <pic:cNvPicPr>
                            <a:picLocks noChangeAspect="1" noChangeArrowheads="1"/>
                          </pic:cNvPicPr>
                        </pic:nvPicPr>
                        <pic:blipFill>
                          <a:blip r:embed="rId71" cstate="print"/>
                          <a:srcRect/>
                          <a:stretch>
                            <a:fillRect/>
                          </a:stretch>
                        </pic:blipFill>
                        <pic:spPr bwMode="auto">
                          <a:xfrm>
                            <a:off x="0" y="0"/>
                            <a:ext cx="3302000" cy="2057400"/>
                          </a:xfrm>
                          <a:prstGeom prst="rect">
                            <a:avLst/>
                          </a:prstGeom>
                          <a:noFill/>
                          <a:ln w="9525">
                            <a:noFill/>
                            <a:miter lim="800000"/>
                            <a:headEnd/>
                            <a:tailEnd/>
                          </a:ln>
                        </pic:spPr>
                      </pic:pic>
                    </a:graphicData>
                  </a:graphic>
                </wp:inline>
              </w:drawing>
            </w:r>
          </w:p>
          <w:p w:rsidR="00FE78C1" w:rsidRPr="00D45EB8" w:rsidRDefault="00FE78C1" w:rsidP="00B5695C">
            <w:pPr>
              <w:pStyle w:val="Default"/>
              <w:spacing w:after="240" w:line="360" w:lineRule="auto"/>
              <w:jc w:val="both"/>
              <w:rPr>
                <w:rFonts w:ascii="Century Gothic" w:hAnsi="Century Gothic"/>
                <w:color w:val="auto"/>
                <w:sz w:val="20"/>
                <w:szCs w:val="20"/>
              </w:rPr>
            </w:pPr>
            <w:r>
              <w:rPr>
                <w:rFonts w:ascii="Century Gothic" w:hAnsi="Century Gothic"/>
                <w:color w:val="auto"/>
                <w:sz w:val="20"/>
                <w:szCs w:val="20"/>
              </w:rPr>
              <w:t>Biofilms are important co</w:t>
            </w:r>
            <w:r w:rsidR="00D45EB8">
              <w:rPr>
                <w:rFonts w:ascii="Century Gothic" w:hAnsi="Century Gothic"/>
                <w:color w:val="auto"/>
                <w:sz w:val="20"/>
                <w:szCs w:val="20"/>
              </w:rPr>
              <w:t>mponents of freshwater foodwebs. H</w:t>
            </w:r>
            <w:r>
              <w:rPr>
                <w:rFonts w:ascii="Century Gothic" w:hAnsi="Century Gothic"/>
                <w:color w:val="auto"/>
                <w:sz w:val="20"/>
                <w:szCs w:val="20"/>
              </w:rPr>
              <w:t>owever</w:t>
            </w:r>
            <w:r w:rsidR="00D45EB8">
              <w:rPr>
                <w:rFonts w:ascii="Century Gothic" w:hAnsi="Century Gothic"/>
                <w:color w:val="auto"/>
                <w:sz w:val="20"/>
                <w:szCs w:val="20"/>
              </w:rPr>
              <w:t>,</w:t>
            </w:r>
            <w:r>
              <w:rPr>
                <w:rFonts w:ascii="Century Gothic" w:hAnsi="Century Gothic"/>
                <w:color w:val="auto"/>
                <w:sz w:val="20"/>
                <w:szCs w:val="20"/>
              </w:rPr>
              <w:t xml:space="preserve"> a reduced variability of discharge can </w:t>
            </w:r>
            <w:r w:rsidR="001B5728">
              <w:rPr>
                <w:rFonts w:ascii="Century Gothic" w:hAnsi="Century Gothic"/>
                <w:color w:val="auto"/>
                <w:sz w:val="20"/>
                <w:szCs w:val="20"/>
              </w:rPr>
              <w:t xml:space="preserve">sometimes </w:t>
            </w:r>
            <w:r>
              <w:rPr>
                <w:rFonts w:ascii="Century Gothic" w:hAnsi="Century Gothic"/>
                <w:color w:val="auto"/>
                <w:sz w:val="20"/>
                <w:szCs w:val="20"/>
              </w:rPr>
              <w:t xml:space="preserve">cause the biomass of biofilms to increase to </w:t>
            </w:r>
            <w:r w:rsidRPr="00B26165">
              <w:rPr>
                <w:rFonts w:ascii="Century Gothic" w:hAnsi="Century Gothic"/>
                <w:color w:val="auto"/>
                <w:sz w:val="20"/>
                <w:szCs w:val="20"/>
              </w:rPr>
              <w:t>nuisance</w:t>
            </w:r>
            <w:r w:rsidR="00D45EB8">
              <w:rPr>
                <w:rFonts w:ascii="Century Gothic" w:hAnsi="Century Gothic"/>
                <w:color w:val="auto"/>
                <w:sz w:val="20"/>
                <w:szCs w:val="20"/>
              </w:rPr>
              <w:t xml:space="preserve"> levels</w:t>
            </w:r>
            <w:r>
              <w:rPr>
                <w:rFonts w:ascii="Century Gothic" w:hAnsi="Century Gothic"/>
                <w:color w:val="auto"/>
                <w:sz w:val="20"/>
                <w:szCs w:val="20"/>
              </w:rPr>
              <w:t xml:space="preserve"> (over</w:t>
            </w:r>
            <w:r w:rsidRPr="00B26165">
              <w:rPr>
                <w:rFonts w:ascii="Century Gothic" w:hAnsi="Century Gothic"/>
                <w:color w:val="auto"/>
                <w:sz w:val="20"/>
                <w:szCs w:val="20"/>
              </w:rPr>
              <w:t xml:space="preserve"> 100 mg/m</w:t>
            </w:r>
            <w:r w:rsidRPr="00B26165">
              <w:rPr>
                <w:rFonts w:ascii="Century Gothic" w:hAnsi="Century Gothic"/>
                <w:color w:val="auto"/>
                <w:sz w:val="20"/>
                <w:szCs w:val="20"/>
                <w:vertAlign w:val="superscript"/>
              </w:rPr>
              <w:t>2</w:t>
            </w:r>
            <w:r>
              <w:rPr>
                <w:rFonts w:ascii="Century Gothic" w:hAnsi="Century Gothic"/>
                <w:color w:val="auto"/>
                <w:sz w:val="20"/>
                <w:szCs w:val="20"/>
              </w:rPr>
              <w:t xml:space="preserve">). </w:t>
            </w:r>
            <w:r w:rsidRPr="00647724">
              <w:rPr>
                <w:rFonts w:ascii="Century Gothic" w:hAnsi="Century Gothic"/>
                <w:color w:val="auto"/>
                <w:sz w:val="20"/>
                <w:szCs w:val="20"/>
              </w:rPr>
              <w:t>Pulsing flows and increasing variability</w:t>
            </w:r>
            <w:r>
              <w:rPr>
                <w:rFonts w:ascii="Century Gothic" w:hAnsi="Century Gothic"/>
                <w:color w:val="auto"/>
                <w:sz w:val="20"/>
                <w:szCs w:val="20"/>
              </w:rPr>
              <w:t xml:space="preserve"> in flow</w:t>
            </w:r>
            <w:r w:rsidRPr="00647724">
              <w:rPr>
                <w:rFonts w:ascii="Century Gothic" w:hAnsi="Century Gothic"/>
                <w:color w:val="auto"/>
                <w:sz w:val="20"/>
                <w:szCs w:val="20"/>
              </w:rPr>
              <w:t xml:space="preserve"> (towards that under modelled unregulated </w:t>
            </w:r>
            <w:r>
              <w:rPr>
                <w:rFonts w:ascii="Century Gothic" w:hAnsi="Century Gothic"/>
                <w:color w:val="auto"/>
                <w:sz w:val="20"/>
                <w:szCs w:val="20"/>
              </w:rPr>
              <w:t>conditions</w:t>
            </w:r>
            <w:r w:rsidRPr="00647724">
              <w:rPr>
                <w:rFonts w:ascii="Century Gothic" w:hAnsi="Century Gothic"/>
                <w:color w:val="auto"/>
                <w:sz w:val="20"/>
                <w:szCs w:val="20"/>
              </w:rPr>
              <w:t>) is a way to reduce biofilm biomass and improve river health.</w:t>
            </w:r>
            <w:r>
              <w:rPr>
                <w:rFonts w:ascii="Century Gothic" w:hAnsi="Century Gothic"/>
                <w:color w:val="auto"/>
                <w:sz w:val="20"/>
                <w:szCs w:val="20"/>
              </w:rPr>
              <w:t xml:space="preserve"> </w:t>
            </w:r>
            <w:r w:rsidRPr="00B26165">
              <w:rPr>
                <w:rFonts w:ascii="Century Gothic" w:hAnsi="Century Gothic"/>
                <w:color w:val="auto"/>
                <w:sz w:val="20"/>
                <w:szCs w:val="20"/>
              </w:rPr>
              <w:t xml:space="preserve">Monitoring of biofilms was undertaken in the Murrumbidgee River downstream of Burrinjuck Dam, in the Tumut River downstream of Blowering Dam, and in the Goobarragandra River, an unregulated tributary of the Tumut River </w:t>
            </w:r>
            <w:r>
              <w:rPr>
                <w:rFonts w:ascii="Century Gothic" w:hAnsi="Century Gothic"/>
                <w:color w:val="auto"/>
                <w:sz w:val="20"/>
                <w:szCs w:val="20"/>
              </w:rPr>
              <w:t>(</w:t>
            </w:r>
            <w:r w:rsidR="00D45EB8">
              <w:rPr>
                <w:rFonts w:ascii="Century Gothic" w:hAnsi="Century Gothic"/>
                <w:color w:val="auto"/>
                <w:sz w:val="20"/>
                <w:szCs w:val="20"/>
              </w:rPr>
              <w:t xml:space="preserve">use as a </w:t>
            </w:r>
            <w:r w:rsidRPr="00B26165">
              <w:rPr>
                <w:rFonts w:ascii="Century Gothic" w:hAnsi="Century Gothic"/>
                <w:color w:val="auto"/>
                <w:sz w:val="20"/>
                <w:szCs w:val="20"/>
              </w:rPr>
              <w:t>reference river</w:t>
            </w:r>
            <w:r>
              <w:rPr>
                <w:rFonts w:ascii="Century Gothic" w:hAnsi="Century Gothic"/>
                <w:color w:val="auto"/>
                <w:sz w:val="20"/>
                <w:szCs w:val="20"/>
              </w:rPr>
              <w:t>)</w:t>
            </w:r>
            <w:r w:rsidRPr="00B26165">
              <w:rPr>
                <w:rFonts w:ascii="Century Gothic" w:hAnsi="Century Gothic"/>
                <w:color w:val="auto"/>
                <w:sz w:val="20"/>
                <w:szCs w:val="20"/>
              </w:rPr>
              <w:t xml:space="preserve">. Sampling was undertaken monthly </w:t>
            </w:r>
            <w:r>
              <w:rPr>
                <w:rFonts w:ascii="Century Gothic" w:hAnsi="Century Gothic"/>
                <w:color w:val="auto"/>
                <w:sz w:val="20"/>
                <w:szCs w:val="20"/>
              </w:rPr>
              <w:t xml:space="preserve">from </w:t>
            </w:r>
            <w:r w:rsidRPr="00B26165">
              <w:rPr>
                <w:rFonts w:ascii="Century Gothic" w:hAnsi="Century Gothic"/>
                <w:color w:val="auto"/>
                <w:sz w:val="20"/>
                <w:szCs w:val="20"/>
              </w:rPr>
              <w:t xml:space="preserve">September 2012 </w:t>
            </w:r>
            <w:r>
              <w:rPr>
                <w:rFonts w:ascii="Century Gothic" w:hAnsi="Century Gothic"/>
                <w:color w:val="auto"/>
                <w:sz w:val="20"/>
                <w:szCs w:val="20"/>
              </w:rPr>
              <w:t>to</w:t>
            </w:r>
            <w:r w:rsidRPr="00B26165">
              <w:rPr>
                <w:rFonts w:ascii="Century Gothic" w:hAnsi="Century Gothic"/>
                <w:color w:val="auto"/>
                <w:sz w:val="20"/>
                <w:szCs w:val="20"/>
              </w:rPr>
              <w:t xml:space="preserve"> March 2013. Some sites in the Murrumbidgee River and Tumut River could not be sampled on several occasions due to high river conditions preventing sampling from being undertaken safely.</w:t>
            </w:r>
            <w:r>
              <w:rPr>
                <w:rFonts w:ascii="Century Gothic" w:hAnsi="Century Gothic"/>
                <w:color w:val="auto"/>
                <w:sz w:val="20"/>
                <w:szCs w:val="20"/>
              </w:rPr>
              <w:t xml:space="preserve"> </w:t>
            </w:r>
            <w:r>
              <w:rPr>
                <w:rFonts w:ascii="Century Gothic" w:hAnsi="Century Gothic"/>
                <w:sz w:val="20"/>
                <w:szCs w:val="20"/>
              </w:rPr>
              <w:t>The key objective</w:t>
            </w:r>
            <w:r w:rsidRPr="00B26165">
              <w:rPr>
                <w:rFonts w:ascii="Century Gothic" w:hAnsi="Century Gothic"/>
                <w:sz w:val="20"/>
                <w:szCs w:val="20"/>
              </w:rPr>
              <w:t xml:space="preserve"> of the Commonwealth environmental watering actions in 2012-13 that relate to biofilms was to </w:t>
            </w:r>
            <w:r w:rsidR="00D45EB8">
              <w:rPr>
                <w:rFonts w:ascii="Century Gothic" w:hAnsi="Century Gothic"/>
                <w:b/>
                <w:i/>
                <w:sz w:val="20"/>
                <w:szCs w:val="20"/>
              </w:rPr>
              <w:t>“</w:t>
            </w:r>
            <w:r w:rsidRPr="00B26165">
              <w:rPr>
                <w:rFonts w:ascii="Century Gothic" w:hAnsi="Century Gothic"/>
                <w:b/>
                <w:bCs/>
                <w:i/>
                <w:sz w:val="20"/>
                <w:szCs w:val="20"/>
              </w:rPr>
              <w:t>Support ecosystem functions that relate to creation and maintenance of bed, bank and riparian habitat</w:t>
            </w:r>
            <w:r w:rsidR="00D45EB8">
              <w:rPr>
                <w:rFonts w:ascii="Century Gothic" w:hAnsi="Century Gothic"/>
                <w:b/>
                <w:bCs/>
                <w:i/>
                <w:sz w:val="20"/>
                <w:szCs w:val="20"/>
              </w:rPr>
              <w:t>”</w:t>
            </w:r>
            <w:r w:rsidR="00D45EB8">
              <w:rPr>
                <w:rFonts w:ascii="Century Gothic" w:hAnsi="Century Gothic"/>
                <w:sz w:val="20"/>
                <w:szCs w:val="20"/>
              </w:rPr>
              <w:t>.</w:t>
            </w:r>
          </w:p>
          <w:p w:rsidR="00FE78C1" w:rsidRPr="00B26165" w:rsidRDefault="00FE78C1" w:rsidP="00B5695C">
            <w:pPr>
              <w:pStyle w:val="NoSpacing"/>
              <w:spacing w:line="360" w:lineRule="auto"/>
              <w:rPr>
                <w:b/>
                <w:kern w:val="32"/>
                <w:szCs w:val="20"/>
              </w:rPr>
            </w:pPr>
            <w:r w:rsidRPr="00B26165">
              <w:rPr>
                <w:b/>
                <w:kern w:val="32"/>
                <w:szCs w:val="20"/>
              </w:rPr>
              <w:t>Key outcomes</w:t>
            </w:r>
          </w:p>
          <w:p w:rsidR="00FE78C1" w:rsidRPr="00594239" w:rsidRDefault="00FE78C1" w:rsidP="00785772">
            <w:pPr>
              <w:pStyle w:val="Default"/>
              <w:numPr>
                <w:ilvl w:val="0"/>
                <w:numId w:val="48"/>
              </w:numPr>
              <w:spacing w:after="240" w:line="360" w:lineRule="auto"/>
              <w:jc w:val="both"/>
              <w:rPr>
                <w:sz w:val="22"/>
                <w:lang w:bidi="th-TH"/>
              </w:rPr>
            </w:pPr>
            <w:r w:rsidRPr="00B26165">
              <w:rPr>
                <w:rFonts w:ascii="Century Gothic" w:hAnsi="Century Gothic"/>
                <w:color w:val="auto"/>
                <w:sz w:val="20"/>
                <w:szCs w:val="20"/>
              </w:rPr>
              <w:t>Th</w:t>
            </w:r>
            <w:r>
              <w:rPr>
                <w:rFonts w:ascii="Century Gothic" w:hAnsi="Century Gothic"/>
                <w:color w:val="auto"/>
                <w:sz w:val="20"/>
                <w:szCs w:val="20"/>
              </w:rPr>
              <w:t>roughout the monitoring period th</w:t>
            </w:r>
            <w:r w:rsidRPr="00B26165">
              <w:rPr>
                <w:rFonts w:ascii="Century Gothic" w:hAnsi="Century Gothic"/>
                <w:color w:val="auto"/>
                <w:sz w:val="20"/>
                <w:szCs w:val="20"/>
              </w:rPr>
              <w:t>e biomass of biofilms in the Murrumbidgee Riv</w:t>
            </w:r>
            <w:r>
              <w:rPr>
                <w:rFonts w:ascii="Century Gothic" w:hAnsi="Century Gothic"/>
                <w:color w:val="auto"/>
                <w:sz w:val="20"/>
                <w:szCs w:val="20"/>
              </w:rPr>
              <w:t xml:space="preserve">er </w:t>
            </w:r>
            <w:r w:rsidRPr="00B26165">
              <w:rPr>
                <w:rFonts w:ascii="Century Gothic" w:hAnsi="Century Gothic"/>
                <w:color w:val="auto"/>
                <w:sz w:val="20"/>
                <w:szCs w:val="20"/>
              </w:rPr>
              <w:t xml:space="preserve">was significantly higher than in the Goobarragandra River (reference). </w:t>
            </w:r>
            <w:r>
              <w:rPr>
                <w:rFonts w:ascii="Century Gothic" w:hAnsi="Century Gothic"/>
                <w:color w:val="auto"/>
                <w:sz w:val="20"/>
                <w:szCs w:val="20"/>
              </w:rPr>
              <w:t xml:space="preserve">However </w:t>
            </w:r>
            <w:r w:rsidRPr="006043D3">
              <w:rPr>
                <w:rFonts w:ascii="Century Gothic" w:hAnsi="Century Gothic"/>
                <w:b/>
                <w:color w:val="auto"/>
                <w:sz w:val="20"/>
                <w:szCs w:val="20"/>
              </w:rPr>
              <w:t>biofilm biomass in the Murrumbidgee River was lower during the Commonwealth environmental watering period compared to most other times during the study period</w:t>
            </w:r>
            <w:r>
              <w:rPr>
                <w:rFonts w:ascii="Century Gothic" w:hAnsi="Century Gothic"/>
                <w:color w:val="auto"/>
                <w:sz w:val="20"/>
                <w:szCs w:val="20"/>
              </w:rPr>
              <w:t xml:space="preserve">. </w:t>
            </w:r>
            <w:r w:rsidRPr="00B26165">
              <w:rPr>
                <w:rFonts w:ascii="Century Gothic" w:hAnsi="Century Gothic"/>
                <w:color w:val="auto"/>
                <w:sz w:val="20"/>
                <w:szCs w:val="20"/>
              </w:rPr>
              <w:t xml:space="preserve">This suggests that </w:t>
            </w:r>
            <w:r>
              <w:rPr>
                <w:rFonts w:ascii="Century Gothic" w:hAnsi="Century Gothic"/>
                <w:color w:val="auto"/>
                <w:sz w:val="20"/>
                <w:szCs w:val="20"/>
              </w:rPr>
              <w:t xml:space="preserve">the </w:t>
            </w:r>
            <w:r w:rsidRPr="00B26165">
              <w:rPr>
                <w:rFonts w:ascii="Century Gothic" w:hAnsi="Century Gothic"/>
                <w:color w:val="auto"/>
                <w:sz w:val="20"/>
                <w:szCs w:val="20"/>
              </w:rPr>
              <w:t xml:space="preserve">environmental watering helped to </w:t>
            </w:r>
            <w:r>
              <w:rPr>
                <w:rFonts w:ascii="Century Gothic" w:hAnsi="Century Gothic"/>
                <w:color w:val="auto"/>
                <w:sz w:val="20"/>
                <w:szCs w:val="20"/>
              </w:rPr>
              <w:t>reduce</w:t>
            </w:r>
            <w:r w:rsidRPr="00B26165">
              <w:rPr>
                <w:rFonts w:ascii="Century Gothic" w:hAnsi="Century Gothic"/>
                <w:color w:val="auto"/>
                <w:sz w:val="20"/>
                <w:szCs w:val="20"/>
              </w:rPr>
              <w:t xml:space="preserve"> </w:t>
            </w:r>
            <w:r>
              <w:rPr>
                <w:rFonts w:ascii="Century Gothic" w:hAnsi="Century Gothic"/>
                <w:color w:val="auto"/>
                <w:sz w:val="20"/>
                <w:szCs w:val="20"/>
              </w:rPr>
              <w:t>biofilm</w:t>
            </w:r>
            <w:r w:rsidRPr="00B26165">
              <w:rPr>
                <w:rFonts w:ascii="Century Gothic" w:hAnsi="Century Gothic"/>
                <w:color w:val="auto"/>
                <w:sz w:val="20"/>
                <w:szCs w:val="20"/>
              </w:rPr>
              <w:t xml:space="preserve"> biom</w:t>
            </w:r>
            <w:r>
              <w:rPr>
                <w:rFonts w:ascii="Century Gothic" w:hAnsi="Century Gothic"/>
                <w:color w:val="auto"/>
                <w:sz w:val="20"/>
                <w:szCs w:val="20"/>
              </w:rPr>
              <w:t>ass in the Murrumbidgee River</w:t>
            </w:r>
            <w:r w:rsidRPr="00B26165">
              <w:rPr>
                <w:rFonts w:ascii="Century Gothic" w:hAnsi="Century Gothic"/>
                <w:color w:val="auto"/>
                <w:sz w:val="20"/>
                <w:szCs w:val="20"/>
              </w:rPr>
              <w:t xml:space="preserve">, </w:t>
            </w:r>
            <w:r>
              <w:rPr>
                <w:rFonts w:ascii="Century Gothic" w:hAnsi="Century Gothic"/>
                <w:color w:val="auto"/>
                <w:sz w:val="20"/>
                <w:szCs w:val="20"/>
              </w:rPr>
              <w:t xml:space="preserve">bringing it </w:t>
            </w:r>
            <w:r w:rsidRPr="00B26165">
              <w:rPr>
                <w:rFonts w:ascii="Century Gothic" w:hAnsi="Century Gothic"/>
                <w:color w:val="auto"/>
                <w:sz w:val="20"/>
                <w:szCs w:val="20"/>
              </w:rPr>
              <w:t xml:space="preserve">closer to </w:t>
            </w:r>
            <w:r>
              <w:rPr>
                <w:rFonts w:ascii="Century Gothic" w:hAnsi="Century Gothic"/>
                <w:color w:val="auto"/>
                <w:sz w:val="20"/>
                <w:szCs w:val="20"/>
              </w:rPr>
              <w:t>that</w:t>
            </w:r>
            <w:r w:rsidRPr="00B26165">
              <w:rPr>
                <w:rFonts w:ascii="Century Gothic" w:hAnsi="Century Gothic"/>
                <w:color w:val="auto"/>
                <w:sz w:val="20"/>
                <w:szCs w:val="20"/>
              </w:rPr>
              <w:t xml:space="preserve"> in the reference river. </w:t>
            </w:r>
          </w:p>
        </w:tc>
      </w:tr>
    </w:tbl>
    <w:p w:rsidR="00FE78C1" w:rsidRPr="00FE78C1" w:rsidRDefault="00FE78C1" w:rsidP="00FE78C1">
      <w:pPr>
        <w:pStyle w:val="Heading1"/>
      </w:pPr>
      <w:r>
        <w:rPr>
          <w:lang w:eastAsia="en-AU"/>
        </w:rPr>
        <w:br w:type="page"/>
      </w:r>
      <w:bookmarkStart w:id="159" w:name="_Toc370738749"/>
      <w:bookmarkStart w:id="160" w:name="_Toc378168531"/>
      <w:r w:rsidRPr="00FE78C1">
        <w:t>Biofilms</w:t>
      </w:r>
      <w:bookmarkEnd w:id="159"/>
      <w:bookmarkEnd w:id="160"/>
    </w:p>
    <w:p w:rsidR="00FE78C1" w:rsidRPr="00082B86" w:rsidRDefault="00FE78C1" w:rsidP="00FE78C1">
      <w:pPr>
        <w:pStyle w:val="Heading2"/>
        <w:rPr>
          <w:lang w:eastAsia="en-AU"/>
        </w:rPr>
      </w:pPr>
      <w:bookmarkStart w:id="161" w:name="_Toc370738750"/>
      <w:bookmarkStart w:id="162" w:name="_Toc378168532"/>
      <w:r w:rsidRPr="00082B86">
        <w:rPr>
          <w:lang w:eastAsia="en-AU"/>
        </w:rPr>
        <w:t>Introduction</w:t>
      </w:r>
      <w:bookmarkEnd w:id="161"/>
      <w:bookmarkEnd w:id="162"/>
    </w:p>
    <w:p w:rsidR="00FE78C1" w:rsidRPr="00BF5F1E" w:rsidRDefault="00FE78C1" w:rsidP="00FE78C1">
      <w:pPr>
        <w:tabs>
          <w:tab w:val="left" w:pos="9639"/>
        </w:tabs>
        <w:spacing w:after="240"/>
        <w:ind w:right="-1"/>
        <w:rPr>
          <w:rFonts w:cs="Arial"/>
        </w:rPr>
      </w:pPr>
      <w:r>
        <w:rPr>
          <w:rFonts w:cs="Arial"/>
          <w:iCs/>
        </w:rPr>
        <w:t xml:space="preserve">Biofilms </w:t>
      </w:r>
      <w:r w:rsidRPr="00BF5F1E">
        <w:t xml:space="preserve">are a combination of bacteria, algae and fungi that grow on submerged surfaces (e.g. </w:t>
      </w:r>
      <w:r w:rsidRPr="00BF5F1E">
        <w:rPr>
          <w:rFonts w:cs="Arial"/>
        </w:rPr>
        <w:t xml:space="preserve">wood, sediment, rock) in aquatic systems. They are a major instream source of carbon in river systems and provide food and habitat for a range of organisms. </w:t>
      </w:r>
      <w:r w:rsidRPr="00BF5F1E">
        <w:t xml:space="preserve">Biofilms are excellent indicators of ecological responses to environmental watering because they respond to flow changes in a time frame (e.g. days to weeks) that is appropriate for flow management (Burns and Ryder 2001). </w:t>
      </w:r>
      <w:r w:rsidR="002E6705">
        <w:rPr>
          <w:rFonts w:cs="Arial"/>
        </w:rPr>
        <w:t>Previous studies</w:t>
      </w:r>
      <w:r w:rsidRPr="00BF5F1E">
        <w:rPr>
          <w:rFonts w:cs="Arial"/>
        </w:rPr>
        <w:t xml:space="preserve"> </w:t>
      </w:r>
      <w:r w:rsidR="00D20FAE">
        <w:rPr>
          <w:rFonts w:cs="Arial"/>
        </w:rPr>
        <w:fldChar w:fldCharType="begin">
          <w:fldData xml:space="preserve">PEVuZE5vdGU+PENpdGU+PEF1dGhvcj5SeWRlcjwvQXV0aG9yPjxZZWFyPjIwMDQ8L1llYXI+PFJl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</w:fldData>
        </w:fldChar>
      </w:r>
      <w:r w:rsidR="006171E9">
        <w:rPr>
          <w:rFonts w:cs="Arial"/>
        </w:rPr>
        <w:instrText xml:space="preserve"> ADDIN EN.CITE </w:instrText>
      </w:r>
      <w:r w:rsidR="00D20FAE">
        <w:rPr>
          <w:rFonts w:cs="Arial"/>
        </w:rPr>
        <w:fldChar w:fldCharType="begin">
          <w:fldData xml:space="preserve">PEVuZE5vdGU+PENpdGU+PEF1dGhvcj5SeWRlcjwvQXV0aG9yPjxZZWFyPjIwMDQ8L1llYXI+PFJl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</w:fldData>
        </w:fldChar>
      </w:r>
      <w:r w:rsidR="006171E9">
        <w:rPr>
          <w:rFonts w:cs="Arial"/>
        </w:rPr>
        <w:instrText xml:space="preserve"> ADDIN EN.CITE.DATA </w:instrText>
      </w:r>
      <w:r w:rsidR="00D20FAE">
        <w:rPr>
          <w:rFonts w:cs="Arial"/>
        </w:rPr>
      </w:r>
      <w:r w:rsidR="00D20FAE">
        <w:rPr>
          <w:rFonts w:cs="Arial"/>
        </w:rPr>
        <w:fldChar w:fldCharType="end"/>
      </w:r>
      <w:r w:rsidR="00D20FAE">
        <w:rPr>
          <w:rFonts w:cs="Arial"/>
        </w:rPr>
      </w:r>
      <w:r w:rsidR="00D20FAE">
        <w:rPr>
          <w:rFonts w:cs="Arial"/>
        </w:rPr>
        <w:fldChar w:fldCharType="separate"/>
      </w:r>
      <w:r w:rsidR="006171E9">
        <w:rPr>
          <w:rFonts w:cs="Arial"/>
          <w:noProof/>
        </w:rPr>
        <w:t>(</w:t>
      </w:r>
      <w:hyperlink w:anchor="_ENREF_90" w:tooltip="Ryder, 2004 #2951" w:history="1">
        <w:r w:rsidR="006810E6">
          <w:rPr>
            <w:rFonts w:cs="Arial"/>
            <w:noProof/>
          </w:rPr>
          <w:t>Ryder 2004</w:t>
        </w:r>
      </w:hyperlink>
      <w:r w:rsidR="006171E9">
        <w:rPr>
          <w:rFonts w:cs="Arial"/>
          <w:noProof/>
        </w:rPr>
        <w:t xml:space="preserve">, </w:t>
      </w:r>
      <w:hyperlink w:anchor="_ENREF_108" w:tooltip="Watts, 2009 #3179" w:history="1">
        <w:r w:rsidR="006810E6">
          <w:rPr>
            <w:rFonts w:cs="Arial"/>
            <w:noProof/>
          </w:rPr>
          <w:t>Watts, Ryder</w:t>
        </w:r>
        <w:r w:rsidR="006810E6" w:rsidRPr="006171E9">
          <w:rPr>
            <w:rFonts w:cs="Arial"/>
            <w:i/>
            <w:noProof/>
          </w:rPr>
          <w:t xml:space="preserve"> et al.</w:t>
        </w:r>
        <w:r w:rsidR="006810E6">
          <w:rPr>
            <w:rFonts w:cs="Arial"/>
            <w:noProof/>
          </w:rPr>
          <w:t xml:space="preserve"> 2009</w:t>
        </w:r>
      </w:hyperlink>
      <w:r w:rsidR="006171E9">
        <w:rPr>
          <w:rFonts w:cs="Arial"/>
          <w:noProof/>
        </w:rPr>
        <w:t xml:space="preserve">, </w:t>
      </w:r>
      <w:hyperlink w:anchor="_ENREF_109" w:tooltip="Watts, 2010 #3180" w:history="1">
        <w:r w:rsidR="006810E6">
          <w:rPr>
            <w:rFonts w:cs="Arial"/>
            <w:noProof/>
          </w:rPr>
          <w:t>Watts, Ryder</w:t>
        </w:r>
        <w:r w:rsidR="006810E6" w:rsidRPr="006171E9">
          <w:rPr>
            <w:rFonts w:cs="Arial"/>
            <w:i/>
            <w:noProof/>
          </w:rPr>
          <w:t xml:space="preserve"> et al.</w:t>
        </w:r>
        <w:r w:rsidR="006810E6">
          <w:rPr>
            <w:rFonts w:cs="Arial"/>
            <w:noProof/>
          </w:rPr>
          <w:t xml:space="preserve"> 2010</w:t>
        </w:r>
      </w:hyperlink>
      <w:r w:rsidR="006171E9">
        <w:rPr>
          <w:rFonts w:cs="Arial"/>
          <w:noProof/>
        </w:rPr>
        <w:t xml:space="preserve">, </w:t>
      </w:r>
      <w:hyperlink w:anchor="_ENREF_107" w:tooltip="Watts,  2005 #3177" w:history="1">
        <w:r w:rsidR="006810E6">
          <w:rPr>
            <w:rFonts w:cs="Arial"/>
            <w:noProof/>
          </w:rPr>
          <w:t>Watts, Nye</w:t>
        </w:r>
        <w:r w:rsidR="006810E6" w:rsidRPr="006171E9">
          <w:rPr>
            <w:rFonts w:cs="Arial"/>
            <w:i/>
            <w:noProof/>
          </w:rPr>
          <w:t xml:space="preserve"> et al.</w:t>
        </w:r>
        <w:r w:rsidR="006810E6">
          <w:rPr>
            <w:rFonts w:cs="Arial"/>
            <w:noProof/>
          </w:rPr>
          <w:t xml:space="preserve"> 2005</w:t>
        </w:r>
      </w:hyperlink>
      <w:r w:rsidR="006171E9">
        <w:rPr>
          <w:rFonts w:cs="Arial"/>
          <w:noProof/>
        </w:rPr>
        <w:t xml:space="preserve">, </w:t>
      </w:r>
      <w:hyperlink w:anchor="_ENREF_110" w:tooltip="Watts,  2008 #3178" w:history="1">
        <w:r w:rsidR="006810E6">
          <w:rPr>
            <w:rFonts w:cs="Arial"/>
            <w:noProof/>
          </w:rPr>
          <w:t>Watts, Ryder</w:t>
        </w:r>
        <w:r w:rsidR="006810E6" w:rsidRPr="006171E9">
          <w:rPr>
            <w:rFonts w:cs="Arial"/>
            <w:i/>
            <w:noProof/>
          </w:rPr>
          <w:t xml:space="preserve"> et al.</w:t>
        </w:r>
        <w:r w:rsidR="006810E6">
          <w:rPr>
            <w:rFonts w:cs="Arial"/>
            <w:noProof/>
          </w:rPr>
          <w:t xml:space="preserve"> 2008</w:t>
        </w:r>
      </w:hyperlink>
      <w:r w:rsidR="006171E9">
        <w:rPr>
          <w:rFonts w:cs="Arial"/>
          <w:noProof/>
        </w:rPr>
        <w:t>)</w:t>
      </w:r>
      <w:r w:rsidR="00D20FAE">
        <w:rPr>
          <w:rFonts w:cs="Arial"/>
        </w:rPr>
        <w:fldChar w:fldCharType="end"/>
      </w:r>
      <w:r w:rsidRPr="00BF5F1E">
        <w:rPr>
          <w:rFonts w:cs="Arial"/>
        </w:rPr>
        <w:t xml:space="preserve"> have shown that regulated flow regimes with low variability in discharge can result in reduced productivity, lower diversity, and high biomass of biofilms </w:t>
      </w:r>
      <w:r w:rsidRPr="00BF5F1E">
        <w:t>(</w:t>
      </w:r>
      <w:r w:rsidRPr="00BF5F1E">
        <w:rPr>
          <w:rFonts w:cs="Arial"/>
        </w:rPr>
        <w:t xml:space="preserve">that </w:t>
      </w:r>
      <w:r w:rsidR="002E6705">
        <w:rPr>
          <w:rFonts w:cs="Arial"/>
        </w:rPr>
        <w:t xml:space="preserve">often </w:t>
      </w:r>
      <w:r w:rsidRPr="00BF5F1E">
        <w:rPr>
          <w:rFonts w:cs="Arial"/>
        </w:rPr>
        <w:t xml:space="preserve">becomes a nuisance </w:t>
      </w:r>
      <w:r w:rsidRPr="00BF5F1E">
        <w:t>to the general public or landholders)</w:t>
      </w:r>
      <w:r w:rsidRPr="00BF5F1E">
        <w:rPr>
          <w:rFonts w:cs="Arial"/>
        </w:rPr>
        <w:t xml:space="preserve"> than a regime that has a more variable discharge.</w:t>
      </w:r>
    </w:p>
    <w:p w:rsidR="00FE78C1" w:rsidRPr="00BF5F1E" w:rsidRDefault="00FE78C1" w:rsidP="00821373">
      <w:pPr>
        <w:pStyle w:val="BodyText1"/>
      </w:pPr>
      <w:r w:rsidRPr="00BF5F1E">
        <w:rPr>
          <w:rFonts w:cs="Times New Roman"/>
        </w:rPr>
        <w:t xml:space="preserve">Disturbance by flood events is one of the most important regulators of spatial and temporal variability in benthic communities of streams </w:t>
      </w:r>
      <w:r w:rsidR="00D20FAE">
        <w:fldChar w:fldCharType="begin"/>
      </w:r>
      <w:r w:rsidR="006171E9">
        <w:instrText xml:space="preserve"> ADDIN EN.CITE &lt;EndNote&gt;&lt;Cite&gt;&lt;Author&gt;Davis&lt;/Author&gt;&lt;Year&gt;1989&lt;/Year&gt;&lt;RecNum&gt;3253&lt;/RecNum&gt;&lt;DisplayText&gt;(Davis and Barmuta 1989)&lt;/DisplayText&gt;&lt;record&gt;&lt;rec-number&gt;3253&lt;/rec-number&gt;&lt;foreign-keys&gt;&lt;key app="EN" db-id="vxxvsda2b05fxpeaw2dp552mtrd5trxdrf0s"&gt;3253&lt;/key&gt;&lt;/foreign-keys&gt;&lt;ref-type name="Journal Article"&gt;17&lt;/ref-type&gt;&lt;contributors&gt;&lt;authors&gt;&lt;author&gt;Davis, J. A.&lt;/author&gt;&lt;author&gt;Barmuta, L. A.&lt;/author&gt;&lt;/authors&gt;&lt;/contributors&gt;&lt;titles&gt;&lt;title&gt;An ecologically useful classification of mean and near-bed flows in streams and rivers&lt;/title&gt;&lt;secondary-title&gt;Freshwater Biology&lt;/secondary-title&gt;&lt;/titles&gt;&lt;periodical&gt;&lt;full-title&gt;Freshwater Biology&lt;/full-title&gt;&lt;/periodical&gt;&lt;pages&gt;271-282&lt;/pages&gt;&lt;volume&gt;21&lt;/volume&gt;&lt;number&gt;2&lt;/number&gt;&lt;dates&gt;&lt;year&gt;1989&lt;/year&gt;&lt;/dates&gt;&lt;publisher&gt;Blackwell Publishing Ltd&lt;/publisher&gt;&lt;isbn&gt;1365-2427&lt;/isbn&gt;&lt;urls&gt;&lt;related-urls&gt;&lt;url&gt;http://dx.doi.org/10.1111/j.1365-2427.1989.tb01365.x&lt;/url&gt;&lt;/related-urls&gt;&lt;/urls&gt;&lt;electronic-resource-num&gt;10.1111/j.1365-2427.1989.tb01365.x&lt;/electronic-resource-num&gt;&lt;/record&gt;&lt;/Cite&gt;&lt;/EndNote&gt;</w:instrText>
      </w:r>
      <w:r w:rsidR="00D20FAE">
        <w:fldChar w:fldCharType="separate"/>
      </w:r>
      <w:r w:rsidR="006171E9">
        <w:rPr>
          <w:noProof/>
        </w:rPr>
        <w:t>(</w:t>
      </w:r>
      <w:hyperlink w:anchor="_ENREF_29" w:tooltip="Davis, 1989 #3253" w:history="1">
        <w:r w:rsidR="006810E6">
          <w:rPr>
            <w:noProof/>
          </w:rPr>
          <w:t>Davis and Barmuta 1989</w:t>
        </w:r>
      </w:hyperlink>
      <w:r w:rsidR="006171E9">
        <w:rPr>
          <w:noProof/>
        </w:rPr>
        <w:t>)</w:t>
      </w:r>
      <w:r w:rsidR="00D20FAE">
        <w:fldChar w:fldCharType="end"/>
      </w:r>
      <w:r w:rsidRPr="00BF5F1E">
        <w:rPr>
          <w:rFonts w:cs="Times New Roman"/>
        </w:rPr>
        <w:t xml:space="preserve">, with shifts in benthic algal community structure and function being well documented </w:t>
      </w:r>
      <w:r w:rsidR="00D20FAE">
        <w:fldChar w:fldCharType="begin">
          <w:fldData xml:space="preserve">PEVuZE5vdGU+PENpdGU+PEF1dGhvcj5CaWdnczwvQXV0aG9yPjxZZWFyPjE5OTk8L1llYXI+PFJl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</w:fldData>
        </w:fldChar>
      </w:r>
      <w:r w:rsidR="006171E9">
        <w:instrText xml:space="preserve"> ADDIN EN.CITE </w:instrText>
      </w:r>
      <w:r w:rsidR="00D20FAE">
        <w:fldChar w:fldCharType="begin">
          <w:fldData xml:space="preserve">PEVuZE5vdGU+PENpdGU+PEF1dGhvcj5CaWdnczwvQXV0aG9yPjxZZWFyPjE5OTk8L1llYXI+PFJl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</w:fldData>
        </w:fldChar>
      </w:r>
      <w:r w:rsidR="006171E9">
        <w:instrText xml:space="preserve"> ADDIN EN.CITE.DATA </w:instrText>
      </w:r>
      <w:r w:rsidR="00D20FAE">
        <w:fldChar w:fldCharType="end"/>
      </w:r>
      <w:r w:rsidR="00D20FAE">
        <w:fldChar w:fldCharType="separate"/>
      </w:r>
      <w:r w:rsidR="006171E9">
        <w:rPr>
          <w:noProof/>
        </w:rPr>
        <w:t>(</w:t>
      </w:r>
      <w:hyperlink w:anchor="_ENREF_77" w:tooltip="Peterson, 1992 #3252" w:history="1">
        <w:r w:rsidR="006810E6">
          <w:rPr>
            <w:noProof/>
          </w:rPr>
          <w:t>Peterson and Stevenson 1992</w:t>
        </w:r>
      </w:hyperlink>
      <w:r w:rsidR="006171E9">
        <w:rPr>
          <w:noProof/>
        </w:rPr>
        <w:t xml:space="preserve">, </w:t>
      </w:r>
      <w:hyperlink w:anchor="_ENREF_100" w:tooltip="Uehlinger, 1996 #3251" w:history="1">
        <w:r w:rsidR="006810E6">
          <w:rPr>
            <w:noProof/>
          </w:rPr>
          <w:t>Uehlinger, BÜhrer</w:t>
        </w:r>
        <w:r w:rsidR="006810E6" w:rsidRPr="006171E9">
          <w:rPr>
            <w:i/>
            <w:noProof/>
          </w:rPr>
          <w:t xml:space="preserve"> et al.</w:t>
        </w:r>
        <w:r w:rsidR="006810E6">
          <w:rPr>
            <w:noProof/>
          </w:rPr>
          <w:t xml:space="preserve"> 1996</w:t>
        </w:r>
      </w:hyperlink>
      <w:r w:rsidR="006171E9">
        <w:rPr>
          <w:noProof/>
        </w:rPr>
        <w:t xml:space="preserve">, </w:t>
      </w:r>
      <w:hyperlink w:anchor="_ENREF_15" w:tooltip="Biggs, 1999 #3254" w:history="1">
        <w:r w:rsidR="006810E6">
          <w:rPr>
            <w:noProof/>
          </w:rPr>
          <w:t>Biggs, Smith</w:t>
        </w:r>
        <w:r w:rsidR="006810E6" w:rsidRPr="006171E9">
          <w:rPr>
            <w:i/>
            <w:noProof/>
          </w:rPr>
          <w:t xml:space="preserve"> et al.</w:t>
        </w:r>
        <w:r w:rsidR="006810E6">
          <w:rPr>
            <w:noProof/>
          </w:rPr>
          <w:t xml:space="preserve"> 1999</w:t>
        </w:r>
      </w:hyperlink>
      <w:r w:rsidR="006171E9">
        <w:rPr>
          <w:noProof/>
        </w:rPr>
        <w:t>)</w:t>
      </w:r>
      <w:r w:rsidR="00D20FAE">
        <w:fldChar w:fldCharType="end"/>
      </w:r>
      <w:r w:rsidRPr="00BF5F1E">
        <w:rPr>
          <w:rFonts w:cs="Times New Roman"/>
        </w:rPr>
        <w:t xml:space="preserve">. The effects of water velocity on biofilm </w:t>
      </w:r>
      <w:r w:rsidRPr="00B85FC2">
        <w:rPr>
          <w:rFonts w:cs="Times New Roman"/>
        </w:rPr>
        <w:t>biomass and productivity has been investigated in flumes (</w:t>
      </w:r>
      <w:r w:rsidR="002E6705">
        <w:rPr>
          <w:rFonts w:cs="Times New Roman"/>
        </w:rPr>
        <w:t>e.g. Horner, Welch et al. 1990)</w:t>
      </w:r>
      <w:r w:rsidRPr="00B85FC2">
        <w:rPr>
          <w:rFonts w:cs="Times New Roman"/>
        </w:rPr>
        <w:t xml:space="preserve">, experimental streams (e.g. Biggs, Smith et al. 1999) and by survey in natural streams </w:t>
      </w:r>
      <w:r w:rsidR="00D20FAE">
        <w:fldChar w:fldCharType="begin"/>
      </w:r>
      <w:r w:rsidR="006171E9">
        <w:instrText xml:space="preserve"> ADDIN EN.CITE &lt;EndNote&gt;&lt;Cite&gt;&lt;Author&gt;Uehlinger&lt;/Author&gt;&lt;Year&gt;2003&lt;/Year&gt;&lt;RecNum&gt;3256&lt;/RecNum&gt;&lt;DisplayText&gt;(Uehlinger, Kawecka&lt;style face="italic"&gt; et al.&lt;/style&gt; 2003)&lt;/DisplayText&gt;&lt;record&gt;&lt;rec-number&gt;3256&lt;/rec-number&gt;&lt;foreign-keys&gt;&lt;key app="EN" db-id="vxxvsda2b05fxpeaw2dp552mtrd5trxdrf0s"&gt;3256&lt;/key&gt;&lt;/foreign-keys&gt;&lt;ref-type name="Journal Article"&gt;17&lt;/ref-type&gt;&lt;contributors&gt;&lt;authors&gt;&lt;author&gt;Uehlinger, U.&lt;/author&gt;&lt;author&gt;Kawecka, B.&lt;/author&gt;&lt;author&gt;Robinson, C. T.&lt;/author&gt;&lt;/authors&gt;&lt;/contributors&gt;&lt;titles&gt;&lt;title&gt;Effects of experimental floods on periphyton and stream metabolism below a high dam in the Swiss Alps (River Spöl)&lt;/title&gt;&lt;secondary-title&gt;Aquatic Sciences - Research Across Boundaries&lt;/secondary-title&gt;&lt;/titles&gt;&lt;periodical&gt;&lt;full-title&gt;Aquatic Sciences - Research Across Boundaries&lt;/full-title&gt;&lt;/periodical&gt;&lt;pages&gt;199-209&lt;/pages&gt;&lt;volume&gt;65&lt;/volume&gt;&lt;number&gt;3&lt;/number&gt;&lt;keywords&gt;&lt;keyword&gt;Biomedical and Life Sciences&lt;/keyword&gt;&lt;/keywords&gt;&lt;dates&gt;&lt;year&gt;2003&lt;/year&gt;&lt;/dates&gt;&lt;publisher&gt;Birkhäuser Basel&lt;/publisher&gt;&lt;isbn&gt;1015-1621&lt;/isbn&gt;&lt;urls&gt;&lt;related-urls&gt;&lt;url&gt;http://dx.doi.org/10.1007/s00027-003-0664-7&lt;/url&gt;&lt;/related-urls&gt;&lt;/urls&gt;&lt;electronic-resource-num&gt;10.1007/s00027-003-0664-7&lt;/electronic-resource-num&gt;&lt;/record&gt;&lt;/Cite&gt;&lt;/EndNote&gt;</w:instrText>
      </w:r>
      <w:r w:rsidR="00D20FAE">
        <w:fldChar w:fldCharType="separate"/>
      </w:r>
      <w:r w:rsidR="006171E9">
        <w:rPr>
          <w:noProof/>
        </w:rPr>
        <w:t>(</w:t>
      </w:r>
      <w:hyperlink w:anchor="_ENREF_99" w:tooltip="Uehlinger, 2003 #3256" w:history="1">
        <w:r w:rsidR="006810E6">
          <w:rPr>
            <w:noProof/>
          </w:rPr>
          <w:t>Uehlinger, Kawecka</w:t>
        </w:r>
        <w:r w:rsidR="006810E6" w:rsidRPr="006171E9">
          <w:rPr>
            <w:i/>
            <w:noProof/>
          </w:rPr>
          <w:t xml:space="preserve"> et al.</w:t>
        </w:r>
        <w:r w:rsidR="006810E6">
          <w:rPr>
            <w:noProof/>
          </w:rPr>
          <w:t xml:space="preserve"> 2003</w:t>
        </w:r>
      </w:hyperlink>
      <w:r w:rsidR="006171E9">
        <w:rPr>
          <w:noProof/>
        </w:rPr>
        <w:t>)</w:t>
      </w:r>
      <w:r w:rsidR="00D20FAE">
        <w:fldChar w:fldCharType="end"/>
      </w:r>
      <w:r w:rsidRPr="00B85FC2">
        <w:rPr>
          <w:rFonts w:cs="Times New Roman"/>
        </w:rPr>
        <w:t xml:space="preserve">. </w:t>
      </w:r>
      <w:r>
        <w:rPr>
          <w:rFonts w:cs="Times New Roman"/>
        </w:rPr>
        <w:t>R</w:t>
      </w:r>
      <w:r w:rsidRPr="00B85FC2">
        <w:t xml:space="preserve">esearch in the Mitta Mitta River has demonstrated that the release of pulsed flow events can scour and reset biofilms </w:t>
      </w:r>
      <w:r w:rsidR="00D20FAE">
        <w:fldChar w:fldCharType="begin">
          <w:fldData xml:space="preserve">PEVuZE5vdGU+PENpdGU+PEF1dGhvcj5TdXRoZXJsYW5kPC9BdXRob3I+PFllYXI+MjAwMjwvWWVh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</w:fldData>
        </w:fldChar>
      </w:r>
      <w:r w:rsidR="006171E9">
        <w:instrText xml:space="preserve"> ADDIN EN.CITE </w:instrText>
      </w:r>
      <w:r w:rsidR="00D20FAE">
        <w:fldChar w:fldCharType="begin">
          <w:fldData xml:space="preserve">PEVuZE5vdGU+PENpdGU+PEF1dGhvcj5TdXRoZXJsYW5kPC9BdXRob3I+PFllYXI+MjAwMjwvWWVh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</w:fldData>
        </w:fldChar>
      </w:r>
      <w:r w:rsidR="006171E9">
        <w:instrText xml:space="preserve"> ADDIN EN.CITE.DATA </w:instrText>
      </w:r>
      <w:r w:rsidR="00D20FAE">
        <w:fldChar w:fldCharType="end"/>
      </w:r>
      <w:r w:rsidR="00D20FAE">
        <w:fldChar w:fldCharType="separate"/>
      </w:r>
      <w:r w:rsidR="006171E9">
        <w:rPr>
          <w:noProof/>
        </w:rPr>
        <w:t>(</w:t>
      </w:r>
      <w:hyperlink w:anchor="_ENREF_96" w:tooltip="Sutherland, 2002 #3258" w:history="1">
        <w:r w:rsidR="006810E6">
          <w:rPr>
            <w:noProof/>
          </w:rPr>
          <w:t>Sutherland, Ryder</w:t>
        </w:r>
        <w:r w:rsidR="006810E6" w:rsidRPr="006171E9">
          <w:rPr>
            <w:i/>
            <w:noProof/>
          </w:rPr>
          <w:t xml:space="preserve"> et al.</w:t>
        </w:r>
        <w:r w:rsidR="006810E6">
          <w:rPr>
            <w:noProof/>
          </w:rPr>
          <w:t xml:space="preserve"> 2002</w:t>
        </w:r>
      </w:hyperlink>
      <w:r w:rsidR="006171E9">
        <w:rPr>
          <w:noProof/>
        </w:rPr>
        <w:t xml:space="preserve">, </w:t>
      </w:r>
      <w:hyperlink w:anchor="_ENREF_107" w:tooltip="Watts,  2005 #3177" w:history="1">
        <w:r w:rsidR="006810E6">
          <w:rPr>
            <w:noProof/>
          </w:rPr>
          <w:t>Watts, Nye</w:t>
        </w:r>
        <w:r w:rsidR="006810E6" w:rsidRPr="006171E9">
          <w:rPr>
            <w:i/>
            <w:noProof/>
          </w:rPr>
          <w:t xml:space="preserve"> et al.</w:t>
        </w:r>
        <w:r w:rsidR="006810E6">
          <w:rPr>
            <w:noProof/>
          </w:rPr>
          <w:t xml:space="preserve"> 2005: Watts, 2009 #3179</w:t>
        </w:r>
      </w:hyperlink>
      <w:r w:rsidR="006171E9">
        <w:rPr>
          <w:noProof/>
        </w:rPr>
        <w:t xml:space="preserve">, </w:t>
      </w:r>
      <w:hyperlink w:anchor="_ENREF_110" w:tooltip="Watts,  2008 #3178" w:history="1">
        <w:r w:rsidR="006810E6">
          <w:rPr>
            <w:noProof/>
          </w:rPr>
          <w:t>Watts, Ryder</w:t>
        </w:r>
        <w:r w:rsidR="006810E6" w:rsidRPr="006171E9">
          <w:rPr>
            <w:i/>
            <w:noProof/>
          </w:rPr>
          <w:t xml:space="preserve"> et al.</w:t>
        </w:r>
        <w:r w:rsidR="006810E6">
          <w:rPr>
            <w:noProof/>
          </w:rPr>
          <w:t xml:space="preserve"> 2008</w:t>
        </w:r>
      </w:hyperlink>
      <w:r w:rsidR="006171E9">
        <w:rPr>
          <w:noProof/>
        </w:rPr>
        <w:t>)</w:t>
      </w:r>
      <w:r w:rsidR="00D20FAE">
        <w:fldChar w:fldCharType="end"/>
      </w:r>
      <w:r w:rsidR="00821373">
        <w:t xml:space="preserve">.  </w:t>
      </w:r>
      <w:r w:rsidRPr="00B85FC2">
        <w:t xml:space="preserve"> This had a positive effect on the instream ecosystem by reducing the biomass of biofilm and enabling early successional algae (e.g. diatoms) to become established, thereby facilitating a shift in the biofilm community towards that of a reference stream </w:t>
      </w:r>
      <w:r w:rsidR="00D20FAE">
        <w:fldChar w:fldCharType="begin">
          <w:fldData xml:space="preserve">PEVuZE5vdGU+PENpdGU+PEF1dGhvcj5XYXR0czwvQXV0aG9yPjxZZWFyPjIwMDk8L1llYXI+PFJl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==
</w:fldData>
        </w:fldChar>
      </w:r>
      <w:r w:rsidR="006171E9">
        <w:instrText xml:space="preserve"> ADDIN EN.CITE </w:instrText>
      </w:r>
      <w:r w:rsidR="00D20FAE">
        <w:fldChar w:fldCharType="begin">
          <w:fldData xml:space="preserve">PEVuZE5vdGU+PENpdGU+PEF1dGhvcj5XYXR0czwvQXV0aG9yPjxZZWFyPjIwMDk8L1llYXI+PFJl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==
</w:fldData>
        </w:fldChar>
      </w:r>
      <w:r w:rsidR="006171E9">
        <w:instrText xml:space="preserve"> ADDIN EN.CITE.DATA </w:instrText>
      </w:r>
      <w:r w:rsidR="00D20FAE">
        <w:fldChar w:fldCharType="end"/>
      </w:r>
      <w:r w:rsidR="00D20FAE">
        <w:fldChar w:fldCharType="separate"/>
      </w:r>
      <w:r w:rsidR="006171E9">
        <w:rPr>
          <w:noProof/>
        </w:rPr>
        <w:t>(</w:t>
      </w:r>
      <w:hyperlink w:anchor="_ENREF_108" w:tooltip="Watts, 2009 #3179" w:history="1">
        <w:r w:rsidR="006810E6">
          <w:rPr>
            <w:noProof/>
          </w:rPr>
          <w:t>Watts, Ryder</w:t>
        </w:r>
        <w:r w:rsidR="006810E6" w:rsidRPr="006171E9">
          <w:rPr>
            <w:i/>
            <w:noProof/>
          </w:rPr>
          <w:t xml:space="preserve"> et al.</w:t>
        </w:r>
        <w:r w:rsidR="006810E6">
          <w:rPr>
            <w:noProof/>
          </w:rPr>
          <w:t xml:space="preserve"> 2009</w:t>
        </w:r>
      </w:hyperlink>
      <w:r w:rsidR="006171E9">
        <w:rPr>
          <w:noProof/>
        </w:rPr>
        <w:t xml:space="preserve">, </w:t>
      </w:r>
      <w:hyperlink w:anchor="_ENREF_107" w:tooltip="Watts,  2005 #3177" w:history="1">
        <w:r w:rsidR="006810E6">
          <w:rPr>
            <w:noProof/>
          </w:rPr>
          <w:t>Watts, Nye</w:t>
        </w:r>
        <w:r w:rsidR="006810E6" w:rsidRPr="006171E9">
          <w:rPr>
            <w:i/>
            <w:noProof/>
          </w:rPr>
          <w:t xml:space="preserve"> et al.</w:t>
        </w:r>
        <w:r w:rsidR="006810E6">
          <w:rPr>
            <w:noProof/>
          </w:rPr>
          <w:t xml:space="preserve"> 2005</w:t>
        </w:r>
      </w:hyperlink>
      <w:r w:rsidR="006171E9">
        <w:rPr>
          <w:noProof/>
        </w:rPr>
        <w:t>)</w:t>
      </w:r>
      <w:r w:rsidR="00D20FAE">
        <w:fldChar w:fldCharType="end"/>
      </w:r>
      <w:r w:rsidRPr="00B85FC2">
        <w:t>. The benefits</w:t>
      </w:r>
      <w:r w:rsidR="002E6705">
        <w:t xml:space="preserve"> of</w:t>
      </w:r>
      <w:r w:rsidRPr="00B85FC2">
        <w:t xml:space="preserve"> resetting biofilms through the delivery of in-chan</w:t>
      </w:r>
      <w:r w:rsidR="002E6705">
        <w:t>nel environmental flows include the following</w:t>
      </w:r>
      <w:r w:rsidR="001B5728">
        <w:t>:</w:t>
      </w:r>
    </w:p>
    <w:p w:rsidR="00FE78C1" w:rsidRPr="00BF5F1E" w:rsidRDefault="002E6705" w:rsidP="00FE78C1">
      <w:pPr>
        <w:pStyle w:val="ListParagraph"/>
        <w:numPr>
          <w:ilvl w:val="0"/>
          <w:numId w:val="47"/>
        </w:numPr>
        <w:spacing w:after="0" w:line="360" w:lineRule="auto"/>
        <w:ind w:right="-1"/>
        <w:contextualSpacing w:val="0"/>
      </w:pPr>
      <w:r>
        <w:t xml:space="preserve">Promotion </w:t>
      </w:r>
      <w:r w:rsidR="00FE78C1" w:rsidRPr="00BF5F1E">
        <w:t>of early successional algal taxa (e.g. diatoms) and higher biofilm diversity. A high diversity of biofilms usually indicates good ecosystem health.</w:t>
      </w:r>
    </w:p>
    <w:p w:rsidR="00FE78C1" w:rsidRPr="00BF5F1E" w:rsidRDefault="002E6705" w:rsidP="00FE78C1">
      <w:pPr>
        <w:pStyle w:val="ListParagraph"/>
        <w:numPr>
          <w:ilvl w:val="0"/>
          <w:numId w:val="47"/>
        </w:numPr>
        <w:spacing w:after="0" w:line="360" w:lineRule="auto"/>
        <w:ind w:right="-1"/>
        <w:contextualSpacing w:val="0"/>
      </w:pPr>
      <w:r>
        <w:t xml:space="preserve">Provision of </w:t>
      </w:r>
      <w:r w:rsidR="00FE78C1" w:rsidRPr="00BF5F1E">
        <w:t>nutrients and particulate organic matter</w:t>
      </w:r>
      <w:r w:rsidR="00FE78C1">
        <w:t xml:space="preserve"> in</w:t>
      </w:r>
      <w:r w:rsidR="00FE78C1" w:rsidRPr="00BF5F1E">
        <w:t xml:space="preserve"> the water column, thus providing an important food resource for downstream communities</w:t>
      </w:r>
      <w:r>
        <w:t>.</w:t>
      </w:r>
    </w:p>
    <w:p w:rsidR="00FE78C1" w:rsidRPr="00BF5F1E" w:rsidRDefault="002E6705" w:rsidP="00FE78C1">
      <w:pPr>
        <w:numPr>
          <w:ilvl w:val="0"/>
          <w:numId w:val="47"/>
        </w:numPr>
        <w:spacing w:after="0"/>
        <w:ind w:right="-1"/>
        <w:rPr>
          <w:rFonts w:cs="Arial"/>
        </w:rPr>
      </w:pPr>
      <w:r>
        <w:t>A</w:t>
      </w:r>
      <w:r w:rsidR="00DD75C9">
        <w:t xml:space="preserve"> reduction</w:t>
      </w:r>
      <w:r w:rsidR="00FE78C1" w:rsidRPr="00BF5F1E">
        <w:t xml:space="preserve"> in the nuisance of a high </w:t>
      </w:r>
      <w:r w:rsidR="00FE78C1">
        <w:t xml:space="preserve">algal </w:t>
      </w:r>
      <w:r w:rsidR="00FE78C1" w:rsidRPr="00BF5F1E">
        <w:t>biomass of biofilm growing on the beds of rivers to levels unacceptable to the general public or landholders. Quinn (1991) recommended that “the seasonal maximum cover of stream or river bed by periphyton as filamentous growths or mats (greater than about 3 mm thick) should not exceed 40% and/or biomass should not exceed 100 mg chlorophyll-</w:t>
      </w:r>
      <w:r w:rsidR="00FE78C1" w:rsidRPr="00BF5F1E">
        <w:rPr>
          <w:i/>
        </w:rPr>
        <w:t>a</w:t>
      </w:r>
      <w:r w:rsidR="00FE78C1" w:rsidRPr="00BF5F1E">
        <w:t xml:space="preserve"> /m</w:t>
      </w:r>
      <w:r w:rsidR="00FE78C1" w:rsidRPr="00BF5F1E">
        <w:rPr>
          <w:vertAlign w:val="superscript"/>
        </w:rPr>
        <w:t xml:space="preserve">2 </w:t>
      </w:r>
      <w:r w:rsidR="00FE78C1" w:rsidRPr="00BF5F1E">
        <w:t>.</w:t>
      </w:r>
    </w:p>
    <w:p w:rsidR="00FE78C1" w:rsidRPr="00BF5F1E" w:rsidRDefault="00FE78C1" w:rsidP="00FE78C1">
      <w:pPr>
        <w:spacing w:after="0"/>
        <w:ind w:left="567" w:right="-1"/>
        <w:rPr>
          <w:rFonts w:cs="Arial"/>
        </w:rPr>
      </w:pPr>
    </w:p>
    <w:p w:rsidR="00FE78C1" w:rsidRPr="00BF5F1E" w:rsidRDefault="00FE78C1" w:rsidP="00FE78C1">
      <w:pPr>
        <w:spacing w:after="0"/>
        <w:ind w:right="-1"/>
        <w:rPr>
          <w:rFonts w:cs="Arial"/>
        </w:rPr>
      </w:pPr>
      <w:r w:rsidRPr="00BF5F1E">
        <w:rPr>
          <w:rFonts w:cs="Arial"/>
        </w:rPr>
        <w:t xml:space="preserve">Based on previous studies, it was predicted that </w:t>
      </w:r>
      <w:r w:rsidRPr="00BF5F1E">
        <w:t xml:space="preserve">biomass of biofilms on cobbles will decrease following the environmental watering due to scouring of biofilms from increased flow velocity. In addition, </w:t>
      </w:r>
      <w:r w:rsidRPr="00BF5F1E">
        <w:rPr>
          <w:rFonts w:cs="Arial"/>
        </w:rPr>
        <w:t xml:space="preserve">increased flow variability from in-channel environmental watering will ensure biofilm biomass in these systems remains below nuisance levels. </w:t>
      </w:r>
    </w:p>
    <w:p w:rsidR="00FE78C1" w:rsidRPr="00BF5F1E" w:rsidRDefault="00FE78C1" w:rsidP="00FE78C1">
      <w:pPr>
        <w:widowControl w:val="0"/>
        <w:spacing w:after="0"/>
        <w:ind w:right="-1"/>
        <w:rPr>
          <w:rFonts w:cs="Arial"/>
          <w:highlight w:val="yellow"/>
        </w:rPr>
      </w:pPr>
    </w:p>
    <w:p w:rsidR="00FE78C1" w:rsidRPr="00BF5F1E" w:rsidRDefault="00FE78C1" w:rsidP="00FE78C1">
      <w:pPr>
        <w:pStyle w:val="Heading2"/>
      </w:pPr>
      <w:bookmarkStart w:id="163" w:name="_Toc370738751"/>
      <w:bookmarkStart w:id="164" w:name="_Toc378168533"/>
      <w:r w:rsidRPr="00BF5F1E">
        <w:t>Methods</w:t>
      </w:r>
      <w:bookmarkEnd w:id="163"/>
      <w:bookmarkEnd w:id="164"/>
    </w:p>
    <w:p w:rsidR="00FE78C1" w:rsidRPr="00BF5F1E" w:rsidRDefault="00FE78C1" w:rsidP="00FE78C1">
      <w:pPr>
        <w:pStyle w:val="Default"/>
        <w:rPr>
          <w:rFonts w:ascii="Century Gothic" w:hAnsi="Century Gothic" w:cs="Arial"/>
          <w:b/>
          <w:sz w:val="22"/>
          <w:szCs w:val="22"/>
        </w:rPr>
      </w:pPr>
    </w:p>
    <w:p w:rsidR="00FE78C1" w:rsidRPr="0074529C" w:rsidRDefault="00FE78C1" w:rsidP="00FE78C1">
      <w:pPr>
        <w:spacing w:after="240"/>
        <w:rPr>
          <w:rFonts w:cs="Arial"/>
        </w:rPr>
      </w:pPr>
      <w:r w:rsidRPr="00BF5F1E">
        <w:rPr>
          <w:rFonts w:cs="Arial"/>
        </w:rPr>
        <w:t>Daily discharge data were obtained from NSW Government water information website (NSW Office of Water, 2012) for gauging stations in the Murrumbidgee River downstream of Burrinjuck Dam at Gundagai (410004),</w:t>
      </w:r>
      <w:r w:rsidR="001B5728">
        <w:rPr>
          <w:rFonts w:cs="Arial"/>
        </w:rPr>
        <w:t xml:space="preserve"> </w:t>
      </w:r>
      <w:r w:rsidRPr="00BF5F1E">
        <w:rPr>
          <w:rFonts w:cs="Arial"/>
        </w:rPr>
        <w:t xml:space="preserve">and the Goobarragandra River at Lacmalac (410057), which is an unregulated tributary of the Tumut River. </w:t>
      </w:r>
      <w:r w:rsidRPr="00BF5F1E">
        <w:t>In 2012-13 environmental watering occurred from 10 October to 14 December 2012 resulted in a maximum discharge of 16,775 Ml/day at Gundagai on 16/10/2012.</w:t>
      </w:r>
    </w:p>
    <w:p w:rsidR="00FE78C1" w:rsidRPr="009C638D" w:rsidRDefault="00FE78C1" w:rsidP="00FE78C1">
      <w:r w:rsidRPr="00335DDF">
        <w:t>Monitoring of in-stream parameters was undertaken in three reaches of the Murrumbidgee River downstream of Burrinjuck Dam and four reaches of the Tumut River downstream of Blowering Dam (</w:t>
      </w:r>
      <w:r w:rsidR="00DD75C9">
        <w:t xml:space="preserve">refer </w:t>
      </w:r>
      <w:r w:rsidRPr="00DD75C9">
        <w:t>Figure</w:t>
      </w:r>
      <w:r w:rsidR="00DD75C9">
        <w:t xml:space="preserve"> 1</w:t>
      </w:r>
      <w:r w:rsidRPr="00335DDF">
        <w:t xml:space="preserve">). One reach in the Goobarragandra River, an unregulated tributary of the Tumut River, was sampled as a reference. Each of the river reaches selected for the study included a cobble </w:t>
      </w:r>
      <w:r w:rsidRPr="00E75983">
        <w:t>bench (</w:t>
      </w:r>
      <w:fldSimple w:instr=" REF _Ref370733715 \h  \* MERGEFORMAT ">
        <w:r w:rsidR="00436595" w:rsidRPr="00436595">
          <w:t xml:space="preserve">Plate </w:t>
        </w:r>
        <w:r w:rsidR="00436595" w:rsidRPr="00436595">
          <w:rPr>
            <w:noProof/>
          </w:rPr>
          <w:t>8</w:t>
        </w:r>
      </w:fldSimple>
      <w:r w:rsidRPr="00E75983">
        <w:t>). Sampling</w:t>
      </w:r>
      <w:r>
        <w:t xml:space="preserve"> was undertaken monthly at Gundagai and two sites in the Goobarragandra River. Sampling at two other sites in the Murrumbidgee (near Bookham and Jugiong) and sites in the Tumut River </w:t>
      </w:r>
      <w:r w:rsidRPr="00B26165">
        <w:t>could only be sampled on one or two occasions due to high river conditions preventing sampling from being undertaken safely.</w:t>
      </w:r>
    </w:p>
    <w:p w:rsidR="00FE78C1" w:rsidRPr="009C638D" w:rsidRDefault="00FE78C1" w:rsidP="00FE78C1">
      <w:r>
        <w:rPr>
          <w:noProof/>
          <w:lang w:eastAsia="en-AU"/>
        </w:rPr>
        <w:drawing>
          <wp:inline distT="0" distB="0" distL="0" distR="0">
            <wp:extent cx="2921000" cy="2387600"/>
            <wp:effectExtent l="19050" t="0" r="0" b="0"/>
            <wp:docPr id="124" name="Picture 6" descr="100_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_1446"/>
                    <pic:cNvPicPr>
                      <a:picLocks noChangeAspect="1" noChangeArrowheads="1"/>
                    </pic:cNvPicPr>
                  </pic:nvPicPr>
                  <pic:blipFill>
                    <a:blip r:embed="rId72" cstate="print"/>
                    <a:srcRect l="6976"/>
                    <a:stretch>
                      <a:fillRect/>
                    </a:stretch>
                  </pic:blipFill>
                  <pic:spPr bwMode="auto">
                    <a:xfrm>
                      <a:off x="0" y="0"/>
                      <a:ext cx="2921000" cy="2387600"/>
                    </a:xfrm>
                    <a:prstGeom prst="rect">
                      <a:avLst/>
                    </a:prstGeom>
                    <a:noFill/>
                    <a:ln w="9525">
                      <a:noFill/>
                      <a:miter lim="800000"/>
                      <a:headEnd/>
                      <a:tailEnd/>
                    </a:ln>
                  </pic:spPr>
                </pic:pic>
              </a:graphicData>
            </a:graphic>
          </wp:inline>
        </w:drawing>
      </w:r>
      <w:r w:rsidRPr="00185A84">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Pr>
          <w:noProof/>
          <w:lang w:eastAsia="en-AU"/>
        </w:rPr>
        <w:drawing>
          <wp:inline distT="0" distB="0" distL="0" distR="0">
            <wp:extent cx="2616200" cy="2362200"/>
            <wp:effectExtent l="19050" t="0" r="0" b="0"/>
            <wp:docPr id="123" name="Picture 45" descr="101_1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01_1565"/>
                    <pic:cNvPicPr>
                      <a:picLocks noChangeAspect="1" noChangeArrowheads="1"/>
                    </pic:cNvPicPr>
                  </pic:nvPicPr>
                  <pic:blipFill>
                    <a:blip r:embed="rId73" cstate="print"/>
                    <a:srcRect/>
                    <a:stretch>
                      <a:fillRect/>
                    </a:stretch>
                  </pic:blipFill>
                  <pic:spPr bwMode="auto">
                    <a:xfrm>
                      <a:off x="0" y="0"/>
                      <a:ext cx="2616200" cy="2362200"/>
                    </a:xfrm>
                    <a:prstGeom prst="rect">
                      <a:avLst/>
                    </a:prstGeom>
                    <a:noFill/>
                    <a:ln w="9525">
                      <a:noFill/>
                      <a:miter lim="800000"/>
                      <a:headEnd/>
                      <a:tailEnd/>
                    </a:ln>
                  </pic:spPr>
                </pic:pic>
              </a:graphicData>
            </a:graphic>
          </wp:inline>
        </w:drawing>
      </w:r>
    </w:p>
    <w:p w:rsidR="00FE78C1" w:rsidRPr="00FE78C1" w:rsidRDefault="00FE78C1" w:rsidP="00FE78C1">
      <w:pPr>
        <w:pStyle w:val="Caption1"/>
        <w:rPr>
          <w:rFonts w:ascii="Calibri" w:hAnsi="Calibri"/>
        </w:rPr>
      </w:pPr>
      <w:bookmarkStart w:id="165" w:name="_Ref370733715"/>
      <w:bookmarkStart w:id="166" w:name="_Ref320624833"/>
      <w:bookmarkStart w:id="167" w:name="_Toc324514826"/>
      <w:bookmarkStart w:id="168" w:name="_Toc370738752"/>
      <w:r w:rsidRPr="00FE78C1">
        <w:rPr>
          <w:b/>
        </w:rPr>
        <w:t xml:space="preserve">Plate </w:t>
      </w:r>
      <w:r w:rsidR="00D20FAE" w:rsidRPr="00FE78C1">
        <w:rPr>
          <w:b/>
        </w:rPr>
        <w:fldChar w:fldCharType="begin"/>
      </w:r>
      <w:r w:rsidRPr="00FE78C1">
        <w:rPr>
          <w:b/>
        </w:rPr>
        <w:instrText xml:space="preserve"> SEQ Plate \* ARABIC </w:instrText>
      </w:r>
      <w:r w:rsidR="00D20FAE" w:rsidRPr="00FE78C1">
        <w:rPr>
          <w:b/>
        </w:rPr>
        <w:fldChar w:fldCharType="separate"/>
      </w:r>
      <w:r w:rsidR="00436595">
        <w:rPr>
          <w:b/>
          <w:noProof/>
        </w:rPr>
        <w:t>8</w:t>
      </w:r>
      <w:r w:rsidR="00D20FAE" w:rsidRPr="00FE78C1">
        <w:rPr>
          <w:b/>
        </w:rPr>
        <w:fldChar w:fldCharType="end"/>
      </w:r>
      <w:bookmarkEnd w:id="165"/>
      <w:r>
        <w:t xml:space="preserve"> </w:t>
      </w:r>
      <w:r w:rsidRPr="00185A84">
        <w:t>Murrumbidgee River at Gundagai (left) and Goobarragandra River near Tumut (right) showing presence of cobble benches at each site.</w:t>
      </w:r>
      <w:bookmarkEnd w:id="166"/>
      <w:bookmarkEnd w:id="167"/>
      <w:bookmarkEnd w:id="168"/>
    </w:p>
    <w:p w:rsidR="00FE78C1" w:rsidRPr="002A7FC5" w:rsidRDefault="00FE78C1" w:rsidP="00FE78C1">
      <w:pPr>
        <w:spacing w:after="240"/>
      </w:pPr>
    </w:p>
    <w:p w:rsidR="00FE78C1" w:rsidRPr="00B26165" w:rsidRDefault="00FE78C1" w:rsidP="00FE78C1">
      <w:r w:rsidRPr="00B26165">
        <w:t xml:space="preserve">An area in the channel at each </w:t>
      </w:r>
      <w:r>
        <w:t>site</w:t>
      </w:r>
      <w:r w:rsidRPr="00B26165">
        <w:t xml:space="preserve"> that would remain permanently inundated throughout the study period was selected for sampling biofilms. On each sampling</w:t>
      </w:r>
      <w:r w:rsidR="00DD75C9">
        <w:t>,</w:t>
      </w:r>
      <w:r w:rsidRPr="00B26165">
        <w:t xml:space="preserve"> occasion f</w:t>
      </w:r>
      <w:r w:rsidR="00DD75C9">
        <w:t xml:space="preserve">ive cobbles (ranging between 0.1 and 0.2 </w:t>
      </w:r>
      <w:r w:rsidRPr="00B26165">
        <w:t>m diameter) were collected from this area within each reach, placed in labelled sealed plastic bags and stored in the dark in an esky for transport back to the laboratory.</w:t>
      </w:r>
      <w:r>
        <w:t xml:space="preserve"> </w:t>
      </w:r>
      <w:r w:rsidRPr="00B26165">
        <w:t>A Horiba water quality monitor was placed just below the water surface at each site on each sampling date to obtain spot measures of the temperature (ºC), specific conductivity (mS/cm), dissolved oxygen (%), pH, and turbidity (NTU) of the water.</w:t>
      </w:r>
    </w:p>
    <w:p w:rsidR="00FE78C1" w:rsidRPr="00B26165" w:rsidRDefault="00FE78C1" w:rsidP="00FE78C1">
      <w:r w:rsidRPr="00B26165">
        <w:t>The biofilm was scr</w:t>
      </w:r>
      <w:r>
        <w:t xml:space="preserve">ubbed from each cobble into 100 </w:t>
      </w:r>
      <w:r w:rsidRPr="00B26165">
        <w:t xml:space="preserve">mL of distilled water </w:t>
      </w:r>
      <w:r>
        <w:t xml:space="preserve">and a </w:t>
      </w:r>
      <w:r w:rsidRPr="00B26165">
        <w:t xml:space="preserve">subsample was filtered through a GC-50 0.5 </w:t>
      </w:r>
      <w:r w:rsidRPr="00B26165">
        <w:rPr>
          <w:rFonts w:cs="Arial"/>
        </w:rPr>
        <w:t>µm</w:t>
      </w:r>
      <w:r w:rsidRPr="00B26165">
        <w:t xml:space="preserve"> filter for chlorophyll-</w:t>
      </w:r>
      <w:proofErr w:type="gramStart"/>
      <w:r w:rsidRPr="00B26165">
        <w:t>a</w:t>
      </w:r>
      <w:proofErr w:type="gramEnd"/>
      <w:r w:rsidRPr="00B26165">
        <w:t xml:space="preserve"> assessment. </w:t>
      </w:r>
      <w:r w:rsidRPr="0074529C">
        <w:t>Samples</w:t>
      </w:r>
      <w:r w:rsidRPr="00B26165">
        <w:t xml:space="preserve"> were placed in 8 </w:t>
      </w:r>
      <w:r>
        <w:t>mL</w:t>
      </w:r>
      <w:r w:rsidRPr="00B26165">
        <w:t xml:space="preserve"> of 90% methanol containing 150 </w:t>
      </w:r>
      <w:r>
        <w:t>mg</w:t>
      </w:r>
      <w:r w:rsidRPr="00B26165">
        <w:t xml:space="preserve"> magnesium hydroxide carbonate, extracted for 18 hours at 4°C, transferred to a 70°C water bath and </w:t>
      </w:r>
      <w:r w:rsidR="00DD75C9">
        <w:t xml:space="preserve">heat treated </w:t>
      </w:r>
      <w:r w:rsidRPr="00B26165">
        <w:t>for two minutes. Samples were centrifuged at 4500 </w:t>
      </w:r>
      <w:r>
        <w:t xml:space="preserve"> </w:t>
      </w:r>
      <w:r w:rsidRPr="00B26165">
        <w:t>rpm for three minutes and optical densities at 750 and 666 n</w:t>
      </w:r>
      <w:r w:rsidR="00DD75C9">
        <w:t xml:space="preserve">m </w:t>
      </w:r>
      <w:r w:rsidRPr="00B26165">
        <w:t>were measur</w:t>
      </w:r>
      <w:r>
        <w:t xml:space="preserve">ed pre- and post-acidification </w:t>
      </w:r>
      <w:r w:rsidRPr="00B26165">
        <w:t xml:space="preserve">using </w:t>
      </w:r>
      <w:r>
        <w:t xml:space="preserve">a UV/Visible Spectrophotometer. </w:t>
      </w:r>
      <w:r w:rsidR="00DD75C9">
        <w:t>Chlorophyll </w:t>
      </w:r>
      <w:r w:rsidRPr="0074529C">
        <w:rPr>
          <w:i/>
        </w:rPr>
        <w:t>a</w:t>
      </w:r>
      <w:r w:rsidRPr="0074529C">
        <w:t xml:space="preserve"> </w:t>
      </w:r>
      <w:r>
        <w:t xml:space="preserve">concentration </w:t>
      </w:r>
      <w:r w:rsidRPr="0074529C">
        <w:t>was determined following Ritchie (2006).</w:t>
      </w:r>
      <w:r>
        <w:t xml:space="preserve"> For assessment of total and organic biomass, a</w:t>
      </w:r>
      <w:r w:rsidRPr="00B26165">
        <w:t xml:space="preserve"> subsample was filtered through a GC-50 0.5 </w:t>
      </w:r>
      <w:r w:rsidRPr="00B26165">
        <w:rPr>
          <w:rFonts w:cs="Arial"/>
        </w:rPr>
        <w:t>µm</w:t>
      </w:r>
      <w:r w:rsidRPr="00B26165">
        <w:t xml:space="preserve"> </w:t>
      </w:r>
      <w:r>
        <w:t>filter paper</w:t>
      </w:r>
      <w:r w:rsidRPr="00B26165">
        <w:t>, the filter paper dried at 80°C for 24 hours, weighed, combusted for four hours at 500°C and reweighed.</w:t>
      </w:r>
      <w:r>
        <w:t xml:space="preserve"> The </w:t>
      </w:r>
      <w:r w:rsidRPr="00B26165">
        <w:t xml:space="preserve">colonisable rock surface area (CRSA) </w:t>
      </w:r>
      <w:r>
        <w:t xml:space="preserve">of each cobble was </w:t>
      </w:r>
      <w:r w:rsidR="00DD75C9">
        <w:t xml:space="preserve">calculated using the method of </w:t>
      </w:r>
      <w:r w:rsidRPr="00B26165">
        <w:t xml:space="preserve">Doeg &amp; Lake </w:t>
      </w:r>
      <w:r w:rsidR="00DD75C9">
        <w:t>(</w:t>
      </w:r>
      <w:r w:rsidRPr="00B26165">
        <w:t>1981). CRSA measurements were used to sta</w:t>
      </w:r>
      <w:r>
        <w:t xml:space="preserve">ndardise biofilm dry weight (total biomass) and ash free dry weight (organic biomass) </w:t>
      </w:r>
      <w:r w:rsidRPr="00B26165">
        <w:t>to g/m</w:t>
      </w:r>
      <w:r w:rsidRPr="00B26165">
        <w:rPr>
          <w:vertAlign w:val="superscript"/>
        </w:rPr>
        <w:t>2</w:t>
      </w:r>
      <w:r w:rsidRPr="00B26165">
        <w:t xml:space="preserve"> and chlorophyll</w:t>
      </w:r>
      <w:r w:rsidR="00DD75C9">
        <w:t> </w:t>
      </w:r>
      <w:r w:rsidRPr="00B26165">
        <w:rPr>
          <w:i/>
        </w:rPr>
        <w:t>a</w:t>
      </w:r>
      <w:r w:rsidRPr="00B26165">
        <w:t xml:space="preserve"> </w:t>
      </w:r>
      <w:r>
        <w:t xml:space="preserve">(algal biomass) </w:t>
      </w:r>
      <w:r w:rsidRPr="00B26165">
        <w:t>to mg/m</w:t>
      </w:r>
      <w:r w:rsidRPr="00B26165">
        <w:rPr>
          <w:vertAlign w:val="superscript"/>
        </w:rPr>
        <w:t>2</w:t>
      </w:r>
      <w:r w:rsidRPr="00B26165">
        <w:t>. Percent organic matter was calculated as the proportion of AFDW to DW and converted to a percentage to standardise across sites and dates.</w:t>
      </w:r>
    </w:p>
    <w:p w:rsidR="00FE78C1" w:rsidRPr="00B26165" w:rsidRDefault="00FE78C1" w:rsidP="00FE78C1">
      <w:r w:rsidRPr="002A7FC5">
        <w:t xml:space="preserve">A one-factor ANOVA was undertaken to test if algal biomass and organic biomass was significantly different across the sample dates in the Murrumbidgee River. When significant differences were indicated, </w:t>
      </w:r>
      <w:r w:rsidRPr="002A7FC5">
        <w:rPr>
          <w:i/>
          <w:iCs/>
        </w:rPr>
        <w:t xml:space="preserve">post hoc </w:t>
      </w:r>
      <w:r w:rsidRPr="002A7FC5">
        <w:t>pairwise comparisons were undertaken. All univariate analyses were conducted using the software package SPSS Statistics v20.</w:t>
      </w:r>
    </w:p>
    <w:p w:rsidR="00FE78C1" w:rsidRPr="0074529C" w:rsidRDefault="00FE78C1" w:rsidP="00FE78C1">
      <w:pPr>
        <w:pStyle w:val="Heading2"/>
      </w:pPr>
      <w:bookmarkStart w:id="169" w:name="_Toc370738753"/>
      <w:bookmarkStart w:id="170" w:name="_Toc378168534"/>
      <w:r>
        <w:t>Results</w:t>
      </w:r>
      <w:bookmarkEnd w:id="169"/>
      <w:bookmarkEnd w:id="170"/>
    </w:p>
    <w:p w:rsidR="00FE78C1" w:rsidRPr="00BC2096" w:rsidRDefault="00FE78C1" w:rsidP="00FE78C1">
      <w:pPr>
        <w:spacing w:after="0" w:line="240" w:lineRule="auto"/>
        <w:rPr>
          <w:rFonts w:cs="Arial"/>
          <w:sz w:val="20"/>
          <w:highlight w:val="yellow"/>
        </w:rPr>
      </w:pPr>
    </w:p>
    <w:p w:rsidR="00FE78C1" w:rsidRPr="00B371FF" w:rsidRDefault="00FE78C1" w:rsidP="00FE78C1">
      <w:pPr>
        <w:widowControl w:val="0"/>
        <w:spacing w:after="0"/>
        <w:ind w:right="-1"/>
      </w:pPr>
      <w:r w:rsidRPr="00B371FF">
        <w:t xml:space="preserve">The total, organic and algal biomass of biofilms in the Murrumbidgee River was significantly </w:t>
      </w:r>
      <w:r>
        <w:t>higher than</w:t>
      </w:r>
      <w:r w:rsidRPr="00B371FF">
        <w:t xml:space="preserve"> levels </w:t>
      </w:r>
      <w:r>
        <w:t>observed at</w:t>
      </w:r>
      <w:r w:rsidRPr="00B371FF">
        <w:t xml:space="preserve"> the reference sites in the Goobarragandra </w:t>
      </w:r>
      <w:r w:rsidRPr="00E75983">
        <w:t>River (</w:t>
      </w:r>
      <w:fldSimple w:instr=" REF _Ref370733750 \h  \* MERGEFORMAT ">
        <w:r w:rsidR="00436595" w:rsidRPr="00436595">
          <w:t xml:space="preserve">Plate </w:t>
        </w:r>
        <w:r w:rsidR="00436595" w:rsidRPr="00436595">
          <w:rPr>
            <w:noProof/>
          </w:rPr>
          <w:t>9</w:t>
        </w:r>
      </w:fldSimple>
      <w:r w:rsidRPr="00E75983">
        <w:t>). This</w:t>
      </w:r>
      <w:r>
        <w:t xml:space="preserve"> was due to a high level of sediment entrained within the biofilm as well as higher organic biomass of biofilms in the Murrumbidgee River compared to the Goobarragandra River.</w:t>
      </w:r>
    </w:p>
    <w:p w:rsidR="00FE78C1" w:rsidRDefault="00FE78C1" w:rsidP="00FE78C1">
      <w:pPr>
        <w:widowControl w:val="0"/>
        <w:spacing w:after="0"/>
        <w:ind w:right="-1"/>
      </w:pPr>
    </w:p>
    <w:p w:rsidR="00FE78C1" w:rsidRDefault="00FE78C1" w:rsidP="00FE78C1">
      <w:pPr>
        <w:widowControl w:val="0"/>
        <w:spacing w:after="0"/>
        <w:ind w:right="-1"/>
      </w:pPr>
      <w:r>
        <w:rPr>
          <w:noProof/>
          <w:lang w:eastAsia="en-AU"/>
        </w:rPr>
        <w:drawing>
          <wp:inline distT="0" distB="0" distL="0" distR="0">
            <wp:extent cx="3427297" cy="2160000"/>
            <wp:effectExtent l="19050" t="0" r="1703" b="0"/>
            <wp:docPr id="122" name="Picture 46" descr="P104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1040434"/>
                    <pic:cNvPicPr>
                      <a:picLocks noChangeAspect="1" noChangeArrowheads="1"/>
                    </pic:cNvPicPr>
                  </pic:nvPicPr>
                  <pic:blipFill>
                    <a:blip r:embed="rId74" cstate="print"/>
                    <a:srcRect/>
                    <a:stretch>
                      <a:fillRect/>
                    </a:stretch>
                  </pic:blipFill>
                  <pic:spPr bwMode="auto">
                    <a:xfrm>
                      <a:off x="0" y="0"/>
                      <a:ext cx="3427297" cy="2160000"/>
                    </a:xfrm>
                    <a:prstGeom prst="rect">
                      <a:avLst/>
                    </a:prstGeom>
                    <a:solidFill>
                      <a:srgbClr val="000000"/>
                    </a:solidFill>
                    <a:ln w="9525">
                      <a:noFill/>
                      <a:miter lim="800000"/>
                      <a:headEnd/>
                      <a:tailEnd/>
                    </a:ln>
                  </pic:spPr>
                </pic:pic>
              </a:graphicData>
            </a:graphic>
          </wp:inline>
        </w:drawing>
      </w:r>
    </w:p>
    <w:p w:rsidR="00FE78C1" w:rsidRPr="00FE78C1" w:rsidRDefault="00FE78C1" w:rsidP="00FE78C1">
      <w:pPr>
        <w:pStyle w:val="Caption1"/>
        <w:rPr>
          <w:rFonts w:ascii="Calibri" w:hAnsi="Calibri"/>
        </w:rPr>
      </w:pPr>
      <w:bookmarkStart w:id="171" w:name="_Ref370733750"/>
      <w:bookmarkStart w:id="172" w:name="_Toc370738754"/>
      <w:r w:rsidRPr="00FE78C1">
        <w:rPr>
          <w:b/>
        </w:rPr>
        <w:t xml:space="preserve">Plate </w:t>
      </w:r>
      <w:r w:rsidR="00D20FAE" w:rsidRPr="00FE78C1">
        <w:rPr>
          <w:b/>
        </w:rPr>
        <w:fldChar w:fldCharType="begin"/>
      </w:r>
      <w:r w:rsidRPr="00FE78C1">
        <w:rPr>
          <w:b/>
        </w:rPr>
        <w:instrText xml:space="preserve"> SEQ Plate \* ARABIC </w:instrText>
      </w:r>
      <w:r w:rsidR="00D20FAE" w:rsidRPr="00FE78C1">
        <w:rPr>
          <w:b/>
        </w:rPr>
        <w:fldChar w:fldCharType="separate"/>
      </w:r>
      <w:r w:rsidR="00436595">
        <w:rPr>
          <w:b/>
          <w:noProof/>
        </w:rPr>
        <w:t>9</w:t>
      </w:r>
      <w:r w:rsidR="00D20FAE" w:rsidRPr="00FE78C1">
        <w:rPr>
          <w:b/>
        </w:rPr>
        <w:fldChar w:fldCharType="end"/>
      </w:r>
      <w:bookmarkEnd w:id="171"/>
      <w:r>
        <w:t xml:space="preserve"> </w:t>
      </w:r>
      <w:r w:rsidRPr="00341988">
        <w:t>High biomass of biofilm on cobbles collected from the Murrumbidgee River</w:t>
      </w:r>
      <w:r>
        <w:t xml:space="preserve"> on 26/2/2013</w:t>
      </w:r>
      <w:r w:rsidRPr="00341988">
        <w:t>.</w:t>
      </w:r>
      <w:bookmarkEnd w:id="172"/>
    </w:p>
    <w:p w:rsidR="00FE78C1" w:rsidRDefault="00874916" w:rsidP="00FE78C1">
      <w:pPr>
        <w:widowControl w:val="0"/>
        <w:spacing w:after="0"/>
        <w:ind w:right="-1"/>
        <w:rPr>
          <w:noProof/>
          <w:lang w:eastAsia="en-AU"/>
        </w:rPr>
      </w:pPr>
      <w:r>
        <w:rPr>
          <w:noProof/>
          <w:lang w:eastAsia="en-AU"/>
        </w:rPr>
        <w:drawing>
          <wp:inline distT="0" distB="0" distL="0" distR="0">
            <wp:extent cx="5430000" cy="3492857"/>
            <wp:effectExtent l="19050" t="0" r="0" b="0"/>
            <wp:docPr id="113" name="Picture 34" descr="D:\Users\ahall\AppData\Local\Microsoft\Windows\Temporary Internet Files\Content.Word\New Picture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ers\ahall\AppData\Local\Microsoft\Windows\Temporary Internet Files\Content.Word\New Picture (2).bmp"/>
                    <pic:cNvPicPr>
                      <a:picLocks noChangeAspect="1" noChangeArrowheads="1"/>
                    </pic:cNvPicPr>
                  </pic:nvPicPr>
                  <pic:blipFill>
                    <a:blip r:embed="rId75" cstate="print"/>
                    <a:srcRect/>
                    <a:stretch>
                      <a:fillRect/>
                    </a:stretch>
                  </pic:blipFill>
                  <pic:spPr bwMode="auto">
                    <a:xfrm>
                      <a:off x="0" y="0"/>
                      <a:ext cx="5430000" cy="3492857"/>
                    </a:xfrm>
                    <a:prstGeom prst="rect">
                      <a:avLst/>
                    </a:prstGeom>
                    <a:noFill/>
                    <a:ln w="9525">
                      <a:noFill/>
                      <a:miter lim="800000"/>
                      <a:headEnd/>
                      <a:tailEnd/>
                    </a:ln>
                  </pic:spPr>
                </pic:pic>
              </a:graphicData>
            </a:graphic>
          </wp:inline>
        </w:drawing>
      </w:r>
    </w:p>
    <w:p w:rsidR="00FE78C1" w:rsidRDefault="00FE78C1" w:rsidP="00FE78C1">
      <w:pPr>
        <w:pStyle w:val="Caption1"/>
      </w:pPr>
      <w:bookmarkStart w:id="173" w:name="_Ref370733924"/>
      <w:bookmarkStart w:id="174" w:name="_Toc370738755"/>
      <w:r>
        <w:t xml:space="preserve">Figure </w:t>
      </w:r>
      <w:fldSimple w:instr=" SEQ Figure \* ARABIC ">
        <w:r w:rsidR="00436595">
          <w:rPr>
            <w:noProof/>
          </w:rPr>
          <w:t>12</w:t>
        </w:r>
      </w:fldSimple>
      <w:bookmarkEnd w:id="173"/>
      <w:r>
        <w:t xml:space="preserve"> </w:t>
      </w:r>
      <w:r w:rsidRPr="002A7FC5">
        <w:t xml:space="preserve">Mean (±SE) of </w:t>
      </w:r>
      <w:r>
        <w:t>total biofilm biomass</w:t>
      </w:r>
      <w:r w:rsidRPr="002A7FC5">
        <w:t xml:space="preserve"> </w:t>
      </w:r>
      <w:r>
        <w:t>(g/m</w:t>
      </w:r>
      <w:r w:rsidRPr="00AF083B">
        <w:rPr>
          <w:vertAlign w:val="superscript"/>
        </w:rPr>
        <w:t>2</w:t>
      </w:r>
      <w:r>
        <w:t xml:space="preserve">) on cobbles from sites </w:t>
      </w:r>
      <w:r w:rsidRPr="002A7FC5">
        <w:t xml:space="preserve">in </w:t>
      </w:r>
      <w:r>
        <w:t xml:space="preserve">the Murrumbidgee River at Gundagai and the Goobarragandra River (reference) </w:t>
      </w:r>
      <w:r w:rsidRPr="002A7FC5">
        <w:t xml:space="preserve">between </w:t>
      </w:r>
      <w:r>
        <w:t>September</w:t>
      </w:r>
      <w:r w:rsidRPr="002A7FC5">
        <w:t xml:space="preserve"> 2012 and April 2013</w:t>
      </w:r>
      <w:r w:rsidRPr="00AF7DFE">
        <w:t xml:space="preserve">. The horizontal </w:t>
      </w:r>
      <w:r>
        <w:t xml:space="preserve">grey </w:t>
      </w:r>
      <w:r w:rsidRPr="00AF7DFE">
        <w:t>bar indicates duration of the environmental watering</w:t>
      </w:r>
      <w:r>
        <w:t xml:space="preserve"> in the Murrumbidgee River.</w:t>
      </w:r>
      <w:bookmarkEnd w:id="174"/>
    </w:p>
    <w:p w:rsidR="003F4397" w:rsidRPr="003F4397" w:rsidRDefault="003F4397" w:rsidP="003F4397"/>
    <w:p w:rsidR="00FE78C1" w:rsidRDefault="00356754" w:rsidP="00FE78C1">
      <w:pPr>
        <w:pStyle w:val="Caption1"/>
        <w:rPr>
          <w:noProof/>
          <w:lang w:eastAsia="en-AU"/>
        </w:rPr>
      </w:pPr>
      <w:r>
        <w:rPr>
          <w:noProof/>
          <w:lang w:eastAsia="en-AU"/>
        </w:rPr>
        <w:drawing>
          <wp:inline distT="0" distB="0" distL="0" distR="0">
            <wp:extent cx="5344286" cy="3467143"/>
            <wp:effectExtent l="19050" t="0" r="8764" b="0"/>
            <wp:docPr id="131" name="Picture 49" descr="D:\Users\ahall\Documents\Data\private\New Picture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Users\ahall\Documents\Data\private\New Picture (4).bmp"/>
                    <pic:cNvPicPr>
                      <a:picLocks noChangeAspect="1" noChangeArrowheads="1"/>
                    </pic:cNvPicPr>
                  </pic:nvPicPr>
                  <pic:blipFill>
                    <a:blip r:embed="rId76" cstate="print"/>
                    <a:srcRect/>
                    <a:stretch>
                      <a:fillRect/>
                    </a:stretch>
                  </pic:blipFill>
                  <pic:spPr bwMode="auto">
                    <a:xfrm>
                      <a:off x="0" y="0"/>
                      <a:ext cx="5344286" cy="3467143"/>
                    </a:xfrm>
                    <a:prstGeom prst="rect">
                      <a:avLst/>
                    </a:prstGeom>
                    <a:noFill/>
                    <a:ln w="9525">
                      <a:noFill/>
                      <a:miter lim="800000"/>
                      <a:headEnd/>
                      <a:tailEnd/>
                    </a:ln>
                  </pic:spPr>
                </pic:pic>
              </a:graphicData>
            </a:graphic>
          </wp:inline>
        </w:drawing>
      </w:r>
    </w:p>
    <w:p w:rsidR="00FE78C1" w:rsidRPr="00FE78C1" w:rsidRDefault="00FE78C1" w:rsidP="00FE78C1">
      <w:pPr>
        <w:pStyle w:val="Caption1"/>
        <w:rPr>
          <w:rFonts w:ascii="Calibri" w:hAnsi="Calibri"/>
        </w:rPr>
      </w:pPr>
      <w:bookmarkStart w:id="175" w:name="_Ref370733926"/>
      <w:bookmarkStart w:id="176" w:name="_Toc370738756"/>
      <w:r>
        <w:t xml:space="preserve">Figure </w:t>
      </w:r>
      <w:fldSimple w:instr=" SEQ Figure \* ARABIC ">
        <w:r w:rsidR="00436595">
          <w:rPr>
            <w:noProof/>
          </w:rPr>
          <w:t>13</w:t>
        </w:r>
      </w:fldSimple>
      <w:bookmarkEnd w:id="175"/>
      <w:r>
        <w:t xml:space="preserve"> </w:t>
      </w:r>
      <w:r w:rsidRPr="002A7FC5">
        <w:t xml:space="preserve">Mean (±SE) of </w:t>
      </w:r>
      <w:r>
        <w:t>organic biofilm biomass</w:t>
      </w:r>
      <w:r w:rsidRPr="002A7FC5">
        <w:t xml:space="preserve"> </w:t>
      </w:r>
      <w:r>
        <w:t>(g/m</w:t>
      </w:r>
      <w:r w:rsidRPr="00AF083B">
        <w:rPr>
          <w:vertAlign w:val="superscript"/>
        </w:rPr>
        <w:t>2</w:t>
      </w:r>
      <w:r>
        <w:t xml:space="preserve">) </w:t>
      </w:r>
      <w:r w:rsidRPr="002A7FC5">
        <w:t xml:space="preserve">in </w:t>
      </w:r>
      <w:r>
        <w:t xml:space="preserve">the Murrumbidgee River at Gundagai and the Goobarragandra River (reference) </w:t>
      </w:r>
      <w:r w:rsidRPr="002A7FC5">
        <w:t xml:space="preserve">between </w:t>
      </w:r>
      <w:r>
        <w:t>September</w:t>
      </w:r>
      <w:r w:rsidRPr="002A7FC5">
        <w:t xml:space="preserve"> 2012 and April 2013.</w:t>
      </w:r>
      <w:r>
        <w:t xml:space="preserve"> </w:t>
      </w:r>
      <w:r w:rsidRPr="00AF7DFE">
        <w:t xml:space="preserve">The horizontal </w:t>
      </w:r>
      <w:r>
        <w:t xml:space="preserve">grey </w:t>
      </w:r>
      <w:r w:rsidRPr="00AF7DFE">
        <w:t>bar indicates duration of the environmental watering</w:t>
      </w:r>
      <w:r>
        <w:t xml:space="preserve"> in the Murrumbidgee River.</w:t>
      </w:r>
      <w:bookmarkEnd w:id="176"/>
    </w:p>
    <w:p w:rsidR="00FE78C1" w:rsidRDefault="00356754" w:rsidP="00FE78C1">
      <w:pPr>
        <w:pStyle w:val="Caption1"/>
        <w:rPr>
          <w:noProof/>
          <w:lang w:eastAsia="en-AU"/>
        </w:rPr>
      </w:pPr>
      <w:r>
        <w:rPr>
          <w:noProof/>
          <w:lang w:eastAsia="en-AU"/>
        </w:rPr>
        <w:drawing>
          <wp:inline distT="0" distB="0" distL="0" distR="0">
            <wp:extent cx="5245715" cy="3454286"/>
            <wp:effectExtent l="19050" t="0" r="0" b="0"/>
            <wp:docPr id="132" name="Picture 50" descr="D:\Users\ahall\Documents\Data\private\New Picture (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Users\ahall\Documents\Data\private\New Picture (5).bmp"/>
                    <pic:cNvPicPr>
                      <a:picLocks noChangeAspect="1" noChangeArrowheads="1"/>
                    </pic:cNvPicPr>
                  </pic:nvPicPr>
                  <pic:blipFill>
                    <a:blip r:embed="rId77" cstate="print"/>
                    <a:srcRect/>
                    <a:stretch>
                      <a:fillRect/>
                    </a:stretch>
                  </pic:blipFill>
                  <pic:spPr bwMode="auto">
                    <a:xfrm>
                      <a:off x="0" y="0"/>
                      <a:ext cx="5245715" cy="3454286"/>
                    </a:xfrm>
                    <a:prstGeom prst="rect">
                      <a:avLst/>
                    </a:prstGeom>
                    <a:noFill/>
                    <a:ln w="9525">
                      <a:noFill/>
                      <a:miter lim="800000"/>
                      <a:headEnd/>
                      <a:tailEnd/>
                    </a:ln>
                  </pic:spPr>
                </pic:pic>
              </a:graphicData>
            </a:graphic>
          </wp:inline>
        </w:drawing>
      </w:r>
    </w:p>
    <w:p w:rsidR="00FE78C1" w:rsidRDefault="00FE78C1" w:rsidP="00FE78C1">
      <w:pPr>
        <w:pStyle w:val="Caption1"/>
      </w:pPr>
      <w:bookmarkStart w:id="177" w:name="_Ref370733956"/>
      <w:bookmarkStart w:id="178" w:name="_Toc370738757"/>
      <w:r>
        <w:t xml:space="preserve">Figure </w:t>
      </w:r>
      <w:fldSimple w:instr=" SEQ Figure \* ARABIC ">
        <w:r w:rsidR="00436595">
          <w:rPr>
            <w:noProof/>
          </w:rPr>
          <w:t>14</w:t>
        </w:r>
      </w:fldSimple>
      <w:bookmarkEnd w:id="177"/>
      <w:r>
        <w:t xml:space="preserve"> </w:t>
      </w:r>
      <w:r w:rsidRPr="002A7FC5">
        <w:t xml:space="preserve">Mean (±SE) of </w:t>
      </w:r>
      <w:r>
        <w:t>percent organic biofilm biomass</w:t>
      </w:r>
      <w:r w:rsidRPr="002A7FC5">
        <w:t xml:space="preserve"> in </w:t>
      </w:r>
      <w:r>
        <w:t xml:space="preserve">the Murrumbidgee River at Gundagai and the Goobarragandra River (reference) </w:t>
      </w:r>
      <w:r w:rsidRPr="002A7FC5">
        <w:t xml:space="preserve">between </w:t>
      </w:r>
      <w:r>
        <w:t>September</w:t>
      </w:r>
      <w:r w:rsidRPr="002A7FC5">
        <w:t xml:space="preserve"> 2012 and April 2013.</w:t>
      </w:r>
      <w:r>
        <w:t xml:space="preserve"> </w:t>
      </w:r>
      <w:r w:rsidRPr="00AF7DFE">
        <w:t xml:space="preserve">The horizontal </w:t>
      </w:r>
      <w:r>
        <w:t xml:space="preserve">grey </w:t>
      </w:r>
      <w:r w:rsidRPr="00AF7DFE">
        <w:t>bar indicates duration of the environmental watering</w:t>
      </w:r>
      <w:r>
        <w:t xml:space="preserve"> in the Murrumbidgee River.</w:t>
      </w:r>
      <w:bookmarkEnd w:id="178"/>
    </w:p>
    <w:p w:rsidR="00FE78C1" w:rsidRPr="00FE78C1" w:rsidRDefault="00FE78C1" w:rsidP="00FE78C1"/>
    <w:p w:rsidR="00FE78C1" w:rsidRDefault="00356754" w:rsidP="00FE78C1">
      <w:pPr>
        <w:pStyle w:val="Caption1"/>
        <w:rPr>
          <w:noProof/>
          <w:lang w:eastAsia="en-AU"/>
        </w:rPr>
      </w:pPr>
      <w:r>
        <w:rPr>
          <w:noProof/>
          <w:lang w:eastAsia="en-AU"/>
        </w:rPr>
        <w:drawing>
          <wp:inline distT="0" distB="0" distL="0" distR="0">
            <wp:extent cx="5331429" cy="3441429"/>
            <wp:effectExtent l="19050" t="0" r="2571" b="0"/>
            <wp:docPr id="133" name="Picture 51" descr="D:\Users\ahall\AppData\Local\Microsoft\Windows\Temporary Internet Files\Content.Word\New Picture (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Users\ahall\AppData\Local\Microsoft\Windows\Temporary Internet Files\Content.Word\New Picture (6).bmp"/>
                    <pic:cNvPicPr>
                      <a:picLocks noChangeAspect="1" noChangeArrowheads="1"/>
                    </pic:cNvPicPr>
                  </pic:nvPicPr>
                  <pic:blipFill>
                    <a:blip r:embed="rId78" cstate="print"/>
                    <a:srcRect/>
                    <a:stretch>
                      <a:fillRect/>
                    </a:stretch>
                  </pic:blipFill>
                  <pic:spPr bwMode="auto">
                    <a:xfrm>
                      <a:off x="0" y="0"/>
                      <a:ext cx="5331429" cy="3441429"/>
                    </a:xfrm>
                    <a:prstGeom prst="rect">
                      <a:avLst/>
                    </a:prstGeom>
                    <a:noFill/>
                    <a:ln w="9525">
                      <a:noFill/>
                      <a:miter lim="800000"/>
                      <a:headEnd/>
                      <a:tailEnd/>
                    </a:ln>
                  </pic:spPr>
                </pic:pic>
              </a:graphicData>
            </a:graphic>
          </wp:inline>
        </w:drawing>
      </w:r>
    </w:p>
    <w:p w:rsidR="00FE78C1" w:rsidRPr="005346D9" w:rsidRDefault="00FE78C1" w:rsidP="00356754">
      <w:pPr>
        <w:pStyle w:val="Caption1"/>
      </w:pPr>
      <w:bookmarkStart w:id="179" w:name="_Ref370733968"/>
      <w:bookmarkStart w:id="180" w:name="_Toc370738758"/>
      <w:r>
        <w:t xml:space="preserve">Figure </w:t>
      </w:r>
      <w:fldSimple w:instr=" SEQ Figure \* ARABIC ">
        <w:r w:rsidR="00436595">
          <w:rPr>
            <w:noProof/>
          </w:rPr>
          <w:t>15</w:t>
        </w:r>
      </w:fldSimple>
      <w:bookmarkEnd w:id="179"/>
      <w:r>
        <w:t xml:space="preserve"> </w:t>
      </w:r>
      <w:r w:rsidRPr="002A7FC5">
        <w:t xml:space="preserve">Mean (±SE) of </w:t>
      </w:r>
      <w:r>
        <w:t>algal biofilm biomass</w:t>
      </w:r>
      <w:r w:rsidRPr="002A7FC5">
        <w:t xml:space="preserve"> </w:t>
      </w:r>
      <w:r>
        <w:t>(mg/m</w:t>
      </w:r>
      <w:r w:rsidRPr="00AF083B">
        <w:rPr>
          <w:vertAlign w:val="superscript"/>
        </w:rPr>
        <w:t>2</w:t>
      </w:r>
      <w:r>
        <w:t xml:space="preserve">) </w:t>
      </w:r>
      <w:r w:rsidRPr="002A7FC5">
        <w:t xml:space="preserve">in </w:t>
      </w:r>
      <w:r>
        <w:t xml:space="preserve">the Murrumbidgee River at Gundagai and the Goobarragandra River (reference) </w:t>
      </w:r>
      <w:r w:rsidRPr="002A7FC5">
        <w:t xml:space="preserve">between </w:t>
      </w:r>
      <w:r>
        <w:t>September</w:t>
      </w:r>
      <w:r w:rsidRPr="002A7FC5">
        <w:t xml:space="preserve"> 2012 and April 2013.</w:t>
      </w:r>
      <w:r>
        <w:t xml:space="preserve"> </w:t>
      </w:r>
      <w:r w:rsidRPr="00AF7DFE">
        <w:t xml:space="preserve">The horizontal </w:t>
      </w:r>
      <w:r>
        <w:t xml:space="preserve">grey </w:t>
      </w:r>
      <w:r w:rsidRPr="00AF7DFE">
        <w:t>bar indicates duration of the environmental watering</w:t>
      </w:r>
      <w:r>
        <w:t xml:space="preserve"> in the Murrumbidgee River.</w:t>
      </w:r>
      <w:bookmarkEnd w:id="180"/>
      <w:r>
        <w:br w:type="page"/>
      </w:r>
    </w:p>
    <w:p w:rsidR="00FE78C1" w:rsidRPr="00B371FF" w:rsidRDefault="00FE78C1" w:rsidP="00FE78C1">
      <w:pPr>
        <w:widowControl w:val="0"/>
        <w:spacing w:after="0"/>
        <w:ind w:right="-1"/>
      </w:pPr>
    </w:p>
    <w:p w:rsidR="00FE78C1" w:rsidRPr="00B371FF" w:rsidRDefault="00FE78C1" w:rsidP="00FE78C1">
      <w:pPr>
        <w:widowControl w:val="0"/>
        <w:spacing w:after="0"/>
        <w:ind w:right="-1"/>
      </w:pPr>
      <w:r w:rsidRPr="00B371FF">
        <w:t xml:space="preserve">The total biomass </w:t>
      </w:r>
      <w:r>
        <w:t xml:space="preserve">and organic biomass </w:t>
      </w:r>
      <w:r w:rsidRPr="00B371FF">
        <w:t>at Gundagai in the Murrumbidgee River was significantly lower during the environmental watering period compared to most other times during the study period, with the exception being immediately after a r</w:t>
      </w:r>
      <w:r w:rsidR="00A6357E">
        <w:t>egulated flow pulse on 12 January</w:t>
      </w:r>
      <w:r w:rsidRPr="00B371FF">
        <w:t xml:space="preserve"> 2013 </w:t>
      </w:r>
      <w:r>
        <w:t xml:space="preserve">after the completion of the Commonwealth environmental release </w:t>
      </w:r>
      <w:r w:rsidRPr="00B371FF">
        <w:t>(</w:t>
      </w:r>
      <w:r w:rsidR="00D20FAE">
        <w:fldChar w:fldCharType="begin"/>
      </w:r>
      <w:r>
        <w:instrText xml:space="preserve"> REF _Ref370733924 \h </w:instrText>
      </w:r>
      <w:r w:rsidR="00D20FAE">
        <w:fldChar w:fldCharType="separate"/>
      </w:r>
      <w:r w:rsidR="00436595">
        <w:t xml:space="preserve">Figure </w:t>
      </w:r>
      <w:r w:rsidR="00436595">
        <w:rPr>
          <w:noProof/>
        </w:rPr>
        <w:t>12</w:t>
      </w:r>
      <w:r w:rsidR="00D20FAE">
        <w:fldChar w:fldCharType="end"/>
      </w:r>
      <w:r>
        <w:t xml:space="preserve"> AND </w:t>
      </w:r>
      <w:r w:rsidR="00D20FAE">
        <w:rPr>
          <w:highlight w:val="yellow"/>
        </w:rPr>
        <w:fldChar w:fldCharType="begin"/>
      </w:r>
      <w:r>
        <w:instrText xml:space="preserve"> REF _Ref370733926 \h </w:instrText>
      </w:r>
      <w:r w:rsidR="00D20FAE">
        <w:rPr>
          <w:highlight w:val="yellow"/>
        </w:rPr>
      </w:r>
      <w:r w:rsidR="00D20FAE">
        <w:rPr>
          <w:highlight w:val="yellow"/>
        </w:rPr>
        <w:fldChar w:fldCharType="separate"/>
      </w:r>
      <w:r w:rsidR="00436595">
        <w:t xml:space="preserve">Figure </w:t>
      </w:r>
      <w:r w:rsidR="00436595">
        <w:rPr>
          <w:noProof/>
        </w:rPr>
        <w:t>13</w:t>
      </w:r>
      <w:r w:rsidR="00D20FAE">
        <w:rPr>
          <w:highlight w:val="yellow"/>
        </w:rPr>
        <w:fldChar w:fldCharType="end"/>
      </w:r>
      <w:r w:rsidRPr="00B371FF">
        <w:t xml:space="preserve">). </w:t>
      </w:r>
      <w:r>
        <w:t>The percent organic biomass was consistently higher in the Murrumbidgee River than in the Goobarragandra River (</w:t>
      </w:r>
      <w:r w:rsidR="00D20FAE">
        <w:rPr>
          <w:highlight w:val="yellow"/>
        </w:rPr>
        <w:fldChar w:fldCharType="begin"/>
      </w:r>
      <w:r>
        <w:instrText xml:space="preserve"> REF _Ref370733956 \h </w:instrText>
      </w:r>
      <w:r w:rsidR="00D20FAE">
        <w:rPr>
          <w:highlight w:val="yellow"/>
        </w:rPr>
      </w:r>
      <w:r w:rsidR="00D20FAE">
        <w:rPr>
          <w:highlight w:val="yellow"/>
        </w:rPr>
        <w:fldChar w:fldCharType="separate"/>
      </w:r>
      <w:r w:rsidR="00436595">
        <w:t xml:space="preserve">Figure </w:t>
      </w:r>
      <w:r w:rsidR="00436595">
        <w:rPr>
          <w:noProof/>
        </w:rPr>
        <w:t>14</w:t>
      </w:r>
      <w:r w:rsidR="00D20FAE">
        <w:rPr>
          <w:highlight w:val="yellow"/>
        </w:rPr>
        <w:fldChar w:fldCharType="end"/>
      </w:r>
      <w:r>
        <w:t xml:space="preserve">). This is consistent with the hypothesis that the environmental watering would either prevent the build up of sediment in the biofilm or flush some of the sediment from the biofilm, resulting in a greater percent of organic biomass. </w:t>
      </w:r>
      <w:r w:rsidRPr="00B371FF">
        <w:t>The algal biomass of biofilms</w:t>
      </w:r>
      <w:r>
        <w:t xml:space="preserve"> (measured as Chlorophyll</w:t>
      </w:r>
      <w:r w:rsidR="00A6357E">
        <w:t> </w:t>
      </w:r>
      <w:r>
        <w:t xml:space="preserve">a) </w:t>
      </w:r>
      <w:r w:rsidRPr="00B371FF">
        <w:t>in the Murrumbidgee River ranged from approximately 45 to 80 mg/m</w:t>
      </w:r>
      <w:r w:rsidRPr="00B371FF">
        <w:rPr>
          <w:vertAlign w:val="superscript"/>
        </w:rPr>
        <w:t>2</w:t>
      </w:r>
      <w:r w:rsidRPr="00B371FF">
        <w:t>, which is nearing the level regarded to be nuisance levels (100 mg/m</w:t>
      </w:r>
      <w:r w:rsidRPr="00B371FF">
        <w:rPr>
          <w:vertAlign w:val="superscript"/>
        </w:rPr>
        <w:t>2</w:t>
      </w:r>
      <w:r w:rsidRPr="00B371FF">
        <w:t>; Quinn 1991)</w:t>
      </w:r>
      <w:r w:rsidR="00A6357E">
        <w:t xml:space="preserve"> </w:t>
      </w:r>
      <w:r>
        <w:t>(</w:t>
      </w:r>
      <w:r w:rsidR="00D20FAE">
        <w:rPr>
          <w:highlight w:val="yellow"/>
        </w:rPr>
        <w:fldChar w:fldCharType="begin"/>
      </w:r>
      <w:r>
        <w:instrText xml:space="preserve"> REF _Ref370733968 \h </w:instrText>
      </w:r>
      <w:r w:rsidR="00D20FAE">
        <w:rPr>
          <w:highlight w:val="yellow"/>
        </w:rPr>
      </w:r>
      <w:r w:rsidR="00D20FAE">
        <w:rPr>
          <w:highlight w:val="yellow"/>
        </w:rPr>
        <w:fldChar w:fldCharType="separate"/>
      </w:r>
      <w:r w:rsidR="00436595">
        <w:t xml:space="preserve">Figure </w:t>
      </w:r>
      <w:r w:rsidR="00436595">
        <w:rPr>
          <w:noProof/>
        </w:rPr>
        <w:t>15</w:t>
      </w:r>
      <w:r w:rsidR="00D20FAE">
        <w:rPr>
          <w:highlight w:val="yellow"/>
        </w:rPr>
        <w:fldChar w:fldCharType="end"/>
      </w:r>
      <w:r>
        <w:t>)</w:t>
      </w:r>
      <w:r w:rsidRPr="00B371FF">
        <w:t xml:space="preserve">. </w:t>
      </w:r>
    </w:p>
    <w:p w:rsidR="00FE78C1" w:rsidRPr="00647724" w:rsidRDefault="00FE78C1" w:rsidP="00785772">
      <w:pPr>
        <w:pStyle w:val="Heading2"/>
      </w:pPr>
      <w:bookmarkStart w:id="181" w:name="_Toc370738759"/>
      <w:bookmarkStart w:id="182" w:name="_Toc378168535"/>
      <w:r w:rsidRPr="00647724">
        <w:t>Discussion</w:t>
      </w:r>
      <w:bookmarkEnd w:id="181"/>
      <w:bookmarkEnd w:id="182"/>
    </w:p>
    <w:p w:rsidR="00FE78C1" w:rsidRPr="00647724" w:rsidRDefault="00FE78C1" w:rsidP="00FE78C1">
      <w:pPr>
        <w:pStyle w:val="Default"/>
        <w:spacing w:after="240" w:line="360" w:lineRule="auto"/>
        <w:jc w:val="both"/>
        <w:rPr>
          <w:rFonts w:ascii="Century Gothic" w:hAnsi="Century Gothic" w:cs="Arial"/>
          <w:sz w:val="22"/>
          <w:szCs w:val="22"/>
        </w:rPr>
      </w:pPr>
      <w:r>
        <w:rPr>
          <w:rFonts w:ascii="Century Gothic" w:hAnsi="Century Gothic" w:cs="Arial"/>
          <w:sz w:val="22"/>
          <w:szCs w:val="22"/>
        </w:rPr>
        <w:t>Significant r</w:t>
      </w:r>
      <w:r w:rsidRPr="00647724">
        <w:rPr>
          <w:rFonts w:ascii="Century Gothic" w:hAnsi="Century Gothic" w:cs="Arial"/>
          <w:sz w:val="22"/>
          <w:szCs w:val="22"/>
        </w:rPr>
        <w:t xml:space="preserve">eductions in the total </w:t>
      </w:r>
      <w:r>
        <w:rPr>
          <w:rFonts w:ascii="Century Gothic" w:hAnsi="Century Gothic" w:cs="Arial"/>
          <w:sz w:val="22"/>
          <w:szCs w:val="22"/>
        </w:rPr>
        <w:t xml:space="preserve">and organic </w:t>
      </w:r>
      <w:r w:rsidRPr="00647724">
        <w:rPr>
          <w:rFonts w:ascii="Century Gothic" w:hAnsi="Century Gothic" w:cs="Arial"/>
          <w:sz w:val="22"/>
          <w:szCs w:val="22"/>
        </w:rPr>
        <w:t xml:space="preserve">biomass of biofilms in the Murrumbidgee during Commonwealth environmental water delivery may have been due to the environmental watering reducing the accumulation of sediment and detritus in the biofilm and/or assisting with the scouring of these components leading to improvements in the condition of the biofilm. </w:t>
      </w:r>
    </w:p>
    <w:p w:rsidR="00FE78C1" w:rsidRPr="001F198A" w:rsidRDefault="00FE78C1" w:rsidP="00FE78C1">
      <w:pPr>
        <w:pStyle w:val="Default"/>
        <w:spacing w:after="240" w:line="360" w:lineRule="auto"/>
        <w:jc w:val="both"/>
        <w:rPr>
          <w:rFonts w:ascii="Century Gothic" w:hAnsi="Century Gothic"/>
          <w:color w:val="auto"/>
          <w:sz w:val="22"/>
          <w:szCs w:val="22"/>
        </w:rPr>
      </w:pPr>
      <w:r w:rsidRPr="000337D0">
        <w:rPr>
          <w:rFonts w:ascii="Century Gothic" w:hAnsi="Century Gothic" w:cs="Arial"/>
          <w:sz w:val="22"/>
          <w:szCs w:val="22"/>
        </w:rPr>
        <w:t xml:space="preserve">These results are consistent with the hypothesis that </w:t>
      </w:r>
      <w:r w:rsidRPr="000337D0">
        <w:rPr>
          <w:rFonts w:ascii="Century Gothic" w:hAnsi="Century Gothic"/>
          <w:sz w:val="22"/>
          <w:szCs w:val="22"/>
        </w:rPr>
        <w:t>biomass of biofilms on cobbles will decrease following the environm</w:t>
      </w:r>
      <w:r>
        <w:rPr>
          <w:rFonts w:ascii="Century Gothic" w:hAnsi="Century Gothic"/>
          <w:sz w:val="22"/>
          <w:szCs w:val="22"/>
        </w:rPr>
        <w:t xml:space="preserve">ental watering due to scouring </w:t>
      </w:r>
      <w:r w:rsidRPr="000337D0">
        <w:rPr>
          <w:rFonts w:ascii="Century Gothic" w:hAnsi="Century Gothic"/>
          <w:sz w:val="22"/>
          <w:szCs w:val="22"/>
        </w:rPr>
        <w:t xml:space="preserve">from increased flow velocity, and that </w:t>
      </w:r>
      <w:r w:rsidRPr="000337D0">
        <w:rPr>
          <w:rFonts w:ascii="Century Gothic" w:hAnsi="Century Gothic" w:cs="Arial"/>
          <w:sz w:val="22"/>
          <w:szCs w:val="22"/>
        </w:rPr>
        <w:t xml:space="preserve">in-channel environmental watering will help biofilm </w:t>
      </w:r>
      <w:r>
        <w:rPr>
          <w:rFonts w:ascii="Century Gothic" w:hAnsi="Century Gothic" w:cs="Arial"/>
          <w:sz w:val="22"/>
          <w:szCs w:val="22"/>
        </w:rPr>
        <w:t xml:space="preserve">biomass </w:t>
      </w:r>
      <w:r w:rsidRPr="000337D0">
        <w:rPr>
          <w:rFonts w:ascii="Century Gothic" w:hAnsi="Century Gothic" w:cs="Arial"/>
          <w:sz w:val="22"/>
          <w:szCs w:val="22"/>
        </w:rPr>
        <w:t xml:space="preserve">remain below nuisance levels. </w:t>
      </w:r>
      <w:r w:rsidRPr="000337D0">
        <w:rPr>
          <w:rFonts w:ascii="Century Gothic" w:hAnsi="Century Gothic"/>
          <w:color w:val="auto"/>
          <w:sz w:val="22"/>
          <w:szCs w:val="22"/>
        </w:rPr>
        <w:t>These findings are consistent with studies of biofilm responses to variable flow releases from Dartmouth Dam to the Mitta Mitta River</w:t>
      </w:r>
      <w:r>
        <w:rPr>
          <w:rFonts w:ascii="Century Gothic" w:hAnsi="Century Gothic"/>
          <w:color w:val="auto"/>
          <w:sz w:val="22"/>
          <w:szCs w:val="22"/>
        </w:rPr>
        <w:t xml:space="preserve">, where it was demonstrated </w:t>
      </w:r>
      <w:r w:rsidRPr="000337D0">
        <w:rPr>
          <w:rFonts w:ascii="Century Gothic" w:hAnsi="Century Gothic"/>
          <w:color w:val="auto"/>
          <w:sz w:val="22"/>
          <w:szCs w:val="22"/>
        </w:rPr>
        <w:t>that pulsed</w:t>
      </w:r>
      <w:r w:rsidRPr="001F198A">
        <w:rPr>
          <w:rFonts w:ascii="Century Gothic" w:hAnsi="Century Gothic"/>
          <w:color w:val="auto"/>
          <w:sz w:val="22"/>
          <w:szCs w:val="22"/>
        </w:rPr>
        <w:t xml:space="preserve"> flows can scour and re</w:t>
      </w:r>
      <w:r w:rsidR="00A6357E">
        <w:rPr>
          <w:rFonts w:ascii="Century Gothic" w:hAnsi="Century Gothic"/>
          <w:color w:val="auto"/>
          <w:sz w:val="22"/>
          <w:szCs w:val="22"/>
        </w:rPr>
        <w:t>set biofilms,</w:t>
      </w:r>
      <w:r>
        <w:rPr>
          <w:rFonts w:ascii="Century Gothic" w:hAnsi="Century Gothic"/>
          <w:color w:val="auto"/>
          <w:sz w:val="22"/>
          <w:szCs w:val="22"/>
        </w:rPr>
        <w:t xml:space="preserve"> reducing biomass and</w:t>
      </w:r>
      <w:r w:rsidRPr="001F198A">
        <w:rPr>
          <w:rFonts w:ascii="Century Gothic" w:hAnsi="Century Gothic"/>
          <w:color w:val="auto"/>
          <w:sz w:val="22"/>
          <w:szCs w:val="22"/>
        </w:rPr>
        <w:t xml:space="preserve"> facilitating a shifting in the biofilm community towards that of </w:t>
      </w:r>
      <w:r w:rsidR="00785772">
        <w:rPr>
          <w:rFonts w:ascii="Century Gothic" w:hAnsi="Century Gothic"/>
          <w:color w:val="auto"/>
          <w:sz w:val="22"/>
          <w:szCs w:val="22"/>
        </w:rPr>
        <w:t>a reference</w:t>
      </w:r>
      <w:r w:rsidRPr="001F198A">
        <w:rPr>
          <w:rFonts w:ascii="Century Gothic" w:hAnsi="Century Gothic"/>
          <w:color w:val="auto"/>
          <w:sz w:val="22"/>
          <w:szCs w:val="22"/>
        </w:rPr>
        <w:t xml:space="preserve"> stream (Watts, Nye et al. 2005; Watts, Ryder et al. 2008; Watts, Zander et al. </w:t>
      </w:r>
      <w:r>
        <w:rPr>
          <w:rFonts w:ascii="Century Gothic" w:hAnsi="Century Gothic"/>
          <w:color w:val="auto"/>
          <w:sz w:val="22"/>
          <w:szCs w:val="22"/>
        </w:rPr>
        <w:t>2011).</w:t>
      </w:r>
    </w:p>
    <w:p w:rsidR="00FE78C1" w:rsidRDefault="00FE78C1" w:rsidP="00FE78C1">
      <w:pPr>
        <w:widowControl w:val="0"/>
        <w:spacing w:after="0"/>
        <w:ind w:right="-1"/>
      </w:pPr>
      <w:r>
        <w:t>These results suggest</w:t>
      </w:r>
      <w:r w:rsidRPr="00B371FF">
        <w:t xml:space="preserve"> that </w:t>
      </w:r>
      <w:r>
        <w:t xml:space="preserve">the </w:t>
      </w:r>
      <w:r w:rsidRPr="00B371FF">
        <w:t xml:space="preserve">environmental watering helped to </w:t>
      </w:r>
      <w:r>
        <w:t>reduce</w:t>
      </w:r>
      <w:r w:rsidRPr="00B371FF">
        <w:t xml:space="preserve"> </w:t>
      </w:r>
      <w:r>
        <w:t xml:space="preserve">total and organic </w:t>
      </w:r>
      <w:r w:rsidRPr="00B371FF">
        <w:t>biofilm biomass in the Murrumbidgee River,</w:t>
      </w:r>
      <w:r>
        <w:t xml:space="preserve"> shifting them</w:t>
      </w:r>
      <w:r w:rsidRPr="00B371FF">
        <w:t xml:space="preserve"> closer to that in the reference river. Commonwealth environmental water releases, in combination with unregulated flows and improved management of regulated flows, can contribute to pulsed water releases in the Murrumbidgee system to help support ecosystem functions relating to creation and maintenance of bed, bank and riparian habitat, and help avoid biofilms reaching nuisance levels.</w:t>
      </w:r>
    </w:p>
    <w:p w:rsidR="00785772" w:rsidRDefault="00785772">
      <w:pPr>
        <w:spacing w:after="0" w:line="240" w:lineRule="auto"/>
        <w:jc w:val="left"/>
      </w:pPr>
      <w:r>
        <w:br w:type="page"/>
      </w:r>
    </w:p>
    <w:tbl>
      <w:tblPr>
        <w:tblStyle w:val="TableGrid"/>
        <w:tblW w:w="0" w:type="auto"/>
        <w:tblLook w:val="00A0"/>
      </w:tblPr>
      <w:tblGrid>
        <w:gridCol w:w="8613"/>
      </w:tblGrid>
      <w:tr w:rsidR="00C11CDF" w:rsidRPr="005B7EE7" w:rsidTr="00771540">
        <w:trPr>
          <w:cnfStyle w:val="100000000000"/>
        </w:trPr>
        <w:tc>
          <w:tcPr>
            <w:tcW w:w="8613" w:type="dxa"/>
          </w:tcPr>
          <w:p w:rsidR="00C11CDF" w:rsidRPr="005B7EE7" w:rsidRDefault="00C11CDF" w:rsidP="00C11CDF">
            <w:pPr>
              <w:pStyle w:val="Title"/>
            </w:pPr>
            <w:bookmarkStart w:id="183" w:name="_Toc370738760"/>
            <w:r>
              <w:t>Microinvertebrates</w:t>
            </w:r>
            <w:bookmarkEnd w:id="183"/>
          </w:p>
          <w:p w:rsidR="00C11CDF" w:rsidRPr="005B7EE7" w:rsidRDefault="00E1766B" w:rsidP="00C11CDF">
            <w:pPr>
              <w:pStyle w:val="NoSpacing"/>
              <w:jc w:val="center"/>
            </w:pPr>
            <w:r>
              <w:rPr>
                <w:noProof/>
                <w:lang w:eastAsia="en-AU"/>
              </w:rPr>
              <w:drawing>
                <wp:inline distT="0" distB="0" distL="0" distR="0">
                  <wp:extent cx="2571750" cy="2227839"/>
                  <wp:effectExtent l="19050" t="0" r="0" b="0"/>
                  <wp:docPr id="111" name="Picture 2" descr="Bosmia meridion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smia meridionalis.jpg"/>
                          <pic:cNvPicPr>
                            <a:picLocks noChangeAspect="1" noChangeArrowheads="1"/>
                          </pic:cNvPicPr>
                        </pic:nvPicPr>
                        <pic:blipFill>
                          <a:blip r:embed="rId79" cstate="print"/>
                          <a:srcRect/>
                          <a:stretch>
                            <a:fillRect/>
                          </a:stretch>
                        </pic:blipFill>
                        <pic:spPr bwMode="auto">
                          <a:xfrm>
                            <a:off x="0" y="0"/>
                            <a:ext cx="2572061" cy="2228108"/>
                          </a:xfrm>
                          <a:prstGeom prst="rect">
                            <a:avLst/>
                          </a:prstGeom>
                          <a:noFill/>
                          <a:ln w="9525">
                            <a:noFill/>
                            <a:miter lim="800000"/>
                            <a:headEnd/>
                            <a:tailEnd/>
                          </a:ln>
                        </pic:spPr>
                      </pic:pic>
                    </a:graphicData>
                  </a:graphic>
                </wp:inline>
              </w:drawing>
            </w:r>
          </w:p>
          <w:p w:rsidR="00C11CDF" w:rsidRDefault="00C11CDF" w:rsidP="0026452C">
            <w:pPr>
              <w:pStyle w:val="NoSpacing"/>
            </w:pPr>
          </w:p>
          <w:p w:rsidR="00C11CDF" w:rsidRPr="005C208C" w:rsidRDefault="00C11CDF" w:rsidP="0026452C">
            <w:pPr>
              <w:spacing w:after="0" w:line="240" w:lineRule="auto"/>
            </w:pPr>
            <w:r w:rsidRPr="00557A5C">
              <w:rPr>
                <w:sz w:val="20"/>
                <w:szCs w:val="20"/>
              </w:rPr>
              <w:t xml:space="preserve">Microinvertebrates play a key role in floodplain river food webs, as prey to a wide range of fauna including fish </w:t>
            </w:r>
            <w:r w:rsidR="00D20FAE">
              <w:rPr>
                <w:sz w:val="20"/>
                <w:szCs w:val="20"/>
              </w:rPr>
              <w:fldChar w:fldCharType="begin"/>
            </w:r>
            <w:r w:rsidR="006171E9">
              <w:rPr>
                <w:sz w:val="20"/>
                <w:szCs w:val="20"/>
              </w:rPr>
              <w:instrText xml:space="preserve"> ADDIN EN.CITE &lt;EndNote&gt;&lt;Cite&gt;&lt;Author&gt;King&lt;/Author&gt;&lt;Year&gt;2004&lt;/Year&gt;&lt;RecNum&gt;3326&lt;/RecNum&gt;&lt;DisplayText&gt;(King 2004)&lt;/DisplayText&gt;&lt;record&gt;&lt;rec-number&gt;3326&lt;/rec-number&gt;&lt;foreign-keys&gt;&lt;key app="EN" db-id="vxxvsda2b05fxpeaw2dp552mtrd5trxdrf0s"&gt;3326&lt;/key&gt;&lt;/foreign-keys&gt;&lt;ref-type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D20FAE">
              <w:rPr>
                <w:sz w:val="20"/>
                <w:szCs w:val="20"/>
              </w:rPr>
              <w:fldChar w:fldCharType="separate"/>
            </w:r>
            <w:r w:rsidR="006171E9">
              <w:rPr>
                <w:noProof/>
                <w:sz w:val="20"/>
                <w:szCs w:val="20"/>
              </w:rPr>
              <w:t>(</w:t>
            </w:r>
            <w:hyperlink w:anchor="_ENREF_50" w:tooltip="King, 2004 #3326" w:history="1">
              <w:r w:rsidR="006810E6">
                <w:rPr>
                  <w:noProof/>
                  <w:sz w:val="20"/>
                  <w:szCs w:val="20"/>
                </w:rPr>
                <w:t>King 2004</w:t>
              </w:r>
            </w:hyperlink>
            <w:r w:rsidR="006171E9">
              <w:rPr>
                <w:noProof/>
                <w:sz w:val="20"/>
                <w:szCs w:val="20"/>
              </w:rPr>
              <w:t>)</w:t>
            </w:r>
            <w:r w:rsidR="00D20FAE">
              <w:rPr>
                <w:sz w:val="20"/>
                <w:szCs w:val="20"/>
              </w:rPr>
              <w:fldChar w:fldCharType="end"/>
            </w:r>
            <w:r w:rsidRPr="00557A5C">
              <w:rPr>
                <w:sz w:val="20"/>
                <w:szCs w:val="20"/>
              </w:rPr>
              <w:t xml:space="preserve"> and as important consumers of algae, bacteria and biofilms. </w:t>
            </w:r>
            <w:r>
              <w:rPr>
                <w:sz w:val="20"/>
                <w:szCs w:val="20"/>
              </w:rPr>
              <w:t xml:space="preserve">Microinvertebrates also respond strongly to water regime, particularly the history of flooding and drying in floodplain wetlands </w:t>
            </w:r>
            <w:r w:rsidR="00D20FAE">
              <w:rPr>
                <w:sz w:val="20"/>
                <w:szCs w:val="20"/>
              </w:rPr>
              <w:fldChar w:fldCharType="begin">
                <w:fldData xml:space="preserve">PEVuZE5vdGU+PENpdGUgRXhjbHVkZVllYXI9IjEiPjxBdXRob3I+SmVua2luczwvQXV0aG9yPjxZ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</w:fldData>
              </w:fldChar>
            </w:r>
            <w:r w:rsidR="006171E9">
              <w:rPr>
                <w:sz w:val="20"/>
                <w:szCs w:val="20"/>
              </w:rPr>
              <w:instrText xml:space="preserve"> ADDIN EN.CITE </w:instrText>
            </w:r>
            <w:r w:rsidR="00D20FAE">
              <w:rPr>
                <w:sz w:val="20"/>
                <w:szCs w:val="20"/>
              </w:rPr>
              <w:fldChar w:fldCharType="begin">
                <w:fldData xml:space="preserve">PEVuZE5vdGU+PENpdGUgRXhjbHVkZVllYXI9IjEiPjxBdXRob3I+SmVua2luczwvQXV0aG9yPjxZ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</w:fldData>
              </w:fldChar>
            </w:r>
            <w:r w:rsidR="006171E9">
              <w:rPr>
                <w:sz w:val="20"/>
                <w:szCs w:val="20"/>
              </w:rPr>
              <w:instrText xml:space="preserve"> ADDIN EN.CITE.DATA </w:instrText>
            </w:r>
            <w:r w:rsidR="00D20FAE">
              <w:rPr>
                <w:sz w:val="20"/>
                <w:szCs w:val="20"/>
              </w:rPr>
            </w:r>
            <w:r w:rsidR="00D20FAE">
              <w:rPr>
                <w:sz w:val="20"/>
                <w:szCs w:val="20"/>
              </w:rPr>
              <w:fldChar w:fldCharType="end"/>
            </w:r>
            <w:r w:rsidR="00D20FAE">
              <w:rPr>
                <w:sz w:val="20"/>
                <w:szCs w:val="20"/>
              </w:rPr>
            </w:r>
            <w:r w:rsidR="00D20FAE">
              <w:rPr>
                <w:sz w:val="20"/>
                <w:szCs w:val="20"/>
              </w:rPr>
              <w:fldChar w:fldCharType="separate"/>
            </w:r>
            <w:r w:rsidR="006171E9">
              <w:rPr>
                <w:noProof/>
                <w:sz w:val="20"/>
                <w:szCs w:val="20"/>
              </w:rPr>
              <w:t>(</w:t>
            </w:r>
            <w:hyperlink w:anchor="_ENREF_44" w:tooltip="Jenkins, 2003 #1640" w:history="1">
              <w:r w:rsidR="006810E6">
                <w:rPr>
                  <w:noProof/>
                  <w:sz w:val="20"/>
                  <w:szCs w:val="20"/>
                </w:rPr>
                <w:t>Jenkins and Boulton 2003</w:t>
              </w:r>
            </w:hyperlink>
            <w:r w:rsidR="006171E9">
              <w:rPr>
                <w:noProof/>
                <w:sz w:val="20"/>
                <w:szCs w:val="20"/>
              </w:rPr>
              <w:t xml:space="preserve">, </w:t>
            </w:r>
            <w:hyperlink w:anchor="_ENREF_45" w:tooltip="Jenkins, 2007 #2926" w:history="1">
              <w:r w:rsidR="006810E6">
                <w:rPr>
                  <w:noProof/>
                  <w:sz w:val="20"/>
                  <w:szCs w:val="20"/>
                </w:rPr>
                <w:t>Jenkins and Boulton</w:t>
              </w:r>
            </w:hyperlink>
            <w:r w:rsidR="006171E9">
              <w:rPr>
                <w:noProof/>
                <w:sz w:val="20"/>
                <w:szCs w:val="20"/>
              </w:rPr>
              <w:t>)</w:t>
            </w:r>
            <w:r w:rsidR="00D20FAE">
              <w:rPr>
                <w:sz w:val="20"/>
                <w:szCs w:val="20"/>
              </w:rPr>
              <w:fldChar w:fldCharType="end"/>
            </w:r>
            <w:r w:rsidRPr="00557A5C">
              <w:rPr>
                <w:sz w:val="20"/>
                <w:szCs w:val="20"/>
              </w:rPr>
              <w:t>.</w:t>
            </w:r>
            <w:r>
              <w:rPr>
                <w:sz w:val="20"/>
                <w:szCs w:val="20"/>
              </w:rPr>
              <w:t xml:space="preserve"> They are also good indicators of ecological connectivity in floodplain river systems </w:t>
            </w:r>
            <w:r w:rsidR="00D20FAE">
              <w:rPr>
                <w:sz w:val="20"/>
                <w:szCs w:val="20"/>
              </w:rPr>
              <w:fldChar w:fldCharType="begin"/>
            </w:r>
            <w:r w:rsidR="006171E9">
              <w:rPr>
                <w:sz w:val="20"/>
                <w:szCs w:val="20"/>
              </w:rPr>
              <w:instrText xml:space="preserve"> ADDIN EN.CITE &lt;EndNote&gt;&lt;Cite ExcludeYear="1"&gt;&lt;Author&gt;Jenkins&lt;/Author&gt;&lt;Year&gt;2007&lt;/Year&gt;&lt;RecNum&gt;2926&lt;/RecNum&gt;&lt;DisplayText&gt;(Jenkins and Boulton , Jenkins, Iles&lt;style face="italic"&gt; et al.&lt;/style&gt; 2013)&lt;/DisplayText&gt;&lt;record&gt;&lt;rec-number&gt;2926&lt;/rec-number&gt;&lt;foreign-keys&gt;&lt;key app="EN" db-id="vxxvsda2b05fxpeaw2dp552mtrd5trxdrf0s"&gt;2926&lt;/key&gt;&lt;/foreign-keys&gt;&lt;ref-type name="Journal Article"&gt;17&lt;/ref-type&gt;&lt;contributors&gt;&lt;authors&gt;&lt;author&gt;Jenkins, K. M.&lt;/author&gt;&lt;author&gt;Boulton, A. J.&lt;/author&gt;&lt;/authors&gt;&lt;/contributors&gt;&lt;titles&gt;&lt;title&gt;Detecting impacts and setting restoration targets in arid-zone rivers: aquatic micro-invertebrate responses to reduced floodplain inundation&lt;/title&gt;&lt;secondary-title&gt;Journal of Applied Ecology&lt;/secondary-title&gt;&lt;/titles&gt;&lt;periodical&gt;&lt;full-title&gt;Journal of Applied Ecology&lt;/full-title&gt;&lt;/periodical&gt;&lt;pages&gt;823-832&lt;/pages&gt;&lt;volume&gt;44&lt;/volume&gt;&lt;number&gt;4&lt;/number&gt;&lt;dates&gt;&lt;year&gt;2007&lt;/year&gt;&lt;pub-dates&gt;&lt;date&gt;Aug&lt;/date&gt;&lt;/pub-dates&gt;&lt;/dates&gt;&lt;isbn&gt;0021-8901&lt;/isbn&gt;&lt;accession-num&gt;ISI:000247667100012&lt;/accession-num&gt;&lt;urls&gt;&lt;related-urls&gt;&lt;url&gt;&amp;lt;Go to ISI&amp;gt;://000247667100012&lt;/url&gt;&lt;/related-urls&gt;&lt;/urls&gt;&lt;electronic-resource-num&gt;10.1111/j.1365-2664.2007.01298.x&lt;/electronic-resource-num&gt;&lt;/record&gt;&lt;/Cite&gt;&lt;Cite&gt;&lt;Author&gt;Jenkins&lt;/Author&gt;&lt;Year&gt;2013&lt;/Year&gt;&lt;RecNum&gt;3327&lt;/RecNum&gt;&lt;record&gt;&lt;rec-number&gt;3327&lt;/rec-number&gt;&lt;foreign-keys&gt;&lt;key app="EN" db-id="vxxvsda2b05fxpeaw2dp552mtrd5trxdrf0s"&gt;3327&lt;/key&gt;&lt;/foreign-keys&gt;&lt;ref-type name="Book"&gt;6&lt;/ref-type&gt;&lt;contributors&gt;&lt;authors&gt;&lt;author&gt;Jenkins, K.M.&lt;/author&gt;&lt;author&gt;Iles, J. &lt;/author&gt;&lt;author&gt;Smith, J.&lt;/author&gt;&lt;author&gt;Kingsford, R.T.&lt;/author&gt;&lt;author&gt;Forrest, M.&lt;/author&gt;&lt;author&gt;Rayner, T.&lt;/author&gt;&lt;/authors&gt;&lt;/contributors&gt;&lt;titles&gt;&lt;title&gt;Monitoring of ecosystem responses to the delivery of environmental water in the Lower Murrumbidgee River and wetlands, 2011-2012&lt;/title&gt;&lt;/titles&gt;&lt;dates&gt;&lt;year&gt;2013&lt;/year&gt;&lt;/dates&gt;&lt;publisher&gt;Australian Wetlands, Rivers and Landscapes Centre. Prepared for Commonwealth Environmental Water&lt;/publisher&gt;&lt;urls&gt;&lt;/urls&gt;&lt;/record&gt;&lt;/Cite&gt;&lt;/EndNote&gt;</w:instrText>
            </w:r>
            <w:r w:rsidR="00D20FAE">
              <w:rPr>
                <w:sz w:val="20"/>
                <w:szCs w:val="20"/>
              </w:rPr>
              <w:fldChar w:fldCharType="separate"/>
            </w:r>
            <w:r w:rsidR="006171E9">
              <w:rPr>
                <w:noProof/>
                <w:sz w:val="20"/>
                <w:szCs w:val="20"/>
              </w:rPr>
              <w:t>(</w:t>
            </w:r>
            <w:hyperlink w:anchor="_ENREF_45" w:tooltip="Jenkins, 2007 #2926" w:history="1">
              <w:r w:rsidR="006810E6">
                <w:rPr>
                  <w:noProof/>
                  <w:sz w:val="20"/>
                  <w:szCs w:val="20"/>
                </w:rPr>
                <w:t xml:space="preserve">Jenkins and Boulton </w:t>
              </w:r>
            </w:hyperlink>
            <w:r w:rsidR="006171E9">
              <w:rPr>
                <w:noProof/>
                <w:sz w:val="20"/>
                <w:szCs w:val="20"/>
              </w:rPr>
              <w:t xml:space="preserve">, </w:t>
            </w:r>
            <w:hyperlink w:anchor="_ENREF_46" w:tooltip="Jenkins, 2013 #3327" w:history="1">
              <w:r w:rsidR="006810E6">
                <w:rPr>
                  <w:noProof/>
                  <w:sz w:val="20"/>
                  <w:szCs w:val="20"/>
                </w:rPr>
                <w:t>Jenkins, Iles</w:t>
              </w:r>
              <w:r w:rsidR="006810E6" w:rsidRPr="006171E9">
                <w:rPr>
                  <w:i/>
                  <w:noProof/>
                  <w:sz w:val="20"/>
                  <w:szCs w:val="20"/>
                </w:rPr>
                <w:t xml:space="preserve"> et al.</w:t>
              </w:r>
              <w:r w:rsidR="006810E6">
                <w:rPr>
                  <w:noProof/>
                  <w:sz w:val="20"/>
                  <w:szCs w:val="20"/>
                </w:rPr>
                <w:t xml:space="preserve"> 2013</w:t>
              </w:r>
            </w:hyperlink>
            <w:r w:rsidR="006171E9">
              <w:rPr>
                <w:noProof/>
                <w:sz w:val="20"/>
                <w:szCs w:val="20"/>
              </w:rPr>
              <w:t>)</w:t>
            </w:r>
            <w:r w:rsidR="00D20FAE">
              <w:rPr>
                <w:sz w:val="20"/>
                <w:szCs w:val="20"/>
              </w:rPr>
              <w:fldChar w:fldCharType="end"/>
            </w:r>
            <w:r>
              <w:rPr>
                <w:sz w:val="20"/>
                <w:szCs w:val="20"/>
              </w:rPr>
              <w:t xml:space="preserve">. Based on these characteristics, we monitored microinvertebrates in </w:t>
            </w:r>
            <w:r w:rsidR="005C208C">
              <w:rPr>
                <w:sz w:val="20"/>
                <w:szCs w:val="20"/>
              </w:rPr>
              <w:t xml:space="preserve">the Murrumbidgee River to complement larval fish monitoring and in </w:t>
            </w:r>
            <w:r>
              <w:rPr>
                <w:sz w:val="20"/>
                <w:szCs w:val="20"/>
              </w:rPr>
              <w:t xml:space="preserve">wetlands from the mid-Murrumbidgee, Lowbidgee and Western Lakes from spring 2012 to </w:t>
            </w:r>
            <w:r w:rsidR="009937A6">
              <w:rPr>
                <w:sz w:val="20"/>
                <w:szCs w:val="20"/>
              </w:rPr>
              <w:t xml:space="preserve">autumn </w:t>
            </w:r>
            <w:r>
              <w:rPr>
                <w:sz w:val="20"/>
                <w:szCs w:val="20"/>
              </w:rPr>
              <w:t xml:space="preserve">2013. The key objectives of the Commonwealth environmental watering actions in 2012-13 that relate to microinvertebrates were to </w:t>
            </w:r>
            <w:r w:rsidR="00505588" w:rsidRPr="00505588">
              <w:rPr>
                <w:b/>
                <w:i/>
                <w:sz w:val="20"/>
                <w:szCs w:val="20"/>
              </w:rPr>
              <w:t>“support habitat requirements of native fish</w:t>
            </w:r>
            <w:r w:rsidR="006D2B82">
              <w:rPr>
                <w:b/>
                <w:i/>
                <w:sz w:val="20"/>
                <w:szCs w:val="20"/>
              </w:rPr>
              <w:t>”</w:t>
            </w:r>
            <w:r w:rsidR="005C208C">
              <w:rPr>
                <w:b/>
                <w:i/>
                <w:sz w:val="20"/>
                <w:szCs w:val="20"/>
              </w:rPr>
              <w:t xml:space="preserve"> </w:t>
            </w:r>
            <w:r w:rsidR="00505588" w:rsidRPr="006D2B82">
              <w:rPr>
                <w:sz w:val="20"/>
                <w:szCs w:val="20"/>
              </w:rPr>
              <w:t>and</w:t>
            </w:r>
            <w:r w:rsidR="00505588" w:rsidRPr="00505588">
              <w:rPr>
                <w:sz w:val="20"/>
                <w:szCs w:val="20"/>
              </w:rPr>
              <w:t xml:space="preserve"> </w:t>
            </w:r>
            <w:r w:rsidR="005C208C">
              <w:rPr>
                <w:b/>
                <w:i/>
              </w:rPr>
              <w:t>“</w:t>
            </w:r>
            <w:r w:rsidR="004E135B" w:rsidRPr="004E135B">
              <w:rPr>
                <w:b/>
                <w:i/>
                <w:sz w:val="20"/>
                <w:szCs w:val="20"/>
              </w:rPr>
              <w:t xml:space="preserve">Support breeding and recruitment of other native aquatic species, including frogs, turtles, </w:t>
            </w:r>
            <w:proofErr w:type="gramStart"/>
            <w:r w:rsidR="004E135B" w:rsidRPr="004E135B">
              <w:rPr>
                <w:b/>
                <w:i/>
                <w:sz w:val="20"/>
                <w:szCs w:val="20"/>
              </w:rPr>
              <w:t>invertebrates</w:t>
            </w:r>
            <w:proofErr w:type="gramEnd"/>
            <w:r w:rsidR="005C208C">
              <w:rPr>
                <w:b/>
                <w:i/>
              </w:rPr>
              <w:t>”</w:t>
            </w:r>
            <w:r w:rsidR="00505588" w:rsidRPr="006D2B82">
              <w:t xml:space="preserve">. </w:t>
            </w:r>
            <w:r>
              <w:rPr>
                <w:sz w:val="20"/>
                <w:szCs w:val="20"/>
              </w:rPr>
              <w:t>Our monitoring</w:t>
            </w:r>
            <w:r w:rsidRPr="00557A5C">
              <w:rPr>
                <w:sz w:val="20"/>
                <w:szCs w:val="20"/>
              </w:rPr>
              <w:t xml:space="preserve"> focussed on the microcrustacean taxa that comprise a larger size class within the microinvertebrate community, and include copepods, cladocerans and ostracods that</w:t>
            </w:r>
            <w:r>
              <w:rPr>
                <w:sz w:val="20"/>
                <w:szCs w:val="20"/>
              </w:rPr>
              <w:t xml:space="preserve"> provide food for fish larvae. </w:t>
            </w:r>
            <w:r w:rsidR="00365BC8">
              <w:rPr>
                <w:sz w:val="20"/>
                <w:szCs w:val="20"/>
              </w:rPr>
              <w:t xml:space="preserve">This section </w:t>
            </w:r>
            <w:r w:rsidR="00273903">
              <w:rPr>
                <w:sz w:val="20"/>
                <w:szCs w:val="20"/>
              </w:rPr>
              <w:t>presents results</w:t>
            </w:r>
            <w:r w:rsidR="00365BC8">
              <w:rPr>
                <w:sz w:val="20"/>
                <w:szCs w:val="20"/>
              </w:rPr>
              <w:t xml:space="preserve"> of the wetland </w:t>
            </w:r>
            <w:r w:rsidR="00273903">
              <w:rPr>
                <w:sz w:val="20"/>
                <w:szCs w:val="20"/>
              </w:rPr>
              <w:t>microinvertebrates while</w:t>
            </w:r>
            <w:r w:rsidR="00365BC8">
              <w:rPr>
                <w:sz w:val="20"/>
                <w:szCs w:val="20"/>
              </w:rPr>
              <w:t xml:space="preserve"> the results on the interaction between larval fish and microinvertebrates</w:t>
            </w:r>
            <w:r w:rsidR="006F3FCC">
              <w:rPr>
                <w:sz w:val="20"/>
                <w:szCs w:val="20"/>
              </w:rPr>
              <w:t xml:space="preserve"> in the Murrumbidgee </w:t>
            </w:r>
            <w:r w:rsidR="00E12FC3">
              <w:rPr>
                <w:sz w:val="20"/>
                <w:szCs w:val="20"/>
              </w:rPr>
              <w:t>River (O</w:t>
            </w:r>
            <w:r w:rsidR="006F3FCC">
              <w:rPr>
                <w:sz w:val="20"/>
                <w:szCs w:val="20"/>
              </w:rPr>
              <w:t>ption 1)</w:t>
            </w:r>
            <w:r w:rsidR="00365BC8">
              <w:rPr>
                <w:sz w:val="20"/>
                <w:szCs w:val="20"/>
              </w:rPr>
              <w:t xml:space="preserve"> are presented </w:t>
            </w:r>
            <w:r w:rsidR="009937A6">
              <w:rPr>
                <w:sz w:val="20"/>
                <w:szCs w:val="20"/>
              </w:rPr>
              <w:t>in Section 9</w:t>
            </w:r>
            <w:r w:rsidR="003850A8">
              <w:rPr>
                <w:sz w:val="20"/>
                <w:szCs w:val="20"/>
              </w:rPr>
              <w:t>.</w:t>
            </w:r>
          </w:p>
          <w:p w:rsidR="00C11CDF" w:rsidRPr="006F3FCC" w:rsidRDefault="00C11CDF" w:rsidP="00C11CDF">
            <w:pPr>
              <w:spacing w:after="0" w:line="240" w:lineRule="auto"/>
              <w:rPr>
                <w:b/>
                <w:sz w:val="20"/>
                <w:szCs w:val="20"/>
              </w:rPr>
            </w:pPr>
          </w:p>
          <w:p w:rsidR="00C11CDF" w:rsidRPr="006F3FCC" w:rsidRDefault="00505588" w:rsidP="00C11CDF">
            <w:pPr>
              <w:spacing w:after="0" w:line="240" w:lineRule="auto"/>
              <w:rPr>
                <w:b/>
                <w:sz w:val="20"/>
                <w:szCs w:val="20"/>
              </w:rPr>
            </w:pPr>
            <w:r w:rsidRPr="00505588">
              <w:rPr>
                <w:b/>
                <w:sz w:val="20"/>
                <w:szCs w:val="20"/>
              </w:rPr>
              <w:t>Key outcomes</w:t>
            </w:r>
          </w:p>
          <w:p w:rsidR="00C11CDF" w:rsidRDefault="00C11CDF" w:rsidP="00C11CDF">
            <w:pPr>
              <w:pStyle w:val="NoSpacing"/>
              <w:numPr>
                <w:ilvl w:val="0"/>
                <w:numId w:val="5"/>
              </w:numPr>
              <w:spacing w:before="0"/>
              <w:ind w:left="714" w:hanging="357"/>
              <w:rPr>
                <w:szCs w:val="20"/>
              </w:rPr>
            </w:pPr>
            <w:r w:rsidRPr="00F10B8E">
              <w:rPr>
                <w:szCs w:val="20"/>
              </w:rPr>
              <w:t xml:space="preserve">Numbers of microcrustacean taxa in benthic and pelagic habitats in wetlands from the Lowbidgee, mid-Murrumbidgee and Western Lakes were highest in August 2012 and April 2013, with a trough in the spring and summer months, coinciding with fish spawning activity. </w:t>
            </w:r>
          </w:p>
          <w:p w:rsidR="006F3FCC" w:rsidRPr="00CF05D6" w:rsidRDefault="00C11CDF" w:rsidP="006F3FCC">
            <w:pPr>
              <w:pStyle w:val="NoSpacing"/>
              <w:numPr>
                <w:ilvl w:val="0"/>
                <w:numId w:val="5"/>
              </w:numPr>
            </w:pPr>
            <w:r w:rsidRPr="00F10B8E">
              <w:rPr>
                <w:szCs w:val="20"/>
              </w:rPr>
              <w:t xml:space="preserve">Microcrustacean </w:t>
            </w:r>
            <w:r>
              <w:rPr>
                <w:szCs w:val="20"/>
              </w:rPr>
              <w:t>d</w:t>
            </w:r>
            <w:r w:rsidRPr="00F10B8E">
              <w:rPr>
                <w:szCs w:val="20"/>
              </w:rPr>
              <w:t xml:space="preserve">ensities in benthic </w:t>
            </w:r>
            <w:r w:rsidR="00CF05D6">
              <w:rPr>
                <w:szCs w:val="20"/>
              </w:rPr>
              <w:t xml:space="preserve">and pelagic </w:t>
            </w:r>
            <w:r w:rsidRPr="00F10B8E">
              <w:rPr>
                <w:szCs w:val="20"/>
              </w:rPr>
              <w:t xml:space="preserve">habitats were </w:t>
            </w:r>
            <w:r w:rsidR="00505588" w:rsidRPr="00505588">
              <w:rPr>
                <w:b/>
                <w:szCs w:val="20"/>
              </w:rPr>
              <w:t>above the critical threshold of 100/L to</w:t>
            </w:r>
            <w:r w:rsidRPr="00F10B8E">
              <w:rPr>
                <w:szCs w:val="20"/>
              </w:rPr>
              <w:t xml:space="preserve"> </w:t>
            </w:r>
            <w:r w:rsidR="00505588" w:rsidRPr="00505588">
              <w:rPr>
                <w:b/>
                <w:szCs w:val="20"/>
              </w:rPr>
              <w:t>support larval fish feeding</w:t>
            </w:r>
            <w:r w:rsidRPr="00F10B8E">
              <w:rPr>
                <w:szCs w:val="20"/>
              </w:rPr>
              <w:t xml:space="preserve"> in August, October, February and April. </w:t>
            </w:r>
          </w:p>
          <w:p w:rsidR="00CF05D6" w:rsidRPr="006F3FCC" w:rsidRDefault="00CF05D6" w:rsidP="006F3FCC">
            <w:pPr>
              <w:pStyle w:val="NoSpacing"/>
              <w:numPr>
                <w:ilvl w:val="0"/>
                <w:numId w:val="5"/>
              </w:numPr>
            </w:pPr>
            <w:r>
              <w:rPr>
                <w:szCs w:val="20"/>
              </w:rPr>
              <w:t xml:space="preserve">The length of </w:t>
            </w:r>
            <w:r w:rsidR="009937A6">
              <w:rPr>
                <w:szCs w:val="20"/>
              </w:rPr>
              <w:t xml:space="preserve">microcrustaceans </w:t>
            </w:r>
            <w:r>
              <w:rPr>
                <w:szCs w:val="20"/>
              </w:rPr>
              <w:t>did not show a consistent pattern in the three groups of wetlands across time, but larger specimens were observed in the Western Lakes than the Lowbidgee and mid-Murrumbidgee, possibly reflecting reduced rates of predation by fish</w:t>
            </w:r>
            <w:r w:rsidR="009937A6">
              <w:rPr>
                <w:szCs w:val="20"/>
              </w:rPr>
              <w:t xml:space="preserve"> in the latter two regions</w:t>
            </w:r>
            <w:r>
              <w:rPr>
                <w:szCs w:val="20"/>
              </w:rPr>
              <w:t>.</w:t>
            </w:r>
          </w:p>
          <w:p w:rsidR="00E1766B" w:rsidRDefault="00E1766B">
            <w:pPr>
              <w:pStyle w:val="NoSpacing"/>
              <w:ind w:left="720"/>
              <w:rPr>
                <w:sz w:val="22"/>
              </w:rPr>
            </w:pPr>
          </w:p>
          <w:p w:rsidR="00407848" w:rsidRDefault="00407848">
            <w:pPr>
              <w:pStyle w:val="NoSpacing"/>
              <w:ind w:left="720"/>
              <w:rPr>
                <w:sz w:val="22"/>
              </w:rPr>
            </w:pPr>
          </w:p>
        </w:tc>
      </w:tr>
    </w:tbl>
    <w:p w:rsidR="00E1766B" w:rsidRDefault="006F3FCC" w:rsidP="00273903">
      <w:pPr>
        <w:pStyle w:val="Heading1"/>
      </w:pPr>
      <w:bookmarkStart w:id="184" w:name="_Toc370299197"/>
      <w:bookmarkStart w:id="185" w:name="_Toc370738761"/>
      <w:bookmarkStart w:id="186" w:name="_Toc378168536"/>
      <w:r>
        <w:t>Microinvertebrates</w:t>
      </w:r>
      <w:bookmarkEnd w:id="184"/>
      <w:bookmarkEnd w:id="185"/>
      <w:bookmarkEnd w:id="186"/>
    </w:p>
    <w:p w:rsidR="00CA49FE" w:rsidRPr="00CA49FE" w:rsidRDefault="00CA49FE" w:rsidP="00CA49FE">
      <w:pPr>
        <w:pStyle w:val="Heading2"/>
      </w:pPr>
      <w:bookmarkStart w:id="187" w:name="_Toc370738762"/>
      <w:bookmarkStart w:id="188" w:name="_Toc378168537"/>
      <w:r>
        <w:t>Introduction</w:t>
      </w:r>
      <w:bookmarkEnd w:id="187"/>
      <w:bookmarkEnd w:id="188"/>
    </w:p>
    <w:p w:rsidR="00C11CDF" w:rsidRPr="00730716" w:rsidRDefault="00C11CDF" w:rsidP="00C11CDF">
      <w:r>
        <w:t>Native</w:t>
      </w:r>
      <w:r w:rsidRPr="00730716">
        <w:t xml:space="preserve"> fish diversity and fish recruitment are strongly influenced by the availability of suitable food resources</w:t>
      </w:r>
      <w:r>
        <w:t>, particularly m</w:t>
      </w:r>
      <w:r w:rsidRPr="00730716">
        <w:t xml:space="preserve">icroinvertebrates </w:t>
      </w:r>
      <w:r>
        <w:t>that are eaten by</w:t>
      </w:r>
      <w:r w:rsidRPr="00730716">
        <w:t xml:space="preserve"> </w:t>
      </w:r>
      <w:r>
        <w:t>adults of some</w:t>
      </w:r>
      <w:r w:rsidRPr="00730716">
        <w:t xml:space="preserve"> species of freshwater fish as well as providing critical prey for larval fish of all species. </w:t>
      </w:r>
      <w:r>
        <w:t xml:space="preserve">Due to this strong link between larval fish and microinvertebrates, a </w:t>
      </w:r>
      <w:r w:rsidRPr="00730716">
        <w:t>limited supply</w:t>
      </w:r>
      <w:r>
        <w:t xml:space="preserve"> of microinvertebrates</w:t>
      </w:r>
      <w:r w:rsidRPr="00730716">
        <w:t xml:space="preserve"> is a key factor</w:t>
      </w:r>
      <w:r>
        <w:t xml:space="preserve"> that can cause</w:t>
      </w:r>
      <w:r w:rsidRPr="00730716">
        <w:t xml:space="preserve"> failed recruitment and high initial mortality of larval fish </w:t>
      </w:r>
      <w:r w:rsidR="00D20FAE">
        <w:fldChar w:fldCharType="begin"/>
      </w:r>
      <w:r w:rsidR="006171E9">
        <w:instrText xml:space="preserve"> ADDIN EN.CITE &lt;EndNote&gt;&lt;Cite&gt;&lt;Author&gt;Balcombe&lt;/Author&gt;&lt;Year&gt;2006&lt;/Year&gt;&lt;RecNum&gt;2710&lt;/RecNum&gt;&lt;DisplayText&gt;(Balcombe and Humphries 2006)&lt;/DisplayText&gt;&lt;record&gt;&lt;rec-number&gt;2710&lt;/rec-number&gt;&lt;foreign-keys&gt;&lt;key app="EN" db-id="vxxvsda2b05fxpeaw2dp552mtrd5trxdrf0s"&gt;2710&lt;/key&gt;&lt;/foreign-keys&gt;&lt;ref-type name="Journal Article"&gt;17&lt;/ref-type&gt;&lt;contributors&gt;&lt;authors&gt;&lt;author&gt;Balcombe, S R&lt;/author&gt;&lt;author&gt;Humphries, P&lt;/author&gt;&lt;/authors&gt;&lt;/contributors&gt;&lt;titles&gt;&lt;title&gt;&lt;style face="normal" font="default" size="100%"&gt;Diet of the western carp gudgeon (&lt;/style&gt;&lt;style face="italic" font="default" size="100%"&gt;Hypseleotris klunzingeri &lt;/style&gt;&lt;style face="normal" font="default" size="100%"&gt;Ogilby) in an Australian floodplain lake: the role of water level stability&lt;/style&gt;&lt;/title&gt;&lt;secondary-title&gt;Journal of Fish Biology&lt;/secondary-title&gt;&lt;/titles&gt;&lt;periodical&gt;&lt;full-title&gt;Journal of Fish Biology&lt;/full-title&gt;&lt;/periodical&gt;&lt;pages&gt;1484-1493&lt;/pages&gt;&lt;volume&gt;68&lt;/volume&gt;&lt;keywords&gt;&lt;keyword&gt;billabong&lt;/keyword&gt;&lt;keyword&gt;diet&lt;/keyword&gt;&lt;keyword&gt;food resources temporal variability&lt;/keyword&gt;&lt;keyword&gt;Hypseleotris&lt;/keyword&gt;&lt;keyword&gt;water levels&lt;/keyword&gt;&lt;/keywords&gt;&lt;dates&gt;&lt;year&gt;2006&lt;/year&gt;&lt;/dates&gt;&lt;call-num&gt;Elec file&lt;/call-num&gt;&lt;urls&gt;&lt;/urls&gt;&lt;/record&gt;&lt;/Cite&gt;&lt;/EndNote&gt;</w:instrText>
      </w:r>
      <w:r w:rsidR="00D20FAE">
        <w:fldChar w:fldCharType="separate"/>
      </w:r>
      <w:r w:rsidR="006171E9">
        <w:rPr>
          <w:noProof/>
        </w:rPr>
        <w:t>(</w:t>
      </w:r>
      <w:hyperlink w:anchor="_ENREF_10" w:tooltip="Balcombe, 2006 #2710" w:history="1">
        <w:r w:rsidR="006810E6">
          <w:rPr>
            <w:noProof/>
          </w:rPr>
          <w:t>Balcombe and Humphries 2006</w:t>
        </w:r>
      </w:hyperlink>
      <w:r w:rsidR="006171E9">
        <w:rPr>
          <w:noProof/>
        </w:rPr>
        <w:t>)</w:t>
      </w:r>
      <w:r w:rsidR="00D20FAE">
        <w:fldChar w:fldCharType="end"/>
      </w:r>
      <w:r w:rsidRPr="00730716">
        <w:t xml:space="preserve">. Blooms of microinvertebrates are associated with better condition in some fish species </w:t>
      </w:r>
      <w:r w:rsidR="00D20FAE">
        <w:fldChar w:fldCharType="begin"/>
      </w:r>
      <w:r w:rsidR="006171E9">
        <w:instrText xml:space="preserve"> ADDIN EN.CITE &lt;EndNote&gt;&lt;Cite&gt;&lt;Author&gt;Pothoven&lt;/Author&gt;&lt;Year&gt;2001&lt;/Year&gt;&lt;RecNum&gt;3433&lt;/RecNum&gt;&lt;DisplayText&gt;(Pothoven, Nalepa&lt;style face="italic"&gt; et al.&lt;/style&gt; 2001)&lt;/DisplayText&gt;&lt;record&gt;&lt;rec-number&gt;3433&lt;/rec-number&gt;&lt;foreign-keys&gt;&lt;key app="EN" db-id="vxxvsda2b05fxpeaw2dp552mtrd5trxdrf0s"&gt;3433&lt;/key&gt;&lt;/foreign-keys&gt;&lt;ref-type name="Journal Article"&gt;17&lt;/ref-type&gt;&lt;contributors&gt;&lt;authors&gt;&lt;author&gt;Pothoven, Steven A.&lt;/author&gt;&lt;author&gt;Nalepa, Thomas F.&lt;/author&gt;&lt;author&gt;Schneeberger, Philip J.&lt;/author&gt;&lt;author&gt;Brandt, Stephen B.&lt;/author&gt;&lt;/authors&gt;&lt;/contributors&gt;&lt;titles&gt;&lt;title&gt;Changes in Diet and Body Condition of Lake Whitefish in Southern Lake Michigan Associated with Changes in Benthos&lt;/title&gt;&lt;secondary-title&gt;North American Journal of Fisheries Management&lt;/secondary-title&gt;&lt;/titles&gt;&lt;periodical&gt;&lt;full-title&gt;North American Journal of Fisheries Management&lt;/full-title&gt;&lt;/periodical&gt;&lt;pages&gt;876-883&lt;/pages&gt;&lt;volume&gt;21&lt;/volume&gt;&lt;number&gt;4&lt;/number&gt;&lt;dates&gt;&lt;year&gt;2001&lt;/year&gt;&lt;pub-dates&gt;&lt;date&gt;2001/11/01&lt;/date&gt;&lt;/pub-dates&gt;&lt;/dates&gt;&lt;publisher&gt;Taylor &amp;amp; Francis&lt;/publisher&gt;&lt;isbn&gt;0275-5947&lt;/isbn&gt;&lt;urls&gt;&lt;related-urls&gt;&lt;url&gt;http://dx.doi.org/10.1577/1548-8675(2001)021&amp;lt;0876:CIDABC&amp;gt;2.0.CO;2&lt;/url&gt;&lt;/related-urls&gt;&lt;/urls&gt;&lt;electronic-resource-num&gt;10.1577/1548-8675(2001)021&amp;lt;0876:CIDABC&amp;gt;2.0.CO;2&lt;/electronic-resource-num&gt;&lt;access-date&gt;2013/10/21&lt;/access-date&gt;&lt;/record&gt;&lt;/Cite&gt;&lt;/EndNote&gt;</w:instrText>
      </w:r>
      <w:r w:rsidR="00D20FAE">
        <w:fldChar w:fldCharType="separate"/>
      </w:r>
      <w:r w:rsidR="006171E9">
        <w:rPr>
          <w:noProof/>
        </w:rPr>
        <w:t>(</w:t>
      </w:r>
      <w:hyperlink w:anchor="_ENREF_78" w:tooltip="Pothoven, 2001 #3433" w:history="1">
        <w:r w:rsidR="006810E6">
          <w:rPr>
            <w:noProof/>
          </w:rPr>
          <w:t>Pothoven, Nalepa</w:t>
        </w:r>
        <w:r w:rsidR="006810E6" w:rsidRPr="006171E9">
          <w:rPr>
            <w:i/>
            <w:noProof/>
          </w:rPr>
          <w:t xml:space="preserve"> et al.</w:t>
        </w:r>
        <w:r w:rsidR="006810E6">
          <w:rPr>
            <w:noProof/>
          </w:rPr>
          <w:t xml:space="preserve"> 2001</w:t>
        </w:r>
      </w:hyperlink>
      <w:r w:rsidR="006171E9">
        <w:rPr>
          <w:noProof/>
        </w:rPr>
        <w:t>)</w:t>
      </w:r>
      <w:r w:rsidR="00D20FAE">
        <w:fldChar w:fldCharType="end"/>
      </w:r>
      <w:r w:rsidRPr="00730716">
        <w:t xml:space="preserve">, particularly those utilising wetlands </w:t>
      </w:r>
      <w:r w:rsidR="00D20FAE">
        <w:fldChar w:fldCharType="begin"/>
      </w:r>
      <w:r w:rsidR="006171E9">
        <w:instrText xml:space="preserve"> ADDIN EN.CITE &lt;EndNote&gt;&lt;Cite&gt;&lt;Author&gt;Beesley&lt;/Author&gt;&lt;Year&gt;2011&lt;/Year&gt;&lt;RecNum&gt;3432&lt;/RecNum&gt;&lt;DisplayText&gt;(Beesley, Price&lt;style face="italic"&gt; et al.&lt;/style&gt; 2011)&lt;/DisplayText&gt;&lt;record&gt;&lt;rec-number&gt;3432&lt;/rec-number&gt;&lt;foreign-keys&gt;&lt;key app="EN" db-id="vxxvsda2b05fxpeaw2dp552mtrd5trxdrf0s"&gt;3432&lt;/key&gt;&lt;/foreign-keys&gt;&lt;ref-type name="Book"&gt;6&lt;/ref-type&gt;&lt;contributors&gt;&lt;authors&gt;&lt;author&gt;Beesley, L.&lt;/author&gt;&lt;author&gt;Price, A.&lt;/author&gt;&lt;author&gt;King, A.&lt;/author&gt;&lt;author&gt;Gawne, B.&lt;/author&gt;&lt;author&gt;Nielsen, D. L.&lt;/author&gt;&lt;author&gt;Koehn, J. D.&lt;/author&gt;&lt;author&gt;Meredith, S.&lt;/author&gt;&lt;author&gt;Vilizzi, L.&lt;/author&gt;&lt;author&gt;Hladyz, S.&lt;/author&gt;&lt;/authors&gt;&lt;/contributors&gt;&lt;titles&gt;&lt;title&gt;Watering floodplain wetlands in the Murray-Darling Basin for native fish&lt;/title&gt;&lt;secondary-title&gt;Waterlines Report&lt;/secondary-title&gt;&lt;/titles&gt;&lt;volume&gt;56&lt;/volume&gt;&lt;dates&gt;&lt;year&gt;2011&lt;/year&gt;&lt;/dates&gt;&lt;pub-location&gt;Canberra&lt;/pub-location&gt;&lt;publisher&gt;National Water Commission &lt;/publisher&gt;&lt;urls&gt;&lt;/urls&gt;&lt;/record&gt;&lt;/Cite&gt;&lt;/EndNote&gt;</w:instrText>
      </w:r>
      <w:r w:rsidR="00D20FAE">
        <w:fldChar w:fldCharType="separate"/>
      </w:r>
      <w:r w:rsidR="006171E9">
        <w:rPr>
          <w:noProof/>
        </w:rPr>
        <w:t>(</w:t>
      </w:r>
      <w:hyperlink w:anchor="_ENREF_14" w:tooltip="Beesley, 2011 #3432" w:history="1">
        <w:r w:rsidR="006810E6">
          <w:rPr>
            <w:noProof/>
          </w:rPr>
          <w:t>Beesley, Price</w:t>
        </w:r>
        <w:r w:rsidR="006810E6" w:rsidRPr="006171E9">
          <w:rPr>
            <w:i/>
            <w:noProof/>
          </w:rPr>
          <w:t xml:space="preserve"> et al.</w:t>
        </w:r>
        <w:r w:rsidR="006810E6">
          <w:rPr>
            <w:noProof/>
          </w:rPr>
          <w:t xml:space="preserve"> 2011</w:t>
        </w:r>
      </w:hyperlink>
      <w:r w:rsidR="006171E9">
        <w:rPr>
          <w:noProof/>
        </w:rPr>
        <w:t>)</w:t>
      </w:r>
      <w:r w:rsidR="00D20FAE">
        <w:fldChar w:fldCharType="end"/>
      </w:r>
      <w:r w:rsidRPr="00730716">
        <w:t xml:space="preserve">, where densities of microinvertebrates are higher than in nearby river channels </w:t>
      </w:r>
      <w:r w:rsidR="00D20FAE">
        <w:fldChar w:fldCharType="begin"/>
      </w:r>
      <w:r w:rsidR="006171E9">
        <w:instrText xml:space="preserve"> ADDIN EN.CITE &lt;EndNote&gt;&lt;Cite&gt;&lt;Author&gt;Jenkins&lt;/Author&gt;&lt;Year&gt;2013&lt;/Year&gt;&lt;RecNum&gt;3327&lt;/RecNum&gt;&lt;DisplayText&gt;(Jenkins, Iles&lt;style face="italic"&gt; et al.&lt;/style&gt; 2013)&lt;/DisplayText&gt;&lt;record&gt;&lt;rec-number&gt;3327&lt;/rec-number&gt;&lt;foreign-keys&gt;&lt;key app="EN" db-id="vxxvsda2b05fxpeaw2dp552mtrd5trxdrf0s"&gt;3327&lt;/key&gt;&lt;/foreign-keys&gt;&lt;ref-type name="Book"&gt;6&lt;/ref-type&gt;&lt;contributors&gt;&lt;authors&gt;&lt;author&gt;Jenkins, K.M.&lt;/author&gt;&lt;author&gt;Iles, J. &lt;/author&gt;&lt;author&gt;Smith, J.&lt;/author&gt;&lt;author&gt;Kingsford, R.T.&lt;/author&gt;&lt;author&gt;Forrest, M.&lt;/author&gt;&lt;author&gt;Rayner, T.&lt;/author&gt;&lt;/authors&gt;&lt;/contributors&gt;&lt;titles&gt;&lt;title&gt;Monitoring of ecosystem responses to the delivery of environmental water in the Lower Murrumbidgee River and wetlands, 2011-2012&lt;/title&gt;&lt;/titles&gt;&lt;dates&gt;&lt;year&gt;2013&lt;/year&gt;&lt;/dates&gt;&lt;publisher&gt;Australian Wetlands, Rivers and Landscapes Centre. Prepared for Commonwealth Environmental Water&lt;/publisher&gt;&lt;urls&gt;&lt;/urls&gt;&lt;/record&gt;&lt;/Cite&gt;&lt;/EndNote&gt;</w:instrText>
      </w:r>
      <w:r w:rsidR="00D20FAE">
        <w:fldChar w:fldCharType="separate"/>
      </w:r>
      <w:r w:rsidR="006171E9">
        <w:rPr>
          <w:noProof/>
        </w:rPr>
        <w:t>(</w:t>
      </w:r>
      <w:hyperlink w:anchor="_ENREF_46" w:tooltip="Jenkins, 2013 #3327" w:history="1">
        <w:r w:rsidR="006810E6">
          <w:rPr>
            <w:noProof/>
          </w:rPr>
          <w:t>Jenkins, Iles</w:t>
        </w:r>
        <w:r w:rsidR="006810E6" w:rsidRPr="006171E9">
          <w:rPr>
            <w:i/>
            <w:noProof/>
          </w:rPr>
          <w:t xml:space="preserve"> et al.</w:t>
        </w:r>
        <w:r w:rsidR="006810E6">
          <w:rPr>
            <w:noProof/>
          </w:rPr>
          <w:t xml:space="preserve"> 2013</w:t>
        </w:r>
      </w:hyperlink>
      <w:r w:rsidR="006171E9">
        <w:rPr>
          <w:noProof/>
        </w:rPr>
        <w:t>)</w:t>
      </w:r>
      <w:r w:rsidR="00D20FAE">
        <w:fldChar w:fldCharType="end"/>
      </w:r>
      <w:r w:rsidRPr="00730716">
        <w:t xml:space="preserve">. Microinvertebrates pulse after floods </w:t>
      </w:r>
      <w:r w:rsidR="00D20FAE">
        <w:fldChar w:fldCharType="begin">
          <w:fldData xml:space="preserve">PEVuZE5vdGU+PENpdGU+PEF1dGhvcj5KZW5raW5zPC9BdXRob3I+PFllYXI+MjAwMzwvWWVhcj48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</w:fldData>
        </w:fldChar>
      </w:r>
      <w:r w:rsidR="006171E9">
        <w:instrText xml:space="preserve"> ADDIN EN.CITE </w:instrText>
      </w:r>
      <w:r w:rsidR="00D20FAE">
        <w:fldChar w:fldCharType="begin">
          <w:fldData xml:space="preserve">PEVuZE5vdGU+PENpdGU+PEF1dGhvcj5KZW5raW5zPC9BdXRob3I+PFllYXI+MjAwMzwvWWVhcj48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</w:fldData>
        </w:fldChar>
      </w:r>
      <w:r w:rsidR="006171E9">
        <w:instrText xml:space="preserve"> ADDIN EN.CITE.DATA </w:instrText>
      </w:r>
      <w:r w:rsidR="00D20FAE">
        <w:fldChar w:fldCharType="end"/>
      </w:r>
      <w:r w:rsidR="00D20FAE">
        <w:fldChar w:fldCharType="separate"/>
      </w:r>
      <w:r w:rsidR="006171E9">
        <w:rPr>
          <w:noProof/>
        </w:rPr>
        <w:t>(</w:t>
      </w:r>
      <w:hyperlink w:anchor="_ENREF_44" w:tooltip="Jenkins, 2003 #1640" w:history="1">
        <w:r w:rsidR="006810E6">
          <w:rPr>
            <w:noProof/>
          </w:rPr>
          <w:t>Jenkins and Boulton 2003</w:t>
        </w:r>
      </w:hyperlink>
      <w:r w:rsidR="006171E9">
        <w:rPr>
          <w:noProof/>
        </w:rPr>
        <w:t xml:space="preserve">, </w:t>
      </w:r>
      <w:hyperlink w:anchor="_ENREF_45" w:tooltip="Jenkins, 2007 #2926" w:history="1">
        <w:r w:rsidR="006810E6">
          <w:rPr>
            <w:noProof/>
          </w:rPr>
          <w:t>Jenkins and Boulton 2007</w:t>
        </w:r>
      </w:hyperlink>
      <w:r w:rsidR="006171E9">
        <w:rPr>
          <w:noProof/>
        </w:rPr>
        <w:t>)</w:t>
      </w:r>
      <w:r w:rsidR="00D20FAE">
        <w:fldChar w:fldCharType="end"/>
      </w:r>
      <w:r w:rsidRPr="00730716">
        <w:t xml:space="preserve"> and this higher food availability is associated with improved body condition </w:t>
      </w:r>
      <w:r>
        <w:t xml:space="preserve">in fish species </w:t>
      </w:r>
      <w:r w:rsidRPr="00730716">
        <w:t xml:space="preserve">after floods compared to periods of low flow </w:t>
      </w:r>
      <w:r w:rsidR="00D20FAE">
        <w:fldChar w:fldCharType="begin"/>
      </w:r>
      <w:r w:rsidR="006171E9">
        <w:instrText xml:space="preserve"> ADDIN EN.CITE &lt;EndNote&gt;&lt;Cite&gt;&lt;Author&gt;Balcombe&lt;/Author&gt;&lt;Year&gt;2012&lt;/Year&gt;&lt;RecNum&gt;3434&lt;/RecNum&gt;&lt;DisplayText&gt;(Balcombe, Lobegeiger&lt;style face="italic"&gt; et al.&lt;/style&gt; 2012)&lt;/DisplayText&gt;&lt;record&gt;&lt;rec-number&gt;3434&lt;/rec-number&gt;&lt;foreign-keys&gt;&lt;key app="EN" db-id="vxxvsda2b05fxpeaw2dp552mtrd5trxdrf0s"&gt;3434&lt;/key&gt;&lt;/foreign-keys&gt;&lt;ref-type name="Journal Article"&gt;17&lt;/ref-type&gt;&lt;contributors&gt;&lt;authors&gt;&lt;author&gt;Balcombe, StephenR&lt;/author&gt;&lt;author&gt;Lobegeiger, JayeS&lt;/author&gt;&lt;author&gt;Marshall, SharonM&lt;/author&gt;&lt;author&gt;Marshall, JonathanC&lt;/author&gt;&lt;author&gt;Ly, Diana&lt;/author&gt;&lt;author&gt;Jones, DarrylN&lt;/author&gt;&lt;/authors&gt;&lt;/contributors&gt;&lt;titles&gt;&lt;title&gt;Fish body condition and recruitment success reflect antecedent flows in an Australian dryland river&lt;/title&gt;&lt;secondary-title&gt;Fisheries Science&lt;/secondary-title&gt;&lt;alt-title&gt;Fish Sci&lt;/alt-title&gt;&lt;/titles&gt;&lt;periodical&gt;&lt;full-title&gt;Fisheries Science&lt;/full-title&gt;&lt;abbr-1&gt;Fish Sci&lt;/abbr-1&gt;&lt;/periodical&gt;&lt;alt-periodical&gt;&lt;full-title&gt;Fisheries Science&lt;/full-title&gt;&lt;abbr-1&gt;Fish Sci&lt;/abbr-1&gt;&lt;/alt-periodical&gt;&lt;pages&gt;841-847&lt;/pages&gt;&lt;volume&gt;78&lt;/volume&gt;&lt;number&gt;4&lt;/number&gt;&lt;keywords&gt;&lt;keyword&gt;Fish condition&lt;/keyword&gt;&lt;keyword&gt;Antecedent hydrology&lt;/keyword&gt;&lt;keyword&gt;Flow variability&lt;/keyword&gt;&lt;keyword&gt;Recruitment&lt;/keyword&gt;&lt;/keywords&gt;&lt;dates&gt;&lt;year&gt;2012&lt;/year&gt;&lt;pub-dates&gt;&lt;date&gt;2012/07/01&lt;/date&gt;&lt;/pub-dates&gt;&lt;/dates&gt;&lt;publisher&gt;Springer Japan&lt;/publisher&gt;&lt;isbn&gt;0919-9268&lt;/isbn&gt;&lt;urls&gt;&lt;related-urls&gt;&lt;url&gt;http://dx.doi.org/10.1007/s12562-012-0519-z&lt;/url&gt;&lt;/related-urls&gt;&lt;/urls&gt;&lt;electronic-resource-num&gt;10.1007/s12562-012-0519-z&lt;/electronic-resource-num&gt;&lt;language&gt;English&lt;/language&gt;&lt;/record&gt;&lt;/Cite&gt;&lt;/EndNote&gt;</w:instrText>
      </w:r>
      <w:r w:rsidR="00D20FAE">
        <w:fldChar w:fldCharType="separate"/>
      </w:r>
      <w:r w:rsidR="006171E9">
        <w:rPr>
          <w:noProof/>
        </w:rPr>
        <w:t>(</w:t>
      </w:r>
      <w:hyperlink w:anchor="_ENREF_8" w:tooltip="Balcombe, 2012 #3434" w:history="1">
        <w:r w:rsidR="006810E6">
          <w:rPr>
            <w:noProof/>
          </w:rPr>
          <w:t>Balcombe, Lobegeiger</w:t>
        </w:r>
        <w:r w:rsidR="006810E6" w:rsidRPr="006171E9">
          <w:rPr>
            <w:i/>
            <w:noProof/>
          </w:rPr>
          <w:t xml:space="preserve"> et al.</w:t>
        </w:r>
        <w:r w:rsidR="006810E6">
          <w:rPr>
            <w:noProof/>
          </w:rPr>
          <w:t xml:space="preserve"> 2012</w:t>
        </w:r>
      </w:hyperlink>
      <w:r w:rsidR="006171E9">
        <w:rPr>
          <w:noProof/>
        </w:rPr>
        <w:t>)</w:t>
      </w:r>
      <w:r w:rsidR="00D20FAE">
        <w:fldChar w:fldCharType="end"/>
      </w:r>
      <w:r w:rsidRPr="00730716">
        <w:t>.</w:t>
      </w:r>
    </w:p>
    <w:p w:rsidR="00C11CDF" w:rsidRPr="00730716" w:rsidRDefault="00C11CDF" w:rsidP="00C11CDF">
      <w:pPr>
        <w:pStyle w:val="BodyText1"/>
      </w:pPr>
      <w:r w:rsidRPr="00730716">
        <w:t>Microinvertebrate communities are very diverse</w:t>
      </w:r>
      <w:r w:rsidR="00770F52">
        <w:t>,</w:t>
      </w:r>
      <w:r w:rsidRPr="00730716">
        <w:t xml:space="preserve"> and density of the major </w:t>
      </w:r>
      <w:r>
        <w:t xml:space="preserve">microcrustacean </w:t>
      </w:r>
      <w:r w:rsidRPr="00730716">
        <w:t>groups</w:t>
      </w:r>
      <w:r w:rsidR="009937A6">
        <w:t>,</w:t>
      </w:r>
      <w:r w:rsidR="0039571B">
        <w:t xml:space="preserve"> a sub group of the microinvertebrates</w:t>
      </w:r>
      <w:r w:rsidR="009937A6">
        <w:t>,</w:t>
      </w:r>
      <w:r w:rsidRPr="00730716">
        <w:t xml:space="preserve"> (for example copepods, cladocerans and ostracods) can differ significantly between wetlands and the river channel </w:t>
      </w:r>
      <w:r w:rsidR="00D20FAE">
        <w:fldChar w:fldCharType="begin"/>
      </w:r>
      <w:r w:rsidR="006171E9">
        <w:instrText xml:space="preserve"> ADDIN EN.CITE &lt;EndNote&gt;&lt;Cite&gt;&lt;Author&gt;Jenkins&lt;/Author&gt;&lt;Year&gt;2013&lt;/Year&gt;&lt;RecNum&gt;3327&lt;/RecNum&gt;&lt;DisplayText&gt;(Jenkins, Iles&lt;style face="italic"&gt; et al.&lt;/style&gt; 2013)&lt;/DisplayText&gt;&lt;record&gt;&lt;rec-number&gt;3327&lt;/rec-number&gt;&lt;foreign-keys&gt;&lt;key app="EN" db-id="vxxvsda2b05fxpeaw2dp552mtrd5trxdrf0s"&gt;3327&lt;/key&gt;&lt;/foreign-keys&gt;&lt;ref-type name="Book"&gt;6&lt;/ref-type&gt;&lt;contributors&gt;&lt;authors&gt;&lt;author&gt;Jenkins, K.M.&lt;/author&gt;&lt;author&gt;Iles, J. &lt;/author&gt;&lt;author&gt;Smith, J.&lt;/author&gt;&lt;author&gt;Kingsford, R.T.&lt;/author&gt;&lt;author&gt;Forrest, M.&lt;/author&gt;&lt;author&gt;Rayner, T.&lt;/author&gt;&lt;/authors&gt;&lt;/contributors&gt;&lt;titles&gt;&lt;title&gt;Monitoring of ecosystem responses to the delivery of environmental water in the Lower Murrumbidgee River and wetlands, 2011-2012&lt;/title&gt;&lt;/titles&gt;&lt;dates&gt;&lt;year&gt;2013&lt;/year&gt;&lt;/dates&gt;&lt;publisher&gt;Australian Wetlands, Rivers and Landscapes Centre. Prepared for Commonwealth Environmental Water&lt;/publisher&gt;&lt;urls&gt;&lt;/urls&gt;&lt;/record&gt;&lt;/Cite&gt;&lt;/EndNote&gt;</w:instrText>
      </w:r>
      <w:r w:rsidR="00D20FAE">
        <w:fldChar w:fldCharType="separate"/>
      </w:r>
      <w:r w:rsidR="006171E9">
        <w:rPr>
          <w:noProof/>
        </w:rPr>
        <w:t>(</w:t>
      </w:r>
      <w:hyperlink w:anchor="_ENREF_46" w:tooltip="Jenkins, 2013 #3327" w:history="1">
        <w:r w:rsidR="006810E6">
          <w:rPr>
            <w:noProof/>
          </w:rPr>
          <w:t>Jenkins, Iles</w:t>
        </w:r>
        <w:r w:rsidR="006810E6" w:rsidRPr="006171E9">
          <w:rPr>
            <w:i/>
            <w:noProof/>
          </w:rPr>
          <w:t xml:space="preserve"> et al.</w:t>
        </w:r>
        <w:r w:rsidR="006810E6">
          <w:rPr>
            <w:noProof/>
          </w:rPr>
          <w:t xml:space="preserve"> 2013</w:t>
        </w:r>
      </w:hyperlink>
      <w:r w:rsidR="006171E9">
        <w:rPr>
          <w:noProof/>
        </w:rPr>
        <w:t>)</w:t>
      </w:r>
      <w:r w:rsidR="00D20FAE">
        <w:fldChar w:fldCharType="end"/>
      </w:r>
      <w:r w:rsidR="007A0BDA">
        <w:t xml:space="preserve"> </w:t>
      </w:r>
      <w:r w:rsidRPr="00730716">
        <w:t>and also between the benthic and pelag</w:t>
      </w:r>
      <w:r w:rsidR="007A0BDA">
        <w:t xml:space="preserve">ic zones within these habitats </w:t>
      </w:r>
      <w:r w:rsidR="00D20FAE">
        <w:fldChar w:fldCharType="begin"/>
      </w:r>
      <w:r w:rsidR="006171E9">
        <w:instrText xml:space="preserve"> ADDIN EN.CITE &lt;EndNote&gt;&lt;Cite&gt;&lt;Author&gt;King&lt;/Author&gt;&lt;Year&gt;2004&lt;/Year&gt;&lt;RecNum&gt;3326&lt;/RecNum&gt;&lt;DisplayText&gt;(King 2004)&lt;/DisplayText&gt;&lt;record&gt;&lt;rec-number&gt;3326&lt;/rec-number&gt;&lt;foreign-keys&gt;&lt;key app="EN" db-id="vxxvsda2b05fxpeaw2dp552mtrd5trxdrf0s"&gt;3326&lt;/key&gt;&lt;/foreign-keys&gt;&lt;ref-type name="Journal Article"&gt;17&lt;/ref-type&gt;&lt;contributors&gt;&lt;authors&gt;&lt;author&gt;King, A. J.&lt;/author&gt;&lt;/authors&gt;&lt;/contributors&gt;&lt;titles&gt;&lt;title&gt;Density and distribution of potential prey for larval fish in the main channel of a floodplain river: pelagic versus epibenthic meiofauna&lt;/title&gt;&lt;secondary-title&gt;River Research and Applications&lt;/secondary-title&gt;&lt;/titles&gt;&lt;periodical&gt;&lt;full-title&gt;River Research and Applications&lt;/full-title&gt;&lt;/periodical&gt;&lt;pages&gt;883-897&lt;/pages&gt;&lt;volume&gt;20&lt;/volume&gt;&lt;number&gt;8&lt;/number&gt;&lt;keywords&gt;&lt;keyword&gt;zooplankton&lt;/keyword&gt;&lt;keyword&gt;juveniles&lt;/keyword&gt;&lt;keyword&gt;low flow recruitment hypothesis&lt;/keyword&gt;&lt;/keywords&gt;&lt;dates&gt;&lt;year&gt;2004&lt;/year&gt;&lt;/dates&gt;&lt;publisher&gt;John Wiley &amp;amp; Sons, Ltd.&lt;/publisher&gt;&lt;isbn&gt;1535-1467&lt;/isbn&gt;&lt;urls&gt;&lt;related-urls&gt;&lt;url&gt;http://dx.doi.org/10.1002/rra.805&lt;/url&gt;&lt;/related-urls&gt;&lt;/urls&gt;&lt;electronic-resource-num&gt;10.1002/rra.805&lt;/electronic-resource-num&gt;&lt;/record&gt;&lt;/Cite&gt;&lt;/EndNote&gt;</w:instrText>
      </w:r>
      <w:r w:rsidR="00D20FAE">
        <w:fldChar w:fldCharType="separate"/>
      </w:r>
      <w:r w:rsidR="006171E9">
        <w:rPr>
          <w:noProof/>
        </w:rPr>
        <w:t>(</w:t>
      </w:r>
      <w:hyperlink w:anchor="_ENREF_50" w:tooltip="King, 2004 #3326" w:history="1">
        <w:r w:rsidR="006810E6">
          <w:rPr>
            <w:noProof/>
          </w:rPr>
          <w:t>King 2004</w:t>
        </w:r>
      </w:hyperlink>
      <w:r w:rsidR="006171E9">
        <w:rPr>
          <w:noProof/>
        </w:rPr>
        <w:t>)</w:t>
      </w:r>
      <w:r w:rsidR="00D20FAE">
        <w:fldChar w:fldCharType="end"/>
      </w:r>
      <w:r w:rsidRPr="00730716">
        <w:t xml:space="preserve">. </w:t>
      </w:r>
    </w:p>
    <w:p w:rsidR="00E1766B" w:rsidRDefault="00C11CDF">
      <w:r w:rsidRPr="00730716">
        <w:t>The resilience of microinvertebrate communities is influenced by flow, particularly the length of the dry period between inundation events</w:t>
      </w:r>
      <w:r>
        <w:t xml:space="preserve"> in wetlands</w:t>
      </w:r>
      <w:r w:rsidRPr="00730716">
        <w:t xml:space="preserve">. </w:t>
      </w:r>
      <w:r>
        <w:t xml:space="preserve">Microinvertebrates produce dormant propagules </w:t>
      </w:r>
      <w:r w:rsidR="007244C9">
        <w:t xml:space="preserve">(eggs) </w:t>
      </w:r>
      <w:r>
        <w:t xml:space="preserve">as a means of surviving dry or unfavourable conditions and their eggbanks decline in productivity and diversity as dry duration extends </w:t>
      </w:r>
      <w:r w:rsidR="00D20FAE">
        <w:fldChar w:fldCharType="begin"/>
      </w:r>
      <w:r w:rsidR="006171E9">
        <w:instrText xml:space="preserve"> ADDIN EN.CITE &lt;EndNote&gt;&lt;Cite&gt;&lt;Author&gt;Jenkins&lt;/Author&gt;&lt;Year&gt;2007&lt;/Year&gt;&lt;RecNum&gt;2926&lt;/RecNum&gt;&lt;DisplayText&gt;(Jenkins and Boulton 2007)&lt;/DisplayText&gt;&lt;record&gt;&lt;rec-number&gt;2926&lt;/rec-number&gt;&lt;foreign-keys&gt;&lt;key app="EN" db-id="vxxvsda2b05fxpeaw2dp552mtrd5trxdrf0s"&gt;2926&lt;/key&gt;&lt;/foreign-keys&gt;&lt;ref-type name="Journal Article"&gt;17&lt;/ref-type&gt;&lt;contributors&gt;&lt;authors&gt;&lt;author&gt;Jenkins, K. M.&lt;/author&gt;&lt;author&gt;Boulton, A. J.&lt;/author&gt;&lt;/authors&gt;&lt;/contributors&gt;&lt;titles&gt;&lt;title&gt;Detecting impacts and setting restoration targets in arid-zone rivers: aquatic micro-invertebrate responses to reduced floodplain inundation&lt;/title&gt;&lt;secondary-title&gt;Journal of Applied Ecology&lt;/secondary-title&gt;&lt;/titles&gt;&lt;periodical&gt;&lt;full-title&gt;Journal of Applied Ecology&lt;/full-title&gt;&lt;/periodical&gt;&lt;pages&gt;823-832&lt;/pages&gt;&lt;volume&gt;44&lt;/volume&gt;&lt;number&gt;4&lt;/number&gt;&lt;dates&gt;&lt;year&gt;2007&lt;/year&gt;&lt;pub-dates&gt;&lt;date&gt;Aug&lt;/date&gt;&lt;/pub-dates&gt;&lt;/dates&gt;&lt;isbn&gt;0021-8901&lt;/isbn&gt;&lt;accession-num&gt;ISI:000247667100012&lt;/accession-num&gt;&lt;urls&gt;&lt;related-urls&gt;&lt;url&gt;&amp;lt;Go to ISI&amp;gt;://000247667100012&lt;/url&gt;&lt;/related-urls&gt;&lt;/urls&gt;&lt;electronic-resource-num&gt;10.1111/j.1365-2664.2007.01298.x&lt;/electronic-resource-num&gt;&lt;/record&gt;&lt;/Cite&gt;&lt;/EndNote&gt;</w:instrText>
      </w:r>
      <w:r w:rsidR="00D20FAE">
        <w:fldChar w:fldCharType="separate"/>
      </w:r>
      <w:r w:rsidR="006171E9">
        <w:rPr>
          <w:noProof/>
        </w:rPr>
        <w:t>(</w:t>
      </w:r>
      <w:hyperlink w:anchor="_ENREF_45" w:tooltip="Jenkins, 2007 #2926" w:history="1">
        <w:r w:rsidR="006810E6">
          <w:rPr>
            <w:noProof/>
          </w:rPr>
          <w:t>Jenkins and Boulton 2007</w:t>
        </w:r>
      </w:hyperlink>
      <w:r w:rsidR="006171E9">
        <w:rPr>
          <w:noProof/>
        </w:rPr>
        <w:t>)</w:t>
      </w:r>
      <w:r w:rsidR="00D20FAE">
        <w:fldChar w:fldCharType="end"/>
      </w:r>
      <w:r>
        <w:t xml:space="preserve">. Assessing microinvertebrate communities in river and wetland habitats, indicates the health of the system and whether there is an adequate supply of prey to support </w:t>
      </w:r>
      <w:r w:rsidR="007244C9">
        <w:t>wetland food webs.</w:t>
      </w:r>
    </w:p>
    <w:p w:rsidR="00E1766B" w:rsidRDefault="00E1766B">
      <w:pPr>
        <w:rPr>
          <w:b/>
          <w:sz w:val="24"/>
          <w:szCs w:val="24"/>
        </w:rPr>
      </w:pPr>
    </w:p>
    <w:p w:rsidR="00E1766B" w:rsidRDefault="00C11CDF" w:rsidP="00C44F46">
      <w:pPr>
        <w:pStyle w:val="Heading2"/>
      </w:pPr>
      <w:bookmarkStart w:id="189" w:name="_Toc370299198"/>
      <w:bookmarkStart w:id="190" w:name="_Toc370738763"/>
      <w:bookmarkStart w:id="191" w:name="_Toc378168538"/>
      <w:r w:rsidRPr="002821B9">
        <w:t>Methods</w:t>
      </w:r>
      <w:bookmarkEnd w:id="189"/>
      <w:bookmarkEnd w:id="190"/>
      <w:bookmarkEnd w:id="191"/>
    </w:p>
    <w:p w:rsidR="00E1766B" w:rsidRDefault="00C11CDF">
      <w:r w:rsidRPr="00471AA1">
        <w:rPr>
          <w:lang w:val="en-GB"/>
        </w:rPr>
        <w:t xml:space="preserve">Microinvertebrate samples were collected from up to 15 wetlands in the mid-Murrumbidgee, lower Murrumbidgee and Western Lakes over </w:t>
      </w:r>
      <w:r>
        <w:rPr>
          <w:lang w:val="en-GB"/>
        </w:rPr>
        <w:t>five</w:t>
      </w:r>
      <w:r w:rsidRPr="00471AA1">
        <w:rPr>
          <w:lang w:val="en-GB"/>
        </w:rPr>
        <w:t xml:space="preserve"> surveys from August 2012 to April 2013.  Two composite samples (pelagic and benthic) were collected at each wetland in association with fish and tadpole monitoring. Benthic samples were collected with a </w:t>
      </w:r>
      <w:r w:rsidRPr="00471AA1">
        <w:t>corer (50</w:t>
      </w:r>
      <w:r>
        <w:t xml:space="preserve"> </w:t>
      </w:r>
      <w:r w:rsidRPr="00471AA1">
        <w:t xml:space="preserve">mm diameter x 120 mm long, 250 mL volume). </w:t>
      </w:r>
      <w:r>
        <w:t>Five</w:t>
      </w:r>
      <w:r w:rsidRPr="00471AA1">
        <w:t xml:space="preserve"> cores were collected from haphazard locations within each site with replicates spaced at least 20</w:t>
      </w:r>
      <w:r>
        <w:t xml:space="preserve"> </w:t>
      </w:r>
      <w:r w:rsidRPr="00471AA1">
        <w:t>m apart. The corer was pushed into the sediment to a depth of 10</w:t>
      </w:r>
      <w:r>
        <w:t xml:space="preserve"> </w:t>
      </w:r>
      <w:r w:rsidRPr="00471AA1">
        <w:t xml:space="preserve">mm, the top was then sealed with a plastic cap and the sediment and overlaying water extracted with the aid of a hardened rubber trowel. The contents of the corer were emptied into a wide mouth jar and allowed to settle for one hour. Once settled, the supernatant was poured through a </w:t>
      </w:r>
      <w:r>
        <w:t xml:space="preserve">63 </w:t>
      </w:r>
      <w:r w:rsidRPr="00471AA1">
        <w:t>µm sieve to retain microcrustaceans. The retained sample was washed into a sample jar and stored in ethanol (80%</w:t>
      </w:r>
      <w:r>
        <w:t xml:space="preserve"> </w:t>
      </w:r>
      <w:r w:rsidRPr="00471AA1">
        <w:t xml:space="preserve">w/v). </w:t>
      </w:r>
    </w:p>
    <w:p w:rsidR="00E1766B" w:rsidRDefault="00C11CDF">
      <w:r w:rsidRPr="00471AA1">
        <w:t xml:space="preserve">To assess the pelagic microcrustacean community, a composite sample consisting of </w:t>
      </w:r>
      <w:r>
        <w:t>10 x 10 litre buckets</w:t>
      </w:r>
      <w:r w:rsidRPr="00471AA1">
        <w:t xml:space="preserve"> was collected at each site. </w:t>
      </w:r>
      <w:r>
        <w:t xml:space="preserve">Each bucket was poured through </w:t>
      </w:r>
      <w:proofErr w:type="gramStart"/>
      <w:r>
        <w:t>a</w:t>
      </w:r>
      <w:r w:rsidRPr="00471AA1">
        <w:t xml:space="preserve"> plankton</w:t>
      </w:r>
      <w:proofErr w:type="gramEnd"/>
      <w:r w:rsidRPr="00471AA1">
        <w:t xml:space="preserve"> net (</w:t>
      </w:r>
      <w:r>
        <w:t xml:space="preserve">63 </w:t>
      </w:r>
      <w:r w:rsidRPr="00471AA1">
        <w:t xml:space="preserve">µm mesh). Retained samples </w:t>
      </w:r>
      <w:r>
        <w:t>were</w:t>
      </w:r>
      <w:r w:rsidRPr="00471AA1">
        <w:t xml:space="preserve"> stored in ethanol (80%</w:t>
      </w:r>
      <w:r>
        <w:t xml:space="preserve"> </w:t>
      </w:r>
      <w:r w:rsidRPr="00471AA1">
        <w:t xml:space="preserve">w/v) until time of enumeration. </w:t>
      </w:r>
      <w:r>
        <w:t>Pelagic microinvertebrate samples were also collected paired with the larval fish sampling, from three sites on the Murrumbidgee River and one site on Old Man Creek. This sampling was undertaken from 10 September to 21 December 2012.</w:t>
      </w:r>
    </w:p>
    <w:p w:rsidR="00E1766B" w:rsidRDefault="00C11CDF">
      <w:r w:rsidRPr="00471AA1">
        <w:t xml:space="preserve">In the laboratory, benthic microcrustacean samples were poured into a bogorov tray (Goathead Industries) and enumerated with the aid of a dissecting microscope (Leica M125) at a magnification of </w:t>
      </w:r>
      <w:proofErr w:type="gramStart"/>
      <w:r w:rsidRPr="00471AA1">
        <w:t>32x</w:t>
      </w:r>
      <w:proofErr w:type="gramEnd"/>
      <w:r w:rsidRPr="00471AA1">
        <w:t xml:space="preserve"> to 80x. Rose Bengal stain was used to highlight individuals in samples with excessive sediment present. </w:t>
      </w:r>
      <w:r>
        <w:t>Pelagic samples were made up to 2</w:t>
      </w:r>
      <w:r w:rsidRPr="00471AA1">
        <w:t>00</w:t>
      </w:r>
      <w:r w:rsidR="00770F52">
        <w:t> </w:t>
      </w:r>
      <w:r w:rsidRPr="00471AA1">
        <w:t xml:space="preserve">mL volume and </w:t>
      </w:r>
      <w:r>
        <w:t xml:space="preserve">three </w:t>
      </w:r>
      <w:r w:rsidRPr="00471AA1">
        <w:t>1</w:t>
      </w:r>
      <w:r w:rsidR="00770F52">
        <w:t> </w:t>
      </w:r>
      <w:r w:rsidRPr="00471AA1">
        <w:t>mL subsample</w:t>
      </w:r>
      <w:r>
        <w:t>s</w:t>
      </w:r>
      <w:r w:rsidRPr="00471AA1">
        <w:t xml:space="preserve"> </w:t>
      </w:r>
      <w:r>
        <w:t>were</w:t>
      </w:r>
      <w:r w:rsidRPr="00471AA1">
        <w:t xml:space="preserve"> examined. Specimens were identified with relevant guides</w:t>
      </w:r>
      <w:r>
        <w:t xml:space="preserve"> to species where possible</w:t>
      </w:r>
      <w:r w:rsidRPr="00471AA1">
        <w:t xml:space="preserve"> </w:t>
      </w:r>
      <w:r w:rsidR="00D20FAE" w:rsidRPr="00471AA1">
        <w:fldChar w:fldCharType="begin"/>
      </w:r>
      <w:r w:rsidRPr="00471AA1">
        <w:instrText xml:space="preserve"> ADDIN ZOTERO_ITEM CSL_CITATION {"citationID":"nwLcOTXK","properties":{"formattedCitation":"(Williams 1980, Shiel 1995, Smirnov and Timms 1995)","plainCitation":"(Williams 1980, Shiel 1995, Smirnov and Timms 1995)"},"citationItems":[{"id":12717,"uris":["http://zotero.org/groups/59344/items/HVG8PWGQ","http://zotero.org/groups/59344/items/IM2T4GBQ"],"uri":["http://zotero.org/groups/59344/items/HVG8PWGQ","http://zotero.org/groups/59344/items/IM2T4GBQ"],"itemData":{"id":12717,"type":"book","title":"Australian Freshwater Life, 2nd edition","publisher":"Macmillian","publisher-place":"Melbourne","event-place":"Melbourne","call-number":"0000","author":[{"family":"Williams","given":"W.D."}],"issued":{"year":1980}}},{"id":12714,"uris":["http://zotero.org/groups/59344/items/BRVIQSEW","http://zotero.org/groups/59344/items/BJA5JWTZ"],"uri":["http://zotero.org/groups/59344/items/BRVIQSEW","http://zotero.org/groups/59344/items/BJA5JWTZ"],"itemData":{"id":12714,"type":"book","title":"A revision of the Australian Cladocera (Crustacea)","publisher":"Records of the Australian Museum Supplement 1","publisher-place":"Albury","event-place":"Albury","call-number":"0000","author":[{"family":"Smirnov","given":"N.N."},{"family":"Timms","given":"B.V."}],"issued":{"year":1995}}},{"id":1463,"uris":["http://zotero.org/groups/59344/items/GBXPPTPW"],"uri":["http://zotero.org/groups/59344/items/GBXPPTPW"],"itemData":{"id":1463,"type":"report","title":"A guide to identification of rotifers, cladocerans and copepods from Australian inland waters","publisher":"Co-operative Research Centre for Freshwater Ecology","publisher-place":"Albury","event-place":"Albury","author":[{"family":"Shiel","given":"R. J."}],"issued":{"year":1995}},"label":"page"}],"schema":"https://github.com/citation-style-language/schema/raw/master/csl-citation.json"} </w:instrText>
      </w:r>
      <w:r w:rsidR="00D20FAE" w:rsidRPr="00471AA1">
        <w:fldChar w:fldCharType="separate"/>
      </w:r>
      <w:r w:rsidRPr="00471AA1">
        <w:t>(Williams 1980, Shiel 1995, Smirnov and Timms 1995)</w:t>
      </w:r>
      <w:r w:rsidR="00D20FAE" w:rsidRPr="00471AA1">
        <w:fldChar w:fldCharType="end"/>
      </w:r>
      <w:r w:rsidRPr="00471AA1">
        <w:t xml:space="preserve">. </w:t>
      </w:r>
    </w:p>
    <w:p w:rsidR="00E1766B" w:rsidRDefault="00E1766B">
      <w:pPr>
        <w:rPr>
          <w:b/>
          <w:sz w:val="24"/>
          <w:szCs w:val="24"/>
        </w:rPr>
      </w:pPr>
    </w:p>
    <w:p w:rsidR="00E1766B" w:rsidRDefault="00C11CDF" w:rsidP="00CA49FE">
      <w:pPr>
        <w:pStyle w:val="Heading2"/>
      </w:pPr>
      <w:bookmarkStart w:id="192" w:name="_Toc370738764"/>
      <w:bookmarkStart w:id="193" w:name="_Toc378168539"/>
      <w:r w:rsidRPr="002821B9">
        <w:t>Results</w:t>
      </w:r>
      <w:bookmarkEnd w:id="192"/>
      <w:bookmarkEnd w:id="193"/>
      <w:r w:rsidRPr="00257992">
        <w:t xml:space="preserve"> </w:t>
      </w:r>
    </w:p>
    <w:p w:rsidR="00E1766B" w:rsidRDefault="00C11CDF">
      <w:r w:rsidRPr="00470ADC">
        <w:t xml:space="preserve">A total of </w:t>
      </w:r>
      <w:r>
        <w:t xml:space="preserve">16,058 </w:t>
      </w:r>
      <w:r w:rsidRPr="00470ADC">
        <w:t>microcrustacean</w:t>
      </w:r>
      <w:r>
        <w:t>s from</w:t>
      </w:r>
      <w:r w:rsidRPr="00470ADC">
        <w:t xml:space="preserve"> 18 taxa were recorded during the </w:t>
      </w:r>
      <w:r>
        <w:t xml:space="preserve">wetland </w:t>
      </w:r>
      <w:r w:rsidR="00C67FD3">
        <w:t>study</w:t>
      </w:r>
      <w:r w:rsidR="0037211D">
        <w:t xml:space="preserve"> and</w:t>
      </w:r>
      <w:r w:rsidR="004D2733">
        <w:t xml:space="preserve"> </w:t>
      </w:r>
      <w:r w:rsidR="0037211D">
        <w:t xml:space="preserve">four </w:t>
      </w:r>
      <w:r w:rsidR="00C67FD3">
        <w:t xml:space="preserve">from the larval fish sites </w:t>
      </w:r>
      <w:r w:rsidR="004D2733">
        <w:t>in the Murru</w:t>
      </w:r>
      <w:r w:rsidR="007A0BDA">
        <w:t xml:space="preserve">mbidgee River and Old Man Creek. </w:t>
      </w:r>
      <w:r w:rsidR="004D2733">
        <w:t xml:space="preserve"> In wetlands, the</w:t>
      </w:r>
      <w:r w:rsidRPr="00470ADC">
        <w:t xml:space="preserve"> </w:t>
      </w:r>
      <w:r>
        <w:t>d</w:t>
      </w:r>
      <w:r w:rsidRPr="0037211D">
        <w:t>ominant taxa</w:t>
      </w:r>
      <w:r w:rsidR="004D2733">
        <w:t xml:space="preserve"> were </w:t>
      </w:r>
      <w:r w:rsidR="00C67FD3" w:rsidRPr="0037211D">
        <w:t>cladocerans</w:t>
      </w:r>
      <w:r w:rsidR="005404E1">
        <w:t xml:space="preserve"> (water fleas)</w:t>
      </w:r>
      <w:r w:rsidR="00C67FD3" w:rsidRPr="0037211D">
        <w:t xml:space="preserve"> </w:t>
      </w:r>
      <w:r w:rsidR="005404E1">
        <w:t>(</w:t>
      </w:r>
      <w:r w:rsidR="00C67FD3" w:rsidRPr="0037211D">
        <w:rPr>
          <w:i/>
        </w:rPr>
        <w:t>Bosmina meridionalis</w:t>
      </w:r>
      <w:r w:rsidR="00C67FD3" w:rsidRPr="0037211D">
        <w:t xml:space="preserve"> (659), chydorids (1596), </w:t>
      </w:r>
      <w:r w:rsidR="00C67FD3" w:rsidRPr="0037211D">
        <w:rPr>
          <w:i/>
        </w:rPr>
        <w:t>Daphnia</w:t>
      </w:r>
      <w:r w:rsidR="00C67FD3" w:rsidRPr="0037211D">
        <w:t xml:space="preserve"> sp. (927), </w:t>
      </w:r>
      <w:r w:rsidR="00C67FD3" w:rsidRPr="0037211D">
        <w:rPr>
          <w:i/>
        </w:rPr>
        <w:t xml:space="preserve">Moina micrura (1326), Ceriodaphnia </w:t>
      </w:r>
      <w:r w:rsidR="004E135B" w:rsidRPr="004E135B">
        <w:t>sp</w:t>
      </w:r>
      <w:r w:rsidR="00D3301E">
        <w:rPr>
          <w:i/>
        </w:rPr>
        <w:t xml:space="preserve">. </w:t>
      </w:r>
      <w:r w:rsidR="00C67FD3" w:rsidRPr="0037211D">
        <w:rPr>
          <w:i/>
        </w:rPr>
        <w:t>(144)</w:t>
      </w:r>
      <w:r w:rsidR="005404E1">
        <w:rPr>
          <w:i/>
        </w:rPr>
        <w:t>)</w:t>
      </w:r>
      <w:r w:rsidR="00C67FD3" w:rsidRPr="0037211D">
        <w:t>, Cop</w:t>
      </w:r>
      <w:r w:rsidR="00D3301E">
        <w:t>e</w:t>
      </w:r>
      <w:r w:rsidR="00C67FD3" w:rsidRPr="0037211D">
        <w:t>pods (</w:t>
      </w:r>
      <w:r w:rsidRPr="0037211D">
        <w:t>copepod nauplii (4,901), cyclopoid copepods (4,131), calanoid copepods (1,444)</w:t>
      </w:r>
      <w:r w:rsidR="0037211D" w:rsidRPr="0037211D">
        <w:t>)</w:t>
      </w:r>
      <w:r w:rsidRPr="0037211D">
        <w:t xml:space="preserve">, </w:t>
      </w:r>
      <w:r w:rsidR="00D3301E">
        <w:t xml:space="preserve">and </w:t>
      </w:r>
      <w:r w:rsidRPr="0037211D">
        <w:t xml:space="preserve">an array of ostracods. </w:t>
      </w:r>
      <w:r w:rsidRPr="00470ADC">
        <w:t>Numerically, almost twice as many copepods (10,517) were captured during the study compared to cladocerans (5089)</w:t>
      </w:r>
      <w:proofErr w:type="gramStart"/>
      <w:r w:rsidR="0037211D">
        <w:t>,</w:t>
      </w:r>
      <w:proofErr w:type="gramEnd"/>
      <w:r w:rsidRPr="00470ADC">
        <w:t xml:space="preserve"> with ostracods an order of magnitude lower (452). </w:t>
      </w:r>
      <w:r>
        <w:t xml:space="preserve">Fewer individuals were captured </w:t>
      </w:r>
      <w:r w:rsidR="00D3301E">
        <w:t xml:space="preserve">at </w:t>
      </w:r>
      <w:r w:rsidR="004D2733">
        <w:t>larval fish sites in the Murrumbidgee River and Old Man Creek</w:t>
      </w:r>
      <w:r>
        <w:t xml:space="preserve">, with 98 individuals across the sampling period from </w:t>
      </w:r>
      <w:r w:rsidR="004D2733">
        <w:t>four</w:t>
      </w:r>
      <w:r w:rsidR="00770F52">
        <w:t xml:space="preserve"> taxonomic groups:</w:t>
      </w:r>
      <w:r>
        <w:t xml:space="preserve"> calanoid copepods, </w:t>
      </w:r>
      <w:r w:rsidRPr="00257992">
        <w:rPr>
          <w:i/>
        </w:rPr>
        <w:t>Daphnia lumholtzi</w:t>
      </w:r>
      <w:r>
        <w:t xml:space="preserve">, </w:t>
      </w:r>
      <w:proofErr w:type="gramStart"/>
      <w:r w:rsidRPr="00257992">
        <w:rPr>
          <w:i/>
        </w:rPr>
        <w:t>Macrothri</w:t>
      </w:r>
      <w:r w:rsidR="00D3301E">
        <w:rPr>
          <w:i/>
        </w:rPr>
        <w:t>x</w:t>
      </w:r>
      <w:proofErr w:type="gramEnd"/>
      <w:r w:rsidRPr="00257992">
        <w:rPr>
          <w:i/>
        </w:rPr>
        <w:t xml:space="preserve"> spinosa</w:t>
      </w:r>
      <w:r>
        <w:t xml:space="preserve"> and copepod nauplii.</w:t>
      </w:r>
    </w:p>
    <w:p w:rsidR="00CA49FE" w:rsidRDefault="00CA49FE" w:rsidP="00CA49FE">
      <w:pPr>
        <w:pStyle w:val="Heading3"/>
      </w:pPr>
    </w:p>
    <w:p w:rsidR="00E1766B" w:rsidRDefault="00505588" w:rsidP="00CA49FE">
      <w:pPr>
        <w:pStyle w:val="Heading3"/>
      </w:pPr>
      <w:bookmarkStart w:id="194" w:name="_Toc370738765"/>
      <w:bookmarkStart w:id="195" w:name="_Toc378168540"/>
      <w:r w:rsidRPr="00505588">
        <w:t>Taxonomic richness</w:t>
      </w:r>
      <w:bookmarkEnd w:id="194"/>
      <w:bookmarkEnd w:id="195"/>
    </w:p>
    <w:p w:rsidR="00E1766B" w:rsidRPr="00637355" w:rsidRDefault="00F51B67">
      <w:r w:rsidRPr="00637355">
        <w:t>The taxonomic</w:t>
      </w:r>
      <w:r w:rsidR="006A556A" w:rsidRPr="00637355">
        <w:t xml:space="preserve"> richness (number of taxa) was highest in the</w:t>
      </w:r>
      <w:r w:rsidR="00BB22F8" w:rsidRPr="00637355">
        <w:t xml:space="preserve"> frequently</w:t>
      </w:r>
      <w:r w:rsidRPr="00637355">
        <w:t xml:space="preserve"> inundated sites; </w:t>
      </w:r>
      <w:r w:rsidR="00BB22F8" w:rsidRPr="00637355">
        <w:t>the Lowbidgee</w:t>
      </w:r>
      <w:r w:rsidR="00645108" w:rsidRPr="00637355">
        <w:t xml:space="preserve"> had 16 taxa as did </w:t>
      </w:r>
      <w:r w:rsidR="00FC51C4" w:rsidRPr="00637355">
        <w:t>the mid</w:t>
      </w:r>
      <w:r w:rsidR="00BB22F8" w:rsidRPr="00637355">
        <w:t>-Murrumbidgee</w:t>
      </w:r>
      <w:r w:rsidR="00770F52" w:rsidRPr="00637355">
        <w:t>,</w:t>
      </w:r>
      <w:r w:rsidR="00645108" w:rsidRPr="00637355">
        <w:t xml:space="preserve"> </w:t>
      </w:r>
      <w:r w:rsidR="00BB22F8" w:rsidRPr="00637355">
        <w:t>which received Commonwealth environmental water in</w:t>
      </w:r>
      <w:r w:rsidR="00FC51C4" w:rsidRPr="00637355">
        <w:t xml:space="preserve"> 2011-12.</w:t>
      </w:r>
      <w:r w:rsidR="00BB22F8" w:rsidRPr="00637355">
        <w:t xml:space="preserve"> </w:t>
      </w:r>
      <w:r w:rsidR="00FC51C4" w:rsidRPr="00637355">
        <w:t>The</w:t>
      </w:r>
      <w:r w:rsidR="00645108" w:rsidRPr="00637355">
        <w:t xml:space="preserve"> Western L</w:t>
      </w:r>
      <w:r w:rsidR="00BB22F8" w:rsidRPr="00637355">
        <w:t>akes</w:t>
      </w:r>
      <w:r w:rsidR="00770F52" w:rsidRPr="00637355">
        <w:t>,</w:t>
      </w:r>
      <w:r w:rsidR="00645108" w:rsidRPr="00637355">
        <w:t xml:space="preserve"> which</w:t>
      </w:r>
      <w:r w:rsidR="00BB22F8" w:rsidRPr="00637355">
        <w:t xml:space="preserve"> received </w:t>
      </w:r>
      <w:r w:rsidR="00645108" w:rsidRPr="00637355">
        <w:t>Commonwealth</w:t>
      </w:r>
      <w:r w:rsidR="00BB22F8" w:rsidRPr="00637355">
        <w:t xml:space="preserve"> </w:t>
      </w:r>
      <w:r w:rsidR="00645108" w:rsidRPr="00637355">
        <w:t>environmental</w:t>
      </w:r>
      <w:r w:rsidR="00BB22F8" w:rsidRPr="00637355">
        <w:t xml:space="preserve"> water in 2012-13 </w:t>
      </w:r>
      <w:proofErr w:type="gramStart"/>
      <w:r w:rsidR="00BB22F8" w:rsidRPr="00637355">
        <w:t>but</w:t>
      </w:r>
      <w:proofErr w:type="gramEnd"/>
      <w:r w:rsidR="00BB22F8" w:rsidRPr="00637355">
        <w:t xml:space="preserve"> had been dry for several </w:t>
      </w:r>
      <w:r w:rsidR="00512568" w:rsidRPr="00637355">
        <w:t>decades</w:t>
      </w:r>
      <w:r w:rsidR="00770F52" w:rsidRPr="00637355">
        <w:t xml:space="preserve"> previously,</w:t>
      </w:r>
      <w:r w:rsidR="00FC51C4" w:rsidRPr="00637355">
        <w:t xml:space="preserve"> supported nine taxa</w:t>
      </w:r>
      <w:r w:rsidRPr="00637355">
        <w:t>.</w:t>
      </w:r>
      <w:r w:rsidR="001310C1" w:rsidRPr="00637355">
        <w:t xml:space="preserve"> </w:t>
      </w:r>
      <w:r w:rsidR="00244CF9" w:rsidRPr="00637355">
        <w:t xml:space="preserve"> </w:t>
      </w:r>
      <w:r w:rsidR="00E82D33" w:rsidRPr="00637355">
        <w:t xml:space="preserve">The numbers of microcrustacean taxa </w:t>
      </w:r>
      <w:r w:rsidR="00244CF9" w:rsidRPr="00637355">
        <w:t xml:space="preserve">were also </w:t>
      </w:r>
      <w:r w:rsidR="00E82D33" w:rsidRPr="00637355">
        <w:t>significantly different across time (</w:t>
      </w:r>
      <w:r w:rsidR="00505588" w:rsidRPr="00637355">
        <w:t xml:space="preserve">Term 1, </w:t>
      </w:r>
      <w:fldSimple w:instr=" REF _Ref370286662 \h  \* MERGEFORMAT ">
        <w:r w:rsidR="00436595" w:rsidRPr="00436595">
          <w:t xml:space="preserve">Table </w:t>
        </w:r>
        <w:r w:rsidR="00436595" w:rsidRPr="00436595">
          <w:rPr>
            <w:noProof/>
          </w:rPr>
          <w:t>4</w:t>
        </w:r>
      </w:fldSimple>
      <w:r w:rsidR="00244CF9" w:rsidRPr="00637355">
        <w:t xml:space="preserve">), with higher </w:t>
      </w:r>
      <w:proofErr w:type="gramStart"/>
      <w:r w:rsidR="00244CF9" w:rsidRPr="00637355">
        <w:t>numbers  coinciding</w:t>
      </w:r>
      <w:proofErr w:type="gramEnd"/>
      <w:r w:rsidR="00244CF9" w:rsidRPr="00637355">
        <w:t xml:space="preserve"> with Commonwealth environmental watering actions, and natural overbank flows in </w:t>
      </w:r>
      <w:r w:rsidR="00E82D33" w:rsidRPr="00637355">
        <w:t>August and October declining by</w:t>
      </w:r>
      <w:r w:rsidR="00770F52" w:rsidRPr="00637355">
        <w:t xml:space="preserve"> December 2012 (Pair-wise p ≈ </w:t>
      </w:r>
      <w:r w:rsidR="00E82D33" w:rsidRPr="00637355">
        <w:t>0.006 and 0.016)</w:t>
      </w:r>
      <w:r w:rsidR="00244CF9" w:rsidRPr="00637355">
        <w:t xml:space="preserve"> as the wetlands began to dry</w:t>
      </w:r>
      <w:r w:rsidR="00E82D33" w:rsidRPr="00637355">
        <w:t xml:space="preserve">. </w:t>
      </w:r>
      <w:r w:rsidR="00420186" w:rsidRPr="00637355">
        <w:t xml:space="preserve">Following this decline period, there was an increase in </w:t>
      </w:r>
      <w:r w:rsidR="00951869" w:rsidRPr="00637355">
        <w:t>n</w:t>
      </w:r>
      <w:r w:rsidR="00E82D33" w:rsidRPr="00637355">
        <w:t xml:space="preserve">umbers of taxa </w:t>
      </w:r>
      <w:r w:rsidR="00951869" w:rsidRPr="00637355">
        <w:t xml:space="preserve">with more taxa recorded in </w:t>
      </w:r>
      <w:r w:rsidR="00E82D33" w:rsidRPr="00637355">
        <w:t>April 2013 than December 2012 and February 2013 (Pair-wise p</w:t>
      </w:r>
      <w:r w:rsidR="00770F52" w:rsidRPr="00637355">
        <w:t> ≈ </w:t>
      </w:r>
      <w:r w:rsidR="00E82D33" w:rsidRPr="00637355">
        <w:t>0.017 and 0.047)</w:t>
      </w:r>
      <w:r w:rsidR="00770F52" w:rsidRPr="00637355">
        <w:t xml:space="preserve"> </w:t>
      </w:r>
      <w:r w:rsidR="00E82D33" w:rsidRPr="00637355">
        <w:t>(</w:t>
      </w:r>
      <w:fldSimple w:instr=" REF _Ref370286646 \h  \* MERGEFORMAT ">
        <w:r w:rsidR="00436595" w:rsidRPr="00436595">
          <w:t xml:space="preserve">Figure </w:t>
        </w:r>
        <w:r w:rsidR="00436595" w:rsidRPr="00436595">
          <w:rPr>
            <w:noProof/>
          </w:rPr>
          <w:t>16</w:t>
        </w:r>
      </w:fldSimple>
      <w:r w:rsidR="00E82D33" w:rsidRPr="00637355">
        <w:t>).  Although not significantly different to benthic taxa, the timing of peaks and troughs in pelagic taxa as wetlands</w:t>
      </w:r>
      <w:r w:rsidR="00A64182" w:rsidRPr="00637355">
        <w:t xml:space="preserve"> dried in February 2013</w:t>
      </w:r>
      <w:r w:rsidR="00E82D33" w:rsidRPr="00637355">
        <w:t xml:space="preserve"> lagged behind the fall</w:t>
      </w:r>
      <w:r w:rsidR="00A64182" w:rsidRPr="00637355">
        <w:t xml:space="preserve"> in numbers in benthic habitats</w:t>
      </w:r>
      <w:r w:rsidR="00E82D33" w:rsidRPr="00637355">
        <w:t xml:space="preserve"> before also increasing in April (possibly due to concentration effects as the wetlands dried). </w:t>
      </w:r>
    </w:p>
    <w:p w:rsidR="00E1766B" w:rsidRPr="00637355" w:rsidRDefault="00DA5C57">
      <w:r w:rsidRPr="00637355">
        <w:t xml:space="preserve">The findings for numbers of cladoceran taxa were similar to the overall taxon richness patterns, with significant differences across time (Term 1, </w:t>
      </w:r>
      <w:fldSimple w:instr=" REF _Ref370286662 \h  \* MERGEFORMAT ">
        <w:r w:rsidR="00436595" w:rsidRPr="00436595">
          <w:t xml:space="preserve">Table </w:t>
        </w:r>
        <w:r w:rsidR="00436595" w:rsidRPr="00436595">
          <w:rPr>
            <w:noProof/>
          </w:rPr>
          <w:t>4</w:t>
        </w:r>
      </w:fldSimple>
      <w:r w:rsidRPr="00637355">
        <w:t>) and no differences among regions, between habitats, nor any interactions</w:t>
      </w:r>
      <w:r w:rsidR="00C73C47" w:rsidRPr="00637355">
        <w:t xml:space="preserve">. </w:t>
      </w:r>
      <w:r w:rsidRPr="00637355">
        <w:t xml:space="preserve"> It is clear from the graphs that the number of cladoceran taxa underpinned the variation in the overall taxon richness (</w:t>
      </w:r>
      <w:fldSimple w:instr=" REF _Ref370286646 \h  \* MERGEFORMAT ">
        <w:r w:rsidR="00436595" w:rsidRPr="00436595">
          <w:t xml:space="preserve">Figure </w:t>
        </w:r>
        <w:r w:rsidR="00436595" w:rsidRPr="00436595">
          <w:rPr>
            <w:noProof/>
          </w:rPr>
          <w:t>16</w:t>
        </w:r>
      </w:fldSimple>
      <w:r w:rsidRPr="00637355">
        <w:t>)</w:t>
      </w:r>
      <w:r w:rsidR="00C73C47" w:rsidRPr="00637355">
        <w:t>.</w:t>
      </w:r>
    </w:p>
    <w:p w:rsidR="00045939" w:rsidRDefault="00045939" w:rsidP="00045939">
      <w:pPr>
        <w:spacing w:line="240" w:lineRule="auto"/>
      </w:pPr>
      <w:r>
        <w:object w:dxaOrig="10787" w:dyaOrig="8087">
          <v:shape id="_x0000_i1025" type="#_x0000_t75" style="width:332.25pt;height:249.75pt" o:ole="">
            <v:imagedata r:id="rId80" o:title=""/>
          </v:shape>
          <o:OLEObject Type="Embed" ProgID="SigmaPlotGraphicObject.4" ShapeID="_x0000_i1025" DrawAspect="Content" ObjectID="_1488876312" r:id="rId81"/>
        </w:object>
      </w:r>
    </w:p>
    <w:p w:rsidR="00E1766B" w:rsidRDefault="00505588">
      <w:pPr>
        <w:pStyle w:val="Caption1"/>
        <w:rPr>
          <w:b/>
        </w:rPr>
      </w:pPr>
      <w:bookmarkStart w:id="196" w:name="_Ref370286646"/>
      <w:bookmarkStart w:id="197" w:name="_Toc370738766"/>
      <w:r w:rsidRPr="00637355">
        <w:rPr>
          <w:b/>
        </w:rPr>
        <w:t xml:space="preserve">Figure </w:t>
      </w:r>
      <w:r w:rsidR="00D20FAE" w:rsidRPr="00637355">
        <w:rPr>
          <w:b/>
        </w:rPr>
        <w:fldChar w:fldCharType="begin"/>
      </w:r>
      <w:r w:rsidRPr="00637355">
        <w:rPr>
          <w:b/>
        </w:rPr>
        <w:instrText xml:space="preserve"> SEQ Figure \* ARABIC </w:instrText>
      </w:r>
      <w:r w:rsidR="00D20FAE" w:rsidRPr="00637355">
        <w:rPr>
          <w:b/>
        </w:rPr>
        <w:fldChar w:fldCharType="separate"/>
      </w:r>
      <w:r w:rsidR="00436595">
        <w:rPr>
          <w:b/>
          <w:noProof/>
        </w:rPr>
        <w:t>16</w:t>
      </w:r>
      <w:r w:rsidR="00D20FAE" w:rsidRPr="00637355">
        <w:rPr>
          <w:b/>
        </w:rPr>
        <w:fldChar w:fldCharType="end"/>
      </w:r>
      <w:bookmarkEnd w:id="196"/>
      <w:r w:rsidRPr="00637355">
        <w:t xml:space="preserve"> </w:t>
      </w:r>
      <w:r w:rsidR="00045939" w:rsidRPr="00637355">
        <w:t>Taxon richness of microcrustaceans (left) and cladocerans (right) sampled in</w:t>
      </w:r>
      <w:r w:rsidR="00045939" w:rsidRPr="00365B6E">
        <w:t xml:space="preserve"> benthic and pelagic habitats across the four Murrumbidgee regions [Lowbidgee (red), Mid-Murrumbidgee (green), Western Lakes (purple) and Murrumbidgee River (blue)]. Values are means </w:t>
      </w:r>
      <w:r w:rsidR="00A64182">
        <w:t>with</w:t>
      </w:r>
      <w:r w:rsidR="00045939" w:rsidRPr="00365B6E">
        <w:t xml:space="preserve"> standard error</w:t>
      </w:r>
      <w:r w:rsidR="00A64182">
        <w:t xml:space="preserve"> bar</w:t>
      </w:r>
      <w:r w:rsidR="00045939" w:rsidRPr="00365B6E">
        <w:t xml:space="preserve">s. Note that the Western Lakes were not sampled </w:t>
      </w:r>
      <w:r w:rsidR="00A64182">
        <w:t>unti</w:t>
      </w:r>
      <w:r w:rsidR="00045939" w:rsidRPr="00365B6E">
        <w:t>l October following inflows in September 2012 and the Murrumbidgee River was only sampled in August 2012.</w:t>
      </w:r>
      <w:bookmarkEnd w:id="197"/>
    </w:p>
    <w:p w:rsidR="00C73C47" w:rsidRDefault="00C73C47" w:rsidP="00C73C47"/>
    <w:p w:rsidR="00C73C47" w:rsidRDefault="00C73C47" w:rsidP="00C73C47"/>
    <w:p w:rsidR="00C73C47" w:rsidRDefault="00C73C47" w:rsidP="00C73C47">
      <w:pPr>
        <w:pStyle w:val="Caption1"/>
      </w:pPr>
      <w:bookmarkStart w:id="198" w:name="_Ref370286662"/>
      <w:bookmarkStart w:id="199" w:name="_Toc370738767"/>
      <w:r w:rsidRPr="00505588">
        <w:rPr>
          <w:b/>
        </w:rPr>
        <w:t xml:space="preserve">Table </w:t>
      </w:r>
      <w:r w:rsidR="00D20FAE" w:rsidRPr="00505588">
        <w:rPr>
          <w:b/>
        </w:rPr>
        <w:fldChar w:fldCharType="begin"/>
      </w:r>
      <w:r w:rsidRPr="00505588">
        <w:rPr>
          <w:b/>
        </w:rPr>
        <w:instrText xml:space="preserve"> SEQ Table \* ARABIC </w:instrText>
      </w:r>
      <w:r w:rsidR="00D20FAE" w:rsidRPr="00505588">
        <w:rPr>
          <w:b/>
        </w:rPr>
        <w:fldChar w:fldCharType="separate"/>
      </w:r>
      <w:r w:rsidR="00436595">
        <w:rPr>
          <w:b/>
          <w:noProof/>
        </w:rPr>
        <w:t>4</w:t>
      </w:r>
      <w:r w:rsidR="00D20FAE" w:rsidRPr="00505588">
        <w:rPr>
          <w:b/>
        </w:rPr>
        <w:fldChar w:fldCharType="end"/>
      </w:r>
      <w:bookmarkEnd w:id="198"/>
      <w:r w:rsidRPr="00365B6E">
        <w:t xml:space="preserve"> Permanova results for overall taxon richness, cladoceran taxon richness, microcrustacean community composition and cladocera community composition.</w:t>
      </w:r>
      <w:bookmarkEnd w:id="199"/>
      <w:r w:rsidRPr="00365B6E">
        <w:t xml:space="preserve"> </w:t>
      </w:r>
    </w:p>
    <w:p w:rsidR="00C73C47" w:rsidRDefault="00C73C47" w:rsidP="00C73C47"/>
    <w:tbl>
      <w:tblPr>
        <w:tblStyle w:val="TableGrid"/>
        <w:tblW w:w="5000" w:type="pct"/>
        <w:tblLayout w:type="fixed"/>
        <w:tblLook w:val="04A0"/>
      </w:tblPr>
      <w:tblGrid>
        <w:gridCol w:w="2323"/>
        <w:gridCol w:w="865"/>
        <w:gridCol w:w="865"/>
        <w:gridCol w:w="865"/>
        <w:gridCol w:w="865"/>
        <w:gridCol w:w="865"/>
        <w:gridCol w:w="865"/>
        <w:gridCol w:w="865"/>
        <w:gridCol w:w="865"/>
      </w:tblGrid>
      <w:tr w:rsidR="00C73C47" w:rsidRPr="00816AE1" w:rsidTr="00850214">
        <w:trPr>
          <w:cnfStyle w:val="100000000000"/>
        </w:trPr>
        <w:tc>
          <w:tcPr>
            <w:tcW w:w="1256" w:type="pct"/>
          </w:tcPr>
          <w:p w:rsidR="00C73C47" w:rsidRPr="00816AE1" w:rsidRDefault="00C73C47" w:rsidP="00850214">
            <w:pPr>
              <w:pStyle w:val="Tabletext"/>
              <w:rPr>
                <w:b/>
              </w:rPr>
            </w:pPr>
            <w:r w:rsidRPr="00816AE1">
              <w:rPr>
                <w:b/>
              </w:rPr>
              <w:t>Term</w:t>
            </w:r>
          </w:p>
        </w:tc>
        <w:tc>
          <w:tcPr>
            <w:tcW w:w="936" w:type="pct"/>
            <w:gridSpan w:val="2"/>
          </w:tcPr>
          <w:p w:rsidR="00C73C47" w:rsidRPr="00816AE1" w:rsidRDefault="00C73C47" w:rsidP="00850214">
            <w:pPr>
              <w:pStyle w:val="Tabletext"/>
              <w:rPr>
                <w:b/>
              </w:rPr>
            </w:pPr>
            <w:r w:rsidRPr="00816AE1">
              <w:rPr>
                <w:b/>
              </w:rPr>
              <w:t>Taxon</w:t>
            </w:r>
          </w:p>
          <w:p w:rsidR="00C73C47" w:rsidRPr="00816AE1" w:rsidRDefault="00C73C47" w:rsidP="00850214">
            <w:pPr>
              <w:pStyle w:val="Tabletext"/>
              <w:rPr>
                <w:b/>
              </w:rPr>
            </w:pPr>
            <w:r w:rsidRPr="00816AE1">
              <w:rPr>
                <w:b/>
              </w:rPr>
              <w:t>Richness</w:t>
            </w:r>
          </w:p>
        </w:tc>
        <w:tc>
          <w:tcPr>
            <w:tcW w:w="936" w:type="pct"/>
            <w:gridSpan w:val="2"/>
          </w:tcPr>
          <w:p w:rsidR="00C73C47" w:rsidRPr="00816AE1" w:rsidRDefault="00C73C47" w:rsidP="00850214">
            <w:pPr>
              <w:pStyle w:val="Tabletext"/>
              <w:rPr>
                <w:b/>
              </w:rPr>
            </w:pPr>
            <w:r w:rsidRPr="00816AE1">
              <w:rPr>
                <w:b/>
              </w:rPr>
              <w:t>Cladocera richness</w:t>
            </w:r>
          </w:p>
        </w:tc>
        <w:tc>
          <w:tcPr>
            <w:tcW w:w="936" w:type="pct"/>
            <w:gridSpan w:val="2"/>
          </w:tcPr>
          <w:p w:rsidR="00C73C47" w:rsidRPr="00816AE1" w:rsidRDefault="00C73C47" w:rsidP="00850214">
            <w:pPr>
              <w:pStyle w:val="Tabletext"/>
              <w:rPr>
                <w:b/>
              </w:rPr>
            </w:pPr>
            <w:r w:rsidRPr="00816AE1">
              <w:rPr>
                <w:b/>
              </w:rPr>
              <w:t>Community composition</w:t>
            </w:r>
          </w:p>
        </w:tc>
        <w:tc>
          <w:tcPr>
            <w:tcW w:w="936" w:type="pct"/>
            <w:gridSpan w:val="2"/>
          </w:tcPr>
          <w:p w:rsidR="00C73C47" w:rsidRPr="00816AE1" w:rsidRDefault="00C73C47" w:rsidP="00850214">
            <w:pPr>
              <w:pStyle w:val="Tabletext"/>
              <w:rPr>
                <w:b/>
              </w:rPr>
            </w:pPr>
            <w:r w:rsidRPr="00816AE1">
              <w:rPr>
                <w:b/>
              </w:rPr>
              <w:t>Cladocera community</w:t>
            </w:r>
          </w:p>
        </w:tc>
      </w:tr>
      <w:tr w:rsidR="00C73C47" w:rsidRPr="00AC7B44" w:rsidTr="00850214">
        <w:tc>
          <w:tcPr>
            <w:tcW w:w="1256" w:type="pct"/>
          </w:tcPr>
          <w:p w:rsidR="00C73C47" w:rsidRPr="00AC7B44" w:rsidRDefault="00C73C47" w:rsidP="00850214">
            <w:pPr>
              <w:pStyle w:val="Tabletext"/>
            </w:pPr>
          </w:p>
        </w:tc>
        <w:tc>
          <w:tcPr>
            <w:tcW w:w="468" w:type="pct"/>
          </w:tcPr>
          <w:p w:rsidR="00C73C47" w:rsidRPr="00AC7B44" w:rsidRDefault="00C73C47" w:rsidP="00850214">
            <w:pPr>
              <w:pStyle w:val="Tabletext"/>
            </w:pPr>
            <w:r w:rsidRPr="00AC7B44">
              <w:t>F</w:t>
            </w:r>
          </w:p>
        </w:tc>
        <w:tc>
          <w:tcPr>
            <w:tcW w:w="468" w:type="pct"/>
          </w:tcPr>
          <w:p w:rsidR="00C73C47" w:rsidRPr="00AC7B44" w:rsidRDefault="00C73C47" w:rsidP="00850214">
            <w:pPr>
              <w:pStyle w:val="Tabletext"/>
            </w:pPr>
            <w:r w:rsidRPr="00AC7B44">
              <w:t>p</w:t>
            </w:r>
          </w:p>
        </w:tc>
        <w:tc>
          <w:tcPr>
            <w:tcW w:w="468" w:type="pct"/>
          </w:tcPr>
          <w:p w:rsidR="00C73C47" w:rsidRPr="00AC7B44" w:rsidRDefault="00C73C47" w:rsidP="00850214">
            <w:pPr>
              <w:pStyle w:val="Tabletext"/>
            </w:pPr>
            <w:r>
              <w:t>F</w:t>
            </w:r>
          </w:p>
        </w:tc>
        <w:tc>
          <w:tcPr>
            <w:tcW w:w="468" w:type="pct"/>
          </w:tcPr>
          <w:p w:rsidR="00C73C47" w:rsidRPr="00AC7B44" w:rsidRDefault="00C73C47" w:rsidP="00850214">
            <w:pPr>
              <w:pStyle w:val="Tabletext"/>
            </w:pPr>
            <w:r>
              <w:t>p</w:t>
            </w:r>
          </w:p>
        </w:tc>
        <w:tc>
          <w:tcPr>
            <w:tcW w:w="468" w:type="pct"/>
          </w:tcPr>
          <w:p w:rsidR="00C73C47" w:rsidRPr="00AC7B44" w:rsidRDefault="00C73C47" w:rsidP="00850214">
            <w:pPr>
              <w:pStyle w:val="Tabletext"/>
            </w:pPr>
            <w:r w:rsidRPr="00AC7B44">
              <w:t>F</w:t>
            </w:r>
          </w:p>
        </w:tc>
        <w:tc>
          <w:tcPr>
            <w:tcW w:w="468" w:type="pct"/>
          </w:tcPr>
          <w:p w:rsidR="00C73C47" w:rsidRPr="00AC7B44" w:rsidRDefault="00C73C47" w:rsidP="00850214">
            <w:pPr>
              <w:pStyle w:val="Tabletext"/>
            </w:pPr>
            <w:r w:rsidRPr="00AC7B44">
              <w:t>F</w:t>
            </w:r>
          </w:p>
        </w:tc>
        <w:tc>
          <w:tcPr>
            <w:tcW w:w="468" w:type="pct"/>
          </w:tcPr>
          <w:p w:rsidR="00C73C47" w:rsidRPr="00AC7B44" w:rsidRDefault="00C73C47" w:rsidP="00850214">
            <w:pPr>
              <w:pStyle w:val="Tabletext"/>
            </w:pPr>
            <w:r w:rsidRPr="00AC7B44">
              <w:t>F</w:t>
            </w:r>
          </w:p>
        </w:tc>
        <w:tc>
          <w:tcPr>
            <w:tcW w:w="468" w:type="pct"/>
          </w:tcPr>
          <w:p w:rsidR="00C73C47" w:rsidRPr="00AC7B44" w:rsidRDefault="00C73C47" w:rsidP="00850214">
            <w:pPr>
              <w:pStyle w:val="Tabletext"/>
            </w:pPr>
            <w:r w:rsidRPr="00AC7B44">
              <w:t>p</w:t>
            </w:r>
          </w:p>
        </w:tc>
      </w:tr>
      <w:tr w:rsidR="00C73C47" w:rsidRPr="00AC7B44" w:rsidTr="00850214">
        <w:tc>
          <w:tcPr>
            <w:tcW w:w="1256" w:type="pct"/>
            <w:shd w:val="clear" w:color="auto" w:fill="FFFFFF" w:themeFill="background1"/>
          </w:tcPr>
          <w:p w:rsidR="00C73C47" w:rsidRPr="00683267" w:rsidRDefault="00C73C47" w:rsidP="00850214">
            <w:pPr>
              <w:pStyle w:val="Tabletext"/>
            </w:pPr>
            <w:r w:rsidRPr="00683267">
              <w:t>1. Time</w:t>
            </w:r>
          </w:p>
        </w:tc>
        <w:tc>
          <w:tcPr>
            <w:tcW w:w="468" w:type="pct"/>
            <w:shd w:val="clear" w:color="auto" w:fill="FFFFFF" w:themeFill="background1"/>
          </w:tcPr>
          <w:p w:rsidR="00C73C47" w:rsidRPr="00683267" w:rsidRDefault="00C73C47" w:rsidP="00850214">
            <w:pPr>
              <w:pStyle w:val="Tabletext"/>
            </w:pPr>
            <w:r w:rsidRPr="00683267">
              <w:t>3.59</w:t>
            </w:r>
          </w:p>
        </w:tc>
        <w:tc>
          <w:tcPr>
            <w:tcW w:w="468" w:type="pct"/>
            <w:shd w:val="clear" w:color="auto" w:fill="FFFFFF" w:themeFill="background1"/>
          </w:tcPr>
          <w:p w:rsidR="00C73C47" w:rsidRPr="00683267" w:rsidRDefault="00C73C47" w:rsidP="00850214">
            <w:pPr>
              <w:pStyle w:val="Tabletext"/>
            </w:pPr>
            <w:r w:rsidRPr="00683267">
              <w:t>0.008</w:t>
            </w:r>
          </w:p>
        </w:tc>
        <w:tc>
          <w:tcPr>
            <w:tcW w:w="468" w:type="pct"/>
            <w:shd w:val="clear" w:color="auto" w:fill="FFFFFF" w:themeFill="background1"/>
          </w:tcPr>
          <w:p w:rsidR="00C73C47" w:rsidRPr="00683267" w:rsidRDefault="00C73C47" w:rsidP="00850214">
            <w:pPr>
              <w:pStyle w:val="Tabletext"/>
            </w:pPr>
            <w:r w:rsidRPr="00683267">
              <w:t>2.49</w:t>
            </w:r>
          </w:p>
        </w:tc>
        <w:tc>
          <w:tcPr>
            <w:tcW w:w="468" w:type="pct"/>
            <w:shd w:val="clear" w:color="auto" w:fill="FFFFFF" w:themeFill="background1"/>
          </w:tcPr>
          <w:p w:rsidR="00C73C47" w:rsidRPr="00683267" w:rsidRDefault="00C73C47" w:rsidP="00850214">
            <w:pPr>
              <w:pStyle w:val="Tabletext"/>
            </w:pPr>
            <w:r w:rsidRPr="00683267">
              <w:t>0.039</w:t>
            </w:r>
          </w:p>
        </w:tc>
        <w:tc>
          <w:tcPr>
            <w:tcW w:w="468" w:type="pct"/>
            <w:shd w:val="clear" w:color="auto" w:fill="FFFFFF" w:themeFill="background1"/>
          </w:tcPr>
          <w:p w:rsidR="00C73C47" w:rsidRPr="00683267" w:rsidRDefault="00C73C47" w:rsidP="00850214">
            <w:pPr>
              <w:pStyle w:val="Tabletext"/>
            </w:pPr>
            <w:r w:rsidRPr="00683267">
              <w:t>3.12</w:t>
            </w:r>
          </w:p>
        </w:tc>
        <w:tc>
          <w:tcPr>
            <w:tcW w:w="468" w:type="pct"/>
            <w:shd w:val="clear" w:color="auto" w:fill="FFFFFF" w:themeFill="background1"/>
          </w:tcPr>
          <w:p w:rsidR="00C73C47" w:rsidRPr="00683267" w:rsidRDefault="00C73C47" w:rsidP="00850214">
            <w:pPr>
              <w:pStyle w:val="Tabletext"/>
            </w:pPr>
            <w:r w:rsidRPr="00683267">
              <w:t>0.001</w:t>
            </w:r>
          </w:p>
        </w:tc>
        <w:tc>
          <w:tcPr>
            <w:tcW w:w="468" w:type="pct"/>
            <w:shd w:val="clear" w:color="auto" w:fill="FFFFFF" w:themeFill="background1"/>
          </w:tcPr>
          <w:p w:rsidR="00C73C47" w:rsidRPr="00683267" w:rsidRDefault="00C73C47" w:rsidP="00850214">
            <w:pPr>
              <w:pStyle w:val="Tabletext"/>
            </w:pPr>
            <w:r w:rsidRPr="00683267">
              <w:t>4.50</w:t>
            </w:r>
          </w:p>
        </w:tc>
        <w:tc>
          <w:tcPr>
            <w:tcW w:w="468" w:type="pct"/>
            <w:shd w:val="clear" w:color="auto" w:fill="FFFFFF" w:themeFill="background1"/>
          </w:tcPr>
          <w:p w:rsidR="00C73C47" w:rsidRPr="00683267" w:rsidRDefault="00C73C47" w:rsidP="00850214">
            <w:pPr>
              <w:pStyle w:val="Tabletext"/>
            </w:pPr>
            <w:r w:rsidRPr="00683267">
              <w:t>0.001</w:t>
            </w:r>
          </w:p>
        </w:tc>
      </w:tr>
      <w:tr w:rsidR="00C73C47" w:rsidRPr="00AC7B44" w:rsidTr="00850214">
        <w:tc>
          <w:tcPr>
            <w:tcW w:w="1256" w:type="pct"/>
            <w:shd w:val="clear" w:color="auto" w:fill="FFFFFF" w:themeFill="background1"/>
          </w:tcPr>
          <w:p w:rsidR="00C73C47" w:rsidRPr="00683267" w:rsidRDefault="00C73C47" w:rsidP="00850214">
            <w:pPr>
              <w:pStyle w:val="Tabletext"/>
            </w:pPr>
            <w:r w:rsidRPr="00683267">
              <w:t>2. Region</w:t>
            </w:r>
          </w:p>
        </w:tc>
        <w:tc>
          <w:tcPr>
            <w:tcW w:w="468" w:type="pct"/>
            <w:shd w:val="clear" w:color="auto" w:fill="FFFFFF" w:themeFill="background1"/>
          </w:tcPr>
          <w:p w:rsidR="00C73C47" w:rsidRPr="00683267" w:rsidRDefault="00C73C47" w:rsidP="00850214">
            <w:pPr>
              <w:pStyle w:val="Tabletext"/>
            </w:pPr>
            <w:r w:rsidRPr="00683267">
              <w:t>1.01</w:t>
            </w:r>
          </w:p>
        </w:tc>
        <w:tc>
          <w:tcPr>
            <w:tcW w:w="468" w:type="pct"/>
            <w:shd w:val="clear" w:color="auto" w:fill="FFFFFF" w:themeFill="background1"/>
          </w:tcPr>
          <w:p w:rsidR="00C73C47" w:rsidRPr="00683267" w:rsidRDefault="00C73C47" w:rsidP="00850214">
            <w:pPr>
              <w:pStyle w:val="Tabletext"/>
            </w:pPr>
            <w:r w:rsidRPr="00683267">
              <w:t>0.404</w:t>
            </w:r>
          </w:p>
        </w:tc>
        <w:tc>
          <w:tcPr>
            <w:tcW w:w="468" w:type="pct"/>
            <w:shd w:val="clear" w:color="auto" w:fill="FFFFFF" w:themeFill="background1"/>
          </w:tcPr>
          <w:p w:rsidR="00C73C47" w:rsidRPr="00683267" w:rsidRDefault="00C73C47" w:rsidP="00850214">
            <w:pPr>
              <w:pStyle w:val="Tabletext"/>
            </w:pPr>
            <w:r w:rsidRPr="00683267">
              <w:t>0.75</w:t>
            </w:r>
          </w:p>
        </w:tc>
        <w:tc>
          <w:tcPr>
            <w:tcW w:w="468" w:type="pct"/>
            <w:shd w:val="clear" w:color="auto" w:fill="FFFFFF" w:themeFill="background1"/>
          </w:tcPr>
          <w:p w:rsidR="00C73C47" w:rsidRPr="00683267" w:rsidRDefault="00C73C47" w:rsidP="00850214">
            <w:pPr>
              <w:pStyle w:val="Tabletext"/>
            </w:pPr>
            <w:r w:rsidRPr="00683267">
              <w:t>0.575</w:t>
            </w:r>
          </w:p>
        </w:tc>
        <w:tc>
          <w:tcPr>
            <w:tcW w:w="468" w:type="pct"/>
            <w:shd w:val="clear" w:color="auto" w:fill="FFFFFF" w:themeFill="background1"/>
          </w:tcPr>
          <w:p w:rsidR="00C73C47" w:rsidRPr="00683267" w:rsidRDefault="00C73C47" w:rsidP="00850214">
            <w:pPr>
              <w:pStyle w:val="Tabletext"/>
            </w:pPr>
            <w:r w:rsidRPr="00683267">
              <w:t>3.03</w:t>
            </w:r>
          </w:p>
        </w:tc>
        <w:tc>
          <w:tcPr>
            <w:tcW w:w="468" w:type="pct"/>
            <w:shd w:val="clear" w:color="auto" w:fill="FFFFFF" w:themeFill="background1"/>
          </w:tcPr>
          <w:p w:rsidR="00C73C47" w:rsidRPr="00683267" w:rsidRDefault="00C73C47" w:rsidP="00850214">
            <w:pPr>
              <w:pStyle w:val="Tabletext"/>
            </w:pPr>
            <w:r w:rsidRPr="00683267">
              <w:t>0.001</w:t>
            </w:r>
          </w:p>
        </w:tc>
        <w:tc>
          <w:tcPr>
            <w:tcW w:w="468" w:type="pct"/>
            <w:shd w:val="clear" w:color="auto" w:fill="FFFFFF" w:themeFill="background1"/>
          </w:tcPr>
          <w:p w:rsidR="00C73C47" w:rsidRPr="00683267" w:rsidRDefault="00C73C47" w:rsidP="00850214">
            <w:pPr>
              <w:pStyle w:val="Tabletext"/>
            </w:pPr>
            <w:r w:rsidRPr="00683267">
              <w:t>3.85</w:t>
            </w:r>
          </w:p>
        </w:tc>
        <w:tc>
          <w:tcPr>
            <w:tcW w:w="468" w:type="pct"/>
            <w:shd w:val="clear" w:color="auto" w:fill="FFFFFF" w:themeFill="background1"/>
          </w:tcPr>
          <w:p w:rsidR="00C73C47" w:rsidRPr="00683267" w:rsidRDefault="00C73C47" w:rsidP="00850214">
            <w:pPr>
              <w:pStyle w:val="Tabletext"/>
            </w:pPr>
            <w:r w:rsidRPr="00683267">
              <w:t>0.001</w:t>
            </w:r>
          </w:p>
        </w:tc>
      </w:tr>
      <w:tr w:rsidR="00C73C47" w:rsidRPr="00AC7B44" w:rsidTr="00850214">
        <w:tc>
          <w:tcPr>
            <w:tcW w:w="1256" w:type="pct"/>
            <w:shd w:val="clear" w:color="auto" w:fill="FFFFFF" w:themeFill="background1"/>
          </w:tcPr>
          <w:p w:rsidR="00C73C47" w:rsidRPr="00683267" w:rsidRDefault="00C73C47" w:rsidP="00850214">
            <w:pPr>
              <w:pStyle w:val="Tabletext"/>
            </w:pPr>
            <w:r w:rsidRPr="00683267">
              <w:t>3. Microhabitat</w:t>
            </w:r>
          </w:p>
        </w:tc>
        <w:tc>
          <w:tcPr>
            <w:tcW w:w="468" w:type="pct"/>
            <w:shd w:val="clear" w:color="auto" w:fill="FFFFFF" w:themeFill="background1"/>
          </w:tcPr>
          <w:p w:rsidR="00C73C47" w:rsidRPr="00683267" w:rsidRDefault="00C73C47" w:rsidP="00850214">
            <w:pPr>
              <w:pStyle w:val="Tabletext"/>
            </w:pPr>
            <w:r w:rsidRPr="00683267">
              <w:t>0.21</w:t>
            </w:r>
          </w:p>
        </w:tc>
        <w:tc>
          <w:tcPr>
            <w:tcW w:w="468" w:type="pct"/>
            <w:shd w:val="clear" w:color="auto" w:fill="FFFFFF" w:themeFill="background1"/>
          </w:tcPr>
          <w:p w:rsidR="00C73C47" w:rsidRPr="00683267" w:rsidRDefault="00C73C47" w:rsidP="00850214">
            <w:pPr>
              <w:pStyle w:val="Tabletext"/>
            </w:pPr>
            <w:r w:rsidRPr="00683267">
              <w:t>0.782</w:t>
            </w:r>
          </w:p>
        </w:tc>
        <w:tc>
          <w:tcPr>
            <w:tcW w:w="468" w:type="pct"/>
            <w:shd w:val="clear" w:color="auto" w:fill="FFFFFF" w:themeFill="background1"/>
          </w:tcPr>
          <w:p w:rsidR="00C73C47" w:rsidRPr="00683267" w:rsidRDefault="00C73C47" w:rsidP="00850214">
            <w:pPr>
              <w:pStyle w:val="Tabletext"/>
            </w:pPr>
            <w:r w:rsidRPr="00683267">
              <w:t>0.45</w:t>
            </w:r>
          </w:p>
        </w:tc>
        <w:tc>
          <w:tcPr>
            <w:tcW w:w="468" w:type="pct"/>
            <w:shd w:val="clear" w:color="auto" w:fill="FFFFFF" w:themeFill="background1"/>
          </w:tcPr>
          <w:p w:rsidR="00C73C47" w:rsidRPr="00683267" w:rsidRDefault="00C73C47" w:rsidP="00850214">
            <w:pPr>
              <w:pStyle w:val="Tabletext"/>
            </w:pPr>
            <w:r w:rsidRPr="00683267">
              <w:t>0.533</w:t>
            </w:r>
          </w:p>
        </w:tc>
        <w:tc>
          <w:tcPr>
            <w:tcW w:w="468" w:type="pct"/>
            <w:shd w:val="clear" w:color="auto" w:fill="FFFFFF" w:themeFill="background1"/>
          </w:tcPr>
          <w:p w:rsidR="00C73C47" w:rsidRPr="00683267" w:rsidRDefault="00C73C47" w:rsidP="00850214">
            <w:pPr>
              <w:pStyle w:val="Tabletext"/>
            </w:pPr>
            <w:r w:rsidRPr="00683267">
              <w:t>16.36</w:t>
            </w:r>
          </w:p>
        </w:tc>
        <w:tc>
          <w:tcPr>
            <w:tcW w:w="468" w:type="pct"/>
            <w:shd w:val="clear" w:color="auto" w:fill="FFFFFF" w:themeFill="background1"/>
          </w:tcPr>
          <w:p w:rsidR="00C73C47" w:rsidRPr="00683267" w:rsidRDefault="00C73C47" w:rsidP="00850214">
            <w:pPr>
              <w:pStyle w:val="Tabletext"/>
            </w:pPr>
            <w:r w:rsidRPr="00683267">
              <w:t>0.001</w:t>
            </w:r>
          </w:p>
        </w:tc>
        <w:tc>
          <w:tcPr>
            <w:tcW w:w="468" w:type="pct"/>
            <w:shd w:val="clear" w:color="auto" w:fill="FFFFFF" w:themeFill="background1"/>
          </w:tcPr>
          <w:p w:rsidR="00C73C47" w:rsidRPr="00683267" w:rsidRDefault="00C73C47" w:rsidP="00850214">
            <w:pPr>
              <w:pStyle w:val="Tabletext"/>
            </w:pPr>
            <w:r w:rsidRPr="00683267">
              <w:t>4.54</w:t>
            </w:r>
          </w:p>
        </w:tc>
        <w:tc>
          <w:tcPr>
            <w:tcW w:w="468" w:type="pct"/>
            <w:shd w:val="clear" w:color="auto" w:fill="FFFFFF" w:themeFill="background1"/>
          </w:tcPr>
          <w:p w:rsidR="00C73C47" w:rsidRPr="00683267" w:rsidRDefault="00C73C47" w:rsidP="00850214">
            <w:pPr>
              <w:pStyle w:val="Tabletext"/>
            </w:pPr>
            <w:r w:rsidRPr="00683267">
              <w:t>0.001</w:t>
            </w:r>
          </w:p>
        </w:tc>
      </w:tr>
      <w:tr w:rsidR="00C73C47" w:rsidRPr="00AC7B44" w:rsidTr="00850214">
        <w:tc>
          <w:tcPr>
            <w:tcW w:w="1256" w:type="pct"/>
          </w:tcPr>
          <w:p w:rsidR="00C73C47" w:rsidRPr="00AC7B44" w:rsidRDefault="00C73C47" w:rsidP="00850214">
            <w:pPr>
              <w:pStyle w:val="Tabletext"/>
            </w:pPr>
            <w:r>
              <w:t>4. Time x region</w:t>
            </w:r>
          </w:p>
        </w:tc>
        <w:tc>
          <w:tcPr>
            <w:tcW w:w="468" w:type="pct"/>
          </w:tcPr>
          <w:p w:rsidR="00C73C47" w:rsidRPr="00AC7B44" w:rsidRDefault="00C73C47" w:rsidP="00850214">
            <w:pPr>
              <w:pStyle w:val="Tabletext"/>
            </w:pPr>
            <w:r>
              <w:t>1.33</w:t>
            </w:r>
          </w:p>
        </w:tc>
        <w:tc>
          <w:tcPr>
            <w:tcW w:w="468" w:type="pct"/>
          </w:tcPr>
          <w:p w:rsidR="00C73C47" w:rsidRPr="00AC7B44" w:rsidRDefault="00C73C47" w:rsidP="00850214">
            <w:pPr>
              <w:pStyle w:val="Tabletext"/>
            </w:pPr>
            <w:r>
              <w:t>0.196</w:t>
            </w:r>
          </w:p>
        </w:tc>
        <w:tc>
          <w:tcPr>
            <w:tcW w:w="468" w:type="pct"/>
          </w:tcPr>
          <w:p w:rsidR="00C73C47" w:rsidRPr="00AC7B44" w:rsidRDefault="00C73C47" w:rsidP="00850214">
            <w:pPr>
              <w:pStyle w:val="Tabletext"/>
            </w:pPr>
            <w:r>
              <w:t>1.45</w:t>
            </w:r>
          </w:p>
        </w:tc>
        <w:tc>
          <w:tcPr>
            <w:tcW w:w="468" w:type="pct"/>
          </w:tcPr>
          <w:p w:rsidR="00C73C47" w:rsidRPr="00AC7B44" w:rsidRDefault="00C73C47" w:rsidP="00850214">
            <w:pPr>
              <w:pStyle w:val="Tabletext"/>
            </w:pPr>
            <w:r>
              <w:t>0.193</w:t>
            </w:r>
          </w:p>
        </w:tc>
        <w:tc>
          <w:tcPr>
            <w:tcW w:w="468" w:type="pct"/>
          </w:tcPr>
          <w:p w:rsidR="00C73C47" w:rsidRPr="00AC7B44" w:rsidRDefault="00C73C47" w:rsidP="00850214">
            <w:pPr>
              <w:pStyle w:val="Tabletext"/>
            </w:pPr>
            <w:r w:rsidRPr="00AC7B44">
              <w:t>1.76</w:t>
            </w:r>
          </w:p>
        </w:tc>
        <w:tc>
          <w:tcPr>
            <w:tcW w:w="468" w:type="pct"/>
          </w:tcPr>
          <w:p w:rsidR="00C73C47" w:rsidRPr="00AC7B44" w:rsidRDefault="00C73C47" w:rsidP="00850214">
            <w:pPr>
              <w:pStyle w:val="Tabletext"/>
            </w:pPr>
            <w:r>
              <w:t>0.001</w:t>
            </w:r>
          </w:p>
        </w:tc>
        <w:tc>
          <w:tcPr>
            <w:tcW w:w="468" w:type="pct"/>
          </w:tcPr>
          <w:p w:rsidR="00C73C47" w:rsidRPr="00AC7B44" w:rsidRDefault="00C73C47" w:rsidP="00850214">
            <w:pPr>
              <w:pStyle w:val="Tabletext"/>
            </w:pPr>
            <w:r w:rsidRPr="00AC7B44">
              <w:t>2.12</w:t>
            </w:r>
          </w:p>
        </w:tc>
        <w:tc>
          <w:tcPr>
            <w:tcW w:w="468" w:type="pct"/>
          </w:tcPr>
          <w:p w:rsidR="00C73C47" w:rsidRPr="00AC7B44" w:rsidRDefault="00C73C47" w:rsidP="00850214">
            <w:pPr>
              <w:pStyle w:val="Tabletext"/>
            </w:pPr>
            <w:r w:rsidRPr="00AC7B44">
              <w:t>0.001</w:t>
            </w:r>
          </w:p>
        </w:tc>
      </w:tr>
      <w:tr w:rsidR="00C73C47" w:rsidRPr="00AC7B44" w:rsidTr="00850214">
        <w:tc>
          <w:tcPr>
            <w:tcW w:w="1256" w:type="pct"/>
          </w:tcPr>
          <w:p w:rsidR="00C73C47" w:rsidRPr="00AC7B44" w:rsidRDefault="00C73C47" w:rsidP="00850214">
            <w:pPr>
              <w:pStyle w:val="Tabletext"/>
            </w:pPr>
            <w:r>
              <w:t>5. Time x microhabitat</w:t>
            </w:r>
          </w:p>
        </w:tc>
        <w:tc>
          <w:tcPr>
            <w:tcW w:w="468" w:type="pct"/>
          </w:tcPr>
          <w:p w:rsidR="00C73C47" w:rsidRPr="00AC7B44" w:rsidRDefault="00C73C47" w:rsidP="00850214">
            <w:pPr>
              <w:pStyle w:val="Tabletext"/>
            </w:pPr>
            <w:r>
              <w:t>0.86</w:t>
            </w:r>
          </w:p>
        </w:tc>
        <w:tc>
          <w:tcPr>
            <w:tcW w:w="468" w:type="pct"/>
          </w:tcPr>
          <w:p w:rsidR="00C73C47" w:rsidRPr="00AC7B44" w:rsidRDefault="00C73C47" w:rsidP="00850214">
            <w:pPr>
              <w:pStyle w:val="Tabletext"/>
            </w:pPr>
            <w:r>
              <w:t>0.509</w:t>
            </w:r>
          </w:p>
        </w:tc>
        <w:tc>
          <w:tcPr>
            <w:tcW w:w="468" w:type="pct"/>
          </w:tcPr>
          <w:p w:rsidR="00C73C47" w:rsidRPr="00AC7B44" w:rsidRDefault="00C73C47" w:rsidP="00850214">
            <w:pPr>
              <w:pStyle w:val="Tabletext"/>
            </w:pPr>
            <w:r>
              <w:t>1.25</w:t>
            </w:r>
          </w:p>
        </w:tc>
        <w:tc>
          <w:tcPr>
            <w:tcW w:w="468" w:type="pct"/>
          </w:tcPr>
          <w:p w:rsidR="00C73C47" w:rsidRPr="00AC7B44" w:rsidRDefault="00C73C47" w:rsidP="00850214">
            <w:pPr>
              <w:pStyle w:val="Tabletext"/>
            </w:pPr>
            <w:r>
              <w:t>0.301</w:t>
            </w:r>
          </w:p>
        </w:tc>
        <w:tc>
          <w:tcPr>
            <w:tcW w:w="468" w:type="pct"/>
          </w:tcPr>
          <w:p w:rsidR="00C73C47" w:rsidRPr="00AC7B44" w:rsidRDefault="00C73C47" w:rsidP="00850214">
            <w:pPr>
              <w:pStyle w:val="Tabletext"/>
            </w:pPr>
            <w:r w:rsidRPr="00AC7B44">
              <w:t>2.02</w:t>
            </w:r>
          </w:p>
        </w:tc>
        <w:tc>
          <w:tcPr>
            <w:tcW w:w="468" w:type="pct"/>
          </w:tcPr>
          <w:p w:rsidR="00C73C47" w:rsidRPr="00AC7B44" w:rsidRDefault="00C73C47" w:rsidP="00850214">
            <w:pPr>
              <w:pStyle w:val="Tabletext"/>
            </w:pPr>
            <w:r>
              <w:t>0.001</w:t>
            </w:r>
          </w:p>
        </w:tc>
        <w:tc>
          <w:tcPr>
            <w:tcW w:w="468" w:type="pct"/>
          </w:tcPr>
          <w:p w:rsidR="00C73C47" w:rsidRPr="00AC7B44" w:rsidRDefault="00C73C47" w:rsidP="00850214">
            <w:pPr>
              <w:pStyle w:val="Tabletext"/>
            </w:pPr>
            <w:r w:rsidRPr="00AC7B44">
              <w:t>0.87</w:t>
            </w:r>
          </w:p>
        </w:tc>
        <w:tc>
          <w:tcPr>
            <w:tcW w:w="468" w:type="pct"/>
          </w:tcPr>
          <w:p w:rsidR="00C73C47" w:rsidRPr="00AC7B44" w:rsidRDefault="00C73C47" w:rsidP="00850214">
            <w:pPr>
              <w:pStyle w:val="Tabletext"/>
            </w:pPr>
            <w:r w:rsidRPr="00AC7B44">
              <w:t>0.66</w:t>
            </w:r>
          </w:p>
        </w:tc>
      </w:tr>
      <w:tr w:rsidR="00C73C47" w:rsidRPr="00AC7B44" w:rsidTr="00850214">
        <w:tc>
          <w:tcPr>
            <w:tcW w:w="1256" w:type="pct"/>
          </w:tcPr>
          <w:p w:rsidR="00C73C47" w:rsidRPr="00AC7B44" w:rsidRDefault="00C73C47" w:rsidP="00850214">
            <w:pPr>
              <w:pStyle w:val="Tabletext"/>
            </w:pPr>
            <w:r>
              <w:t>6. region x microhabitat</w:t>
            </w:r>
          </w:p>
        </w:tc>
        <w:tc>
          <w:tcPr>
            <w:tcW w:w="468" w:type="pct"/>
          </w:tcPr>
          <w:p w:rsidR="00C73C47" w:rsidRPr="00AC7B44" w:rsidRDefault="00C73C47" w:rsidP="00850214">
            <w:pPr>
              <w:pStyle w:val="Tabletext"/>
            </w:pPr>
            <w:r>
              <w:t>0.61</w:t>
            </w:r>
          </w:p>
        </w:tc>
        <w:tc>
          <w:tcPr>
            <w:tcW w:w="468" w:type="pct"/>
          </w:tcPr>
          <w:p w:rsidR="00C73C47" w:rsidRPr="00AC7B44" w:rsidRDefault="00C73C47" w:rsidP="00850214">
            <w:pPr>
              <w:pStyle w:val="Tabletext"/>
            </w:pPr>
            <w:r>
              <w:t>0.572</w:t>
            </w:r>
          </w:p>
        </w:tc>
        <w:tc>
          <w:tcPr>
            <w:tcW w:w="468" w:type="pct"/>
          </w:tcPr>
          <w:p w:rsidR="00C73C47" w:rsidRPr="00AC7B44" w:rsidRDefault="00C73C47" w:rsidP="00850214">
            <w:pPr>
              <w:pStyle w:val="Tabletext"/>
            </w:pPr>
            <w:r>
              <w:t>0.67</w:t>
            </w:r>
          </w:p>
        </w:tc>
        <w:tc>
          <w:tcPr>
            <w:tcW w:w="468" w:type="pct"/>
          </w:tcPr>
          <w:p w:rsidR="00C73C47" w:rsidRPr="00AC7B44" w:rsidRDefault="00C73C47" w:rsidP="00850214">
            <w:pPr>
              <w:pStyle w:val="Tabletext"/>
            </w:pPr>
            <w:r>
              <w:t>0.518</w:t>
            </w:r>
          </w:p>
        </w:tc>
        <w:tc>
          <w:tcPr>
            <w:tcW w:w="468" w:type="pct"/>
          </w:tcPr>
          <w:p w:rsidR="00C73C47" w:rsidRPr="00AC7B44" w:rsidRDefault="00C73C47" w:rsidP="00850214">
            <w:pPr>
              <w:pStyle w:val="Tabletext"/>
            </w:pPr>
            <w:r w:rsidRPr="00AC7B44">
              <w:t>0.94</w:t>
            </w:r>
          </w:p>
        </w:tc>
        <w:tc>
          <w:tcPr>
            <w:tcW w:w="468" w:type="pct"/>
          </w:tcPr>
          <w:p w:rsidR="00C73C47" w:rsidRPr="00AC7B44" w:rsidRDefault="00C73C47" w:rsidP="00850214">
            <w:pPr>
              <w:pStyle w:val="Tabletext"/>
            </w:pPr>
            <w:r>
              <w:t>0.565</w:t>
            </w:r>
          </w:p>
        </w:tc>
        <w:tc>
          <w:tcPr>
            <w:tcW w:w="468" w:type="pct"/>
          </w:tcPr>
          <w:p w:rsidR="00C73C47" w:rsidRPr="00AC7B44" w:rsidRDefault="00C73C47" w:rsidP="00850214">
            <w:pPr>
              <w:pStyle w:val="Tabletext"/>
            </w:pPr>
            <w:r w:rsidRPr="00AC7B44">
              <w:t>1.21</w:t>
            </w:r>
          </w:p>
        </w:tc>
        <w:tc>
          <w:tcPr>
            <w:tcW w:w="468" w:type="pct"/>
          </w:tcPr>
          <w:p w:rsidR="00C73C47" w:rsidRPr="00AC7B44" w:rsidRDefault="00C73C47" w:rsidP="00850214">
            <w:pPr>
              <w:pStyle w:val="Tabletext"/>
            </w:pPr>
            <w:r w:rsidRPr="00AC7B44">
              <w:t>0.27</w:t>
            </w:r>
          </w:p>
        </w:tc>
      </w:tr>
      <w:tr w:rsidR="00C73C47" w:rsidRPr="00AC7B44" w:rsidTr="00850214">
        <w:tc>
          <w:tcPr>
            <w:tcW w:w="1256" w:type="pct"/>
          </w:tcPr>
          <w:p w:rsidR="00C73C47" w:rsidRPr="00AC7B44" w:rsidRDefault="00C73C47" w:rsidP="00850214">
            <w:pPr>
              <w:pStyle w:val="Tabletext"/>
            </w:pPr>
            <w:r>
              <w:t>7. Time x region x microhabitat</w:t>
            </w:r>
          </w:p>
        </w:tc>
        <w:tc>
          <w:tcPr>
            <w:tcW w:w="468" w:type="pct"/>
          </w:tcPr>
          <w:p w:rsidR="00C73C47" w:rsidRPr="00AC7B44" w:rsidRDefault="00C73C47" w:rsidP="00850214">
            <w:pPr>
              <w:pStyle w:val="Tabletext"/>
            </w:pPr>
            <w:r>
              <w:t>0.20</w:t>
            </w:r>
          </w:p>
        </w:tc>
        <w:tc>
          <w:tcPr>
            <w:tcW w:w="468" w:type="pct"/>
          </w:tcPr>
          <w:p w:rsidR="00C73C47" w:rsidRPr="00AC7B44" w:rsidRDefault="00C73C47" w:rsidP="00850214">
            <w:pPr>
              <w:pStyle w:val="Tabletext"/>
            </w:pPr>
            <w:r>
              <w:t>0.998</w:t>
            </w:r>
          </w:p>
        </w:tc>
        <w:tc>
          <w:tcPr>
            <w:tcW w:w="468" w:type="pct"/>
          </w:tcPr>
          <w:p w:rsidR="00C73C47" w:rsidRPr="00AC7B44" w:rsidRDefault="00C73C47" w:rsidP="00850214">
            <w:pPr>
              <w:pStyle w:val="Tabletext"/>
            </w:pPr>
            <w:r>
              <w:t>0.23</w:t>
            </w:r>
          </w:p>
        </w:tc>
        <w:tc>
          <w:tcPr>
            <w:tcW w:w="468" w:type="pct"/>
          </w:tcPr>
          <w:p w:rsidR="00C73C47" w:rsidRPr="00AC7B44" w:rsidRDefault="00C73C47" w:rsidP="00850214">
            <w:pPr>
              <w:pStyle w:val="Tabletext"/>
            </w:pPr>
            <w:r>
              <w:t>0.99</w:t>
            </w:r>
          </w:p>
        </w:tc>
        <w:tc>
          <w:tcPr>
            <w:tcW w:w="468" w:type="pct"/>
          </w:tcPr>
          <w:p w:rsidR="00C73C47" w:rsidRPr="00AC7B44" w:rsidRDefault="00C73C47" w:rsidP="00850214">
            <w:pPr>
              <w:pStyle w:val="Tabletext"/>
            </w:pPr>
            <w:r w:rsidRPr="00AC7B44">
              <w:t>1.04</w:t>
            </w:r>
          </w:p>
        </w:tc>
        <w:tc>
          <w:tcPr>
            <w:tcW w:w="468" w:type="pct"/>
          </w:tcPr>
          <w:p w:rsidR="00C73C47" w:rsidRPr="00AC7B44" w:rsidRDefault="00C73C47" w:rsidP="00850214">
            <w:pPr>
              <w:pStyle w:val="Tabletext"/>
            </w:pPr>
            <w:r>
              <w:t>0.39</w:t>
            </w:r>
          </w:p>
        </w:tc>
        <w:tc>
          <w:tcPr>
            <w:tcW w:w="468" w:type="pct"/>
          </w:tcPr>
          <w:p w:rsidR="00C73C47" w:rsidRPr="00AC7B44" w:rsidRDefault="00C73C47" w:rsidP="00850214">
            <w:pPr>
              <w:pStyle w:val="Tabletext"/>
            </w:pPr>
            <w:r w:rsidRPr="00AC7B44">
              <w:t>0.50</w:t>
            </w:r>
          </w:p>
        </w:tc>
        <w:tc>
          <w:tcPr>
            <w:tcW w:w="468" w:type="pct"/>
          </w:tcPr>
          <w:p w:rsidR="00C73C47" w:rsidRPr="00AC7B44" w:rsidRDefault="00C73C47" w:rsidP="00850214">
            <w:pPr>
              <w:pStyle w:val="Tabletext"/>
            </w:pPr>
            <w:r w:rsidRPr="00AC7B44">
              <w:t>1.00</w:t>
            </w:r>
          </w:p>
        </w:tc>
      </w:tr>
    </w:tbl>
    <w:p w:rsidR="00C73C47" w:rsidRDefault="00C73C47" w:rsidP="00C73C47"/>
    <w:p w:rsidR="00C73C47" w:rsidRDefault="00C73C47" w:rsidP="00C73C47">
      <w:pPr>
        <w:spacing w:after="0" w:line="240" w:lineRule="auto"/>
        <w:jc w:val="left"/>
        <w:rPr>
          <w:rFonts w:ascii="Times New Roman" w:hAnsi="Times New Roman"/>
          <w:sz w:val="24"/>
          <w:szCs w:val="24"/>
          <w:lang w:eastAsia="en-AU"/>
        </w:rPr>
      </w:pPr>
    </w:p>
    <w:p w:rsidR="00C73C47" w:rsidRDefault="00C73C47" w:rsidP="00C73C47">
      <w:pPr>
        <w:spacing w:after="0" w:line="240" w:lineRule="auto"/>
        <w:jc w:val="left"/>
        <w:rPr>
          <w:rFonts w:ascii="Times New Roman" w:hAnsi="Times New Roman"/>
          <w:sz w:val="24"/>
          <w:szCs w:val="24"/>
          <w:lang w:eastAsia="en-AU"/>
        </w:rPr>
      </w:pPr>
    </w:p>
    <w:p w:rsidR="00C73C47" w:rsidRDefault="00C73C47">
      <w:pPr>
        <w:spacing w:after="0" w:line="240" w:lineRule="auto"/>
        <w:jc w:val="left"/>
        <w:rPr>
          <w:sz w:val="20"/>
        </w:rPr>
      </w:pPr>
      <w:r>
        <w:br w:type="page"/>
      </w:r>
    </w:p>
    <w:p w:rsidR="004369A4" w:rsidRDefault="004369A4" w:rsidP="00C11CDF">
      <w:pPr>
        <w:pStyle w:val="NoSpacing"/>
        <w:spacing w:line="360" w:lineRule="auto"/>
      </w:pPr>
    </w:p>
    <w:p w:rsidR="00135FF1" w:rsidRPr="00951869" w:rsidRDefault="00505588" w:rsidP="00CA49FE">
      <w:pPr>
        <w:pStyle w:val="Heading3"/>
      </w:pPr>
      <w:bookmarkStart w:id="200" w:name="_Toc370738768"/>
      <w:bookmarkStart w:id="201" w:name="_Toc378168541"/>
      <w:r w:rsidRPr="00505588">
        <w:t>Community composition</w:t>
      </w:r>
      <w:bookmarkEnd w:id="200"/>
      <w:bookmarkEnd w:id="201"/>
    </w:p>
    <w:p w:rsidR="00490DBB" w:rsidRPr="00637355" w:rsidRDefault="00135FF1" w:rsidP="00F818D7">
      <w:r w:rsidRPr="00637355">
        <w:t>Overall</w:t>
      </w:r>
      <w:r w:rsidR="00A639E7" w:rsidRPr="00637355">
        <w:t>,</w:t>
      </w:r>
      <w:r w:rsidRPr="00637355">
        <w:t xml:space="preserve"> the microcrustacea communities were relatively homogeneous across regions with two widespread and highly abundant taxa dominating </w:t>
      </w:r>
      <w:r w:rsidR="001B5728" w:rsidRPr="00637355">
        <w:t xml:space="preserve">communities </w:t>
      </w:r>
      <w:r w:rsidR="00D3301E" w:rsidRPr="00637355">
        <w:t>(</w:t>
      </w:r>
      <w:r w:rsidRPr="00637355">
        <w:t>copepod nauplii and cyclopoid copepods</w:t>
      </w:r>
      <w:r w:rsidR="00D3301E" w:rsidRPr="00637355">
        <w:t>)</w:t>
      </w:r>
      <w:r w:rsidRPr="00637355">
        <w:t xml:space="preserve"> in all regions and over time. </w:t>
      </w:r>
      <w:r w:rsidR="00E66813" w:rsidRPr="00637355">
        <w:t>The</w:t>
      </w:r>
      <w:r w:rsidRPr="00637355">
        <w:t xml:space="preserve"> </w:t>
      </w:r>
      <w:r w:rsidR="00E66813" w:rsidRPr="00637355">
        <w:t>dominance</w:t>
      </w:r>
      <w:r w:rsidRPr="00637355">
        <w:t xml:space="preserve"> </w:t>
      </w:r>
      <w:r w:rsidR="00E66813" w:rsidRPr="00637355">
        <w:t>of these two taxa</w:t>
      </w:r>
      <w:r w:rsidRPr="00637355">
        <w:t xml:space="preserve"> </w:t>
      </w:r>
      <w:r w:rsidR="00E66813" w:rsidRPr="00637355">
        <w:t>overwhelmed the response of other taxonomic groups</w:t>
      </w:r>
      <w:r w:rsidRPr="00637355">
        <w:t xml:space="preserve"> </w:t>
      </w:r>
      <w:r w:rsidR="00E66813" w:rsidRPr="00637355">
        <w:t>in the statistical analysis (</w:t>
      </w:r>
      <w:fldSimple w:instr=" REF _Ref370286759 \h  \* MERGEFORMAT ">
        <w:r w:rsidR="00436595" w:rsidRPr="00436595">
          <w:t xml:space="preserve">Figure </w:t>
        </w:r>
        <w:r w:rsidR="00436595" w:rsidRPr="00436595">
          <w:rPr>
            <w:noProof/>
          </w:rPr>
          <w:t>17</w:t>
        </w:r>
      </w:fldSimple>
      <w:r w:rsidR="00E66813" w:rsidRPr="00637355">
        <w:t xml:space="preserve">) </w:t>
      </w:r>
      <w:r w:rsidR="00DA5C57" w:rsidRPr="00637355">
        <w:t xml:space="preserve">and although there were significant differences, the community changes were minor, </w:t>
      </w:r>
      <w:r w:rsidR="00E66813" w:rsidRPr="00637355">
        <w:t xml:space="preserve">making it difficult to identify the effects of Commonwealth environmental watering actions. </w:t>
      </w:r>
      <w:proofErr w:type="gramStart"/>
      <w:r w:rsidR="00E66813" w:rsidRPr="00637355">
        <w:t xml:space="preserve">When </w:t>
      </w:r>
      <w:r w:rsidR="00D428B2" w:rsidRPr="00637355">
        <w:t>the</w:t>
      </w:r>
      <w:r w:rsidR="00E66813" w:rsidRPr="00637355">
        <w:t xml:space="preserve"> </w:t>
      </w:r>
      <w:r w:rsidR="00D428B2" w:rsidRPr="00637355">
        <w:t>effect</w:t>
      </w:r>
      <w:r w:rsidR="00E66813" w:rsidRPr="00637355">
        <w:t xml:space="preserve"> of these two dominant taxa </w:t>
      </w:r>
      <w:r w:rsidR="00D3301E" w:rsidRPr="00637355">
        <w:t xml:space="preserve">were </w:t>
      </w:r>
      <w:r w:rsidR="00E66813" w:rsidRPr="00637355">
        <w:t xml:space="preserve">removed, </w:t>
      </w:r>
      <w:r w:rsidR="00D428B2" w:rsidRPr="00637355">
        <w:t xml:space="preserve">and focusing on the </w:t>
      </w:r>
      <w:r w:rsidR="00505588" w:rsidRPr="00637355">
        <w:t>cladoceran</w:t>
      </w:r>
      <w:r w:rsidR="00D3301E" w:rsidRPr="00637355">
        <w:t>s</w:t>
      </w:r>
      <w:r w:rsidR="00505588" w:rsidRPr="00637355">
        <w:t xml:space="preserve"> </w:t>
      </w:r>
      <w:r w:rsidR="00D428B2" w:rsidRPr="00637355">
        <w:t xml:space="preserve">we identified </w:t>
      </w:r>
      <w:r w:rsidR="00505588" w:rsidRPr="00637355">
        <w:t>significant differences in community composition be</w:t>
      </w:r>
      <w:r w:rsidR="00DA5C57" w:rsidRPr="00637355">
        <w:t>tween the three wetland regions; t</w:t>
      </w:r>
      <w:r w:rsidR="00505588" w:rsidRPr="00637355">
        <w:t>he mid-Murrumbidgee, Lowbidgee and Western Lakes (Pair-wise p&lt;0.005-0.001).</w:t>
      </w:r>
      <w:proofErr w:type="gramEnd"/>
      <w:r w:rsidR="00505588" w:rsidRPr="00637355">
        <w:t xml:space="preserve"> The simper analysis revealed the Lowbidgee community was dominated by chydorids (54%) and </w:t>
      </w:r>
      <w:r w:rsidR="00505588" w:rsidRPr="00637355">
        <w:rPr>
          <w:i/>
        </w:rPr>
        <w:t>Moina micrura</w:t>
      </w:r>
      <w:r w:rsidR="00505588" w:rsidRPr="00637355">
        <w:t xml:space="preserve"> (20%), whereas the mid-Murrumbidgee was dominated by </w:t>
      </w:r>
      <w:r w:rsidR="00505588" w:rsidRPr="00637355">
        <w:rPr>
          <w:i/>
        </w:rPr>
        <w:t>Moina micrura</w:t>
      </w:r>
      <w:r w:rsidR="00505588" w:rsidRPr="00637355">
        <w:t xml:space="preserve"> (42%), </w:t>
      </w:r>
      <w:r w:rsidR="00505588" w:rsidRPr="00637355">
        <w:rPr>
          <w:i/>
        </w:rPr>
        <w:t>Bosmina meriodionalis</w:t>
      </w:r>
      <w:r w:rsidR="00505588" w:rsidRPr="00637355">
        <w:t xml:space="preserve"> (30%) and </w:t>
      </w:r>
      <w:r w:rsidR="00505588" w:rsidRPr="00637355">
        <w:rPr>
          <w:i/>
        </w:rPr>
        <w:t>Daphnia</w:t>
      </w:r>
      <w:r w:rsidR="00505588" w:rsidRPr="00637355">
        <w:t xml:space="preserve"> sp. (22%). In contrast, </w:t>
      </w:r>
      <w:r w:rsidR="00505588" w:rsidRPr="00637355">
        <w:rPr>
          <w:i/>
        </w:rPr>
        <w:t>Daphnia</w:t>
      </w:r>
      <w:r w:rsidR="00505588" w:rsidRPr="00637355">
        <w:t xml:space="preserve"> sp. dominated the Western Lakes (59%), with </w:t>
      </w:r>
      <w:r w:rsidR="00490DBB" w:rsidRPr="00637355">
        <w:t xml:space="preserve">chydorids (24%) </w:t>
      </w:r>
      <w:proofErr w:type="gramStart"/>
      <w:r w:rsidR="00A639E7" w:rsidRPr="00637355">
        <w:t>(</w:t>
      </w:r>
      <w:fldSimple w:instr=" REF _Ref370286759 \h  \* MERGEFORMAT ">
        <w:r w:rsidR="00436595" w:rsidRPr="00436595">
          <w:t xml:space="preserve">Figure </w:t>
        </w:r>
        <w:r w:rsidR="00436595" w:rsidRPr="00436595">
          <w:rPr>
            <w:noProof/>
          </w:rPr>
          <w:t>17</w:t>
        </w:r>
      </w:fldSimple>
      <w:r w:rsidR="00A639E7" w:rsidRPr="00637355">
        <w:t>)</w:t>
      </w:r>
      <w:r w:rsidR="00490DBB" w:rsidRPr="00637355">
        <w:t>.</w:t>
      </w:r>
      <w:proofErr w:type="gramEnd"/>
      <w:r w:rsidR="00490DBB" w:rsidRPr="00637355">
        <w:t xml:space="preserve"> Three </w:t>
      </w:r>
      <w:r w:rsidR="0037591E" w:rsidRPr="00637355">
        <w:t>cladoceran</w:t>
      </w:r>
      <w:r w:rsidR="00490DBB" w:rsidRPr="00637355">
        <w:t xml:space="preserve"> taxa dominated both the benthic and pelagic communities, but in varying compositions</w:t>
      </w:r>
      <w:r w:rsidR="00D3301E" w:rsidRPr="00637355">
        <w:t xml:space="preserve"> </w:t>
      </w:r>
      <w:r w:rsidR="00A639E7" w:rsidRPr="00637355">
        <w:t>(</w:t>
      </w:r>
      <w:fldSimple w:instr=" REF _Ref370286759 \h  \* MERGEFORMAT ">
        <w:r w:rsidR="00436595" w:rsidRPr="00436595">
          <w:t xml:space="preserve">Figure </w:t>
        </w:r>
        <w:r w:rsidR="00436595" w:rsidRPr="00436595">
          <w:rPr>
            <w:noProof/>
          </w:rPr>
          <w:t>17</w:t>
        </w:r>
      </w:fldSimple>
      <w:r w:rsidR="00A639E7" w:rsidRPr="00637355">
        <w:t>)</w:t>
      </w:r>
      <w:r w:rsidR="00490DBB" w:rsidRPr="00637355">
        <w:t xml:space="preserve">. However, </w:t>
      </w:r>
      <w:r w:rsidR="00490DBB" w:rsidRPr="00637355">
        <w:rPr>
          <w:i/>
        </w:rPr>
        <w:t>Macrothrix spinosa</w:t>
      </w:r>
      <w:r w:rsidR="00490DBB" w:rsidRPr="00637355">
        <w:t xml:space="preserve"> was also present in benthic communities, whereas </w:t>
      </w:r>
      <w:r w:rsidR="00490DBB" w:rsidRPr="00637355">
        <w:rPr>
          <w:i/>
        </w:rPr>
        <w:t>Bosmina meriodionalis</w:t>
      </w:r>
      <w:r w:rsidR="00490DBB" w:rsidRPr="00637355">
        <w:t xml:space="preserve"> characterised pelagic communities</w:t>
      </w:r>
      <w:r w:rsidR="00C73C47" w:rsidRPr="00637355">
        <w:t>.</w:t>
      </w:r>
    </w:p>
    <w:p w:rsidR="006A556A" w:rsidRDefault="006A556A" w:rsidP="006A556A">
      <w:r>
        <w:t xml:space="preserve">The </w:t>
      </w:r>
      <w:r w:rsidR="00DF2559">
        <w:t xml:space="preserve">change in </w:t>
      </w:r>
      <w:r w:rsidR="00DA5C57">
        <w:t xml:space="preserve">overall </w:t>
      </w:r>
      <w:r>
        <w:t xml:space="preserve">community composition </w:t>
      </w:r>
      <w:r w:rsidR="00365B6E">
        <w:t>reflected</w:t>
      </w:r>
      <w:r w:rsidR="00DF2559">
        <w:t xml:space="preserve"> that of taxa richness, with similar communities in August to October, followed by an abrupt change in community composition, coinciding with </w:t>
      </w:r>
      <w:r w:rsidR="00D3301E">
        <w:t xml:space="preserve">a </w:t>
      </w:r>
      <w:r w:rsidR="00DF2559">
        <w:t>decline in taxa richness</w:t>
      </w:r>
      <w:r>
        <w:t xml:space="preserve"> </w:t>
      </w:r>
      <w:r w:rsidR="00DF2559">
        <w:t xml:space="preserve">in </w:t>
      </w:r>
      <w:r>
        <w:t xml:space="preserve">December 2012 when </w:t>
      </w:r>
      <w:r w:rsidRPr="002C3D00">
        <w:rPr>
          <w:i/>
        </w:rPr>
        <w:t>Moina micrura</w:t>
      </w:r>
      <w:r w:rsidR="00E35E94">
        <w:rPr>
          <w:i/>
        </w:rPr>
        <w:t xml:space="preserve">, </w:t>
      </w:r>
      <w:r w:rsidR="00E35E94" w:rsidRPr="00202FB2">
        <w:t>a species that can tolerate declining water quality</w:t>
      </w:r>
      <w:r>
        <w:t xml:space="preserve"> became more common (10%)</w:t>
      </w:r>
      <w:r w:rsidR="00DF2559">
        <w:t xml:space="preserve">. </w:t>
      </w:r>
      <w:r>
        <w:t>By February 2013</w:t>
      </w:r>
      <w:r w:rsidR="00A639E7">
        <w:t>,</w:t>
      </w:r>
      <w:r>
        <w:t xml:space="preserve"> </w:t>
      </w:r>
      <w:r w:rsidR="00505588" w:rsidRPr="00505588">
        <w:rPr>
          <w:i/>
        </w:rPr>
        <w:t>M.</w:t>
      </w:r>
      <w:r>
        <w:t xml:space="preserve"> m</w:t>
      </w:r>
      <w:r w:rsidRPr="002C3D00">
        <w:rPr>
          <w:i/>
        </w:rPr>
        <w:t>icrura</w:t>
      </w:r>
      <w:r>
        <w:t xml:space="preserve"> was more dominant (22%), while the contribution of copepod nauplii were reduced (from approximately 40% to 15%) and by April 2013 copepod nauplii contributed less than 5% to the community composition, which was dominated by cyclopoid copepods (60%) and included ostracods (8%) (Pair-wise p</w:t>
      </w:r>
      <w:r w:rsidR="00A639E7">
        <w:t> ≈ </w:t>
      </w:r>
      <w:r>
        <w:t xml:space="preserve">0.034 to 0.001). </w:t>
      </w:r>
    </w:p>
    <w:p w:rsidR="00776374" w:rsidRDefault="00776374">
      <w:pPr>
        <w:spacing w:after="0" w:line="240" w:lineRule="auto"/>
        <w:jc w:val="left"/>
        <w:rPr>
          <w:rFonts w:ascii="Times New Roman" w:hAnsi="Times New Roman"/>
          <w:sz w:val="24"/>
          <w:szCs w:val="24"/>
          <w:lang w:eastAsia="en-AU"/>
        </w:rPr>
      </w:pPr>
    </w:p>
    <w:p w:rsidR="00776374" w:rsidRDefault="00776374">
      <w:pPr>
        <w:spacing w:after="0" w:line="240" w:lineRule="auto"/>
        <w:jc w:val="left"/>
        <w:rPr>
          <w:rFonts w:ascii="Times New Roman" w:hAnsi="Times New Roman"/>
          <w:sz w:val="24"/>
          <w:szCs w:val="24"/>
          <w:lang w:eastAsia="en-AU"/>
        </w:rPr>
      </w:pPr>
    </w:p>
    <w:p w:rsidR="00776374" w:rsidRDefault="00776374">
      <w:pPr>
        <w:spacing w:after="0" w:line="240" w:lineRule="auto"/>
        <w:jc w:val="left"/>
        <w:rPr>
          <w:rFonts w:ascii="Times New Roman" w:hAnsi="Times New Roman"/>
          <w:sz w:val="24"/>
          <w:szCs w:val="24"/>
          <w:lang w:eastAsia="en-AU"/>
        </w:rPr>
      </w:pPr>
    </w:p>
    <w:p w:rsidR="00776374" w:rsidRDefault="00776374">
      <w:pPr>
        <w:spacing w:after="0" w:line="240" w:lineRule="auto"/>
        <w:jc w:val="left"/>
        <w:rPr>
          <w:rFonts w:ascii="Times New Roman" w:hAnsi="Times New Roman"/>
          <w:sz w:val="24"/>
          <w:szCs w:val="24"/>
          <w:lang w:eastAsia="en-AU"/>
        </w:rPr>
      </w:pPr>
    </w:p>
    <w:p w:rsidR="00776374" w:rsidRDefault="00776374">
      <w:pPr>
        <w:spacing w:after="0" w:line="240" w:lineRule="auto"/>
        <w:jc w:val="left"/>
        <w:rPr>
          <w:rFonts w:ascii="Times New Roman" w:hAnsi="Times New Roman"/>
          <w:sz w:val="24"/>
          <w:szCs w:val="24"/>
          <w:lang w:eastAsia="en-A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tblPr>
      <w:tblGrid>
        <w:gridCol w:w="4621"/>
        <w:gridCol w:w="4622"/>
      </w:tblGrid>
      <w:tr w:rsidR="00571161" w:rsidTr="009130D3">
        <w:trPr>
          <w:cnfStyle w:val="100000000000"/>
        </w:trPr>
        <w:tc>
          <w:tcPr>
            <w:tcW w:w="4621" w:type="dxa"/>
            <w:shd w:val="clear" w:color="auto" w:fill="FFFFFF" w:themeFill="background1"/>
          </w:tcPr>
          <w:p w:rsidR="00E1766B" w:rsidRDefault="00E1766B">
            <w:pPr>
              <w:autoSpaceDE w:val="0"/>
              <w:autoSpaceDN w:val="0"/>
              <w:adjustRightInd w:val="0"/>
              <w:spacing w:after="0" w:line="240" w:lineRule="auto"/>
              <w:jc w:val="left"/>
              <w:rPr>
                <w:rFonts w:ascii="Times New Roman" w:hAnsi="Times New Roman"/>
                <w:sz w:val="24"/>
                <w:szCs w:val="24"/>
                <w:lang w:eastAsia="en-AU"/>
              </w:rPr>
            </w:pPr>
            <w:r>
              <w:rPr>
                <w:rFonts w:ascii="Times New Roman" w:hAnsi="Times New Roman"/>
                <w:noProof/>
                <w:sz w:val="24"/>
                <w:szCs w:val="24"/>
                <w:lang w:eastAsia="en-AU"/>
              </w:rPr>
              <w:drawing>
                <wp:inline distT="0" distB="0" distL="0" distR="0">
                  <wp:extent cx="2714376" cy="2520000"/>
                  <wp:effectExtent l="19050" t="0" r="0" b="0"/>
                  <wp:docPr id="149"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2" cstate="print"/>
                          <a:srcRect/>
                          <a:stretch>
                            <a:fillRect/>
                          </a:stretch>
                        </pic:blipFill>
                        <pic:spPr bwMode="auto">
                          <a:xfrm>
                            <a:off x="0" y="0"/>
                            <a:ext cx="2714376" cy="2520000"/>
                          </a:xfrm>
                          <a:prstGeom prst="rect">
                            <a:avLst/>
                          </a:prstGeom>
                          <a:noFill/>
                          <a:ln w="9525">
                            <a:noFill/>
                            <a:miter lim="800000"/>
                            <a:headEnd/>
                            <a:tailEnd/>
                          </a:ln>
                        </pic:spPr>
                      </pic:pic>
                    </a:graphicData>
                  </a:graphic>
                </wp:inline>
              </w:drawing>
            </w:r>
          </w:p>
        </w:tc>
        <w:tc>
          <w:tcPr>
            <w:tcW w:w="4621" w:type="dxa"/>
            <w:shd w:val="clear" w:color="auto" w:fill="FFFFFF" w:themeFill="background1"/>
          </w:tcPr>
          <w:p w:rsidR="00571161" w:rsidRDefault="00E1766B">
            <w:pPr>
              <w:spacing w:after="0" w:line="240" w:lineRule="auto"/>
              <w:jc w:val="left"/>
              <w:rPr>
                <w:rFonts w:ascii="Times New Roman" w:hAnsi="Times New Roman"/>
                <w:sz w:val="24"/>
                <w:szCs w:val="24"/>
                <w:lang w:eastAsia="en-AU"/>
              </w:rPr>
            </w:pPr>
            <w:r>
              <w:rPr>
                <w:rFonts w:ascii="Times New Roman" w:hAnsi="Times New Roman"/>
                <w:noProof/>
                <w:sz w:val="24"/>
                <w:szCs w:val="24"/>
                <w:lang w:eastAsia="en-AU"/>
              </w:rPr>
              <w:drawing>
                <wp:inline distT="0" distB="0" distL="0" distR="0">
                  <wp:extent cx="2915586" cy="2520000"/>
                  <wp:effectExtent l="19050" t="0" r="0" b="0"/>
                  <wp:docPr id="14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3" cstate="print"/>
                          <a:srcRect/>
                          <a:stretch>
                            <a:fillRect/>
                          </a:stretch>
                        </pic:blipFill>
                        <pic:spPr bwMode="auto">
                          <a:xfrm>
                            <a:off x="0" y="0"/>
                            <a:ext cx="2915586" cy="2520000"/>
                          </a:xfrm>
                          <a:prstGeom prst="rect">
                            <a:avLst/>
                          </a:prstGeom>
                          <a:noFill/>
                          <a:ln w="9525">
                            <a:noFill/>
                            <a:miter lim="800000"/>
                            <a:headEnd/>
                            <a:tailEnd/>
                          </a:ln>
                        </pic:spPr>
                      </pic:pic>
                    </a:graphicData>
                  </a:graphic>
                </wp:inline>
              </w:drawing>
            </w:r>
          </w:p>
        </w:tc>
      </w:tr>
      <w:tr w:rsidR="00571161" w:rsidTr="009130D3">
        <w:tc>
          <w:tcPr>
            <w:tcW w:w="4621" w:type="dxa"/>
            <w:shd w:val="clear" w:color="auto" w:fill="FFFFFF" w:themeFill="background1"/>
          </w:tcPr>
          <w:p w:rsidR="00E1766B" w:rsidRDefault="00E1766B">
            <w:pPr>
              <w:autoSpaceDE w:val="0"/>
              <w:autoSpaceDN w:val="0"/>
              <w:adjustRightInd w:val="0"/>
              <w:spacing w:after="0" w:line="240" w:lineRule="auto"/>
              <w:jc w:val="left"/>
              <w:rPr>
                <w:rFonts w:ascii="Times New Roman" w:hAnsi="Times New Roman"/>
                <w:sz w:val="24"/>
                <w:szCs w:val="24"/>
                <w:lang w:eastAsia="en-AU"/>
              </w:rPr>
            </w:pPr>
            <w:r>
              <w:rPr>
                <w:rFonts w:ascii="Times New Roman" w:hAnsi="Times New Roman"/>
                <w:noProof/>
                <w:sz w:val="24"/>
                <w:szCs w:val="24"/>
                <w:lang w:eastAsia="en-AU"/>
              </w:rPr>
              <w:drawing>
                <wp:inline distT="0" distB="0" distL="0" distR="0">
                  <wp:extent cx="2714376" cy="2520000"/>
                  <wp:effectExtent l="19050" t="0" r="0" b="0"/>
                  <wp:docPr id="150"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4" cstate="print"/>
                          <a:srcRect/>
                          <a:stretch>
                            <a:fillRect/>
                          </a:stretch>
                        </pic:blipFill>
                        <pic:spPr bwMode="auto">
                          <a:xfrm>
                            <a:off x="0" y="0"/>
                            <a:ext cx="2714376" cy="2520000"/>
                          </a:xfrm>
                          <a:prstGeom prst="rect">
                            <a:avLst/>
                          </a:prstGeom>
                          <a:noFill/>
                          <a:ln w="9525">
                            <a:noFill/>
                            <a:miter lim="800000"/>
                            <a:headEnd/>
                            <a:tailEnd/>
                          </a:ln>
                        </pic:spPr>
                      </pic:pic>
                    </a:graphicData>
                  </a:graphic>
                </wp:inline>
              </w:drawing>
            </w:r>
          </w:p>
        </w:tc>
        <w:tc>
          <w:tcPr>
            <w:tcW w:w="4621" w:type="dxa"/>
            <w:shd w:val="clear" w:color="auto" w:fill="FFFFFF" w:themeFill="background1"/>
          </w:tcPr>
          <w:p w:rsidR="00E1766B" w:rsidRDefault="00E1766B">
            <w:pPr>
              <w:autoSpaceDE w:val="0"/>
              <w:autoSpaceDN w:val="0"/>
              <w:adjustRightInd w:val="0"/>
              <w:spacing w:after="0" w:line="240" w:lineRule="auto"/>
              <w:jc w:val="left"/>
              <w:rPr>
                <w:rFonts w:ascii="Times New Roman" w:hAnsi="Times New Roman"/>
                <w:sz w:val="24"/>
                <w:szCs w:val="24"/>
                <w:lang w:eastAsia="en-AU"/>
              </w:rPr>
            </w:pPr>
            <w:r>
              <w:rPr>
                <w:rFonts w:ascii="Times New Roman" w:hAnsi="Times New Roman"/>
                <w:noProof/>
                <w:sz w:val="24"/>
                <w:szCs w:val="24"/>
                <w:lang w:eastAsia="en-AU"/>
              </w:rPr>
              <w:drawing>
                <wp:inline distT="0" distB="0" distL="0" distR="0">
                  <wp:extent cx="2813357" cy="2520000"/>
                  <wp:effectExtent l="19050" t="0" r="6043" b="0"/>
                  <wp:docPr id="148"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5" cstate="print"/>
                          <a:srcRect/>
                          <a:stretch>
                            <a:fillRect/>
                          </a:stretch>
                        </pic:blipFill>
                        <pic:spPr bwMode="auto">
                          <a:xfrm>
                            <a:off x="0" y="0"/>
                            <a:ext cx="2813357" cy="2520000"/>
                          </a:xfrm>
                          <a:prstGeom prst="rect">
                            <a:avLst/>
                          </a:prstGeom>
                          <a:noFill/>
                          <a:ln w="9525">
                            <a:noFill/>
                            <a:miter lim="800000"/>
                            <a:headEnd/>
                            <a:tailEnd/>
                          </a:ln>
                        </pic:spPr>
                      </pic:pic>
                    </a:graphicData>
                  </a:graphic>
                </wp:inline>
              </w:drawing>
            </w:r>
          </w:p>
        </w:tc>
      </w:tr>
      <w:tr w:rsidR="00571161" w:rsidTr="009130D3">
        <w:tc>
          <w:tcPr>
            <w:tcW w:w="4621" w:type="dxa"/>
            <w:shd w:val="clear" w:color="auto" w:fill="FFFFFF" w:themeFill="background1"/>
          </w:tcPr>
          <w:p w:rsidR="00571161" w:rsidRPr="00571161" w:rsidRDefault="00E1766B">
            <w:pPr>
              <w:spacing w:after="0" w:line="240" w:lineRule="auto"/>
              <w:jc w:val="left"/>
              <w:rPr>
                <w:rFonts w:ascii="Times New Roman" w:hAnsi="Times New Roman"/>
                <w:sz w:val="24"/>
                <w:szCs w:val="24"/>
                <w:lang w:eastAsia="en-AU"/>
              </w:rPr>
            </w:pPr>
            <w:r>
              <w:rPr>
                <w:rFonts w:ascii="Times New Roman" w:hAnsi="Times New Roman"/>
                <w:noProof/>
                <w:sz w:val="24"/>
                <w:szCs w:val="24"/>
                <w:lang w:eastAsia="en-AU"/>
              </w:rPr>
              <w:drawing>
                <wp:inline distT="0" distB="0" distL="0" distR="0">
                  <wp:extent cx="2915586" cy="2520000"/>
                  <wp:effectExtent l="19050" t="0" r="0" b="0"/>
                  <wp:docPr id="145"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6" cstate="print"/>
                          <a:srcRect/>
                          <a:stretch>
                            <a:fillRect/>
                          </a:stretch>
                        </pic:blipFill>
                        <pic:spPr bwMode="auto">
                          <a:xfrm>
                            <a:off x="0" y="0"/>
                            <a:ext cx="2915586" cy="2520000"/>
                          </a:xfrm>
                          <a:prstGeom prst="rect">
                            <a:avLst/>
                          </a:prstGeom>
                          <a:noFill/>
                          <a:ln w="9525">
                            <a:noFill/>
                            <a:miter lim="800000"/>
                            <a:headEnd/>
                            <a:tailEnd/>
                          </a:ln>
                        </pic:spPr>
                      </pic:pic>
                    </a:graphicData>
                  </a:graphic>
                </wp:inline>
              </w:drawing>
            </w:r>
          </w:p>
        </w:tc>
        <w:tc>
          <w:tcPr>
            <w:tcW w:w="4621" w:type="dxa"/>
            <w:shd w:val="clear" w:color="auto" w:fill="FFFFFF" w:themeFill="background1"/>
          </w:tcPr>
          <w:p w:rsidR="00E1766B" w:rsidRDefault="00E1766B">
            <w:pPr>
              <w:autoSpaceDE w:val="0"/>
              <w:autoSpaceDN w:val="0"/>
              <w:adjustRightInd w:val="0"/>
              <w:spacing w:after="0" w:line="240" w:lineRule="auto"/>
              <w:jc w:val="left"/>
              <w:rPr>
                <w:rFonts w:ascii="Times New Roman" w:hAnsi="Times New Roman"/>
                <w:sz w:val="24"/>
                <w:szCs w:val="24"/>
                <w:lang w:eastAsia="en-AU"/>
              </w:rPr>
            </w:pPr>
            <w:r>
              <w:rPr>
                <w:rFonts w:ascii="Times New Roman" w:hAnsi="Times New Roman"/>
                <w:noProof/>
                <w:sz w:val="24"/>
                <w:szCs w:val="24"/>
                <w:lang w:eastAsia="en-AU"/>
              </w:rPr>
              <w:drawing>
                <wp:inline distT="0" distB="0" distL="0" distR="0">
                  <wp:extent cx="2915586" cy="2520000"/>
                  <wp:effectExtent l="19050" t="0" r="0" b="0"/>
                  <wp:docPr id="147"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7" cstate="print"/>
                          <a:srcRect/>
                          <a:stretch>
                            <a:fillRect/>
                          </a:stretch>
                        </pic:blipFill>
                        <pic:spPr bwMode="auto">
                          <a:xfrm>
                            <a:off x="0" y="0"/>
                            <a:ext cx="2915586" cy="2520000"/>
                          </a:xfrm>
                          <a:prstGeom prst="rect">
                            <a:avLst/>
                          </a:prstGeom>
                          <a:noFill/>
                          <a:ln w="9525">
                            <a:noFill/>
                            <a:miter lim="800000"/>
                            <a:headEnd/>
                            <a:tailEnd/>
                          </a:ln>
                        </pic:spPr>
                      </pic:pic>
                    </a:graphicData>
                  </a:graphic>
                </wp:inline>
              </w:drawing>
            </w:r>
          </w:p>
        </w:tc>
      </w:tr>
    </w:tbl>
    <w:p w:rsidR="00776374" w:rsidRDefault="00776374">
      <w:pPr>
        <w:spacing w:after="0" w:line="240" w:lineRule="auto"/>
        <w:jc w:val="left"/>
        <w:rPr>
          <w:rFonts w:ascii="Times New Roman" w:hAnsi="Times New Roman"/>
          <w:sz w:val="24"/>
          <w:szCs w:val="24"/>
          <w:lang w:eastAsia="en-AU"/>
        </w:rPr>
      </w:pPr>
    </w:p>
    <w:p w:rsidR="00E1766B" w:rsidRDefault="00505588">
      <w:pPr>
        <w:pStyle w:val="Caption1"/>
      </w:pPr>
      <w:bookmarkStart w:id="202" w:name="_Ref370286759"/>
      <w:bookmarkStart w:id="203" w:name="_Toc370738769"/>
      <w:r w:rsidRPr="00505588">
        <w:rPr>
          <w:b/>
        </w:rPr>
        <w:t xml:space="preserve">Figure </w:t>
      </w:r>
      <w:r w:rsidR="00D20FAE" w:rsidRPr="00505588">
        <w:rPr>
          <w:b/>
        </w:rPr>
        <w:fldChar w:fldCharType="begin"/>
      </w:r>
      <w:r w:rsidRPr="00505588">
        <w:rPr>
          <w:b/>
        </w:rPr>
        <w:instrText xml:space="preserve"> SEQ Figure \* ARABIC </w:instrText>
      </w:r>
      <w:r w:rsidR="00D20FAE" w:rsidRPr="00505588">
        <w:rPr>
          <w:b/>
        </w:rPr>
        <w:fldChar w:fldCharType="separate"/>
      </w:r>
      <w:r w:rsidR="00436595">
        <w:rPr>
          <w:b/>
          <w:noProof/>
        </w:rPr>
        <w:t>17</w:t>
      </w:r>
      <w:r w:rsidR="00D20FAE" w:rsidRPr="00505588">
        <w:rPr>
          <w:b/>
        </w:rPr>
        <w:fldChar w:fldCharType="end"/>
      </w:r>
      <w:bookmarkEnd w:id="202"/>
      <w:r w:rsidR="00730704">
        <w:t xml:space="preserve"> </w:t>
      </w:r>
      <w:r w:rsidR="00730704" w:rsidRPr="00AE705B">
        <w:t>Simper</w:t>
      </w:r>
      <w:r w:rsidR="00730704">
        <w:t xml:space="preserve"> contributions to</w:t>
      </w:r>
      <w:r w:rsidR="00730704" w:rsidRPr="00AE705B">
        <w:t xml:space="preserve"> overall community composition </w:t>
      </w:r>
      <w:r w:rsidR="00730704">
        <w:t>between regions</w:t>
      </w:r>
      <w:r w:rsidR="00AB2238">
        <w:t xml:space="preserve"> (upper)</w:t>
      </w:r>
      <w:r w:rsidR="00730704">
        <w:t>, over time</w:t>
      </w:r>
      <w:r w:rsidR="00AB2238">
        <w:t xml:space="preserve"> (middle)</w:t>
      </w:r>
      <w:r w:rsidR="00730704">
        <w:t xml:space="preserve"> and between mic</w:t>
      </w:r>
      <w:r w:rsidR="00365B6E">
        <w:t>rohabitats</w:t>
      </w:r>
      <w:r w:rsidR="00AB2238">
        <w:t xml:space="preserve"> (bottom)</w:t>
      </w:r>
      <w:r w:rsidR="00730704">
        <w:t xml:space="preserve"> for all microcrustacea taxa (</w:t>
      </w:r>
      <w:r w:rsidR="00D3301E">
        <w:t>left</w:t>
      </w:r>
      <w:r w:rsidR="00730704">
        <w:t xml:space="preserve">) and </w:t>
      </w:r>
      <w:r w:rsidR="00D3301E">
        <w:t xml:space="preserve">the </w:t>
      </w:r>
      <w:r w:rsidR="00365B6E">
        <w:t>cladocera component of the microcrustacea taxa (</w:t>
      </w:r>
      <w:r w:rsidR="00D3301E">
        <w:t>right</w:t>
      </w:r>
      <w:r w:rsidR="00365B6E">
        <w:t>)</w:t>
      </w:r>
      <w:bookmarkEnd w:id="203"/>
      <w:r w:rsidR="00A639E7">
        <w:t>.</w:t>
      </w:r>
    </w:p>
    <w:p w:rsidR="00C73C47" w:rsidRDefault="00C73C47" w:rsidP="00C11CDF">
      <w:pPr>
        <w:pStyle w:val="NoSpacing"/>
        <w:spacing w:line="360" w:lineRule="auto"/>
        <w:rPr>
          <w:b/>
        </w:rPr>
      </w:pPr>
    </w:p>
    <w:p w:rsidR="00C73C47" w:rsidRDefault="00C73C47" w:rsidP="00C11CDF">
      <w:pPr>
        <w:pStyle w:val="NoSpacing"/>
        <w:spacing w:line="360" w:lineRule="auto"/>
        <w:rPr>
          <w:b/>
        </w:rPr>
      </w:pPr>
    </w:p>
    <w:p w:rsidR="00393BFB" w:rsidRPr="001310C1" w:rsidRDefault="00505588" w:rsidP="00C73C47">
      <w:pPr>
        <w:pStyle w:val="Heading3"/>
      </w:pPr>
      <w:bookmarkStart w:id="204" w:name="_Toc370299199"/>
      <w:bookmarkStart w:id="205" w:name="_Toc370738770"/>
      <w:bookmarkStart w:id="206" w:name="_Toc378168542"/>
      <w:r w:rsidRPr="00505588">
        <w:t>Density</w:t>
      </w:r>
      <w:bookmarkEnd w:id="204"/>
      <w:bookmarkEnd w:id="205"/>
      <w:bookmarkEnd w:id="206"/>
    </w:p>
    <w:p w:rsidR="00C11CDF" w:rsidRPr="00C918BE" w:rsidRDefault="00C11CDF" w:rsidP="00C73C47">
      <w:pPr>
        <w:pStyle w:val="BodyText1"/>
      </w:pPr>
      <w:r w:rsidRPr="00C918BE">
        <w:t>Densities of both benthic and pelagic microcrustaceans followed a similar trend to taxon richness (Term 1, Table 8), being significantly higher in August and October than December 2012 (Pair-wise p</w:t>
      </w:r>
      <w:r w:rsidR="00A639E7" w:rsidRPr="00C918BE">
        <w:t> ≈ </w:t>
      </w:r>
      <w:r w:rsidRPr="00C918BE">
        <w:t>0.018 and 0.009) when the lowest densities were found (</w:t>
      </w:r>
      <w:fldSimple w:instr=" REF _Ref370286936 \h  \* MERGEFORMAT ">
        <w:r w:rsidR="00436595" w:rsidRPr="00436595">
          <w:t xml:space="preserve">Figure </w:t>
        </w:r>
        <w:r w:rsidR="00436595" w:rsidRPr="00436595">
          <w:rPr>
            <w:noProof/>
          </w:rPr>
          <w:t>18</w:t>
        </w:r>
      </w:fldSimple>
      <w:r w:rsidRPr="00C918BE">
        <w:t>). There was a small non-significant incre</w:t>
      </w:r>
      <w:r w:rsidR="008148D0" w:rsidRPr="00C918BE">
        <w:t>ase in February and April 2013</w:t>
      </w:r>
      <w:r w:rsidRPr="00C918BE">
        <w:t xml:space="preserve">. Densities of benthic microcrustaceans in all the sampled wetlands were above the larval fish threshold of 100 individuals per litre until December 2012, while pelagic densities were above </w:t>
      </w:r>
      <w:r w:rsidR="008148D0" w:rsidRPr="00C918BE">
        <w:t>this threshold until April 2013</w:t>
      </w:r>
      <w:r w:rsidRPr="00C918BE">
        <w:t xml:space="preserve">. </w:t>
      </w:r>
    </w:p>
    <w:p w:rsidR="00C11CDF" w:rsidRPr="00C918BE" w:rsidRDefault="00C11CDF" w:rsidP="00C73C47">
      <w:pPr>
        <w:pStyle w:val="BodyText1"/>
      </w:pPr>
      <w:r w:rsidRPr="00C918BE">
        <w:t xml:space="preserve">Total densities of microcrustaceans were significantly different among the regions sampled (Term 3, </w:t>
      </w:r>
      <w:fldSimple w:instr=" REF _Ref370287005 \h  \* MERGEFORMAT ">
        <w:r w:rsidR="00436595" w:rsidRPr="00436595">
          <w:t xml:space="preserve">Table </w:t>
        </w:r>
        <w:r w:rsidR="00436595" w:rsidRPr="00436595">
          <w:rPr>
            <w:noProof/>
          </w:rPr>
          <w:t>5</w:t>
        </w:r>
      </w:fldSimple>
      <w:r w:rsidRPr="00C918BE">
        <w:t>), although this difference was due to higher densities in both the Lowbidgee and mid-Murrumbidgee compared to the Murrumbidgee River (Pair-wise p</w:t>
      </w:r>
      <w:r w:rsidR="00A639E7" w:rsidRPr="00C918BE">
        <w:t> ≈ </w:t>
      </w:r>
      <w:r w:rsidRPr="00C918BE">
        <w:t xml:space="preserve">0.033 and 0.01).  The densities of microcrustaceans in benthic and pelagic habitats did not differ significantly overall (Term 3, </w:t>
      </w:r>
      <w:fldSimple w:instr=" REF _Ref370287005 \h  \* MERGEFORMAT ">
        <w:r w:rsidR="00436595" w:rsidRPr="00436595">
          <w:t xml:space="preserve">Table </w:t>
        </w:r>
        <w:r w:rsidR="00436595" w:rsidRPr="00436595">
          <w:rPr>
            <w:noProof/>
          </w:rPr>
          <w:t>5</w:t>
        </w:r>
      </w:fldSimple>
      <w:r w:rsidR="00A639E7" w:rsidRPr="00C918BE">
        <w:t>);</w:t>
      </w:r>
      <w:r w:rsidRPr="00C918BE">
        <w:t xml:space="preserve"> however</w:t>
      </w:r>
      <w:r w:rsidR="00A639E7" w:rsidRPr="00C918BE">
        <w:t>,</w:t>
      </w:r>
      <w:r w:rsidRPr="00C918BE">
        <w:t xml:space="preserve"> there was a significant interaction </w:t>
      </w:r>
      <w:r w:rsidR="00A639E7" w:rsidRPr="00C918BE">
        <w:t xml:space="preserve">between </w:t>
      </w:r>
      <w:r w:rsidRPr="00C918BE">
        <w:t xml:space="preserve">habitat and time (Term 5, </w:t>
      </w:r>
      <w:fldSimple w:instr=" REF _Ref370287005 \h  \* MERGEFORMAT ">
        <w:r w:rsidR="00436595" w:rsidRPr="00436595">
          <w:t xml:space="preserve">Table </w:t>
        </w:r>
        <w:r w:rsidR="00436595" w:rsidRPr="00436595">
          <w:rPr>
            <w:noProof/>
          </w:rPr>
          <w:t>5</w:t>
        </w:r>
      </w:fldSimple>
      <w:r w:rsidRPr="00C918BE">
        <w:t>) as indicated by the different trends in densities in benthic and pelagic habitats across time (Figure 3). Benthic densities were highest in August 2012, whereas, pelagic densities were highest in February 2013, and were slightly higher overall than benthic densities (Figure 3).</w:t>
      </w:r>
    </w:p>
    <w:p w:rsidR="00C11CDF" w:rsidRPr="00470ADC" w:rsidRDefault="00C11CDF" w:rsidP="00C73C47">
      <w:pPr>
        <w:pStyle w:val="BodyText1"/>
      </w:pPr>
      <w:r w:rsidRPr="00C918BE">
        <w:t xml:space="preserve">The trends in total density are largely explained by those for copepod density </w:t>
      </w:r>
      <w:r w:rsidR="00A639E7" w:rsidRPr="00C918BE">
        <w:t>(</w:t>
      </w:r>
      <w:fldSimple w:instr=" REF _Ref370286936 \h  \* MERGEFORMAT ">
        <w:r w:rsidR="00436595" w:rsidRPr="00436595">
          <w:t xml:space="preserve">Figure </w:t>
        </w:r>
        <w:r w:rsidR="00436595" w:rsidRPr="00436595">
          <w:rPr>
            <w:noProof/>
          </w:rPr>
          <w:t>18</w:t>
        </w:r>
      </w:fldSimple>
      <w:r w:rsidRPr="00C918BE">
        <w:t xml:space="preserve">, Terms 1, 2, 4 and 5, </w:t>
      </w:r>
      <w:fldSimple w:instr=" REF _Ref370287005 \h  \* MERGEFORMAT ">
        <w:r w:rsidR="00436595" w:rsidRPr="00436595">
          <w:t xml:space="preserve">Table </w:t>
        </w:r>
        <w:r w:rsidR="00436595" w:rsidRPr="00436595">
          <w:rPr>
            <w:noProof/>
          </w:rPr>
          <w:t>5</w:t>
        </w:r>
      </w:fldSimple>
      <w:r w:rsidRPr="00C918BE">
        <w:t xml:space="preserve">). In contrast, both cladoceran and ostracod densities although significantly different across time (Term 1, </w:t>
      </w:r>
      <w:fldSimple w:instr=" REF _Ref370287005 \h  \* MERGEFORMAT ">
        <w:r w:rsidR="00436595" w:rsidRPr="00436595">
          <w:t xml:space="preserve">Table </w:t>
        </w:r>
        <w:r w:rsidR="00436595" w:rsidRPr="00436595">
          <w:rPr>
            <w:noProof/>
          </w:rPr>
          <w:t>5</w:t>
        </w:r>
      </w:fldSimple>
      <w:r w:rsidRPr="00C918BE">
        <w:t>), showed little variation compared to copepods (</w:t>
      </w:r>
      <w:fldSimple w:instr=" REF _Ref370286936 \h  \* MERGEFORMAT ">
        <w:r w:rsidR="00436595" w:rsidRPr="00436595">
          <w:t xml:space="preserve">Figure </w:t>
        </w:r>
        <w:r w:rsidR="00436595" w:rsidRPr="00436595">
          <w:rPr>
            <w:noProof/>
          </w:rPr>
          <w:t>18</w:t>
        </w:r>
      </w:fldSimple>
      <w:r w:rsidRPr="00C918BE">
        <w:t>). Cladocerans contributed to a peak in overall density in the Lowbidgee in August 2012 (benthic)</w:t>
      </w:r>
      <w:r w:rsidR="008148D0" w:rsidRPr="00C918BE">
        <w:t xml:space="preserve"> and in February</w:t>
      </w:r>
      <w:r w:rsidR="008148D0">
        <w:t xml:space="preserve"> 2012 (pelagic).</w:t>
      </w:r>
    </w:p>
    <w:p w:rsidR="00C11CDF" w:rsidRPr="00E50909" w:rsidRDefault="00A57475" w:rsidP="00C11CDF">
      <w:r>
        <w:object w:dxaOrig="10898" w:dyaOrig="8087">
          <v:shape id="_x0000_i1026" type="#_x0000_t75" style="width:396.75pt;height:295.5pt" o:ole="">
            <v:imagedata r:id="rId88" o:title=""/>
          </v:shape>
          <o:OLEObject Type="Embed" ProgID="SigmaPlotGraphicObject.4" ShapeID="_x0000_i1026" DrawAspect="Content" ObjectID="_1488876313" r:id="rId89"/>
        </w:object>
      </w:r>
      <w:r>
        <w:object w:dxaOrig="10898" w:dyaOrig="8087">
          <v:shape id="_x0000_i1027" type="#_x0000_t75" style="width:396.75pt;height:295.5pt" o:ole="">
            <v:imagedata r:id="rId90" o:title=""/>
          </v:shape>
          <o:OLEObject Type="Embed" ProgID="SigmaPlotGraphicObject.4" ShapeID="_x0000_i1027" DrawAspect="Content" ObjectID="_1488876314" r:id="rId91"/>
        </w:object>
      </w:r>
    </w:p>
    <w:p w:rsidR="00E1766B" w:rsidRDefault="00505588">
      <w:pPr>
        <w:pStyle w:val="Caption1"/>
      </w:pPr>
      <w:bookmarkStart w:id="207" w:name="_Ref370286936"/>
      <w:bookmarkStart w:id="208" w:name="_Toc370738771"/>
      <w:r w:rsidRPr="00505588">
        <w:rPr>
          <w:b/>
        </w:rPr>
        <w:t xml:space="preserve">Figure </w:t>
      </w:r>
      <w:r w:rsidR="00D20FAE" w:rsidRPr="00505588">
        <w:rPr>
          <w:b/>
        </w:rPr>
        <w:fldChar w:fldCharType="begin"/>
      </w:r>
      <w:r w:rsidRPr="00505588">
        <w:rPr>
          <w:b/>
        </w:rPr>
        <w:instrText xml:space="preserve"> SEQ Figure \* ARABIC </w:instrText>
      </w:r>
      <w:r w:rsidR="00D20FAE" w:rsidRPr="00505588">
        <w:rPr>
          <w:b/>
        </w:rPr>
        <w:fldChar w:fldCharType="separate"/>
      </w:r>
      <w:r w:rsidR="00436595">
        <w:rPr>
          <w:b/>
          <w:noProof/>
        </w:rPr>
        <w:t>18</w:t>
      </w:r>
      <w:r w:rsidR="00D20FAE" w:rsidRPr="00505588">
        <w:rPr>
          <w:b/>
        </w:rPr>
        <w:fldChar w:fldCharType="end"/>
      </w:r>
      <w:bookmarkEnd w:id="207"/>
      <w:r w:rsidR="008954A4">
        <w:t xml:space="preserve"> </w:t>
      </w:r>
      <w:r w:rsidR="00C11CDF" w:rsidRPr="00AE705B">
        <w:t xml:space="preserve">Density of </w:t>
      </w:r>
      <w:r w:rsidR="00A57475">
        <w:t xml:space="preserve">all </w:t>
      </w:r>
      <w:r w:rsidR="00C11CDF" w:rsidRPr="00AE705B">
        <w:t>microcrustaceans</w:t>
      </w:r>
      <w:r w:rsidR="00A57475">
        <w:t xml:space="preserve">, </w:t>
      </w:r>
      <w:r w:rsidR="00C11CDF" w:rsidRPr="00AE705B">
        <w:t>copepods</w:t>
      </w:r>
      <w:r w:rsidR="00A57475">
        <w:t xml:space="preserve">, Cladoceran and ostracods </w:t>
      </w:r>
      <w:r w:rsidR="00C11CDF" w:rsidRPr="00AE705B">
        <w:t>sampled in benthic and pelagic habitats across the four Murrumbidgee regions [Lowbidgee (red), Mid-Murrumbidgee (green), Western Lakes (purple) and Murrumbidgee River (blue)]. Values are means and standard errors. Note that the Western Lakes were not sampled till October following inflows in September 2012 and the Murrumbidgee River was only sampled in August 2012.</w:t>
      </w:r>
      <w:bookmarkEnd w:id="208"/>
    </w:p>
    <w:p w:rsidR="00A856B8" w:rsidRPr="00A856B8" w:rsidRDefault="00505588" w:rsidP="00A856B8">
      <w:pPr>
        <w:pStyle w:val="Caption1"/>
      </w:pPr>
      <w:bookmarkStart w:id="209" w:name="_Ref370287005"/>
      <w:bookmarkStart w:id="210" w:name="_Toc370738772"/>
      <w:r w:rsidRPr="00505588">
        <w:rPr>
          <w:b/>
        </w:rPr>
        <w:t xml:space="preserve">Table </w:t>
      </w:r>
      <w:r w:rsidR="00D20FAE" w:rsidRPr="00505588">
        <w:rPr>
          <w:b/>
        </w:rPr>
        <w:fldChar w:fldCharType="begin"/>
      </w:r>
      <w:r w:rsidRPr="00505588">
        <w:rPr>
          <w:b/>
        </w:rPr>
        <w:instrText xml:space="preserve"> SEQ Table \* ARABIC </w:instrText>
      </w:r>
      <w:r w:rsidR="00D20FAE" w:rsidRPr="00505588">
        <w:rPr>
          <w:b/>
        </w:rPr>
        <w:fldChar w:fldCharType="separate"/>
      </w:r>
      <w:r w:rsidR="00436595">
        <w:rPr>
          <w:b/>
          <w:noProof/>
        </w:rPr>
        <w:t>5</w:t>
      </w:r>
      <w:r w:rsidR="00D20FAE" w:rsidRPr="00505588">
        <w:rPr>
          <w:b/>
        </w:rPr>
        <w:fldChar w:fldCharType="end"/>
      </w:r>
      <w:bookmarkEnd w:id="209"/>
      <w:r w:rsidR="008954A4">
        <w:t xml:space="preserve"> </w:t>
      </w:r>
      <w:r w:rsidR="00C11CDF" w:rsidRPr="00AE705B">
        <w:t>Permanova results for densities of total microcrustaceans, copepods, cladocerans and ostracods.</w:t>
      </w:r>
      <w:bookmarkEnd w:id="210"/>
    </w:p>
    <w:tbl>
      <w:tblPr>
        <w:tblStyle w:val="TableGrid"/>
        <w:tblW w:w="5000" w:type="pct"/>
        <w:tblLook w:val="04A0"/>
      </w:tblPr>
      <w:tblGrid>
        <w:gridCol w:w="2375"/>
        <w:gridCol w:w="858"/>
        <w:gridCol w:w="858"/>
        <w:gridCol w:w="858"/>
        <w:gridCol w:w="860"/>
        <w:gridCol w:w="858"/>
        <w:gridCol w:w="858"/>
        <w:gridCol w:w="858"/>
        <w:gridCol w:w="860"/>
      </w:tblGrid>
      <w:tr w:rsidR="00F031A1" w:rsidRPr="00AC7B44" w:rsidTr="00F031A1">
        <w:trPr>
          <w:cnfStyle w:val="100000000000"/>
        </w:trPr>
        <w:tc>
          <w:tcPr>
            <w:tcW w:w="1285" w:type="pct"/>
          </w:tcPr>
          <w:p w:rsidR="00E1766B" w:rsidRDefault="00C11CDF">
            <w:pPr>
              <w:pStyle w:val="Tabletext"/>
              <w:rPr>
                <w:b/>
                <w:bCs/>
                <w:color w:val="07601F"/>
                <w:kern w:val="32"/>
              </w:rPr>
            </w:pPr>
            <w:r w:rsidRPr="00AC7B44">
              <w:t>Term</w:t>
            </w:r>
          </w:p>
        </w:tc>
        <w:tc>
          <w:tcPr>
            <w:tcW w:w="928" w:type="pct"/>
            <w:gridSpan w:val="2"/>
          </w:tcPr>
          <w:p w:rsidR="00E1766B" w:rsidRDefault="0063496A">
            <w:pPr>
              <w:pStyle w:val="Tabletext"/>
              <w:rPr>
                <w:b/>
                <w:bCs/>
                <w:color w:val="07601F"/>
                <w:kern w:val="32"/>
              </w:rPr>
            </w:pPr>
            <w:r>
              <w:t xml:space="preserve">Total </w:t>
            </w:r>
            <w:r w:rsidR="00C11CDF" w:rsidRPr="00AC7B44">
              <w:t>Density</w:t>
            </w:r>
          </w:p>
        </w:tc>
        <w:tc>
          <w:tcPr>
            <w:tcW w:w="929" w:type="pct"/>
            <w:gridSpan w:val="2"/>
          </w:tcPr>
          <w:p w:rsidR="00E1766B" w:rsidRDefault="00C11CDF">
            <w:pPr>
              <w:pStyle w:val="Tabletext"/>
              <w:rPr>
                <w:b/>
                <w:bCs/>
                <w:color w:val="07601F"/>
                <w:kern w:val="32"/>
              </w:rPr>
            </w:pPr>
            <w:r>
              <w:t>Copepod density</w:t>
            </w:r>
          </w:p>
        </w:tc>
        <w:tc>
          <w:tcPr>
            <w:tcW w:w="928" w:type="pct"/>
            <w:gridSpan w:val="2"/>
          </w:tcPr>
          <w:p w:rsidR="00E1766B" w:rsidRDefault="00C11CDF">
            <w:pPr>
              <w:pStyle w:val="Tabletext"/>
              <w:rPr>
                <w:b/>
                <w:bCs/>
                <w:color w:val="07601F"/>
                <w:kern w:val="32"/>
              </w:rPr>
            </w:pPr>
            <w:r>
              <w:t>Cladocera density</w:t>
            </w:r>
          </w:p>
        </w:tc>
        <w:tc>
          <w:tcPr>
            <w:tcW w:w="929" w:type="pct"/>
            <w:gridSpan w:val="2"/>
          </w:tcPr>
          <w:p w:rsidR="00E1766B" w:rsidRDefault="00C11CDF">
            <w:pPr>
              <w:pStyle w:val="Tabletext"/>
              <w:rPr>
                <w:b/>
                <w:bCs/>
                <w:color w:val="07601F"/>
                <w:kern w:val="32"/>
              </w:rPr>
            </w:pPr>
            <w:r>
              <w:t>Ostracod density</w:t>
            </w:r>
          </w:p>
        </w:tc>
      </w:tr>
      <w:tr w:rsidR="00F031A1" w:rsidRPr="00AC7B44" w:rsidTr="00F031A1">
        <w:tc>
          <w:tcPr>
            <w:tcW w:w="1285" w:type="pct"/>
          </w:tcPr>
          <w:p w:rsidR="00E1766B" w:rsidRDefault="00E1766B">
            <w:pPr>
              <w:pStyle w:val="Tabletext"/>
              <w:rPr>
                <w:rFonts w:eastAsia="Calibri"/>
              </w:rPr>
            </w:pPr>
          </w:p>
        </w:tc>
        <w:tc>
          <w:tcPr>
            <w:tcW w:w="464" w:type="pct"/>
          </w:tcPr>
          <w:p w:rsidR="00E1766B" w:rsidRDefault="00C11CDF">
            <w:pPr>
              <w:pStyle w:val="Tabletext"/>
              <w:rPr>
                <w:rFonts w:eastAsia="Calibri"/>
              </w:rPr>
            </w:pPr>
            <w:r w:rsidRPr="00AC7B44">
              <w:t>F</w:t>
            </w:r>
          </w:p>
        </w:tc>
        <w:tc>
          <w:tcPr>
            <w:tcW w:w="464" w:type="pct"/>
          </w:tcPr>
          <w:p w:rsidR="00E1766B" w:rsidRDefault="00C11CDF">
            <w:pPr>
              <w:pStyle w:val="Tabletext"/>
              <w:rPr>
                <w:rFonts w:eastAsia="Calibri"/>
              </w:rPr>
            </w:pPr>
            <w:r w:rsidRPr="00AC7B44">
              <w:t>p</w:t>
            </w:r>
          </w:p>
        </w:tc>
        <w:tc>
          <w:tcPr>
            <w:tcW w:w="464" w:type="pct"/>
          </w:tcPr>
          <w:p w:rsidR="00E1766B" w:rsidRDefault="00C11CDF">
            <w:pPr>
              <w:pStyle w:val="Tabletext"/>
              <w:rPr>
                <w:rFonts w:eastAsia="Calibri"/>
              </w:rPr>
            </w:pPr>
            <w:r w:rsidRPr="00AC7B44">
              <w:t>F</w:t>
            </w:r>
          </w:p>
        </w:tc>
        <w:tc>
          <w:tcPr>
            <w:tcW w:w="465" w:type="pct"/>
          </w:tcPr>
          <w:p w:rsidR="00E1766B" w:rsidRDefault="00C11CDF">
            <w:pPr>
              <w:pStyle w:val="Tabletext"/>
              <w:rPr>
                <w:rFonts w:eastAsia="Calibri"/>
              </w:rPr>
            </w:pPr>
            <w:r w:rsidRPr="00AC7B44">
              <w:t>p</w:t>
            </w:r>
          </w:p>
        </w:tc>
        <w:tc>
          <w:tcPr>
            <w:tcW w:w="464" w:type="pct"/>
          </w:tcPr>
          <w:p w:rsidR="00E1766B" w:rsidRDefault="00C11CDF">
            <w:pPr>
              <w:pStyle w:val="Tabletext"/>
              <w:rPr>
                <w:rFonts w:eastAsia="Calibri"/>
              </w:rPr>
            </w:pPr>
            <w:r w:rsidRPr="00AC7B44">
              <w:t>F</w:t>
            </w:r>
          </w:p>
        </w:tc>
        <w:tc>
          <w:tcPr>
            <w:tcW w:w="464" w:type="pct"/>
          </w:tcPr>
          <w:p w:rsidR="00E1766B" w:rsidRDefault="00C11CDF">
            <w:pPr>
              <w:pStyle w:val="Tabletext"/>
              <w:rPr>
                <w:rFonts w:eastAsia="Calibri"/>
              </w:rPr>
            </w:pPr>
            <w:r w:rsidRPr="00AC7B44">
              <w:t>p</w:t>
            </w:r>
          </w:p>
        </w:tc>
        <w:tc>
          <w:tcPr>
            <w:tcW w:w="464" w:type="pct"/>
          </w:tcPr>
          <w:p w:rsidR="00E1766B" w:rsidRDefault="00C11CDF">
            <w:pPr>
              <w:pStyle w:val="Tabletext"/>
              <w:rPr>
                <w:rFonts w:eastAsia="Calibri"/>
              </w:rPr>
            </w:pPr>
            <w:r>
              <w:t>F</w:t>
            </w:r>
          </w:p>
        </w:tc>
        <w:tc>
          <w:tcPr>
            <w:tcW w:w="465" w:type="pct"/>
          </w:tcPr>
          <w:p w:rsidR="00E1766B" w:rsidRDefault="00C11CDF">
            <w:pPr>
              <w:pStyle w:val="Tabletext"/>
              <w:rPr>
                <w:rFonts w:eastAsia="Calibri"/>
              </w:rPr>
            </w:pPr>
            <w:r>
              <w:t>p</w:t>
            </w:r>
          </w:p>
        </w:tc>
      </w:tr>
      <w:tr w:rsidR="00F031A1" w:rsidRPr="00AC7B44" w:rsidTr="00F031A1">
        <w:tc>
          <w:tcPr>
            <w:tcW w:w="1285" w:type="pct"/>
          </w:tcPr>
          <w:p w:rsidR="00E1766B" w:rsidRDefault="00393BFB">
            <w:pPr>
              <w:pStyle w:val="Tabletext"/>
              <w:rPr>
                <w:rFonts w:eastAsia="Calibri"/>
              </w:rPr>
            </w:pPr>
            <w:r>
              <w:t xml:space="preserve">1. </w:t>
            </w:r>
            <w:r w:rsidRPr="00AC7B44">
              <w:t>Time</w:t>
            </w:r>
          </w:p>
        </w:tc>
        <w:tc>
          <w:tcPr>
            <w:tcW w:w="464" w:type="pct"/>
          </w:tcPr>
          <w:p w:rsidR="00E1766B" w:rsidRDefault="00393BFB">
            <w:pPr>
              <w:pStyle w:val="Tabletext"/>
              <w:rPr>
                <w:rFonts w:eastAsia="Calibri"/>
              </w:rPr>
            </w:pPr>
            <w:r>
              <w:t>2.00</w:t>
            </w:r>
          </w:p>
        </w:tc>
        <w:tc>
          <w:tcPr>
            <w:tcW w:w="464" w:type="pct"/>
          </w:tcPr>
          <w:p w:rsidR="00E1766B" w:rsidRDefault="00393BFB">
            <w:pPr>
              <w:pStyle w:val="Tabletext"/>
              <w:rPr>
                <w:rFonts w:eastAsia="Calibri"/>
              </w:rPr>
            </w:pPr>
            <w:r>
              <w:t>0.034</w:t>
            </w:r>
          </w:p>
        </w:tc>
        <w:tc>
          <w:tcPr>
            <w:tcW w:w="464" w:type="pct"/>
          </w:tcPr>
          <w:p w:rsidR="00E1766B" w:rsidRDefault="00393BFB">
            <w:pPr>
              <w:pStyle w:val="Tabletext"/>
              <w:rPr>
                <w:rFonts w:eastAsia="Calibri"/>
              </w:rPr>
            </w:pPr>
            <w:r>
              <w:t>3.10</w:t>
            </w:r>
          </w:p>
        </w:tc>
        <w:tc>
          <w:tcPr>
            <w:tcW w:w="465" w:type="pct"/>
          </w:tcPr>
          <w:p w:rsidR="00E1766B" w:rsidRDefault="00393BFB">
            <w:pPr>
              <w:pStyle w:val="Tabletext"/>
              <w:rPr>
                <w:rFonts w:eastAsia="Calibri"/>
              </w:rPr>
            </w:pPr>
            <w:r>
              <w:t>0.009</w:t>
            </w:r>
          </w:p>
        </w:tc>
        <w:tc>
          <w:tcPr>
            <w:tcW w:w="464" w:type="pct"/>
          </w:tcPr>
          <w:p w:rsidR="00E1766B" w:rsidRDefault="00393BFB">
            <w:pPr>
              <w:pStyle w:val="Tabletext"/>
              <w:rPr>
                <w:rFonts w:eastAsia="Calibri"/>
              </w:rPr>
            </w:pPr>
            <w:r>
              <w:t>1.80</w:t>
            </w:r>
          </w:p>
        </w:tc>
        <w:tc>
          <w:tcPr>
            <w:tcW w:w="464" w:type="pct"/>
          </w:tcPr>
          <w:p w:rsidR="00E1766B" w:rsidRDefault="00393BFB">
            <w:pPr>
              <w:pStyle w:val="Tabletext"/>
              <w:rPr>
                <w:rFonts w:eastAsia="Calibri"/>
              </w:rPr>
            </w:pPr>
            <w:r>
              <w:t>0.062</w:t>
            </w:r>
          </w:p>
        </w:tc>
        <w:tc>
          <w:tcPr>
            <w:tcW w:w="464" w:type="pct"/>
          </w:tcPr>
          <w:p w:rsidR="00E1766B" w:rsidRDefault="00393BFB">
            <w:pPr>
              <w:pStyle w:val="Tabletext"/>
              <w:rPr>
                <w:rFonts w:eastAsia="Calibri"/>
              </w:rPr>
            </w:pPr>
            <w:r>
              <w:t>4.28</w:t>
            </w:r>
          </w:p>
        </w:tc>
        <w:tc>
          <w:tcPr>
            <w:tcW w:w="465" w:type="pct"/>
          </w:tcPr>
          <w:p w:rsidR="00E1766B" w:rsidRDefault="00393BFB">
            <w:pPr>
              <w:pStyle w:val="Tabletext"/>
              <w:rPr>
                <w:rFonts w:eastAsia="Calibri"/>
              </w:rPr>
            </w:pPr>
            <w:r>
              <w:t>0.003</w:t>
            </w:r>
          </w:p>
        </w:tc>
      </w:tr>
      <w:tr w:rsidR="00F031A1" w:rsidRPr="00AC7B44" w:rsidTr="00F031A1">
        <w:tc>
          <w:tcPr>
            <w:tcW w:w="1285" w:type="pct"/>
          </w:tcPr>
          <w:p w:rsidR="00E1766B" w:rsidRDefault="00393BFB">
            <w:pPr>
              <w:pStyle w:val="Tabletext"/>
              <w:rPr>
                <w:rFonts w:eastAsia="Calibri"/>
              </w:rPr>
            </w:pPr>
            <w:r>
              <w:t xml:space="preserve">2. </w:t>
            </w:r>
            <w:r w:rsidRPr="00AC7B44">
              <w:t>Region</w:t>
            </w:r>
          </w:p>
        </w:tc>
        <w:tc>
          <w:tcPr>
            <w:tcW w:w="464" w:type="pct"/>
          </w:tcPr>
          <w:p w:rsidR="00E1766B" w:rsidRDefault="00393BFB">
            <w:pPr>
              <w:pStyle w:val="Tabletext"/>
              <w:rPr>
                <w:rFonts w:eastAsia="Calibri"/>
              </w:rPr>
            </w:pPr>
            <w:r>
              <w:t>2.35</w:t>
            </w:r>
          </w:p>
        </w:tc>
        <w:tc>
          <w:tcPr>
            <w:tcW w:w="464" w:type="pct"/>
          </w:tcPr>
          <w:p w:rsidR="00E1766B" w:rsidRDefault="00393BFB">
            <w:pPr>
              <w:pStyle w:val="Tabletext"/>
              <w:rPr>
                <w:rFonts w:eastAsia="Calibri"/>
              </w:rPr>
            </w:pPr>
            <w:r>
              <w:t>0.025</w:t>
            </w:r>
          </w:p>
        </w:tc>
        <w:tc>
          <w:tcPr>
            <w:tcW w:w="464" w:type="pct"/>
          </w:tcPr>
          <w:p w:rsidR="00E1766B" w:rsidRDefault="00393BFB">
            <w:pPr>
              <w:pStyle w:val="Tabletext"/>
              <w:rPr>
                <w:rFonts w:eastAsia="Calibri"/>
              </w:rPr>
            </w:pPr>
            <w:r>
              <w:t>3.82</w:t>
            </w:r>
          </w:p>
        </w:tc>
        <w:tc>
          <w:tcPr>
            <w:tcW w:w="465" w:type="pct"/>
          </w:tcPr>
          <w:p w:rsidR="00E1766B" w:rsidRDefault="00393BFB">
            <w:pPr>
              <w:pStyle w:val="Tabletext"/>
              <w:rPr>
                <w:rFonts w:eastAsia="Calibri"/>
              </w:rPr>
            </w:pPr>
            <w:r>
              <w:t>0.014</w:t>
            </w:r>
          </w:p>
        </w:tc>
        <w:tc>
          <w:tcPr>
            <w:tcW w:w="464" w:type="pct"/>
          </w:tcPr>
          <w:p w:rsidR="00E1766B" w:rsidRDefault="00393BFB">
            <w:pPr>
              <w:pStyle w:val="Tabletext"/>
              <w:rPr>
                <w:rFonts w:eastAsia="Calibri"/>
              </w:rPr>
            </w:pPr>
            <w:r>
              <w:t>0.84</w:t>
            </w:r>
          </w:p>
        </w:tc>
        <w:tc>
          <w:tcPr>
            <w:tcW w:w="464" w:type="pct"/>
          </w:tcPr>
          <w:p w:rsidR="00E1766B" w:rsidRDefault="00393BFB">
            <w:pPr>
              <w:pStyle w:val="Tabletext"/>
              <w:rPr>
                <w:rFonts w:eastAsia="Calibri"/>
              </w:rPr>
            </w:pPr>
            <w:r>
              <w:t>0.530</w:t>
            </w:r>
          </w:p>
        </w:tc>
        <w:tc>
          <w:tcPr>
            <w:tcW w:w="464" w:type="pct"/>
          </w:tcPr>
          <w:p w:rsidR="00E1766B" w:rsidRDefault="00393BFB">
            <w:pPr>
              <w:pStyle w:val="Tabletext"/>
              <w:rPr>
                <w:rFonts w:eastAsia="Calibri"/>
              </w:rPr>
            </w:pPr>
            <w:r>
              <w:t>0.59</w:t>
            </w:r>
          </w:p>
        </w:tc>
        <w:tc>
          <w:tcPr>
            <w:tcW w:w="465" w:type="pct"/>
          </w:tcPr>
          <w:p w:rsidR="00E1766B" w:rsidRDefault="00393BFB">
            <w:pPr>
              <w:pStyle w:val="Tabletext"/>
              <w:rPr>
                <w:rFonts w:eastAsia="Calibri"/>
              </w:rPr>
            </w:pPr>
            <w:r>
              <w:t>0.670</w:t>
            </w:r>
          </w:p>
        </w:tc>
      </w:tr>
      <w:tr w:rsidR="00F031A1" w:rsidRPr="00AC7B44" w:rsidTr="00F031A1">
        <w:tc>
          <w:tcPr>
            <w:tcW w:w="1285" w:type="pct"/>
          </w:tcPr>
          <w:p w:rsidR="00E1766B" w:rsidRDefault="00393BFB">
            <w:pPr>
              <w:pStyle w:val="Tabletext"/>
              <w:rPr>
                <w:rFonts w:eastAsia="Calibri"/>
              </w:rPr>
            </w:pPr>
            <w:r>
              <w:t>3. Microhabitat</w:t>
            </w:r>
          </w:p>
        </w:tc>
        <w:tc>
          <w:tcPr>
            <w:tcW w:w="464" w:type="pct"/>
          </w:tcPr>
          <w:p w:rsidR="00E1766B" w:rsidRDefault="00393BFB">
            <w:pPr>
              <w:pStyle w:val="Tabletext"/>
              <w:rPr>
                <w:rFonts w:eastAsia="Calibri"/>
              </w:rPr>
            </w:pPr>
            <w:r>
              <w:t>0.71</w:t>
            </w:r>
          </w:p>
        </w:tc>
        <w:tc>
          <w:tcPr>
            <w:tcW w:w="464" w:type="pct"/>
          </w:tcPr>
          <w:p w:rsidR="00E1766B" w:rsidRDefault="00393BFB">
            <w:pPr>
              <w:pStyle w:val="Tabletext"/>
              <w:rPr>
                <w:rFonts w:eastAsia="Calibri"/>
              </w:rPr>
            </w:pPr>
            <w:r>
              <w:t>0.532</w:t>
            </w:r>
          </w:p>
        </w:tc>
        <w:tc>
          <w:tcPr>
            <w:tcW w:w="464" w:type="pct"/>
          </w:tcPr>
          <w:p w:rsidR="00E1766B" w:rsidRDefault="00393BFB">
            <w:pPr>
              <w:pStyle w:val="Tabletext"/>
              <w:rPr>
                <w:rFonts w:eastAsia="Calibri"/>
              </w:rPr>
            </w:pPr>
            <w:r>
              <w:t>1.93</w:t>
            </w:r>
          </w:p>
        </w:tc>
        <w:tc>
          <w:tcPr>
            <w:tcW w:w="465" w:type="pct"/>
          </w:tcPr>
          <w:p w:rsidR="00E1766B" w:rsidRDefault="00393BFB">
            <w:pPr>
              <w:pStyle w:val="Tabletext"/>
              <w:rPr>
                <w:rFonts w:eastAsia="Calibri"/>
              </w:rPr>
            </w:pPr>
            <w:r>
              <w:t>0.14</w:t>
            </w:r>
          </w:p>
        </w:tc>
        <w:tc>
          <w:tcPr>
            <w:tcW w:w="464" w:type="pct"/>
          </w:tcPr>
          <w:p w:rsidR="00E1766B" w:rsidRDefault="00393BFB">
            <w:pPr>
              <w:pStyle w:val="Tabletext"/>
              <w:rPr>
                <w:rFonts w:eastAsia="Calibri"/>
              </w:rPr>
            </w:pPr>
            <w:r>
              <w:t>1.15</w:t>
            </w:r>
          </w:p>
        </w:tc>
        <w:tc>
          <w:tcPr>
            <w:tcW w:w="464" w:type="pct"/>
          </w:tcPr>
          <w:p w:rsidR="00E1766B" w:rsidRDefault="00393BFB">
            <w:pPr>
              <w:pStyle w:val="Tabletext"/>
              <w:rPr>
                <w:rFonts w:eastAsia="Calibri"/>
              </w:rPr>
            </w:pPr>
            <w:r>
              <w:t>0.299</w:t>
            </w:r>
          </w:p>
        </w:tc>
        <w:tc>
          <w:tcPr>
            <w:tcW w:w="464" w:type="pct"/>
          </w:tcPr>
          <w:p w:rsidR="00E1766B" w:rsidRDefault="00393BFB">
            <w:pPr>
              <w:pStyle w:val="Tabletext"/>
              <w:rPr>
                <w:rFonts w:eastAsia="Calibri"/>
              </w:rPr>
            </w:pPr>
            <w:r>
              <w:t>31.74</w:t>
            </w:r>
          </w:p>
        </w:tc>
        <w:tc>
          <w:tcPr>
            <w:tcW w:w="465" w:type="pct"/>
          </w:tcPr>
          <w:p w:rsidR="00E1766B" w:rsidRDefault="00393BFB">
            <w:pPr>
              <w:pStyle w:val="Tabletext"/>
              <w:rPr>
                <w:rFonts w:eastAsia="Calibri"/>
              </w:rPr>
            </w:pPr>
            <w:r>
              <w:t>0.001</w:t>
            </w:r>
          </w:p>
        </w:tc>
      </w:tr>
      <w:tr w:rsidR="00F031A1" w:rsidRPr="00AC7B44" w:rsidTr="00F031A1">
        <w:tc>
          <w:tcPr>
            <w:tcW w:w="1285" w:type="pct"/>
          </w:tcPr>
          <w:p w:rsidR="00E1766B" w:rsidRDefault="00393BFB">
            <w:pPr>
              <w:pStyle w:val="Tabletext"/>
              <w:rPr>
                <w:rFonts w:eastAsia="Calibri"/>
              </w:rPr>
            </w:pPr>
            <w:r>
              <w:t>4. Time x region</w:t>
            </w:r>
          </w:p>
        </w:tc>
        <w:tc>
          <w:tcPr>
            <w:tcW w:w="464" w:type="pct"/>
          </w:tcPr>
          <w:p w:rsidR="00E1766B" w:rsidRDefault="00393BFB">
            <w:pPr>
              <w:pStyle w:val="Tabletext"/>
              <w:rPr>
                <w:rFonts w:eastAsia="Calibri"/>
              </w:rPr>
            </w:pPr>
            <w:r>
              <w:t>1.68</w:t>
            </w:r>
          </w:p>
        </w:tc>
        <w:tc>
          <w:tcPr>
            <w:tcW w:w="464" w:type="pct"/>
          </w:tcPr>
          <w:p w:rsidR="00E1766B" w:rsidRDefault="00393BFB">
            <w:pPr>
              <w:pStyle w:val="Tabletext"/>
              <w:rPr>
                <w:rFonts w:eastAsia="Calibri"/>
              </w:rPr>
            </w:pPr>
            <w:r>
              <w:t>0.045</w:t>
            </w:r>
          </w:p>
        </w:tc>
        <w:tc>
          <w:tcPr>
            <w:tcW w:w="464" w:type="pct"/>
          </w:tcPr>
          <w:p w:rsidR="00E1766B" w:rsidRDefault="00393BFB">
            <w:pPr>
              <w:pStyle w:val="Tabletext"/>
              <w:rPr>
                <w:rFonts w:eastAsia="Calibri"/>
              </w:rPr>
            </w:pPr>
            <w:r>
              <w:t>2.54</w:t>
            </w:r>
          </w:p>
        </w:tc>
        <w:tc>
          <w:tcPr>
            <w:tcW w:w="465" w:type="pct"/>
          </w:tcPr>
          <w:p w:rsidR="00E1766B" w:rsidRDefault="00393BFB">
            <w:pPr>
              <w:pStyle w:val="Tabletext"/>
              <w:rPr>
                <w:rFonts w:eastAsia="Calibri"/>
              </w:rPr>
            </w:pPr>
            <w:r>
              <w:t>0.014</w:t>
            </w:r>
          </w:p>
        </w:tc>
        <w:tc>
          <w:tcPr>
            <w:tcW w:w="464" w:type="pct"/>
          </w:tcPr>
          <w:p w:rsidR="00E1766B" w:rsidRDefault="00393BFB">
            <w:pPr>
              <w:pStyle w:val="Tabletext"/>
              <w:rPr>
                <w:rFonts w:eastAsia="Calibri"/>
              </w:rPr>
            </w:pPr>
            <w:r>
              <w:t>1.31</w:t>
            </w:r>
          </w:p>
        </w:tc>
        <w:tc>
          <w:tcPr>
            <w:tcW w:w="464" w:type="pct"/>
          </w:tcPr>
          <w:p w:rsidR="00E1766B" w:rsidRDefault="00393BFB">
            <w:pPr>
              <w:pStyle w:val="Tabletext"/>
              <w:rPr>
                <w:rFonts w:eastAsia="Calibri"/>
              </w:rPr>
            </w:pPr>
            <w:r>
              <w:t>0.202</w:t>
            </w:r>
          </w:p>
        </w:tc>
        <w:tc>
          <w:tcPr>
            <w:tcW w:w="464" w:type="pct"/>
          </w:tcPr>
          <w:p w:rsidR="00E1766B" w:rsidRDefault="00393BFB">
            <w:pPr>
              <w:pStyle w:val="Tabletext"/>
              <w:rPr>
                <w:rFonts w:eastAsia="Calibri"/>
              </w:rPr>
            </w:pPr>
            <w:r>
              <w:t>2.93</w:t>
            </w:r>
          </w:p>
        </w:tc>
        <w:tc>
          <w:tcPr>
            <w:tcW w:w="465" w:type="pct"/>
          </w:tcPr>
          <w:p w:rsidR="00E1766B" w:rsidRDefault="00393BFB">
            <w:pPr>
              <w:pStyle w:val="Tabletext"/>
              <w:rPr>
                <w:rFonts w:eastAsia="Calibri"/>
              </w:rPr>
            </w:pPr>
            <w:r>
              <w:t>0.006</w:t>
            </w:r>
          </w:p>
        </w:tc>
      </w:tr>
      <w:tr w:rsidR="00F031A1" w:rsidRPr="00AC7B44" w:rsidTr="00F031A1">
        <w:tc>
          <w:tcPr>
            <w:tcW w:w="1285" w:type="pct"/>
          </w:tcPr>
          <w:p w:rsidR="00E1766B" w:rsidRDefault="00393BFB">
            <w:pPr>
              <w:pStyle w:val="Tabletext"/>
              <w:rPr>
                <w:rFonts w:eastAsia="Calibri"/>
              </w:rPr>
            </w:pPr>
            <w:r>
              <w:t>5. Time x microhabitat</w:t>
            </w:r>
          </w:p>
        </w:tc>
        <w:tc>
          <w:tcPr>
            <w:tcW w:w="464" w:type="pct"/>
          </w:tcPr>
          <w:p w:rsidR="00E1766B" w:rsidRDefault="00393BFB">
            <w:pPr>
              <w:pStyle w:val="Tabletext"/>
              <w:rPr>
                <w:rFonts w:eastAsia="Calibri"/>
              </w:rPr>
            </w:pPr>
            <w:r>
              <w:t>2.82</w:t>
            </w:r>
          </w:p>
        </w:tc>
        <w:tc>
          <w:tcPr>
            <w:tcW w:w="464" w:type="pct"/>
          </w:tcPr>
          <w:p w:rsidR="00E1766B" w:rsidRDefault="00393BFB">
            <w:pPr>
              <w:pStyle w:val="Tabletext"/>
              <w:rPr>
                <w:rFonts w:eastAsia="Calibri"/>
              </w:rPr>
            </w:pPr>
            <w:r>
              <w:t>0.004</w:t>
            </w:r>
          </w:p>
        </w:tc>
        <w:tc>
          <w:tcPr>
            <w:tcW w:w="464" w:type="pct"/>
          </w:tcPr>
          <w:p w:rsidR="00E1766B" w:rsidRDefault="00393BFB">
            <w:pPr>
              <w:pStyle w:val="Tabletext"/>
              <w:rPr>
                <w:rFonts w:eastAsia="Calibri"/>
              </w:rPr>
            </w:pPr>
            <w:r>
              <w:t>3.25</w:t>
            </w:r>
          </w:p>
        </w:tc>
        <w:tc>
          <w:tcPr>
            <w:tcW w:w="465" w:type="pct"/>
          </w:tcPr>
          <w:p w:rsidR="00E1766B" w:rsidRDefault="00393BFB">
            <w:pPr>
              <w:pStyle w:val="Tabletext"/>
              <w:rPr>
                <w:rFonts w:eastAsia="Calibri"/>
              </w:rPr>
            </w:pPr>
            <w:r>
              <w:t>0.005</w:t>
            </w:r>
          </w:p>
        </w:tc>
        <w:tc>
          <w:tcPr>
            <w:tcW w:w="464" w:type="pct"/>
          </w:tcPr>
          <w:p w:rsidR="00E1766B" w:rsidRDefault="00393BFB">
            <w:pPr>
              <w:pStyle w:val="Tabletext"/>
              <w:rPr>
                <w:rFonts w:eastAsia="Calibri"/>
              </w:rPr>
            </w:pPr>
            <w:r>
              <w:t>0.76</w:t>
            </w:r>
          </w:p>
        </w:tc>
        <w:tc>
          <w:tcPr>
            <w:tcW w:w="464" w:type="pct"/>
          </w:tcPr>
          <w:p w:rsidR="00E1766B" w:rsidRDefault="00393BFB">
            <w:pPr>
              <w:pStyle w:val="Tabletext"/>
              <w:rPr>
                <w:rFonts w:eastAsia="Calibri"/>
              </w:rPr>
            </w:pPr>
            <w:r>
              <w:t>0.651</w:t>
            </w:r>
          </w:p>
        </w:tc>
        <w:tc>
          <w:tcPr>
            <w:tcW w:w="464" w:type="pct"/>
          </w:tcPr>
          <w:p w:rsidR="00E1766B" w:rsidRDefault="00393BFB">
            <w:pPr>
              <w:pStyle w:val="Tabletext"/>
              <w:rPr>
                <w:rFonts w:eastAsia="Calibri"/>
              </w:rPr>
            </w:pPr>
            <w:r>
              <w:t>0.61</w:t>
            </w:r>
          </w:p>
        </w:tc>
        <w:tc>
          <w:tcPr>
            <w:tcW w:w="465" w:type="pct"/>
          </w:tcPr>
          <w:p w:rsidR="00E1766B" w:rsidRDefault="00393BFB">
            <w:pPr>
              <w:pStyle w:val="Tabletext"/>
              <w:rPr>
                <w:rFonts w:eastAsia="Calibri"/>
              </w:rPr>
            </w:pPr>
            <w:r>
              <w:t>0.694</w:t>
            </w:r>
          </w:p>
        </w:tc>
      </w:tr>
      <w:tr w:rsidR="00F031A1" w:rsidRPr="00AC7B44" w:rsidTr="00F031A1">
        <w:tc>
          <w:tcPr>
            <w:tcW w:w="1285" w:type="pct"/>
          </w:tcPr>
          <w:p w:rsidR="00E1766B" w:rsidRDefault="00393BFB">
            <w:pPr>
              <w:pStyle w:val="Tabletext"/>
              <w:rPr>
                <w:rFonts w:eastAsia="Calibri"/>
              </w:rPr>
            </w:pPr>
            <w:r>
              <w:t>6. region x microhabitat</w:t>
            </w:r>
          </w:p>
        </w:tc>
        <w:tc>
          <w:tcPr>
            <w:tcW w:w="464" w:type="pct"/>
          </w:tcPr>
          <w:p w:rsidR="00E1766B" w:rsidRDefault="00393BFB">
            <w:pPr>
              <w:pStyle w:val="Tabletext"/>
              <w:rPr>
                <w:rFonts w:eastAsia="Calibri"/>
              </w:rPr>
            </w:pPr>
            <w:r>
              <w:t>1.11</w:t>
            </w:r>
          </w:p>
        </w:tc>
        <w:tc>
          <w:tcPr>
            <w:tcW w:w="464" w:type="pct"/>
          </w:tcPr>
          <w:p w:rsidR="00E1766B" w:rsidRDefault="00393BFB">
            <w:pPr>
              <w:pStyle w:val="Tabletext"/>
              <w:rPr>
                <w:rFonts w:eastAsia="Calibri"/>
              </w:rPr>
            </w:pPr>
            <w:r>
              <w:t>0.355</w:t>
            </w:r>
          </w:p>
        </w:tc>
        <w:tc>
          <w:tcPr>
            <w:tcW w:w="464" w:type="pct"/>
          </w:tcPr>
          <w:p w:rsidR="00E1766B" w:rsidRDefault="00393BFB">
            <w:pPr>
              <w:pStyle w:val="Tabletext"/>
              <w:rPr>
                <w:rFonts w:eastAsia="Calibri"/>
              </w:rPr>
            </w:pPr>
            <w:r>
              <w:t>0.89</w:t>
            </w:r>
          </w:p>
        </w:tc>
        <w:tc>
          <w:tcPr>
            <w:tcW w:w="465" w:type="pct"/>
          </w:tcPr>
          <w:p w:rsidR="00E1766B" w:rsidRDefault="00393BFB">
            <w:pPr>
              <w:pStyle w:val="Tabletext"/>
              <w:rPr>
                <w:rFonts w:eastAsia="Calibri"/>
              </w:rPr>
            </w:pPr>
            <w:r>
              <w:t>0.445</w:t>
            </w:r>
          </w:p>
        </w:tc>
        <w:tc>
          <w:tcPr>
            <w:tcW w:w="464" w:type="pct"/>
          </w:tcPr>
          <w:p w:rsidR="00E1766B" w:rsidRDefault="00393BFB">
            <w:pPr>
              <w:pStyle w:val="Tabletext"/>
              <w:rPr>
                <w:rFonts w:eastAsia="Calibri"/>
              </w:rPr>
            </w:pPr>
            <w:r>
              <w:t>1.17</w:t>
            </w:r>
          </w:p>
        </w:tc>
        <w:tc>
          <w:tcPr>
            <w:tcW w:w="464" w:type="pct"/>
          </w:tcPr>
          <w:p w:rsidR="00E1766B" w:rsidRDefault="00393BFB">
            <w:pPr>
              <w:pStyle w:val="Tabletext"/>
              <w:rPr>
                <w:rFonts w:eastAsia="Calibri"/>
              </w:rPr>
            </w:pPr>
            <w:r>
              <w:t>0.326</w:t>
            </w:r>
          </w:p>
        </w:tc>
        <w:tc>
          <w:tcPr>
            <w:tcW w:w="464" w:type="pct"/>
          </w:tcPr>
          <w:p w:rsidR="00E1766B" w:rsidRDefault="00393BFB">
            <w:pPr>
              <w:pStyle w:val="Tabletext"/>
              <w:rPr>
                <w:rFonts w:eastAsia="Calibri"/>
              </w:rPr>
            </w:pPr>
            <w:r>
              <w:t>2.34</w:t>
            </w:r>
          </w:p>
        </w:tc>
        <w:tc>
          <w:tcPr>
            <w:tcW w:w="465" w:type="pct"/>
          </w:tcPr>
          <w:p w:rsidR="00E1766B" w:rsidRDefault="00393BFB">
            <w:pPr>
              <w:pStyle w:val="Tabletext"/>
              <w:rPr>
                <w:rFonts w:eastAsia="Calibri"/>
              </w:rPr>
            </w:pPr>
            <w:r>
              <w:t>0.107</w:t>
            </w:r>
          </w:p>
        </w:tc>
      </w:tr>
      <w:tr w:rsidR="00F031A1" w:rsidRPr="00AC7B44" w:rsidTr="00F031A1">
        <w:tc>
          <w:tcPr>
            <w:tcW w:w="1285" w:type="pct"/>
          </w:tcPr>
          <w:p w:rsidR="00E1766B" w:rsidRDefault="00393BFB">
            <w:pPr>
              <w:pStyle w:val="Tabletext"/>
              <w:rPr>
                <w:rFonts w:eastAsia="Calibri"/>
              </w:rPr>
            </w:pPr>
            <w:r>
              <w:t>7. Time x region x microhabitat</w:t>
            </w:r>
          </w:p>
        </w:tc>
        <w:tc>
          <w:tcPr>
            <w:tcW w:w="464" w:type="pct"/>
          </w:tcPr>
          <w:p w:rsidR="00E1766B" w:rsidRDefault="00393BFB">
            <w:pPr>
              <w:pStyle w:val="Tabletext"/>
              <w:rPr>
                <w:rFonts w:eastAsia="Calibri"/>
              </w:rPr>
            </w:pPr>
            <w:r>
              <w:t>0.88</w:t>
            </w:r>
          </w:p>
        </w:tc>
        <w:tc>
          <w:tcPr>
            <w:tcW w:w="464" w:type="pct"/>
          </w:tcPr>
          <w:p w:rsidR="00E1766B" w:rsidRDefault="00393BFB">
            <w:pPr>
              <w:pStyle w:val="Tabletext"/>
              <w:rPr>
                <w:rFonts w:eastAsia="Calibri"/>
              </w:rPr>
            </w:pPr>
            <w:r>
              <w:t>0.605</w:t>
            </w:r>
          </w:p>
        </w:tc>
        <w:tc>
          <w:tcPr>
            <w:tcW w:w="464" w:type="pct"/>
          </w:tcPr>
          <w:p w:rsidR="00E1766B" w:rsidRDefault="00393BFB">
            <w:pPr>
              <w:pStyle w:val="Tabletext"/>
              <w:rPr>
                <w:rFonts w:eastAsia="Calibri"/>
              </w:rPr>
            </w:pPr>
            <w:r>
              <w:t>1.36</w:t>
            </w:r>
          </w:p>
        </w:tc>
        <w:tc>
          <w:tcPr>
            <w:tcW w:w="465" w:type="pct"/>
          </w:tcPr>
          <w:p w:rsidR="00E1766B" w:rsidRDefault="00393BFB">
            <w:pPr>
              <w:pStyle w:val="Tabletext"/>
              <w:rPr>
                <w:rFonts w:eastAsia="Calibri"/>
              </w:rPr>
            </w:pPr>
            <w:r>
              <w:t>0.196</w:t>
            </w:r>
          </w:p>
        </w:tc>
        <w:tc>
          <w:tcPr>
            <w:tcW w:w="464" w:type="pct"/>
          </w:tcPr>
          <w:p w:rsidR="00E1766B" w:rsidRDefault="00393BFB">
            <w:pPr>
              <w:pStyle w:val="Tabletext"/>
              <w:rPr>
                <w:rFonts w:eastAsia="Calibri"/>
              </w:rPr>
            </w:pPr>
            <w:r>
              <w:t>0.52</w:t>
            </w:r>
          </w:p>
        </w:tc>
        <w:tc>
          <w:tcPr>
            <w:tcW w:w="464" w:type="pct"/>
          </w:tcPr>
          <w:p w:rsidR="00E1766B" w:rsidRDefault="00393BFB">
            <w:pPr>
              <w:pStyle w:val="Tabletext"/>
              <w:rPr>
                <w:rFonts w:eastAsia="Calibri"/>
              </w:rPr>
            </w:pPr>
            <w:r>
              <w:t>0.949</w:t>
            </w:r>
          </w:p>
        </w:tc>
        <w:tc>
          <w:tcPr>
            <w:tcW w:w="464" w:type="pct"/>
          </w:tcPr>
          <w:p w:rsidR="00E1766B" w:rsidRDefault="00393BFB">
            <w:pPr>
              <w:pStyle w:val="Tabletext"/>
              <w:rPr>
                <w:rFonts w:eastAsia="Calibri"/>
              </w:rPr>
            </w:pPr>
            <w:r>
              <w:t>1.59</w:t>
            </w:r>
          </w:p>
        </w:tc>
        <w:tc>
          <w:tcPr>
            <w:tcW w:w="465" w:type="pct"/>
          </w:tcPr>
          <w:p w:rsidR="00E1766B" w:rsidRDefault="00393BFB">
            <w:pPr>
              <w:pStyle w:val="Tabletext"/>
              <w:rPr>
                <w:rFonts w:eastAsia="Calibri"/>
              </w:rPr>
            </w:pPr>
            <w:r>
              <w:t>0.122</w:t>
            </w:r>
          </w:p>
        </w:tc>
      </w:tr>
    </w:tbl>
    <w:p w:rsidR="00A57475" w:rsidRDefault="00A57475" w:rsidP="00C11CDF"/>
    <w:p w:rsidR="001310C1" w:rsidRPr="001310C1" w:rsidRDefault="00505588" w:rsidP="00C11CDF">
      <w:pPr>
        <w:rPr>
          <w:b/>
        </w:rPr>
      </w:pPr>
      <w:r w:rsidRPr="00505588">
        <w:rPr>
          <w:b/>
        </w:rPr>
        <w:t>Size</w:t>
      </w:r>
    </w:p>
    <w:p w:rsidR="00C11CDF" w:rsidRPr="00C918BE" w:rsidRDefault="00C11CDF" w:rsidP="00C11CDF">
      <w:r w:rsidRPr="00C918BE">
        <w:t xml:space="preserve">The lengths of microcrustaceans differed significantly across time (Term 1 </w:t>
      </w:r>
      <w:fldSimple w:instr=" REF _Ref370287091  \* MERGEFORMAT ">
        <w:r w:rsidR="00436595" w:rsidRPr="00436595">
          <w:t xml:space="preserve">Table </w:t>
        </w:r>
        <w:r w:rsidR="00436595" w:rsidRPr="00436595">
          <w:rPr>
            <w:noProof/>
          </w:rPr>
          <w:t>6</w:t>
        </w:r>
      </w:fldSimple>
      <w:r w:rsidRPr="00C918BE">
        <w:t>), although any significant differences appear trivial graphically (</w:t>
      </w:r>
      <w:fldSimple w:instr=" REF _Ref370287070 \h  \* MERGEFORMAT ">
        <w:r w:rsidR="00436595" w:rsidRPr="00436595">
          <w:t xml:space="preserve">Figure </w:t>
        </w:r>
        <w:r w:rsidR="00436595" w:rsidRPr="00436595">
          <w:rPr>
            <w:noProof/>
          </w:rPr>
          <w:t>19</w:t>
        </w:r>
      </w:fldSimple>
      <w:r w:rsidRPr="00C918BE">
        <w:t>).  Differences in lengths of microcrustaceans among the three wetland regions were gr</w:t>
      </w:r>
      <w:r w:rsidR="008148D0" w:rsidRPr="00C918BE">
        <w:t>eater than changes across time</w:t>
      </w:r>
      <w:r w:rsidRPr="00C918BE">
        <w:t>. The longest individuals were recorded in the Western Lakes while the shortest individuals tended to be from the Lowbidgee wetlands (Pair-wise p&lt;0.001). Lengths in the mid-Murrumbidgee were between those in the Lowbidgee and Western Lak</w:t>
      </w:r>
      <w:r w:rsidR="00DB1376" w:rsidRPr="00C918BE">
        <w:t>es (Pair-wise p</w:t>
      </w:r>
      <w:r w:rsidR="00A856B8" w:rsidRPr="00C918BE">
        <w:t> ≈ </w:t>
      </w:r>
      <w:r w:rsidR="00DB1376" w:rsidRPr="00C918BE">
        <w:t>0.025 and 0.001</w:t>
      </w:r>
      <w:r w:rsidRPr="00C918BE">
        <w:t xml:space="preserve">). Microcrustaceans were significantly larger in benthic than pelagic habitats (Term 3, </w:t>
      </w:r>
      <w:fldSimple w:instr=" REF _Ref370287091  \* MERGEFORMAT ">
        <w:r w:rsidR="00436595" w:rsidRPr="00436595">
          <w:t xml:space="preserve">Table </w:t>
        </w:r>
        <w:r w:rsidR="00436595" w:rsidRPr="00436595">
          <w:rPr>
            <w:noProof/>
          </w:rPr>
          <w:t>6</w:t>
        </w:r>
      </w:fldSimple>
      <w:r w:rsidRPr="00C918BE">
        <w:t>), but these differences were not large</w:t>
      </w:r>
      <w:r w:rsidR="00DB1376" w:rsidRPr="00C918BE">
        <w:t>.</w:t>
      </w:r>
      <w:r w:rsidRPr="00C918BE">
        <w:t xml:space="preserve"> </w:t>
      </w:r>
    </w:p>
    <w:p w:rsidR="00C11CDF" w:rsidRDefault="00C11CDF" w:rsidP="00C11CDF"/>
    <w:p w:rsidR="00E1766B" w:rsidRDefault="00505588">
      <w:pPr>
        <w:pStyle w:val="Caption1"/>
      </w:pPr>
      <w:bookmarkStart w:id="211" w:name="_Ref370287091"/>
      <w:bookmarkStart w:id="212" w:name="_Toc370738773"/>
      <w:r w:rsidRPr="00505588">
        <w:rPr>
          <w:b/>
        </w:rPr>
        <w:t xml:space="preserve">Table </w:t>
      </w:r>
      <w:r w:rsidR="00D20FAE" w:rsidRPr="00505588">
        <w:rPr>
          <w:b/>
        </w:rPr>
        <w:fldChar w:fldCharType="begin"/>
      </w:r>
      <w:r w:rsidRPr="00505588">
        <w:rPr>
          <w:b/>
        </w:rPr>
        <w:instrText xml:space="preserve"> SEQ Table \* ARABIC </w:instrText>
      </w:r>
      <w:r w:rsidR="00D20FAE" w:rsidRPr="00505588">
        <w:rPr>
          <w:b/>
        </w:rPr>
        <w:fldChar w:fldCharType="separate"/>
      </w:r>
      <w:r w:rsidR="00436595">
        <w:rPr>
          <w:b/>
          <w:noProof/>
        </w:rPr>
        <w:t>6</w:t>
      </w:r>
      <w:r w:rsidR="00D20FAE" w:rsidRPr="00505588">
        <w:rPr>
          <w:b/>
        </w:rPr>
        <w:fldChar w:fldCharType="end"/>
      </w:r>
      <w:bookmarkEnd w:id="211"/>
      <w:r w:rsidR="008954A4">
        <w:t xml:space="preserve"> </w:t>
      </w:r>
      <w:r w:rsidR="00C11CDF" w:rsidRPr="00AE705B">
        <w:t>Permanova results for lengths of total microcrustaceans, copepods, cladocerans and ostracods.</w:t>
      </w:r>
      <w:bookmarkEnd w:id="212"/>
    </w:p>
    <w:tbl>
      <w:tblPr>
        <w:tblStyle w:val="TableGrid"/>
        <w:tblW w:w="4966" w:type="pct"/>
        <w:tblLayout w:type="fixed"/>
        <w:tblLook w:val="04A0"/>
      </w:tblPr>
      <w:tblGrid>
        <w:gridCol w:w="2362"/>
        <w:gridCol w:w="852"/>
        <w:gridCol w:w="852"/>
        <w:gridCol w:w="852"/>
        <w:gridCol w:w="852"/>
        <w:gridCol w:w="852"/>
        <w:gridCol w:w="852"/>
        <w:gridCol w:w="852"/>
        <w:gridCol w:w="854"/>
      </w:tblGrid>
      <w:tr w:rsidR="00464CD2" w:rsidRPr="00464CD2" w:rsidTr="001310C1">
        <w:trPr>
          <w:cnfStyle w:val="100000000000"/>
        </w:trPr>
        <w:tc>
          <w:tcPr>
            <w:tcW w:w="1287" w:type="pct"/>
          </w:tcPr>
          <w:p w:rsidR="00E1766B" w:rsidRDefault="00505588">
            <w:pPr>
              <w:pStyle w:val="Tabletext"/>
              <w:rPr>
                <w:b/>
              </w:rPr>
            </w:pPr>
            <w:r w:rsidRPr="00505588">
              <w:rPr>
                <w:b/>
              </w:rPr>
              <w:t>Term</w:t>
            </w:r>
          </w:p>
        </w:tc>
        <w:tc>
          <w:tcPr>
            <w:tcW w:w="928" w:type="pct"/>
            <w:gridSpan w:val="2"/>
          </w:tcPr>
          <w:p w:rsidR="00E1766B" w:rsidRDefault="00505588">
            <w:pPr>
              <w:pStyle w:val="Tabletext"/>
              <w:rPr>
                <w:b/>
              </w:rPr>
            </w:pPr>
            <w:r w:rsidRPr="00505588">
              <w:rPr>
                <w:b/>
              </w:rPr>
              <w:t>Length</w:t>
            </w:r>
            <w:r w:rsidR="00464CD2">
              <w:rPr>
                <w:b/>
              </w:rPr>
              <w:t xml:space="preserve"> all </w:t>
            </w:r>
            <w:r w:rsidRPr="00505588">
              <w:rPr>
                <w:b/>
              </w:rPr>
              <w:t>microcrustaceans</w:t>
            </w:r>
          </w:p>
        </w:tc>
        <w:tc>
          <w:tcPr>
            <w:tcW w:w="928" w:type="pct"/>
            <w:gridSpan w:val="2"/>
          </w:tcPr>
          <w:p w:rsidR="00E1766B" w:rsidRDefault="00505588">
            <w:pPr>
              <w:pStyle w:val="Tabletext"/>
              <w:rPr>
                <w:b/>
              </w:rPr>
            </w:pPr>
            <w:r w:rsidRPr="00505588">
              <w:rPr>
                <w:b/>
              </w:rPr>
              <w:t>Copepod length</w:t>
            </w:r>
          </w:p>
        </w:tc>
        <w:tc>
          <w:tcPr>
            <w:tcW w:w="928" w:type="pct"/>
            <w:gridSpan w:val="2"/>
          </w:tcPr>
          <w:p w:rsidR="00E1766B" w:rsidRDefault="00505588">
            <w:pPr>
              <w:pStyle w:val="Tabletext"/>
              <w:rPr>
                <w:b/>
              </w:rPr>
            </w:pPr>
            <w:r w:rsidRPr="00505588">
              <w:rPr>
                <w:b/>
              </w:rPr>
              <w:t>Cladocera length</w:t>
            </w:r>
          </w:p>
        </w:tc>
        <w:tc>
          <w:tcPr>
            <w:tcW w:w="929" w:type="pct"/>
            <w:gridSpan w:val="2"/>
          </w:tcPr>
          <w:p w:rsidR="00E1766B" w:rsidRDefault="00505588">
            <w:pPr>
              <w:pStyle w:val="Tabletext"/>
              <w:rPr>
                <w:b/>
              </w:rPr>
            </w:pPr>
            <w:r w:rsidRPr="00505588">
              <w:rPr>
                <w:b/>
              </w:rPr>
              <w:t>Ostracod length</w:t>
            </w:r>
          </w:p>
        </w:tc>
      </w:tr>
      <w:tr w:rsidR="00464CD2" w:rsidRPr="00AC7B44" w:rsidTr="001310C1">
        <w:tc>
          <w:tcPr>
            <w:tcW w:w="1287" w:type="pct"/>
          </w:tcPr>
          <w:p w:rsidR="00E1766B" w:rsidRDefault="00E1766B">
            <w:pPr>
              <w:pStyle w:val="Tabletext"/>
              <w:rPr>
                <w:rFonts w:eastAsia="Calibri"/>
              </w:rPr>
            </w:pPr>
          </w:p>
        </w:tc>
        <w:tc>
          <w:tcPr>
            <w:tcW w:w="464" w:type="pct"/>
          </w:tcPr>
          <w:p w:rsidR="00E1766B" w:rsidRDefault="00C11CDF">
            <w:pPr>
              <w:pStyle w:val="Tabletext"/>
              <w:rPr>
                <w:rFonts w:eastAsia="Calibri"/>
              </w:rPr>
            </w:pPr>
            <w:r>
              <w:t>F</w:t>
            </w:r>
          </w:p>
        </w:tc>
        <w:tc>
          <w:tcPr>
            <w:tcW w:w="464" w:type="pct"/>
          </w:tcPr>
          <w:p w:rsidR="00E1766B" w:rsidRDefault="00C11CDF">
            <w:pPr>
              <w:pStyle w:val="Tabletext"/>
              <w:rPr>
                <w:rFonts w:eastAsia="Calibri"/>
              </w:rPr>
            </w:pPr>
            <w:r>
              <w:t>p</w:t>
            </w:r>
          </w:p>
        </w:tc>
        <w:tc>
          <w:tcPr>
            <w:tcW w:w="464" w:type="pct"/>
          </w:tcPr>
          <w:p w:rsidR="00E1766B" w:rsidRDefault="00C11CDF">
            <w:pPr>
              <w:pStyle w:val="Tabletext"/>
              <w:rPr>
                <w:rFonts w:eastAsia="Calibri"/>
              </w:rPr>
            </w:pPr>
            <w:r w:rsidRPr="00AC7B44">
              <w:t>F</w:t>
            </w:r>
          </w:p>
        </w:tc>
        <w:tc>
          <w:tcPr>
            <w:tcW w:w="464" w:type="pct"/>
          </w:tcPr>
          <w:p w:rsidR="00E1766B" w:rsidRDefault="00C11CDF">
            <w:pPr>
              <w:pStyle w:val="Tabletext"/>
              <w:rPr>
                <w:rFonts w:eastAsia="Calibri"/>
              </w:rPr>
            </w:pPr>
            <w:r w:rsidRPr="00AC7B44">
              <w:t>p</w:t>
            </w:r>
          </w:p>
        </w:tc>
        <w:tc>
          <w:tcPr>
            <w:tcW w:w="464" w:type="pct"/>
          </w:tcPr>
          <w:p w:rsidR="00E1766B" w:rsidRDefault="00C11CDF">
            <w:pPr>
              <w:pStyle w:val="Tabletext"/>
              <w:rPr>
                <w:rFonts w:eastAsia="Calibri"/>
              </w:rPr>
            </w:pPr>
            <w:r w:rsidRPr="00AC7B44">
              <w:t>F</w:t>
            </w:r>
          </w:p>
        </w:tc>
        <w:tc>
          <w:tcPr>
            <w:tcW w:w="464" w:type="pct"/>
          </w:tcPr>
          <w:p w:rsidR="00E1766B" w:rsidRDefault="00C11CDF">
            <w:pPr>
              <w:pStyle w:val="Tabletext"/>
              <w:rPr>
                <w:rFonts w:eastAsia="Calibri"/>
              </w:rPr>
            </w:pPr>
            <w:r w:rsidRPr="00AC7B44">
              <w:t>p</w:t>
            </w:r>
          </w:p>
        </w:tc>
        <w:tc>
          <w:tcPr>
            <w:tcW w:w="464" w:type="pct"/>
          </w:tcPr>
          <w:p w:rsidR="00E1766B" w:rsidRDefault="00C11CDF">
            <w:pPr>
              <w:pStyle w:val="Tabletext"/>
              <w:rPr>
                <w:rFonts w:eastAsia="Calibri"/>
              </w:rPr>
            </w:pPr>
            <w:r w:rsidRPr="00AC7B44">
              <w:t>F</w:t>
            </w:r>
          </w:p>
        </w:tc>
        <w:tc>
          <w:tcPr>
            <w:tcW w:w="465" w:type="pct"/>
          </w:tcPr>
          <w:p w:rsidR="00E1766B" w:rsidRDefault="00C11CDF">
            <w:pPr>
              <w:pStyle w:val="Tabletext"/>
              <w:rPr>
                <w:rFonts w:eastAsia="Calibri"/>
              </w:rPr>
            </w:pPr>
            <w:r w:rsidRPr="00AC7B44">
              <w:t>p</w:t>
            </w:r>
          </w:p>
        </w:tc>
      </w:tr>
      <w:tr w:rsidR="00464CD2" w:rsidRPr="00AC7B44" w:rsidTr="001310C1">
        <w:tc>
          <w:tcPr>
            <w:tcW w:w="1287" w:type="pct"/>
          </w:tcPr>
          <w:p w:rsidR="00E1766B" w:rsidRDefault="00464CD2">
            <w:pPr>
              <w:pStyle w:val="Tabletext"/>
              <w:rPr>
                <w:rFonts w:eastAsia="Calibri"/>
              </w:rPr>
            </w:pPr>
            <w:r>
              <w:t xml:space="preserve">1. </w:t>
            </w:r>
            <w:r w:rsidRPr="00AC7B44">
              <w:t>Time</w:t>
            </w:r>
          </w:p>
        </w:tc>
        <w:tc>
          <w:tcPr>
            <w:tcW w:w="464" w:type="pct"/>
          </w:tcPr>
          <w:p w:rsidR="00E1766B" w:rsidRDefault="00464CD2">
            <w:pPr>
              <w:pStyle w:val="Tabletext"/>
              <w:rPr>
                <w:rFonts w:eastAsia="Calibri"/>
              </w:rPr>
            </w:pPr>
            <w:r>
              <w:t>3.93</w:t>
            </w:r>
          </w:p>
        </w:tc>
        <w:tc>
          <w:tcPr>
            <w:tcW w:w="464" w:type="pct"/>
          </w:tcPr>
          <w:p w:rsidR="00E1766B" w:rsidRDefault="00464CD2">
            <w:pPr>
              <w:pStyle w:val="Tabletext"/>
              <w:rPr>
                <w:rFonts w:eastAsia="Calibri"/>
              </w:rPr>
            </w:pPr>
            <w:r>
              <w:t>0.004</w:t>
            </w:r>
          </w:p>
        </w:tc>
        <w:tc>
          <w:tcPr>
            <w:tcW w:w="464" w:type="pct"/>
          </w:tcPr>
          <w:p w:rsidR="00E1766B" w:rsidRDefault="00464CD2">
            <w:pPr>
              <w:pStyle w:val="Tabletext"/>
              <w:rPr>
                <w:rFonts w:eastAsia="Calibri"/>
              </w:rPr>
            </w:pPr>
            <w:r>
              <w:t>5.29</w:t>
            </w:r>
          </w:p>
        </w:tc>
        <w:tc>
          <w:tcPr>
            <w:tcW w:w="464" w:type="pct"/>
          </w:tcPr>
          <w:p w:rsidR="00E1766B" w:rsidRDefault="00464CD2">
            <w:pPr>
              <w:pStyle w:val="Tabletext"/>
              <w:rPr>
                <w:rFonts w:eastAsia="Calibri"/>
              </w:rPr>
            </w:pPr>
            <w:r>
              <w:t>0.002</w:t>
            </w:r>
          </w:p>
        </w:tc>
        <w:tc>
          <w:tcPr>
            <w:tcW w:w="464" w:type="pct"/>
          </w:tcPr>
          <w:p w:rsidR="00E1766B" w:rsidRDefault="00464CD2">
            <w:pPr>
              <w:pStyle w:val="Tabletext"/>
              <w:rPr>
                <w:rFonts w:eastAsia="Calibri"/>
              </w:rPr>
            </w:pPr>
            <w:r>
              <w:t>2.64</w:t>
            </w:r>
          </w:p>
        </w:tc>
        <w:tc>
          <w:tcPr>
            <w:tcW w:w="464" w:type="pct"/>
          </w:tcPr>
          <w:p w:rsidR="00E1766B" w:rsidRDefault="00464CD2">
            <w:pPr>
              <w:pStyle w:val="Tabletext"/>
              <w:rPr>
                <w:rFonts w:eastAsia="Calibri"/>
              </w:rPr>
            </w:pPr>
            <w:r>
              <w:t>0.013</w:t>
            </w:r>
          </w:p>
        </w:tc>
        <w:tc>
          <w:tcPr>
            <w:tcW w:w="464" w:type="pct"/>
          </w:tcPr>
          <w:p w:rsidR="00E1766B" w:rsidRDefault="00464CD2">
            <w:pPr>
              <w:pStyle w:val="Tabletext"/>
              <w:rPr>
                <w:rFonts w:eastAsia="Calibri"/>
              </w:rPr>
            </w:pPr>
            <w:r>
              <w:t>2.53</w:t>
            </w:r>
          </w:p>
        </w:tc>
        <w:tc>
          <w:tcPr>
            <w:tcW w:w="465" w:type="pct"/>
          </w:tcPr>
          <w:p w:rsidR="00E1766B" w:rsidRDefault="00464CD2">
            <w:pPr>
              <w:pStyle w:val="Tabletext"/>
              <w:rPr>
                <w:rFonts w:eastAsia="Calibri"/>
              </w:rPr>
            </w:pPr>
            <w:r>
              <w:t>0.035</w:t>
            </w:r>
          </w:p>
        </w:tc>
      </w:tr>
      <w:tr w:rsidR="00464CD2" w:rsidRPr="00AC7B44" w:rsidTr="001310C1">
        <w:tc>
          <w:tcPr>
            <w:tcW w:w="1287" w:type="pct"/>
          </w:tcPr>
          <w:p w:rsidR="00E1766B" w:rsidRDefault="00464CD2">
            <w:pPr>
              <w:pStyle w:val="Tabletext"/>
              <w:rPr>
                <w:rFonts w:eastAsia="Calibri"/>
              </w:rPr>
            </w:pPr>
            <w:r>
              <w:t xml:space="preserve">2. </w:t>
            </w:r>
            <w:r w:rsidRPr="00AC7B44">
              <w:t>Region</w:t>
            </w:r>
          </w:p>
        </w:tc>
        <w:tc>
          <w:tcPr>
            <w:tcW w:w="464" w:type="pct"/>
          </w:tcPr>
          <w:p w:rsidR="00E1766B" w:rsidRDefault="00464CD2">
            <w:pPr>
              <w:pStyle w:val="Tabletext"/>
              <w:rPr>
                <w:rFonts w:eastAsia="Calibri"/>
              </w:rPr>
            </w:pPr>
            <w:r>
              <w:t>10.89</w:t>
            </w:r>
          </w:p>
        </w:tc>
        <w:tc>
          <w:tcPr>
            <w:tcW w:w="464" w:type="pct"/>
          </w:tcPr>
          <w:p w:rsidR="00E1766B" w:rsidRDefault="00464CD2">
            <w:pPr>
              <w:pStyle w:val="Tabletext"/>
              <w:rPr>
                <w:rFonts w:eastAsia="Calibri"/>
              </w:rPr>
            </w:pPr>
            <w:r>
              <w:t>0.001</w:t>
            </w:r>
          </w:p>
        </w:tc>
        <w:tc>
          <w:tcPr>
            <w:tcW w:w="464" w:type="pct"/>
          </w:tcPr>
          <w:p w:rsidR="00E1766B" w:rsidRDefault="00464CD2">
            <w:pPr>
              <w:pStyle w:val="Tabletext"/>
              <w:rPr>
                <w:rFonts w:eastAsia="Calibri"/>
              </w:rPr>
            </w:pPr>
            <w:r>
              <w:t>10.07</w:t>
            </w:r>
          </w:p>
        </w:tc>
        <w:tc>
          <w:tcPr>
            <w:tcW w:w="464" w:type="pct"/>
          </w:tcPr>
          <w:p w:rsidR="00E1766B" w:rsidRDefault="00464CD2">
            <w:pPr>
              <w:pStyle w:val="Tabletext"/>
              <w:rPr>
                <w:rFonts w:eastAsia="Calibri"/>
              </w:rPr>
            </w:pPr>
            <w:r>
              <w:t>0.001</w:t>
            </w:r>
          </w:p>
        </w:tc>
        <w:tc>
          <w:tcPr>
            <w:tcW w:w="464" w:type="pct"/>
          </w:tcPr>
          <w:p w:rsidR="00E1766B" w:rsidRDefault="00464CD2">
            <w:pPr>
              <w:pStyle w:val="Tabletext"/>
              <w:rPr>
                <w:rFonts w:eastAsia="Calibri"/>
              </w:rPr>
            </w:pPr>
            <w:r>
              <w:t>9.58</w:t>
            </w:r>
          </w:p>
        </w:tc>
        <w:tc>
          <w:tcPr>
            <w:tcW w:w="464" w:type="pct"/>
          </w:tcPr>
          <w:p w:rsidR="00E1766B" w:rsidRDefault="00464CD2">
            <w:pPr>
              <w:pStyle w:val="Tabletext"/>
              <w:rPr>
                <w:rFonts w:eastAsia="Calibri"/>
              </w:rPr>
            </w:pPr>
            <w:r>
              <w:t>0.001</w:t>
            </w:r>
          </w:p>
        </w:tc>
        <w:tc>
          <w:tcPr>
            <w:tcW w:w="464" w:type="pct"/>
          </w:tcPr>
          <w:p w:rsidR="00E1766B" w:rsidRDefault="00464CD2">
            <w:pPr>
              <w:pStyle w:val="Tabletext"/>
              <w:rPr>
                <w:rFonts w:eastAsia="Calibri"/>
              </w:rPr>
            </w:pPr>
            <w:r>
              <w:t>3.45</w:t>
            </w:r>
          </w:p>
        </w:tc>
        <w:tc>
          <w:tcPr>
            <w:tcW w:w="465" w:type="pct"/>
          </w:tcPr>
          <w:p w:rsidR="00E1766B" w:rsidRDefault="00464CD2">
            <w:pPr>
              <w:pStyle w:val="Tabletext"/>
              <w:rPr>
                <w:rFonts w:eastAsia="Calibri"/>
              </w:rPr>
            </w:pPr>
            <w:r>
              <w:t>0.039</w:t>
            </w:r>
          </w:p>
        </w:tc>
      </w:tr>
      <w:tr w:rsidR="00464CD2" w:rsidRPr="00AC7B44" w:rsidTr="001310C1">
        <w:tc>
          <w:tcPr>
            <w:tcW w:w="1287" w:type="pct"/>
          </w:tcPr>
          <w:p w:rsidR="00E1766B" w:rsidRDefault="00464CD2">
            <w:pPr>
              <w:pStyle w:val="Tabletext"/>
              <w:rPr>
                <w:rFonts w:eastAsia="Calibri"/>
              </w:rPr>
            </w:pPr>
            <w:r>
              <w:t>3. Microhabitat</w:t>
            </w:r>
          </w:p>
        </w:tc>
        <w:tc>
          <w:tcPr>
            <w:tcW w:w="464" w:type="pct"/>
          </w:tcPr>
          <w:p w:rsidR="00E1766B" w:rsidRDefault="00464CD2">
            <w:pPr>
              <w:pStyle w:val="Tabletext"/>
              <w:rPr>
                <w:rFonts w:eastAsia="Calibri"/>
              </w:rPr>
            </w:pPr>
            <w:r>
              <w:t>4.63</w:t>
            </w:r>
          </w:p>
        </w:tc>
        <w:tc>
          <w:tcPr>
            <w:tcW w:w="464" w:type="pct"/>
          </w:tcPr>
          <w:p w:rsidR="00E1766B" w:rsidRDefault="00464CD2">
            <w:pPr>
              <w:pStyle w:val="Tabletext"/>
              <w:rPr>
                <w:rFonts w:eastAsia="Calibri"/>
              </w:rPr>
            </w:pPr>
            <w:r>
              <w:t>0.037</w:t>
            </w:r>
          </w:p>
        </w:tc>
        <w:tc>
          <w:tcPr>
            <w:tcW w:w="464" w:type="pct"/>
          </w:tcPr>
          <w:p w:rsidR="00E1766B" w:rsidRDefault="00464CD2">
            <w:pPr>
              <w:pStyle w:val="Tabletext"/>
              <w:rPr>
                <w:rFonts w:eastAsia="Calibri"/>
              </w:rPr>
            </w:pPr>
            <w:r>
              <w:t>16.26</w:t>
            </w:r>
          </w:p>
        </w:tc>
        <w:tc>
          <w:tcPr>
            <w:tcW w:w="464" w:type="pct"/>
          </w:tcPr>
          <w:p w:rsidR="00E1766B" w:rsidRDefault="00464CD2">
            <w:pPr>
              <w:pStyle w:val="Tabletext"/>
              <w:rPr>
                <w:rFonts w:eastAsia="Calibri"/>
              </w:rPr>
            </w:pPr>
            <w:r>
              <w:t>0.001</w:t>
            </w:r>
          </w:p>
        </w:tc>
        <w:tc>
          <w:tcPr>
            <w:tcW w:w="464" w:type="pct"/>
          </w:tcPr>
          <w:p w:rsidR="00E1766B" w:rsidRDefault="00464CD2">
            <w:pPr>
              <w:pStyle w:val="Tabletext"/>
              <w:rPr>
                <w:rFonts w:eastAsia="Calibri"/>
              </w:rPr>
            </w:pPr>
            <w:r>
              <w:t>0.73</w:t>
            </w:r>
          </w:p>
        </w:tc>
        <w:tc>
          <w:tcPr>
            <w:tcW w:w="464" w:type="pct"/>
          </w:tcPr>
          <w:p w:rsidR="00E1766B" w:rsidRDefault="00464CD2">
            <w:pPr>
              <w:pStyle w:val="Tabletext"/>
              <w:rPr>
                <w:rFonts w:eastAsia="Calibri"/>
              </w:rPr>
            </w:pPr>
            <w:r>
              <w:t>0.45</w:t>
            </w:r>
          </w:p>
        </w:tc>
        <w:tc>
          <w:tcPr>
            <w:tcW w:w="464" w:type="pct"/>
          </w:tcPr>
          <w:p w:rsidR="00E1766B" w:rsidRDefault="00464CD2">
            <w:pPr>
              <w:pStyle w:val="Tabletext"/>
              <w:rPr>
                <w:rFonts w:eastAsia="Calibri"/>
              </w:rPr>
            </w:pPr>
            <w:r>
              <w:t>0.70</w:t>
            </w:r>
          </w:p>
        </w:tc>
        <w:tc>
          <w:tcPr>
            <w:tcW w:w="465" w:type="pct"/>
          </w:tcPr>
          <w:p w:rsidR="00E1766B" w:rsidRDefault="00464CD2">
            <w:pPr>
              <w:pStyle w:val="Tabletext"/>
              <w:rPr>
                <w:rFonts w:eastAsia="Calibri"/>
              </w:rPr>
            </w:pPr>
            <w:r>
              <w:t>0.472</w:t>
            </w:r>
          </w:p>
        </w:tc>
      </w:tr>
      <w:tr w:rsidR="00464CD2" w:rsidRPr="00AC7B44" w:rsidTr="001310C1">
        <w:tc>
          <w:tcPr>
            <w:tcW w:w="1287" w:type="pct"/>
          </w:tcPr>
          <w:p w:rsidR="00E1766B" w:rsidRDefault="00464CD2">
            <w:pPr>
              <w:pStyle w:val="Tabletext"/>
              <w:rPr>
                <w:rFonts w:eastAsia="Calibri"/>
              </w:rPr>
            </w:pPr>
            <w:r>
              <w:t>4. Time x region</w:t>
            </w:r>
          </w:p>
        </w:tc>
        <w:tc>
          <w:tcPr>
            <w:tcW w:w="464" w:type="pct"/>
          </w:tcPr>
          <w:p w:rsidR="00E1766B" w:rsidRDefault="00464CD2">
            <w:pPr>
              <w:pStyle w:val="Tabletext"/>
              <w:ind w:left="-118" w:firstLine="118"/>
              <w:rPr>
                <w:rFonts w:eastAsia="Calibri"/>
              </w:rPr>
            </w:pPr>
            <w:r>
              <w:t>2.58</w:t>
            </w:r>
          </w:p>
        </w:tc>
        <w:tc>
          <w:tcPr>
            <w:tcW w:w="464" w:type="pct"/>
          </w:tcPr>
          <w:p w:rsidR="00E1766B" w:rsidRDefault="00464CD2">
            <w:pPr>
              <w:pStyle w:val="Tabletext"/>
              <w:rPr>
                <w:rFonts w:eastAsia="Calibri"/>
              </w:rPr>
            </w:pPr>
            <w:r>
              <w:t>0.014</w:t>
            </w:r>
          </w:p>
        </w:tc>
        <w:tc>
          <w:tcPr>
            <w:tcW w:w="464" w:type="pct"/>
          </w:tcPr>
          <w:p w:rsidR="00E1766B" w:rsidRDefault="00464CD2">
            <w:pPr>
              <w:pStyle w:val="Tabletext"/>
              <w:rPr>
                <w:rFonts w:eastAsia="Calibri"/>
              </w:rPr>
            </w:pPr>
            <w:r>
              <w:t>1.64</w:t>
            </w:r>
          </w:p>
        </w:tc>
        <w:tc>
          <w:tcPr>
            <w:tcW w:w="464" w:type="pct"/>
          </w:tcPr>
          <w:p w:rsidR="00E1766B" w:rsidRDefault="00464CD2">
            <w:pPr>
              <w:pStyle w:val="Tabletext"/>
              <w:rPr>
                <w:rFonts w:eastAsia="Calibri"/>
              </w:rPr>
            </w:pPr>
            <w:r>
              <w:t>0.125</w:t>
            </w:r>
          </w:p>
        </w:tc>
        <w:tc>
          <w:tcPr>
            <w:tcW w:w="464" w:type="pct"/>
          </w:tcPr>
          <w:p w:rsidR="00E1766B" w:rsidRDefault="00464CD2">
            <w:pPr>
              <w:pStyle w:val="Tabletext"/>
              <w:rPr>
                <w:rFonts w:eastAsia="Calibri"/>
              </w:rPr>
            </w:pPr>
            <w:r>
              <w:t>3.88</w:t>
            </w:r>
          </w:p>
        </w:tc>
        <w:tc>
          <w:tcPr>
            <w:tcW w:w="464" w:type="pct"/>
          </w:tcPr>
          <w:p w:rsidR="00E1766B" w:rsidRDefault="00464CD2">
            <w:pPr>
              <w:pStyle w:val="Tabletext"/>
              <w:rPr>
                <w:rFonts w:eastAsia="Calibri"/>
              </w:rPr>
            </w:pPr>
            <w:r>
              <w:t>0.001</w:t>
            </w:r>
          </w:p>
        </w:tc>
        <w:tc>
          <w:tcPr>
            <w:tcW w:w="464" w:type="pct"/>
          </w:tcPr>
          <w:p w:rsidR="00E1766B" w:rsidRDefault="00464CD2">
            <w:pPr>
              <w:pStyle w:val="Tabletext"/>
              <w:rPr>
                <w:rFonts w:eastAsia="Calibri"/>
              </w:rPr>
            </w:pPr>
            <w:r>
              <w:t>1.02</w:t>
            </w:r>
          </w:p>
        </w:tc>
        <w:tc>
          <w:tcPr>
            <w:tcW w:w="465" w:type="pct"/>
          </w:tcPr>
          <w:p w:rsidR="00E1766B" w:rsidRDefault="00464CD2">
            <w:pPr>
              <w:pStyle w:val="Tabletext"/>
              <w:rPr>
                <w:rFonts w:eastAsia="Calibri"/>
              </w:rPr>
            </w:pPr>
            <w:r>
              <w:t>0.428</w:t>
            </w:r>
          </w:p>
        </w:tc>
      </w:tr>
      <w:tr w:rsidR="00464CD2" w:rsidRPr="00AC7B44" w:rsidTr="001310C1">
        <w:tc>
          <w:tcPr>
            <w:tcW w:w="1287" w:type="pct"/>
          </w:tcPr>
          <w:p w:rsidR="00E1766B" w:rsidRDefault="00464CD2">
            <w:pPr>
              <w:pStyle w:val="Tabletext"/>
              <w:rPr>
                <w:rFonts w:eastAsia="Calibri"/>
              </w:rPr>
            </w:pPr>
            <w:r>
              <w:t>5. Time x microhabitat</w:t>
            </w:r>
          </w:p>
        </w:tc>
        <w:tc>
          <w:tcPr>
            <w:tcW w:w="464" w:type="pct"/>
          </w:tcPr>
          <w:p w:rsidR="00E1766B" w:rsidRDefault="00464CD2">
            <w:pPr>
              <w:pStyle w:val="Tabletext"/>
              <w:rPr>
                <w:rFonts w:eastAsia="Calibri"/>
              </w:rPr>
            </w:pPr>
            <w:r>
              <w:t>1.52</w:t>
            </w:r>
          </w:p>
        </w:tc>
        <w:tc>
          <w:tcPr>
            <w:tcW w:w="464" w:type="pct"/>
          </w:tcPr>
          <w:p w:rsidR="00E1766B" w:rsidRDefault="00464CD2">
            <w:pPr>
              <w:pStyle w:val="Tabletext"/>
              <w:rPr>
                <w:rFonts w:eastAsia="Calibri"/>
              </w:rPr>
            </w:pPr>
            <w:r>
              <w:t>0.177</w:t>
            </w:r>
          </w:p>
        </w:tc>
        <w:tc>
          <w:tcPr>
            <w:tcW w:w="464" w:type="pct"/>
          </w:tcPr>
          <w:p w:rsidR="00E1766B" w:rsidRDefault="00464CD2">
            <w:pPr>
              <w:pStyle w:val="Tabletext"/>
              <w:rPr>
                <w:rFonts w:eastAsia="Calibri"/>
              </w:rPr>
            </w:pPr>
            <w:r>
              <w:t>0.70</w:t>
            </w:r>
          </w:p>
        </w:tc>
        <w:tc>
          <w:tcPr>
            <w:tcW w:w="464" w:type="pct"/>
          </w:tcPr>
          <w:p w:rsidR="00E1766B" w:rsidRDefault="00464CD2">
            <w:pPr>
              <w:pStyle w:val="Tabletext"/>
              <w:rPr>
                <w:rFonts w:eastAsia="Calibri"/>
              </w:rPr>
            </w:pPr>
            <w:r>
              <w:t>0.62</w:t>
            </w:r>
          </w:p>
        </w:tc>
        <w:tc>
          <w:tcPr>
            <w:tcW w:w="464" w:type="pct"/>
          </w:tcPr>
          <w:p w:rsidR="00E1766B" w:rsidRDefault="00464CD2">
            <w:pPr>
              <w:pStyle w:val="Tabletext"/>
              <w:rPr>
                <w:rFonts w:eastAsia="Calibri"/>
              </w:rPr>
            </w:pPr>
            <w:r>
              <w:t>1.18</w:t>
            </w:r>
          </w:p>
        </w:tc>
        <w:tc>
          <w:tcPr>
            <w:tcW w:w="464" w:type="pct"/>
          </w:tcPr>
          <w:p w:rsidR="00E1766B" w:rsidRDefault="00464CD2">
            <w:pPr>
              <w:pStyle w:val="Tabletext"/>
              <w:rPr>
                <w:rFonts w:eastAsia="Calibri"/>
              </w:rPr>
            </w:pPr>
            <w:r>
              <w:t>0.309</w:t>
            </w:r>
          </w:p>
        </w:tc>
        <w:tc>
          <w:tcPr>
            <w:tcW w:w="464" w:type="pct"/>
          </w:tcPr>
          <w:p w:rsidR="00E1766B" w:rsidRDefault="00464CD2">
            <w:pPr>
              <w:pStyle w:val="Tabletext"/>
              <w:rPr>
                <w:rFonts w:eastAsia="Calibri"/>
              </w:rPr>
            </w:pPr>
            <w:r>
              <w:t>1.80</w:t>
            </w:r>
          </w:p>
        </w:tc>
        <w:tc>
          <w:tcPr>
            <w:tcW w:w="465" w:type="pct"/>
          </w:tcPr>
          <w:p w:rsidR="00E1766B" w:rsidRDefault="00464CD2">
            <w:pPr>
              <w:pStyle w:val="Tabletext"/>
              <w:rPr>
                <w:rFonts w:eastAsia="Calibri"/>
              </w:rPr>
            </w:pPr>
            <w:r>
              <w:t>0.154</w:t>
            </w:r>
          </w:p>
        </w:tc>
      </w:tr>
      <w:tr w:rsidR="00464CD2" w:rsidRPr="00AC7B44" w:rsidTr="001310C1">
        <w:tc>
          <w:tcPr>
            <w:tcW w:w="1287" w:type="pct"/>
          </w:tcPr>
          <w:p w:rsidR="00E1766B" w:rsidRDefault="00464CD2">
            <w:pPr>
              <w:pStyle w:val="Tabletext"/>
              <w:rPr>
                <w:rFonts w:eastAsia="Calibri"/>
              </w:rPr>
            </w:pPr>
            <w:r>
              <w:t>6. region x microhabitat</w:t>
            </w:r>
          </w:p>
        </w:tc>
        <w:tc>
          <w:tcPr>
            <w:tcW w:w="464" w:type="pct"/>
          </w:tcPr>
          <w:p w:rsidR="00E1766B" w:rsidRDefault="00464CD2">
            <w:pPr>
              <w:pStyle w:val="Tabletext"/>
              <w:rPr>
                <w:rFonts w:eastAsia="Calibri"/>
              </w:rPr>
            </w:pPr>
            <w:r>
              <w:t>0.98</w:t>
            </w:r>
          </w:p>
        </w:tc>
        <w:tc>
          <w:tcPr>
            <w:tcW w:w="464" w:type="pct"/>
          </w:tcPr>
          <w:p w:rsidR="00E1766B" w:rsidRDefault="00464CD2">
            <w:pPr>
              <w:pStyle w:val="Tabletext"/>
              <w:rPr>
                <w:rFonts w:eastAsia="Calibri"/>
              </w:rPr>
            </w:pPr>
            <w:r>
              <w:t>0.366</w:t>
            </w:r>
          </w:p>
        </w:tc>
        <w:tc>
          <w:tcPr>
            <w:tcW w:w="464" w:type="pct"/>
          </w:tcPr>
          <w:p w:rsidR="00E1766B" w:rsidRDefault="00464CD2">
            <w:pPr>
              <w:pStyle w:val="Tabletext"/>
              <w:rPr>
                <w:rFonts w:eastAsia="Calibri"/>
              </w:rPr>
            </w:pPr>
            <w:r>
              <w:t>3.15</w:t>
            </w:r>
          </w:p>
        </w:tc>
        <w:tc>
          <w:tcPr>
            <w:tcW w:w="464" w:type="pct"/>
          </w:tcPr>
          <w:p w:rsidR="00E1766B" w:rsidRDefault="00464CD2">
            <w:pPr>
              <w:pStyle w:val="Tabletext"/>
              <w:rPr>
                <w:rFonts w:eastAsia="Calibri"/>
              </w:rPr>
            </w:pPr>
            <w:r>
              <w:t>0.034</w:t>
            </w:r>
          </w:p>
        </w:tc>
        <w:tc>
          <w:tcPr>
            <w:tcW w:w="464" w:type="pct"/>
          </w:tcPr>
          <w:p w:rsidR="00E1766B" w:rsidRDefault="00464CD2">
            <w:pPr>
              <w:pStyle w:val="Tabletext"/>
              <w:rPr>
                <w:rFonts w:eastAsia="Calibri"/>
              </w:rPr>
            </w:pPr>
            <w:r>
              <w:t>0.71</w:t>
            </w:r>
          </w:p>
        </w:tc>
        <w:tc>
          <w:tcPr>
            <w:tcW w:w="464" w:type="pct"/>
          </w:tcPr>
          <w:p w:rsidR="00E1766B" w:rsidRDefault="00464CD2">
            <w:pPr>
              <w:pStyle w:val="Tabletext"/>
              <w:rPr>
                <w:rFonts w:eastAsia="Calibri"/>
              </w:rPr>
            </w:pPr>
            <w:r>
              <w:t>0.569</w:t>
            </w:r>
          </w:p>
        </w:tc>
        <w:tc>
          <w:tcPr>
            <w:tcW w:w="464" w:type="pct"/>
          </w:tcPr>
          <w:p w:rsidR="00E1766B" w:rsidRDefault="00464CD2">
            <w:pPr>
              <w:pStyle w:val="Tabletext"/>
              <w:rPr>
                <w:rFonts w:eastAsia="Calibri"/>
              </w:rPr>
            </w:pPr>
            <w:r>
              <w:t>3.17</w:t>
            </w:r>
          </w:p>
        </w:tc>
        <w:tc>
          <w:tcPr>
            <w:tcW w:w="465" w:type="pct"/>
          </w:tcPr>
          <w:p w:rsidR="00E1766B" w:rsidRDefault="00464CD2">
            <w:pPr>
              <w:pStyle w:val="Tabletext"/>
              <w:rPr>
                <w:rFonts w:eastAsia="Calibri"/>
              </w:rPr>
            </w:pPr>
            <w:r>
              <w:t>0.052</w:t>
            </w:r>
          </w:p>
        </w:tc>
      </w:tr>
      <w:tr w:rsidR="00464CD2" w:rsidRPr="00AC7B44" w:rsidTr="001310C1">
        <w:tc>
          <w:tcPr>
            <w:tcW w:w="1287" w:type="pct"/>
          </w:tcPr>
          <w:p w:rsidR="00E1766B" w:rsidRDefault="00464CD2">
            <w:pPr>
              <w:pStyle w:val="Tabletext"/>
              <w:rPr>
                <w:rFonts w:eastAsia="Calibri"/>
              </w:rPr>
            </w:pPr>
            <w:r>
              <w:t>7. Time x region x microhabitat</w:t>
            </w:r>
          </w:p>
        </w:tc>
        <w:tc>
          <w:tcPr>
            <w:tcW w:w="464" w:type="pct"/>
          </w:tcPr>
          <w:p w:rsidR="00E1766B" w:rsidRDefault="00464CD2">
            <w:pPr>
              <w:pStyle w:val="Tabletext"/>
              <w:rPr>
                <w:rFonts w:eastAsia="Calibri"/>
              </w:rPr>
            </w:pPr>
            <w:r>
              <w:t>0.64</w:t>
            </w:r>
          </w:p>
        </w:tc>
        <w:tc>
          <w:tcPr>
            <w:tcW w:w="464" w:type="pct"/>
          </w:tcPr>
          <w:p w:rsidR="00E1766B" w:rsidRDefault="00464CD2">
            <w:pPr>
              <w:pStyle w:val="Tabletext"/>
              <w:rPr>
                <w:rFonts w:eastAsia="Calibri"/>
              </w:rPr>
            </w:pPr>
            <w:r>
              <w:t>0.752</w:t>
            </w:r>
          </w:p>
        </w:tc>
        <w:tc>
          <w:tcPr>
            <w:tcW w:w="464" w:type="pct"/>
          </w:tcPr>
          <w:p w:rsidR="00E1766B" w:rsidRDefault="00464CD2">
            <w:pPr>
              <w:pStyle w:val="Tabletext"/>
              <w:rPr>
                <w:rFonts w:eastAsia="Calibri"/>
              </w:rPr>
            </w:pPr>
            <w:r>
              <w:t>1.08</w:t>
            </w:r>
          </w:p>
        </w:tc>
        <w:tc>
          <w:tcPr>
            <w:tcW w:w="464" w:type="pct"/>
          </w:tcPr>
          <w:p w:rsidR="00E1766B" w:rsidRDefault="00464CD2">
            <w:pPr>
              <w:pStyle w:val="Tabletext"/>
              <w:rPr>
                <w:rFonts w:eastAsia="Calibri"/>
              </w:rPr>
            </w:pPr>
            <w:r>
              <w:t>0.398</w:t>
            </w:r>
          </w:p>
        </w:tc>
        <w:tc>
          <w:tcPr>
            <w:tcW w:w="464" w:type="pct"/>
          </w:tcPr>
          <w:p w:rsidR="00E1766B" w:rsidRDefault="00464CD2">
            <w:pPr>
              <w:pStyle w:val="Tabletext"/>
              <w:rPr>
                <w:rFonts w:eastAsia="Calibri"/>
              </w:rPr>
            </w:pPr>
            <w:r>
              <w:t>0.74</w:t>
            </w:r>
          </w:p>
        </w:tc>
        <w:tc>
          <w:tcPr>
            <w:tcW w:w="464" w:type="pct"/>
          </w:tcPr>
          <w:p w:rsidR="00E1766B" w:rsidRDefault="00464CD2">
            <w:pPr>
              <w:pStyle w:val="Tabletext"/>
              <w:rPr>
                <w:rFonts w:eastAsia="Calibri"/>
              </w:rPr>
            </w:pPr>
            <w:r>
              <w:t>0.701</w:t>
            </w:r>
          </w:p>
        </w:tc>
        <w:tc>
          <w:tcPr>
            <w:tcW w:w="464" w:type="pct"/>
          </w:tcPr>
          <w:p w:rsidR="00E1766B" w:rsidRDefault="00464CD2">
            <w:pPr>
              <w:pStyle w:val="Tabletext"/>
              <w:rPr>
                <w:rFonts w:eastAsia="Calibri"/>
              </w:rPr>
            </w:pPr>
            <w:r>
              <w:t>No test</w:t>
            </w:r>
          </w:p>
        </w:tc>
        <w:tc>
          <w:tcPr>
            <w:tcW w:w="465" w:type="pct"/>
          </w:tcPr>
          <w:p w:rsidR="00E1766B" w:rsidRDefault="00E1766B">
            <w:pPr>
              <w:pStyle w:val="Tabletext"/>
              <w:rPr>
                <w:rFonts w:eastAsia="Calibri"/>
              </w:rPr>
            </w:pPr>
          </w:p>
        </w:tc>
      </w:tr>
    </w:tbl>
    <w:p w:rsidR="00C11CDF" w:rsidRDefault="00C11CDF" w:rsidP="00C11CDF">
      <w:pPr>
        <w:spacing w:line="240" w:lineRule="auto"/>
      </w:pPr>
    </w:p>
    <w:p w:rsidR="00C11CDF" w:rsidRDefault="00464CD2" w:rsidP="00C11CDF">
      <w:r>
        <w:object w:dxaOrig="10601" w:dyaOrig="8052">
          <v:shape id="_x0000_i1028" type="#_x0000_t75" style="width:397.5pt;height:285.75pt" o:ole="">
            <v:imagedata r:id="rId92" o:title=""/>
            <o:lock v:ext="edit" aspectratio="f"/>
          </v:shape>
          <o:OLEObject Type="Embed" ProgID="SigmaPlotGraphicObject.4" ShapeID="_x0000_i1028" DrawAspect="Content" ObjectID="_1488876315" r:id="rId93"/>
        </w:object>
      </w:r>
    </w:p>
    <w:p w:rsidR="0063496A" w:rsidRDefault="0063496A" w:rsidP="00C11CDF">
      <w:pPr>
        <w:spacing w:line="240" w:lineRule="auto"/>
      </w:pPr>
      <w:r>
        <w:object w:dxaOrig="10601" w:dyaOrig="8052">
          <v:shape id="_x0000_i1029" type="#_x0000_t75" style="width:397.5pt;height:285.75pt" o:ole="">
            <v:imagedata r:id="rId94" o:title=""/>
            <o:lock v:ext="edit" aspectratio="f"/>
          </v:shape>
          <o:OLEObject Type="Embed" ProgID="SigmaPlotGraphicObject.4" ShapeID="_x0000_i1029" DrawAspect="Content" ObjectID="_1488876316" r:id="rId95"/>
        </w:object>
      </w:r>
    </w:p>
    <w:p w:rsidR="00E1766B" w:rsidRDefault="00505588">
      <w:pPr>
        <w:pStyle w:val="Caption1"/>
      </w:pPr>
      <w:bookmarkStart w:id="213" w:name="_Ref370287070"/>
      <w:bookmarkStart w:id="214" w:name="_Toc370738774"/>
      <w:r w:rsidRPr="00505588">
        <w:rPr>
          <w:b/>
        </w:rPr>
        <w:t xml:space="preserve">Figure </w:t>
      </w:r>
      <w:r w:rsidR="00D20FAE" w:rsidRPr="00505588">
        <w:rPr>
          <w:b/>
        </w:rPr>
        <w:fldChar w:fldCharType="begin"/>
      </w:r>
      <w:r w:rsidRPr="00505588">
        <w:rPr>
          <w:b/>
        </w:rPr>
        <w:instrText xml:space="preserve"> SEQ Figure \* ARABIC </w:instrText>
      </w:r>
      <w:r w:rsidR="00D20FAE" w:rsidRPr="00505588">
        <w:rPr>
          <w:b/>
        </w:rPr>
        <w:fldChar w:fldCharType="separate"/>
      </w:r>
      <w:r w:rsidR="00436595">
        <w:rPr>
          <w:b/>
          <w:noProof/>
        </w:rPr>
        <w:t>19</w:t>
      </w:r>
      <w:r w:rsidR="00D20FAE" w:rsidRPr="00505588">
        <w:rPr>
          <w:b/>
        </w:rPr>
        <w:fldChar w:fldCharType="end"/>
      </w:r>
      <w:bookmarkEnd w:id="213"/>
      <w:r w:rsidR="008954A4">
        <w:t xml:space="preserve"> </w:t>
      </w:r>
      <w:r w:rsidR="00C11CDF" w:rsidRPr="0063496A">
        <w:t xml:space="preserve">Mean length of all microcrustaceans sampled in benthic and pelagic habitats across the four Murrumbidgee regions [Lowbidgee (red), Mid-Murrumbidgee (green), Western Lakes (purple) and Murrumbidgee River (blue)]. Values are means and standard errors. Note that the Western Lakes were not sampled </w:t>
      </w:r>
      <w:r w:rsidR="00A856B8">
        <w:t>until</w:t>
      </w:r>
      <w:r w:rsidR="00C11CDF" w:rsidRPr="0063496A">
        <w:t xml:space="preserve"> October following inflows in September 2012</w:t>
      </w:r>
      <w:r w:rsidR="00A856B8">
        <w:t>,</w:t>
      </w:r>
      <w:r w:rsidR="00C11CDF" w:rsidRPr="0063496A">
        <w:t xml:space="preserve"> and the Murrumbidgee River was only sampled in August 2012.</w:t>
      </w:r>
      <w:bookmarkEnd w:id="214"/>
    </w:p>
    <w:p w:rsidR="00C11CDF" w:rsidRDefault="00C11CDF" w:rsidP="00C11CDF">
      <w:pPr>
        <w:spacing w:line="240" w:lineRule="auto"/>
        <w:rPr>
          <w:sz w:val="20"/>
          <w:szCs w:val="20"/>
        </w:rPr>
      </w:pPr>
    </w:p>
    <w:p w:rsidR="00C11CDF" w:rsidRPr="00C918BE" w:rsidRDefault="00C11CDF" w:rsidP="00C11CDF">
      <w:pPr>
        <w:rPr>
          <w:sz w:val="20"/>
          <w:szCs w:val="20"/>
        </w:rPr>
      </w:pPr>
      <w:r w:rsidRPr="00C918BE">
        <w:t xml:space="preserve">The </w:t>
      </w:r>
      <w:r w:rsidR="00F52A92" w:rsidRPr="00C918BE">
        <w:t xml:space="preserve">overfall </w:t>
      </w:r>
      <w:r w:rsidRPr="00C918BE">
        <w:t xml:space="preserve">trends in total length </w:t>
      </w:r>
      <w:r w:rsidR="00F52A92" w:rsidRPr="00C918BE">
        <w:t xml:space="preserve">and </w:t>
      </w:r>
      <w:r w:rsidRPr="00C918BE">
        <w:t xml:space="preserve">length of copepods </w:t>
      </w:r>
      <w:r w:rsidR="00F52A92" w:rsidRPr="00C918BE">
        <w:t xml:space="preserve">alone were similar </w:t>
      </w:r>
      <w:r w:rsidRPr="00C918BE">
        <w:t>(</w:t>
      </w:r>
      <w:fldSimple w:instr=" REF _Ref370287070  \* MERGEFORMAT ">
        <w:r w:rsidR="00436595" w:rsidRPr="00436595">
          <w:t xml:space="preserve">Figure </w:t>
        </w:r>
        <w:r w:rsidR="00436595" w:rsidRPr="00436595">
          <w:rPr>
            <w:noProof/>
          </w:rPr>
          <w:t>19</w:t>
        </w:r>
      </w:fldSimple>
      <w:r w:rsidR="00F52A92" w:rsidRPr="00C918BE">
        <w:t>).</w:t>
      </w:r>
      <w:r w:rsidR="00A856B8" w:rsidRPr="00C918BE">
        <w:t xml:space="preserve"> </w:t>
      </w:r>
      <w:r w:rsidR="00F52A92" w:rsidRPr="00C918BE">
        <w:t>C</w:t>
      </w:r>
      <w:r w:rsidRPr="00C918BE">
        <w:t xml:space="preserve">ladocerans and ostracods were more variable </w:t>
      </w:r>
      <w:r w:rsidR="00F52A92" w:rsidRPr="00C918BE">
        <w:t xml:space="preserve">over </w:t>
      </w:r>
      <w:r w:rsidRPr="00C918BE">
        <w:t xml:space="preserve">time, particularly in the Western Lakes where large </w:t>
      </w:r>
      <w:r w:rsidR="004E135B" w:rsidRPr="00C918BE">
        <w:rPr>
          <w:i/>
        </w:rPr>
        <w:t>Daphnia</w:t>
      </w:r>
      <w:r w:rsidR="00F52A92" w:rsidRPr="00C918BE">
        <w:t xml:space="preserve"> sp. had the greatest influence on the pattern of variability</w:t>
      </w:r>
      <w:r w:rsidRPr="00C918BE">
        <w:t xml:space="preserve"> (</w:t>
      </w:r>
      <w:fldSimple w:instr=" REF _Ref370286936  \* MERGEFORMAT ">
        <w:r w:rsidR="00436595" w:rsidRPr="00436595">
          <w:t xml:space="preserve">Figure </w:t>
        </w:r>
        <w:r w:rsidR="00436595" w:rsidRPr="00436595">
          <w:rPr>
            <w:noProof/>
          </w:rPr>
          <w:t>18</w:t>
        </w:r>
      </w:fldSimple>
      <w:r w:rsidR="00037E26" w:rsidRPr="00C918BE">
        <w:t xml:space="preserve"> </w:t>
      </w:r>
      <w:r w:rsidRPr="00C918BE">
        <w:t xml:space="preserve">and </w:t>
      </w:r>
      <w:fldSimple w:instr=" REF _Ref370287070  \* MERGEFORMAT ">
        <w:r w:rsidR="00436595" w:rsidRPr="00436595">
          <w:t xml:space="preserve">Figure </w:t>
        </w:r>
        <w:r w:rsidR="00436595" w:rsidRPr="00436595">
          <w:rPr>
            <w:noProof/>
          </w:rPr>
          <w:t>19</w:t>
        </w:r>
      </w:fldSimple>
      <w:r w:rsidRPr="00C918BE">
        <w:t>). In terms of length, copepods and cladocerans contained individuals of a similar size range</w:t>
      </w:r>
      <w:r w:rsidR="00CA49FE" w:rsidRPr="00C918BE">
        <w:t xml:space="preserve">, </w:t>
      </w:r>
      <w:r w:rsidRPr="00C918BE">
        <w:t xml:space="preserve">although some of the </w:t>
      </w:r>
      <w:r w:rsidR="004E135B" w:rsidRPr="00C918BE">
        <w:rPr>
          <w:i/>
        </w:rPr>
        <w:t>Daphnia</w:t>
      </w:r>
      <w:r w:rsidRPr="00C918BE">
        <w:t xml:space="preserve"> sp. from the Western Lakes </w:t>
      </w:r>
      <w:r w:rsidR="00C918BE" w:rsidRPr="00C918BE">
        <w:t>was</w:t>
      </w:r>
      <w:r w:rsidRPr="00C918BE">
        <w:t xml:space="preserve"> among the largest individuals observed in this study.</w:t>
      </w:r>
    </w:p>
    <w:p w:rsidR="00464CD2" w:rsidRDefault="00464CD2" w:rsidP="00C11CDF">
      <w:pPr>
        <w:pStyle w:val="NoSpacing"/>
        <w:rPr>
          <w:b/>
          <w:sz w:val="24"/>
          <w:szCs w:val="24"/>
        </w:rPr>
      </w:pPr>
    </w:p>
    <w:p w:rsidR="00E1766B" w:rsidRDefault="00C11CDF" w:rsidP="00C44F46">
      <w:pPr>
        <w:pStyle w:val="Heading2"/>
      </w:pPr>
      <w:bookmarkStart w:id="215" w:name="_Toc370299200"/>
      <w:bookmarkStart w:id="216" w:name="_Toc370738775"/>
      <w:bookmarkStart w:id="217" w:name="_Toc378168543"/>
      <w:r w:rsidRPr="004028B6">
        <w:t>Discussion</w:t>
      </w:r>
      <w:bookmarkEnd w:id="215"/>
      <w:bookmarkEnd w:id="216"/>
      <w:bookmarkEnd w:id="217"/>
    </w:p>
    <w:p w:rsidR="00AB2238" w:rsidRDefault="00AB2238" w:rsidP="00AB2238">
      <w:r>
        <w:t xml:space="preserve">Monitoring of microcrustaceans </w:t>
      </w:r>
      <w:r w:rsidR="003606B8">
        <w:t xml:space="preserve">over </w:t>
      </w:r>
      <w:r>
        <w:t xml:space="preserve">time demonstrated strong responses in density, diversity and composition (the relative abundance of various taxa) to the delivery of Commonwealth environmental water. Higher numbers of </w:t>
      </w:r>
      <w:r w:rsidRPr="00470ADC">
        <w:t xml:space="preserve">microcrustacean taxa </w:t>
      </w:r>
      <w:r>
        <w:t xml:space="preserve">coincided with Commonwealth environmental watering actions, and natural overbank flows in </w:t>
      </w:r>
      <w:r w:rsidRPr="00470ADC">
        <w:t xml:space="preserve">August and October </w:t>
      </w:r>
      <w:r>
        <w:t>declining by</w:t>
      </w:r>
      <w:r w:rsidRPr="00470ADC">
        <w:t xml:space="preserve"> December 2012 </w:t>
      </w:r>
      <w:r>
        <w:t>as the wetlands began to dry.</w:t>
      </w:r>
    </w:p>
    <w:p w:rsidR="00AB2238" w:rsidRPr="00C013EB" w:rsidRDefault="00AB2238" w:rsidP="00AB2238">
      <w:r>
        <w:t xml:space="preserve">The higher taxonomic richness in the frequently inundated wetlands from the Lowbidgee and mid-Murrumbidgee shows the benefits of Commonwealth environmental water in 2011-12 as well as 2012-13 in the Lowbidgee. Inundation of the Western Lakes with Commonwealth environmental water in 2012-13 provided a timely opportunity for this system that had been dry for several decades to replenish its egg bank </w:t>
      </w:r>
      <w:r w:rsidR="00D20FAE">
        <w:fldChar w:fldCharType="begin"/>
      </w:r>
      <w:r w:rsidR="006171E9">
        <w:instrText xml:space="preserve"> ADDIN EN.CITE &lt;EndNote&gt;&lt;Cite&gt;&lt;Author&gt;Jenkins&lt;/Author&gt;&lt;Year&gt;2007&lt;/Year&gt;&lt;RecNum&gt;2926&lt;/RecNum&gt;&lt;DisplayText&gt;(Jenkins and Boulton 2007)&lt;/DisplayText&gt;&lt;record&gt;&lt;rec-number&gt;2926&lt;/rec-number&gt;&lt;foreign-keys&gt;&lt;key app="EN" db-id="vxxvsda2b05fxpeaw2dp552mtrd5trxdrf0s"&gt;2926&lt;/key&gt;&lt;/foreign-keys&gt;&lt;ref-type name="Journal Article"&gt;17&lt;/ref-type&gt;&lt;contributors&gt;&lt;authors&gt;&lt;author&gt;Jenkins, K. M.&lt;/author&gt;&lt;author&gt;Boulton, A. J.&lt;/author&gt;&lt;/authors&gt;&lt;/contributors&gt;&lt;titles&gt;&lt;title&gt;Detecting impacts and setting restoration targets in arid-zone rivers: aquatic micro-invertebrate responses to reduced floodplain inundation&lt;/title&gt;&lt;secondary-title&gt;Journal of Applied Ecology&lt;/secondary-title&gt;&lt;/titles&gt;&lt;periodical&gt;&lt;full-title&gt;Journal of Applied Ecology&lt;/full-title&gt;&lt;/periodical&gt;&lt;pages&gt;823-832&lt;/pages&gt;&lt;volume&gt;44&lt;/volume&gt;&lt;number&gt;4&lt;/number&gt;&lt;dates&gt;&lt;year&gt;2007&lt;/year&gt;&lt;pub-dates&gt;&lt;date&gt;Aug&lt;/date&gt;&lt;/pub-dates&gt;&lt;/dates&gt;&lt;isbn&gt;0021-8901&lt;/isbn&gt;&lt;accession-num&gt;ISI:000247667100012&lt;/accession-num&gt;&lt;urls&gt;&lt;related-urls&gt;&lt;url&gt;&amp;lt;Go to ISI&amp;gt;://000247667100012&lt;/url&gt;&lt;/related-urls&gt;&lt;/urls&gt;&lt;electronic-resource-num&gt;10.1111/j.1365-2664.2007.01298.x&lt;/electronic-resource-num&gt;&lt;/record&gt;&lt;/Cite&gt;&lt;/EndNote&gt;</w:instrText>
      </w:r>
      <w:r w:rsidR="00D20FAE">
        <w:fldChar w:fldCharType="separate"/>
      </w:r>
      <w:r w:rsidR="006171E9">
        <w:rPr>
          <w:noProof/>
        </w:rPr>
        <w:t>(</w:t>
      </w:r>
      <w:hyperlink w:anchor="_ENREF_45" w:tooltip="Jenkins, 2007 #2926" w:history="1">
        <w:r w:rsidR="006810E6">
          <w:rPr>
            <w:noProof/>
          </w:rPr>
          <w:t>Jenkins and Boulton 2007</w:t>
        </w:r>
      </w:hyperlink>
      <w:r w:rsidR="006171E9">
        <w:rPr>
          <w:noProof/>
        </w:rPr>
        <w:t>)</w:t>
      </w:r>
      <w:r w:rsidR="00D20FAE">
        <w:fldChar w:fldCharType="end"/>
      </w:r>
      <w:r>
        <w:t>. Although it supported seven fewer taxa than the frequently flooded wetlands</w:t>
      </w:r>
      <w:r w:rsidR="003606B8">
        <w:t>,</w:t>
      </w:r>
      <w:r>
        <w:t xml:space="preserve"> it contained some of the largest microcrustaceans, the </w:t>
      </w:r>
      <w:r w:rsidRPr="00BD0911">
        <w:rPr>
          <w:i/>
        </w:rPr>
        <w:t>Daphnia</w:t>
      </w:r>
      <w:r>
        <w:t xml:space="preserve"> sp</w:t>
      </w:r>
      <w:r w:rsidRPr="00C013EB">
        <w:t>. that had a strong positive relationship with carp gudgeons (</w:t>
      </w:r>
      <w:r w:rsidR="00E04178" w:rsidRPr="00C013EB">
        <w:t xml:space="preserve">see section </w:t>
      </w:r>
      <w:fldSimple w:instr=" REF _Ref370725314 \r \h  \* MERGEFORMAT ">
        <w:r w:rsidR="00436595">
          <w:t>16</w:t>
        </w:r>
      </w:fldSimple>
      <w:r w:rsidRPr="00C013EB">
        <w:t>) and are likely to have underpinned the food web for the significant waterbird breeding event on the western lakes (see section</w:t>
      </w:r>
      <w:fldSimple w:instr=" REF _Ref370725342 \r \h  \* MERGEFORMAT ">
        <w:r w:rsidR="00436595">
          <w:t>13</w:t>
        </w:r>
      </w:fldSimple>
      <w:r w:rsidRPr="00C013EB">
        <w:t xml:space="preserve">).  </w:t>
      </w:r>
    </w:p>
    <w:p w:rsidR="00AB2238" w:rsidRDefault="00AB2238" w:rsidP="00AB2238">
      <w:r w:rsidRPr="00C013EB">
        <w:t xml:space="preserve">Overall, wetlands across the three regions had similar densities and numbers of microcrustacea taxa, but the composition (the relative abundance of various taxa) varied between regions. The unique </w:t>
      </w:r>
      <w:proofErr w:type="gramStart"/>
      <w:r w:rsidRPr="00C013EB">
        <w:t xml:space="preserve">communities in </w:t>
      </w:r>
      <w:r w:rsidR="00C96A46" w:rsidRPr="00C013EB">
        <w:t xml:space="preserve">wetlands in </w:t>
      </w:r>
      <w:r w:rsidRPr="00C013EB">
        <w:t>the three regions reflects</w:t>
      </w:r>
      <w:proofErr w:type="gramEnd"/>
      <w:r w:rsidRPr="00C013EB">
        <w:t xml:space="preserve"> differences in flow, vegetation communities and water quality which are considered in section </w:t>
      </w:r>
      <w:fldSimple w:instr=" REF _Ref370725370 \r \h  \* MERGEFORMAT ">
        <w:r w:rsidR="00436595">
          <w:t>16</w:t>
        </w:r>
      </w:fldSimple>
      <w:r w:rsidRPr="00C013EB">
        <w:t xml:space="preserve">.  The Lowbidgee community was dominated by chydorids, </w:t>
      </w:r>
      <w:r w:rsidRPr="00C013EB">
        <w:rPr>
          <w:i/>
        </w:rPr>
        <w:t>Moina micrura</w:t>
      </w:r>
      <w:r w:rsidRPr="00C013EB">
        <w:t xml:space="preserve"> and </w:t>
      </w:r>
      <w:r w:rsidRPr="00C013EB">
        <w:rPr>
          <w:i/>
        </w:rPr>
        <w:t>Macrothrix spinosa</w:t>
      </w:r>
      <w:r w:rsidR="003606B8" w:rsidRPr="003606B8">
        <w:t>,</w:t>
      </w:r>
      <w:r w:rsidRPr="00C013EB">
        <w:t xml:space="preserve"> whereas the mid-Murrumbidgee was dominated by </w:t>
      </w:r>
      <w:r w:rsidRPr="00C013EB">
        <w:rPr>
          <w:i/>
        </w:rPr>
        <w:t>Moina micrura</w:t>
      </w:r>
      <w:r w:rsidRPr="00C013EB">
        <w:t xml:space="preserve">, </w:t>
      </w:r>
      <w:r w:rsidRPr="00C013EB">
        <w:rPr>
          <w:i/>
        </w:rPr>
        <w:t>Bosmina meriodionalis</w:t>
      </w:r>
      <w:r w:rsidRPr="00C013EB">
        <w:t xml:space="preserve"> and </w:t>
      </w:r>
      <w:r w:rsidRPr="00C013EB">
        <w:rPr>
          <w:i/>
        </w:rPr>
        <w:t>Daphnia</w:t>
      </w:r>
      <w:r w:rsidR="003606B8">
        <w:t xml:space="preserve"> sp.</w:t>
      </w:r>
      <w:r w:rsidRPr="00C013EB">
        <w:t xml:space="preserve"> In contrast, </w:t>
      </w:r>
      <w:r w:rsidRPr="00C013EB">
        <w:rPr>
          <w:i/>
        </w:rPr>
        <w:t>Daphnia</w:t>
      </w:r>
      <w:r w:rsidRPr="00C013EB">
        <w:t xml:space="preserve"> sp. dominated the Western Lakes, with chydorids.</w:t>
      </w:r>
    </w:p>
    <w:p w:rsidR="00AB2238" w:rsidRDefault="00AB2238" w:rsidP="00AB2238">
      <w:r w:rsidRPr="00C62133">
        <w:t>All of the wetlands in this study were drying from December to April</w:t>
      </w:r>
      <w:r w:rsidR="003606B8">
        <w:t>,</w:t>
      </w:r>
      <w:r w:rsidRPr="00C62133">
        <w:t xml:space="preserve"> </w:t>
      </w:r>
      <w:r>
        <w:t xml:space="preserve">and the onset of this drying phase led to a crash in microcrustacea densities and a shift in community composition towards more tolerant taxa such as </w:t>
      </w:r>
      <w:r w:rsidRPr="00505588">
        <w:rPr>
          <w:i/>
        </w:rPr>
        <w:t>Moina micrura</w:t>
      </w:r>
      <w:r w:rsidR="003606B8">
        <w:t>,</w:t>
      </w:r>
      <w:r>
        <w:rPr>
          <w:i/>
        </w:rPr>
        <w:t xml:space="preserve"> </w:t>
      </w:r>
      <w:r w:rsidRPr="00505588">
        <w:t>which increased in ab</w:t>
      </w:r>
      <w:r>
        <w:t>un</w:t>
      </w:r>
      <w:r w:rsidRPr="00505588">
        <w:t xml:space="preserve">dance and compensated for the decline in </w:t>
      </w:r>
      <w:r w:rsidRPr="0086594E">
        <w:t>more</w:t>
      </w:r>
      <w:r w:rsidR="003606B8">
        <w:t xml:space="preserve"> sensitive species. </w:t>
      </w:r>
    </w:p>
    <w:p w:rsidR="00AB2238" w:rsidRDefault="00AB2238" w:rsidP="00AB2238">
      <w:r>
        <w:t>Based on this study, all the regions contained sufficient densities (&gt;100/L) of microcrustaceans on many sampling occasions to support larval fish recruitment (King 2004), particularly in pelagic habitats. Pelagic habitats were dominated by copepod nauplii and adults, which are main prey items identified for larval and juvenile fish (King 2005). However, chydorids and macrothricids are also main prey items (King 2005) and they are more common in benthic habitats. The dominant cladoceran within the Lowbidgee, the chydorids are consumed by larval Australian smelt, rainbowfish and Murray cod as well as carp and gambusia</w:t>
      </w:r>
      <w:r w:rsidR="00C96A46">
        <w:t xml:space="preserve"> (King 2005)</w:t>
      </w:r>
      <w:r>
        <w:t xml:space="preserve">. Macrothricid cladocerans, also found in the Lowbidgee, are a preferred prey item for Murray cod (King 2005). However, both </w:t>
      </w:r>
      <w:r w:rsidRPr="00BD0911">
        <w:rPr>
          <w:i/>
        </w:rPr>
        <w:t>Moina micrura</w:t>
      </w:r>
      <w:r>
        <w:t xml:space="preserve"> and </w:t>
      </w:r>
      <w:r w:rsidRPr="00505588">
        <w:rPr>
          <w:i/>
        </w:rPr>
        <w:t>Bosmina meriodionalis</w:t>
      </w:r>
      <w:r w:rsidRPr="00505588">
        <w:t xml:space="preserve"> </w:t>
      </w:r>
      <w:r>
        <w:t xml:space="preserve">the two dominant cladoceran taxa in the mid-Murrumbidgee wetlands were only consumed by preflexion Australian smelt in King’s (2005) study of larval fish diet in six species. </w:t>
      </w:r>
      <w:r w:rsidR="004E135B" w:rsidRPr="004E135B">
        <w:rPr>
          <w:i/>
        </w:rPr>
        <w:t>Daphnia</w:t>
      </w:r>
      <w:r>
        <w:t xml:space="preserve"> sp</w:t>
      </w:r>
      <w:r w:rsidR="003606B8">
        <w:t>.</w:t>
      </w:r>
      <w:r>
        <w:t>, the dominant taxa in the Western Lakes were eaten by juvenile/adult carp gudgeons, supporting the link found in this study</w:t>
      </w:r>
      <w:r w:rsidR="003606B8">
        <w:t xml:space="preserve">, </w:t>
      </w:r>
      <w:r>
        <w:t xml:space="preserve">and also by carp and gambusia </w:t>
      </w:r>
      <w:r w:rsidR="00D20FAE">
        <w:fldChar w:fldCharType="begin"/>
      </w:r>
      <w:r w:rsidR="006171E9">
        <w:instrText xml:space="preserve"> ADDIN EN.CITE &lt;EndNote&gt;&lt;Cite&gt;&lt;Author&gt;King&lt;/Author&gt;&lt;Year&gt;2005&lt;/Year&gt;&lt;RecNum&gt;3292&lt;/RecNum&gt;&lt;DisplayText&gt;(King, Crook&lt;style face="italic"&gt; et al.&lt;/style&gt; 2005)&lt;/DisplayText&gt;&lt;record&gt;&lt;rec-number&gt;3292&lt;/rec-number&gt;&lt;foreign-keys&gt;&lt;key app="EN" db-id="vxxvsda2b05fxpeaw2dp552mtrd5trxdrf0s"&gt;3292&lt;/key&gt;&lt;/foreign-keys&gt;&lt;ref-type name="Journal Article"&gt;17&lt;/ref-type&gt;&lt;contributors&gt;&lt;authors&gt;&lt;author&gt;King, Alison J.&lt;/author&gt;&lt;author&gt;Crook, David A.&lt;/author&gt;&lt;author&gt;Koster, Wayne M.&lt;/author&gt;&lt;author&gt;Mahoney, John&lt;/author&gt;&lt;author&gt;Tonkin, Zeb&lt;/author&gt;&lt;/authors&gt;&lt;/contributors&gt;&lt;titles&gt;&lt;title&gt;Comparison of larval fish drift in the Lower Goulburn and mid-Murray Rivers&lt;/title&gt;&lt;secondary-title&gt;Ecological Management &amp;amp; Restoration&lt;/secondary-title&gt;&lt;/titles&gt;&lt;periodical&gt;&lt;full-title&gt;Ecological Management &amp;amp; Restoration&lt;/full-title&gt;&lt;/periodical&gt;&lt;pages&gt;136-139&lt;/pages&gt;&lt;volume&gt;6&lt;/volume&gt;&lt;number&gt;2&lt;/number&gt;&lt;dates&gt;&lt;year&gt;2005&lt;/year&gt;&lt;/dates&gt;&lt;publisher&gt;Blackwell Science Pty&lt;/publisher&gt;&lt;isbn&gt;1442-8903&lt;/isbn&gt;&lt;urls&gt;&lt;related-urls&gt;&lt;url&gt;http://dx.doi.org/10.1111/j.1442-8903.2005.230-3.x&lt;/url&gt;&lt;/related-urls&gt;&lt;/urls&gt;&lt;electronic-resource-num&gt;10.1111/j.1442-8903.2005.230-3.x&lt;/electronic-resource-num&gt;&lt;/record&gt;&lt;/Cite&gt;&lt;/EndNote&gt;</w:instrText>
      </w:r>
      <w:r w:rsidR="00D20FAE">
        <w:fldChar w:fldCharType="separate"/>
      </w:r>
      <w:r w:rsidR="006171E9">
        <w:rPr>
          <w:noProof/>
        </w:rPr>
        <w:t>(</w:t>
      </w:r>
      <w:hyperlink w:anchor="_ENREF_51" w:tooltip="King, 2005 #3292" w:history="1">
        <w:r w:rsidR="006810E6">
          <w:rPr>
            <w:noProof/>
          </w:rPr>
          <w:t>King, Crook</w:t>
        </w:r>
        <w:r w:rsidR="006810E6" w:rsidRPr="006171E9">
          <w:rPr>
            <w:i/>
            <w:noProof/>
          </w:rPr>
          <w:t xml:space="preserve"> et al.</w:t>
        </w:r>
        <w:r w:rsidR="006810E6">
          <w:rPr>
            <w:noProof/>
          </w:rPr>
          <w:t xml:space="preserve"> 2005</w:t>
        </w:r>
      </w:hyperlink>
      <w:r w:rsidR="006171E9">
        <w:rPr>
          <w:noProof/>
        </w:rPr>
        <w:t>)</w:t>
      </w:r>
      <w:r w:rsidR="00D20FAE">
        <w:fldChar w:fldCharType="end"/>
      </w:r>
      <w:r>
        <w:t xml:space="preserve">. </w:t>
      </w:r>
    </w:p>
    <w:p w:rsidR="00ED331F" w:rsidRDefault="00ED331F" w:rsidP="00ED331F"/>
    <w:p w:rsidR="00ED331F" w:rsidRDefault="00ED331F">
      <w:pPr>
        <w:spacing w:after="0" w:line="240" w:lineRule="auto"/>
        <w:jc w:val="left"/>
      </w:pPr>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43"/>
      </w:tblGrid>
      <w:tr w:rsidR="000A6987" w:rsidTr="00663596">
        <w:trPr>
          <w:cnfStyle w:val="100000000000"/>
        </w:trPr>
        <w:tc>
          <w:tcPr>
            <w:tcW w:w="9242" w:type="dxa"/>
            <w:shd w:val="clear" w:color="auto" w:fill="auto"/>
          </w:tcPr>
          <w:p w:rsidR="000A6987" w:rsidRDefault="000A6987" w:rsidP="000A6987">
            <w:pPr>
              <w:pStyle w:val="Title"/>
              <w:rPr>
                <w:color w:val="000000" w:themeColor="text1"/>
              </w:rPr>
            </w:pPr>
            <w:bookmarkStart w:id="218" w:name="_Toc370738776"/>
            <w:r w:rsidRPr="00505588">
              <w:rPr>
                <w:color w:val="000000" w:themeColor="text1"/>
              </w:rPr>
              <w:t>Fish</w:t>
            </w:r>
            <w:r w:rsidR="00202FB2">
              <w:rPr>
                <w:color w:val="000000" w:themeColor="text1"/>
              </w:rPr>
              <w:t>:</w:t>
            </w:r>
            <w:r w:rsidRPr="00505588">
              <w:rPr>
                <w:color w:val="000000" w:themeColor="text1"/>
              </w:rPr>
              <w:t xml:space="preserve"> Communities, </w:t>
            </w:r>
            <w:r w:rsidR="00202FB2">
              <w:rPr>
                <w:color w:val="000000" w:themeColor="text1"/>
              </w:rPr>
              <w:t xml:space="preserve">movement, </w:t>
            </w:r>
            <w:r w:rsidRPr="00505588">
              <w:rPr>
                <w:color w:val="000000" w:themeColor="text1"/>
              </w:rPr>
              <w:t>breeding and recruitment</w:t>
            </w:r>
            <w:bookmarkEnd w:id="218"/>
          </w:p>
          <w:p w:rsidR="000A6987" w:rsidRDefault="000A6987" w:rsidP="000A6987">
            <w:pPr>
              <w:spacing w:after="0" w:line="240" w:lineRule="auto"/>
              <w:jc w:val="left"/>
            </w:pPr>
          </w:p>
          <w:p w:rsidR="000A6987" w:rsidRDefault="000A6987" w:rsidP="000A6987">
            <w:r w:rsidRPr="004418C2">
              <w:rPr>
                <w:noProof/>
                <w:lang w:eastAsia="en-AU"/>
              </w:rPr>
              <w:drawing>
                <wp:inline distT="0" distB="0" distL="0" distR="0">
                  <wp:extent cx="5731510" cy="3223895"/>
                  <wp:effectExtent l="19050" t="0" r="2540" b="0"/>
                  <wp:docPr id="177" name="Picture 109" descr="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29.JPG"/>
                          <pic:cNvPicPr/>
                        </pic:nvPicPr>
                        <pic:blipFill>
                          <a:blip r:embed="rId96" cstate="print"/>
                          <a:stretch>
                            <a:fillRect/>
                          </a:stretch>
                        </pic:blipFill>
                        <pic:spPr>
                          <a:xfrm>
                            <a:off x="0" y="0"/>
                            <a:ext cx="5731510" cy="3223895"/>
                          </a:xfrm>
                          <a:prstGeom prst="rect">
                            <a:avLst/>
                          </a:prstGeom>
                        </pic:spPr>
                      </pic:pic>
                    </a:graphicData>
                  </a:graphic>
                </wp:inline>
              </w:drawing>
            </w:r>
          </w:p>
          <w:p w:rsidR="000A6987" w:rsidRDefault="000A6987" w:rsidP="000A6987"/>
          <w:p w:rsidR="000A6987" w:rsidRDefault="000A6987" w:rsidP="00037E26">
            <w:pPr>
              <w:pStyle w:val="BodyText1"/>
            </w:pPr>
            <w:r>
              <w:t xml:space="preserve">In the following section we outline fish responses to Commonwealth environmental water in the </w:t>
            </w:r>
            <w:r w:rsidRPr="00716AE0">
              <w:t xml:space="preserve">Murrumbidgee River and connected wetlands. The specific objectives that are assessed in this section are: </w:t>
            </w:r>
            <w:r w:rsidR="003606B8" w:rsidRPr="003606B8">
              <w:rPr>
                <w:b/>
              </w:rPr>
              <w:t>“</w:t>
            </w:r>
            <w:r w:rsidRPr="00DB1376">
              <w:rPr>
                <w:b/>
              </w:rPr>
              <w:t>Support breeding and recruitment of native fish</w:t>
            </w:r>
            <w:r w:rsidR="00DB1376">
              <w:rPr>
                <w:b/>
              </w:rPr>
              <w:t xml:space="preserve"> and </w:t>
            </w:r>
            <w:r w:rsidRPr="00DB1376">
              <w:rPr>
                <w:b/>
              </w:rPr>
              <w:t>Support habitat requirements of native fish</w:t>
            </w:r>
            <w:r w:rsidR="003606B8">
              <w:rPr>
                <w:b/>
              </w:rPr>
              <w:t>”</w:t>
            </w:r>
            <w:r w:rsidR="00DB1376">
              <w:rPr>
                <w:b/>
              </w:rPr>
              <w:t>.</w:t>
            </w:r>
            <w:r w:rsidRPr="00DB1376">
              <w:rPr>
                <w:b/>
              </w:rPr>
              <w:t xml:space="preserve"> </w:t>
            </w:r>
            <w:r w:rsidRPr="00716AE0">
              <w:t xml:space="preserve"> The success of the Commonwealth environmental watering actions in achieving these objectives is measures via three key indicators:</w:t>
            </w:r>
            <w:r>
              <w:t xml:space="preserve"> </w:t>
            </w:r>
          </w:p>
          <w:p w:rsidR="000A6987" w:rsidRDefault="003606B8" w:rsidP="00037E26">
            <w:pPr>
              <w:pStyle w:val="BodyText1"/>
              <w:numPr>
                <w:ilvl w:val="0"/>
                <w:numId w:val="45"/>
              </w:numPr>
            </w:pPr>
            <w:r>
              <w:t>Communities -</w:t>
            </w:r>
            <w:r w:rsidR="007A20B1">
              <w:t xml:space="preserve"> </w:t>
            </w:r>
            <w:r w:rsidR="000A6987">
              <w:t>Assessment of pre and post flow fish community composition and size structure in the Murrumbidgee River and wetlands of the mid-Murrumbidgee, Lowbidgee and Western lakes.</w:t>
            </w:r>
          </w:p>
          <w:p w:rsidR="000A6987" w:rsidRDefault="003606B8" w:rsidP="00037E26">
            <w:pPr>
              <w:pStyle w:val="BodyText1"/>
              <w:numPr>
                <w:ilvl w:val="0"/>
                <w:numId w:val="45"/>
              </w:numPr>
            </w:pPr>
            <w:r>
              <w:t>Movement -</w:t>
            </w:r>
            <w:r w:rsidR="007A20B1">
              <w:t xml:space="preserve"> </w:t>
            </w:r>
            <w:r w:rsidR="000A6987">
              <w:t>Spawning movements of large bodied native fish in response to the Commonwealth environmental flow in the Murrumbidgee River</w:t>
            </w:r>
            <w:r w:rsidR="00007CAB">
              <w:t>.</w:t>
            </w:r>
          </w:p>
          <w:p w:rsidR="000A6987" w:rsidRPr="007A20B1" w:rsidRDefault="003606B8" w:rsidP="00037E26">
            <w:pPr>
              <w:pStyle w:val="BodyText1"/>
              <w:numPr>
                <w:ilvl w:val="0"/>
                <w:numId w:val="45"/>
              </w:numPr>
            </w:pPr>
            <w:r>
              <w:t>Spawning -</w:t>
            </w:r>
            <w:r w:rsidR="007A20B1">
              <w:t xml:space="preserve"> </w:t>
            </w:r>
            <w:r w:rsidR="000A6987">
              <w:t>Changes in larval fish abundance and daily ages during the Commonwealth environmental flow in the Murrumbidgee River</w:t>
            </w:r>
            <w:r w:rsidR="0037705B">
              <w:t>.</w:t>
            </w:r>
            <w:r w:rsidR="000A6987">
              <w:t xml:space="preserve"> </w:t>
            </w:r>
          </w:p>
        </w:tc>
      </w:tr>
    </w:tbl>
    <w:p w:rsidR="00037E26" w:rsidRDefault="00037E26"/>
    <w:tbl>
      <w:tblPr>
        <w:tblStyle w:val="TableGrid"/>
        <w:tblW w:w="0" w:type="auto"/>
        <w:tblLook w:val="04A0"/>
      </w:tblPr>
      <w:tblGrid>
        <w:gridCol w:w="9243"/>
      </w:tblGrid>
      <w:tr w:rsidR="00193122" w:rsidRPr="009A46C7" w:rsidTr="009A46C7">
        <w:trPr>
          <w:cnfStyle w:val="100000000000"/>
        </w:trPr>
        <w:tc>
          <w:tcPr>
            <w:tcW w:w="9242" w:type="dxa"/>
          </w:tcPr>
          <w:p w:rsidR="00193122" w:rsidRPr="00D31D5F" w:rsidRDefault="00CD55CC" w:rsidP="000C2710">
            <w:pPr>
              <w:pStyle w:val="Title"/>
              <w:tabs>
                <w:tab w:val="center" w:pos="4153"/>
                <w:tab w:val="right" w:pos="8306"/>
              </w:tabs>
              <w:rPr>
                <w:color w:val="FFFFFF" w:themeColor="background1"/>
              </w:rPr>
            </w:pPr>
            <w:r>
              <w:br w:type="page"/>
            </w:r>
            <w:bookmarkStart w:id="219" w:name="_Toc370738777"/>
            <w:r w:rsidR="00505588" w:rsidRPr="00D31D5F">
              <w:rPr>
                <w:color w:val="FFFFFF" w:themeColor="background1"/>
              </w:rPr>
              <w:t>Fish communities</w:t>
            </w:r>
            <w:bookmarkEnd w:id="219"/>
          </w:p>
          <w:p w:rsidR="00193122" w:rsidRPr="009A46C7" w:rsidRDefault="00193122" w:rsidP="000C2710">
            <w:pPr>
              <w:rPr>
                <w:b/>
              </w:rPr>
            </w:pPr>
          </w:p>
          <w:p w:rsidR="00193122" w:rsidRPr="009A46C7" w:rsidRDefault="00E1766B" w:rsidP="00193122">
            <w:pPr>
              <w:rPr>
                <w:b/>
              </w:rPr>
            </w:pPr>
            <w:r>
              <w:rPr>
                <w:b/>
                <w:noProof/>
                <w:lang w:eastAsia="en-AU"/>
              </w:rPr>
              <w:drawing>
                <wp:inline distT="0" distB="0" distL="0" distR="0">
                  <wp:extent cx="5732780" cy="2101215"/>
                  <wp:effectExtent l="19050" t="0" r="1270" b="0"/>
                  <wp:docPr id="29" name="Picture 29" descr="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84"/>
                          <pic:cNvPicPr>
                            <a:picLocks noChangeAspect="1" noChangeArrowheads="1"/>
                          </pic:cNvPicPr>
                        </pic:nvPicPr>
                        <pic:blipFill>
                          <a:blip r:embed="rId97" cstate="print"/>
                          <a:srcRect/>
                          <a:stretch>
                            <a:fillRect/>
                          </a:stretch>
                        </pic:blipFill>
                        <pic:spPr bwMode="auto">
                          <a:xfrm>
                            <a:off x="0" y="0"/>
                            <a:ext cx="5732780" cy="2101215"/>
                          </a:xfrm>
                          <a:prstGeom prst="rect">
                            <a:avLst/>
                          </a:prstGeom>
                          <a:noFill/>
                          <a:ln w="9525">
                            <a:noFill/>
                            <a:miter lim="800000"/>
                            <a:headEnd/>
                            <a:tailEnd/>
                          </a:ln>
                        </pic:spPr>
                      </pic:pic>
                    </a:graphicData>
                  </a:graphic>
                </wp:inline>
              </w:drawing>
            </w:r>
          </w:p>
          <w:p w:rsidR="00193122" w:rsidRPr="003606B8" w:rsidRDefault="00505588" w:rsidP="00716AE0">
            <w:pPr>
              <w:pStyle w:val="NoSpacing"/>
            </w:pPr>
            <w:r w:rsidRPr="00505588">
              <w:t xml:space="preserve">Fish communities can change in response to the delivery of environmental flows, due to recruitment, immigration and emigration. Fish communities of the Murrumbidgee </w:t>
            </w:r>
            <w:r w:rsidR="0037705B">
              <w:t>R</w:t>
            </w:r>
            <w:r w:rsidRPr="00505588">
              <w:t>iver and wetlands were monitored between August 2012 and April 2013. The key focus areas were the Murrumbidgee River and the Western Lakes, both of which received Commonwealth environmental water between September and December 2012. The Lowbidgee and mid-Murrumbidgee wetlands did not receive Commonwealth environmental water but were included as part of the</w:t>
            </w:r>
            <w:r w:rsidR="003606B8">
              <w:t xml:space="preserve"> monitoring program</w:t>
            </w:r>
            <w:r w:rsidR="000A551F">
              <w:t>, in order to provide continuity during the transition to the Long Term Intervention Monitoring Program (LTIM) commencing in 2014</w:t>
            </w:r>
            <w:r w:rsidR="003606B8">
              <w:t xml:space="preserve">. </w:t>
            </w:r>
            <w:r w:rsidRPr="00505588">
              <w:t xml:space="preserve">The key objectives of the Commonwealth environmental watering action </w:t>
            </w:r>
            <w:r w:rsidR="00716AE0">
              <w:t>assessed in this section</w:t>
            </w:r>
            <w:r w:rsidRPr="00505588">
              <w:t xml:space="preserve"> </w:t>
            </w:r>
            <w:r w:rsidR="0037705B">
              <w:t xml:space="preserve">are </w:t>
            </w:r>
            <w:r w:rsidR="00716AE0">
              <w:t>to “</w:t>
            </w:r>
            <w:r w:rsidRPr="00505588">
              <w:rPr>
                <w:b/>
                <w:i/>
              </w:rPr>
              <w:t>support the breeding and recruitment of native fish”</w:t>
            </w:r>
            <w:r w:rsidR="003606B8">
              <w:t>.</w:t>
            </w:r>
          </w:p>
          <w:p w:rsidR="00E1766B" w:rsidRDefault="00E1766B">
            <w:pPr>
              <w:pStyle w:val="NoSpacing"/>
            </w:pPr>
          </w:p>
          <w:p w:rsidR="00E1766B" w:rsidRDefault="00505588">
            <w:pPr>
              <w:pStyle w:val="NoSpacing"/>
              <w:rPr>
                <w:b/>
              </w:rPr>
            </w:pPr>
            <w:r w:rsidRPr="00505588">
              <w:rPr>
                <w:b/>
              </w:rPr>
              <w:t>Key outcomes</w:t>
            </w:r>
          </w:p>
          <w:p w:rsidR="00E1766B" w:rsidRDefault="00505588" w:rsidP="00037E26">
            <w:pPr>
              <w:pStyle w:val="NoSpacing"/>
              <w:numPr>
                <w:ilvl w:val="0"/>
                <w:numId w:val="44"/>
              </w:numPr>
            </w:pPr>
            <w:r w:rsidRPr="00505588">
              <w:t xml:space="preserve">Overall </w:t>
            </w:r>
            <w:r w:rsidRPr="00505588">
              <w:rPr>
                <w:b/>
              </w:rPr>
              <w:t>the total abundance and biomass of native fish increased significantly after the delivery of Commonwealth environmental water</w:t>
            </w:r>
            <w:r w:rsidRPr="00505588">
              <w:t>, due to recruitment by some small-bodied native species (carp gudgeon and Australian smelt) and immigration of large bodied fish, particular</w:t>
            </w:r>
            <w:r w:rsidR="003606B8">
              <w:t>ly</w:t>
            </w:r>
            <w:r w:rsidRPr="00505588">
              <w:t xml:space="preserve"> Golden perch. </w:t>
            </w:r>
          </w:p>
          <w:p w:rsidR="00E1766B" w:rsidRDefault="00505588" w:rsidP="00037E26">
            <w:pPr>
              <w:pStyle w:val="NoSpacing"/>
              <w:numPr>
                <w:ilvl w:val="0"/>
                <w:numId w:val="44"/>
              </w:numPr>
            </w:pPr>
            <w:r w:rsidRPr="00505588">
              <w:t>Wetland fish communities were dominated by small-bodied native fish species, which outnumbered exotic fish species such as carp, goldfish and gambusia by more than 100 to one.</w:t>
            </w:r>
          </w:p>
          <w:p w:rsidR="00E1766B" w:rsidRDefault="00505588" w:rsidP="00037E26">
            <w:pPr>
              <w:pStyle w:val="NoSpacing"/>
              <w:numPr>
                <w:ilvl w:val="0"/>
                <w:numId w:val="44"/>
              </w:numPr>
            </w:pPr>
            <w:r w:rsidRPr="00505588">
              <w:t xml:space="preserve">There was no evidence of significant carp recruitment in the Murrumbidgee River main channel following the delivery of Commonwealth environmental water. There was some evidence of low levels of carp spawning in the wetlands in October 2012 but subsequent surveys over 2012-13 indicated low recruitment rates of carp with total carp numbers decreasing in all wetland regions. </w:t>
            </w:r>
          </w:p>
          <w:p w:rsidR="00193122" w:rsidRDefault="00193122" w:rsidP="00CD55CC">
            <w:pPr>
              <w:rPr>
                <w:b/>
              </w:rPr>
            </w:pPr>
          </w:p>
          <w:p w:rsidR="00407848" w:rsidRDefault="00407848" w:rsidP="00CD55CC">
            <w:pPr>
              <w:rPr>
                <w:b/>
              </w:rPr>
            </w:pPr>
          </w:p>
          <w:p w:rsidR="00407848" w:rsidRPr="009A46C7" w:rsidRDefault="00407848" w:rsidP="00CD55CC">
            <w:pPr>
              <w:rPr>
                <w:b/>
              </w:rPr>
            </w:pPr>
          </w:p>
        </w:tc>
      </w:tr>
    </w:tbl>
    <w:p w:rsidR="00765991" w:rsidRPr="00765991" w:rsidRDefault="00915DCF" w:rsidP="00915DCF">
      <w:pPr>
        <w:pStyle w:val="Heading1"/>
        <w:rPr>
          <w:rFonts w:eastAsia="Calibri"/>
        </w:rPr>
      </w:pPr>
      <w:bookmarkStart w:id="220" w:name="_Ref370292039"/>
      <w:bookmarkStart w:id="221" w:name="_Toc370299201"/>
      <w:bookmarkStart w:id="222" w:name="_Toc370738778"/>
      <w:bookmarkStart w:id="223" w:name="_Toc378168544"/>
      <w:r>
        <w:rPr>
          <w:rFonts w:eastAsia="Calibri"/>
        </w:rPr>
        <w:t>Fish communities</w:t>
      </w:r>
      <w:bookmarkEnd w:id="220"/>
      <w:bookmarkEnd w:id="221"/>
      <w:bookmarkEnd w:id="222"/>
      <w:bookmarkEnd w:id="223"/>
    </w:p>
    <w:p w:rsidR="00A5580F" w:rsidRPr="0001146D" w:rsidRDefault="00A5580F" w:rsidP="00A5580F">
      <w:r w:rsidRPr="004F1FD3">
        <w:t xml:space="preserve">Fish communities of the Murrumbidgee </w:t>
      </w:r>
      <w:r>
        <w:t>C</w:t>
      </w:r>
      <w:r w:rsidRPr="004F1FD3">
        <w:t xml:space="preserve">atchment </w:t>
      </w:r>
      <w:r>
        <w:t>are</w:t>
      </w:r>
      <w:r w:rsidRPr="004F1FD3">
        <w:t xml:space="preserve"> severely degraded, with only eight of the 21 native </w:t>
      </w:r>
      <w:r>
        <w:t xml:space="preserve">species </w:t>
      </w:r>
      <w:r w:rsidR="003606B8">
        <w:t xml:space="preserve">that </w:t>
      </w:r>
      <w:r>
        <w:t>would have historically occurred in the region recorded</w:t>
      </w:r>
      <w:r w:rsidRPr="004F1FD3">
        <w:t xml:space="preserve"> </w:t>
      </w:r>
      <w:r>
        <w:t xml:space="preserve">since 1975 </w:t>
      </w:r>
      <w:r w:rsidR="00D20FAE">
        <w:fldChar w:fldCharType="begin"/>
      </w:r>
      <w:r w:rsidR="006171E9">
        <w:instrText xml:space="preserve"> ADDIN EN.CITE &lt;EndNote&gt;&lt;Cite&gt;&lt;Author&gt;Gilligan&lt;/Author&gt;&lt;Year&gt;2005&lt;/Year&gt;&lt;RecNum&gt;2733&lt;/RecNum&gt;&lt;DisplayText&gt;(Gilligan 2005)&lt;/DisplayText&gt;&lt;record&gt;&lt;rec-number&gt;2733&lt;/rec-number&gt;&lt;foreign-keys&gt;&lt;key app="EN" db-id="vxxvsda2b05fxpeaw2dp552mtrd5trxdrf0s"&gt;2733&lt;/key&gt;&lt;/foreign-keys&gt;&lt;ref-type name="Report"&gt;27&lt;/ref-type&gt;&lt;contributors&gt;&lt;authors&gt;&lt;author&gt;Gilligan, D M&lt;/author&gt;&lt;/authors&gt;&lt;/contributors&gt;&lt;titles&gt;&lt;title&gt;Fish communities of the Murrumbidgee catchment: status and trends&lt;/title&gt;&lt;/titles&gt;&lt;dates&gt;&lt;year&gt;2005&lt;/year&gt;&lt;/dates&gt;&lt;pub-location&gt;New South Wales Department of Primary Industries: Cronulla Fisheries Centre&lt;/pub-location&gt;&lt;urls&gt;&lt;/urls&gt;&lt;/record&gt;&lt;/Cite&gt;&lt;/EndNote&gt;</w:instrText>
      </w:r>
      <w:r w:rsidR="00D20FAE">
        <w:fldChar w:fldCharType="separate"/>
      </w:r>
      <w:r w:rsidR="006171E9">
        <w:rPr>
          <w:noProof/>
        </w:rPr>
        <w:t>(</w:t>
      </w:r>
      <w:hyperlink w:anchor="_ENREF_35" w:tooltip="Gilligan, 2005 #2733" w:history="1">
        <w:r w:rsidR="006810E6">
          <w:rPr>
            <w:noProof/>
          </w:rPr>
          <w:t>Gilligan 2005</w:t>
        </w:r>
      </w:hyperlink>
      <w:r w:rsidR="006171E9">
        <w:rPr>
          <w:noProof/>
        </w:rPr>
        <w:t>)</w:t>
      </w:r>
      <w:r w:rsidR="00D20FAE">
        <w:fldChar w:fldCharType="end"/>
      </w:r>
      <w:r w:rsidRPr="004F1FD3">
        <w:t xml:space="preserve">. Historically, small-bodied </w:t>
      </w:r>
      <w:r>
        <w:t>floodplain</w:t>
      </w:r>
      <w:r w:rsidRPr="004F1FD3">
        <w:t xml:space="preserve"> species such as the Murray hardyhead (</w:t>
      </w:r>
      <w:r w:rsidRPr="004F1FD3">
        <w:rPr>
          <w:i/>
        </w:rPr>
        <w:t>Craterocephalus fluviatilis</w:t>
      </w:r>
      <w:r w:rsidRPr="004F1FD3">
        <w:t>), southern pygmy perch (</w:t>
      </w:r>
      <w:r w:rsidRPr="004F1FD3">
        <w:rPr>
          <w:i/>
        </w:rPr>
        <w:t>Nannoperca australis</w:t>
      </w:r>
      <w:r w:rsidRPr="004F1FD3">
        <w:t>), southern purple</w:t>
      </w:r>
      <w:r w:rsidR="0037705B">
        <w:t>-</w:t>
      </w:r>
      <w:r w:rsidRPr="004F1FD3">
        <w:t>spotted gudgeon (</w:t>
      </w:r>
      <w:r w:rsidRPr="004F1FD3">
        <w:rPr>
          <w:i/>
        </w:rPr>
        <w:t>Mogurnda adspersa</w:t>
      </w:r>
      <w:r w:rsidRPr="004F1FD3">
        <w:t>) and olive perchlet (</w:t>
      </w:r>
      <w:r w:rsidRPr="004F1FD3">
        <w:rPr>
          <w:i/>
        </w:rPr>
        <w:t xml:space="preserve">Ambassis </w:t>
      </w:r>
      <w:r w:rsidRPr="004F1FD3">
        <w:t xml:space="preserve">agassizii) utilised wetland habitats of the Murrumbidgee </w:t>
      </w:r>
      <w:r w:rsidR="00D20FAE">
        <w:fldChar w:fldCharType="begin"/>
      </w:r>
      <w:r w:rsidR="006171E9">
        <w:instrText xml:space="preserve"> ADDIN EN.CITE &lt;EndNote&gt;&lt;Cite&gt;&lt;Author&gt;Anderson&lt;/Author&gt;&lt;Year&gt;1915&lt;/Year&gt;&lt;RecNum&gt;3294&lt;/RecNum&gt;&lt;DisplayText&gt;(Anderson 1915)&lt;/DisplayText&gt;&lt;record&gt;&lt;rec-number&gt;3294&lt;/rec-number&gt;&lt;foreign-keys&gt;&lt;key app="EN" db-id="vxxvsda2b05fxpeaw2dp552mtrd5trxdrf0s"&gt;3294&lt;/key&gt;&lt;/foreign-keys&gt;&lt;ref-type name="Journal Article"&gt;17&lt;/ref-type&gt;&lt;contributors&gt;&lt;authors&gt;&lt;author&gt;Anderson, H. K. &lt;/author&gt;&lt;/authors&gt;&lt;/contributors&gt;&lt;titles&gt;&lt;title&gt;Rescue Operations on the Murrumbidgee River&lt;/title&gt;&lt;secondary-title&gt;The Australian Zoologist&lt;/secondary-title&gt;&lt;/titles&gt;&lt;periodical&gt;&lt;full-title&gt;The Australian Zoologist&lt;/full-title&gt;&lt;/periodical&gt;&lt;pages&gt;157-160&lt;/pages&gt;&lt;volume&gt;1&lt;/volume&gt;&lt;dates&gt;&lt;year&gt;1915&lt;/year&gt;&lt;/dates&gt;&lt;urls&gt;&lt;/urls&gt;&lt;/record&gt;&lt;/Cite&gt;&lt;/EndNote&gt;</w:instrText>
      </w:r>
      <w:r w:rsidR="00D20FAE">
        <w:fldChar w:fldCharType="separate"/>
      </w:r>
      <w:r w:rsidR="006171E9">
        <w:rPr>
          <w:noProof/>
        </w:rPr>
        <w:t>(</w:t>
      </w:r>
      <w:hyperlink w:anchor="_ENREF_4" w:tooltip="Anderson, 1915 #3294" w:history="1">
        <w:r w:rsidR="006810E6">
          <w:rPr>
            <w:noProof/>
          </w:rPr>
          <w:t>Anderson 1915</w:t>
        </w:r>
      </w:hyperlink>
      <w:r w:rsidR="006171E9">
        <w:rPr>
          <w:noProof/>
        </w:rPr>
        <w:t>)</w:t>
      </w:r>
      <w:r w:rsidR="00D20FAE">
        <w:fldChar w:fldCharType="end"/>
      </w:r>
      <w:r w:rsidRPr="004F1FD3">
        <w:t>,</w:t>
      </w:r>
      <w:r>
        <w:t xml:space="preserve"> </w:t>
      </w:r>
      <w:r w:rsidRPr="004F1FD3">
        <w:t xml:space="preserve">however these species are now </w:t>
      </w:r>
      <w:r>
        <w:t xml:space="preserve">considered </w:t>
      </w:r>
      <w:r w:rsidRPr="004F1FD3">
        <w:t>locally extinct</w:t>
      </w:r>
      <w:r>
        <w:t xml:space="preserve"> </w:t>
      </w:r>
      <w:r w:rsidR="00D20FAE">
        <w:fldChar w:fldCharType="begin"/>
      </w:r>
      <w:r w:rsidR="006171E9">
        <w:instrText xml:space="preserve"> ADDIN EN.CITE &lt;EndNote&gt;&lt;Cite&gt;&lt;Author&gt;Gilligan&lt;/Author&gt;&lt;Year&gt;2005&lt;/Year&gt;&lt;RecNum&gt;2733&lt;/RecNum&gt;&lt;DisplayText&gt;(Gilligan 2005)&lt;/DisplayText&gt;&lt;record&gt;&lt;rec-number&gt;2733&lt;/rec-number&gt;&lt;foreign-keys&gt;&lt;key app="EN" db-id="vxxvsda2b05fxpeaw2dp552mtrd5trxdrf0s"&gt;2733&lt;/key&gt;&lt;/foreign-keys&gt;&lt;ref-type name="Report"&gt;27&lt;/ref-type&gt;&lt;contributors&gt;&lt;authors&gt;&lt;author&gt;Gilligan, D M&lt;/author&gt;&lt;/authors&gt;&lt;/contributors&gt;&lt;titles&gt;&lt;title&gt;Fish communities of the Murrumbidgee catchment: status and trends&lt;/title&gt;&lt;/titles&gt;&lt;dates&gt;&lt;year&gt;2005&lt;/year&gt;&lt;/dates&gt;&lt;pub-location&gt;New South Wales Department of Primary Industries: Cronulla Fisheries Centre&lt;/pub-location&gt;&lt;urls&gt;&lt;/urls&gt;&lt;/record&gt;&lt;/Cite&gt;&lt;/EndNote&gt;</w:instrText>
      </w:r>
      <w:r w:rsidR="00D20FAE">
        <w:fldChar w:fldCharType="separate"/>
      </w:r>
      <w:r w:rsidR="006171E9">
        <w:rPr>
          <w:noProof/>
        </w:rPr>
        <w:t>(</w:t>
      </w:r>
      <w:hyperlink w:anchor="_ENREF_35" w:tooltip="Gilligan, 2005 #2733" w:history="1">
        <w:r w:rsidR="006810E6">
          <w:rPr>
            <w:noProof/>
          </w:rPr>
          <w:t>Gilligan 2005</w:t>
        </w:r>
      </w:hyperlink>
      <w:r w:rsidR="006171E9">
        <w:rPr>
          <w:noProof/>
        </w:rPr>
        <w:t>)</w:t>
      </w:r>
      <w:r w:rsidR="00D20FAE">
        <w:fldChar w:fldCharType="end"/>
      </w:r>
      <w:r w:rsidRPr="004F1FD3">
        <w:t>.</w:t>
      </w:r>
      <w:r>
        <w:t xml:space="preserve"> Previous surveys conducted by the project team in the Murrumbidgee have shown that native small-bodied fish species dominate wetland fish communities and use wetland habitats as nursery grounds for spawning and </w:t>
      </w:r>
      <w:r w:rsidR="00DB1376">
        <w:t xml:space="preserve">recruitment </w:t>
      </w:r>
      <w:r w:rsidR="00D20FAE">
        <w:fldChar w:fldCharType="begin"/>
      </w:r>
      <w:r w:rsidR="006171E9">
        <w:instrText xml:space="preserve"> ADDIN EN.CITE &lt;EndNote&gt;&lt;Cite&gt;&lt;Author&gt;Wassens&lt;/Author&gt;&lt;Year&gt;2012&lt;/Year&gt;&lt;RecNum&gt;3272&lt;/RecNum&gt;&lt;DisplayText&gt;(Wassens, Watts&lt;style face="italic"&gt; et al.&lt;/style&gt; 2012)&lt;/DisplayText&gt;&lt;record&gt;&lt;rec-number&gt;3272&lt;/rec-number&gt;&lt;foreign-keys&gt;&lt;key app="EN" db-id="vxxvsda2b05fxpeaw2dp552mtrd5trxdrf0s"&gt;3272&lt;/key&gt;&lt;/foreign-keys&gt;&lt;ref-type name="Book"&gt;6&lt;/ref-type&gt;&lt;contributors&gt;&lt;authors&gt;&lt;author&gt;Wassens, S.&lt;/author&gt;&lt;author&gt;Watts, R. 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system&lt;/title&gt;&lt;/titles&gt;&lt;dates&gt;&lt;year&gt;2012&lt;/year&gt;&lt;/dates&gt;&lt;pub-location&gt;Albury&lt;/pub-location&gt;&lt;publisher&gt;Institute for Land, Water and Society, Charles Sturt University&lt;/publisher&gt;&lt;urls&gt;&lt;related-urls&gt;&lt;url&gt;http://www.environment.gov.au/ewater/publications/pubs/ecosystem-response-monitoring-murrumbidgee-2.pdf&lt;/url&gt;&lt;/related-urls&gt;&lt;/urls&gt;&lt;/record&gt;&lt;/Cite&gt;&lt;/EndNote&gt;</w:instrText>
      </w:r>
      <w:r w:rsidR="00D20FAE">
        <w:fldChar w:fldCharType="separate"/>
      </w:r>
      <w:r w:rsidR="006171E9">
        <w:rPr>
          <w:noProof/>
        </w:rPr>
        <w:t>(</w:t>
      </w:r>
      <w:hyperlink w:anchor="_ENREF_106" w:tooltip="Wassens, 2012 #3272" w:history="1">
        <w:r w:rsidR="006810E6">
          <w:rPr>
            <w:noProof/>
          </w:rPr>
          <w:t>Wassens, Watts</w:t>
        </w:r>
        <w:r w:rsidR="006810E6" w:rsidRPr="006171E9">
          <w:rPr>
            <w:i/>
            <w:noProof/>
          </w:rPr>
          <w:t xml:space="preserve"> et al.</w:t>
        </w:r>
        <w:r w:rsidR="006810E6">
          <w:rPr>
            <w:noProof/>
          </w:rPr>
          <w:t xml:space="preserve"> 2012</w:t>
        </w:r>
      </w:hyperlink>
      <w:r w:rsidR="006171E9">
        <w:rPr>
          <w:noProof/>
        </w:rPr>
        <w:t>)</w:t>
      </w:r>
      <w:r w:rsidR="00D20FAE">
        <w:fldChar w:fldCharType="end"/>
      </w:r>
      <w:r w:rsidR="00CE3571">
        <w:t>.</w:t>
      </w:r>
    </w:p>
    <w:p w:rsidR="00A5580F" w:rsidRPr="00037E26" w:rsidRDefault="00A5580F" w:rsidP="00A5580F">
      <w:r w:rsidRPr="00037E26">
        <w:t>Commonwealth environmental water was delivered to the Murrumbidgee Catchment in 2012-13 to provide ecological benefits to two areas</w:t>
      </w:r>
      <w:r w:rsidR="00DB1376" w:rsidRPr="00037E26">
        <w:t>:</w:t>
      </w:r>
      <w:r w:rsidRPr="00037E26">
        <w:t xml:space="preserve"> the Murrumbidgee River downstream of Darlington Point and the Western Lakes north of Balranald (</w:t>
      </w:r>
      <w:fldSimple w:instr=" REF _Ref355356288  \* MERGEFORMAT ">
        <w:r w:rsidR="00436595" w:rsidRPr="00436595">
          <w:t xml:space="preserve">Figure </w:t>
        </w:r>
        <w:r w:rsidR="00436595" w:rsidRPr="00436595">
          <w:rPr>
            <w:noProof/>
          </w:rPr>
          <w:t>3</w:t>
        </w:r>
      </w:fldSimple>
      <w:r w:rsidR="00DB1376" w:rsidRPr="00037E26">
        <w:t xml:space="preserve"> and </w:t>
      </w:r>
      <w:fldSimple w:instr=" REF _Ref355339062  \* MERGEFORMAT ">
        <w:r w:rsidR="00436595" w:rsidRPr="00436595">
          <w:t xml:space="preserve">Figure </w:t>
        </w:r>
        <w:r w:rsidR="00436595" w:rsidRPr="00436595">
          <w:rPr>
            <w:noProof/>
          </w:rPr>
          <w:t>4</w:t>
        </w:r>
      </w:fldSimple>
      <w:r w:rsidRPr="00037E26">
        <w:t xml:space="preserve">). </w:t>
      </w:r>
    </w:p>
    <w:p w:rsidR="00A5580F" w:rsidRPr="0001146D" w:rsidRDefault="00A5580F" w:rsidP="00037E26">
      <w:pPr>
        <w:pStyle w:val="BodyText1"/>
      </w:pPr>
      <w:r w:rsidRPr="00037E26">
        <w:t>Commonwealth environmental water was delivered to the Murrumbidgee River with the aim of promoting the movement and spawning of large-bodied native fish species, specifically Murray cod</w:t>
      </w:r>
      <w:r w:rsidR="00037E26" w:rsidRPr="00037E26">
        <w:t xml:space="preserve"> (</w:t>
      </w:r>
      <w:r w:rsidR="00037E26" w:rsidRPr="00037E26">
        <w:rPr>
          <w:rFonts w:cs="Arial"/>
          <w:i/>
          <w:color w:val="222222"/>
          <w:lang w:eastAsia="en-AU"/>
        </w:rPr>
        <w:t>Maccullochella peelii</w:t>
      </w:r>
      <w:r w:rsidR="00037E26" w:rsidRPr="00037E26">
        <w:rPr>
          <w:rFonts w:cs="Arial"/>
          <w:color w:val="222222"/>
          <w:lang w:eastAsia="en-AU"/>
        </w:rPr>
        <w:t>)</w:t>
      </w:r>
      <w:r w:rsidRPr="00037E26">
        <w:t xml:space="preserve">.  Fish community surveys were carried out in the </w:t>
      </w:r>
      <w:smartTag w:uri="urn:schemas-microsoft-com:office:smarttags" w:element="PlaceType">
        <w:r w:rsidRPr="00037E26">
          <w:t>Murrumbidgee</w:t>
        </w:r>
      </w:smartTag>
      <w:r w:rsidRPr="00037E26">
        <w:t xml:space="preserve"> </w:t>
      </w:r>
      <w:smartTag w:uri="urn:schemas-microsoft-com:office:smarttags" w:element="PlaceType">
        <w:r w:rsidRPr="00037E26">
          <w:t>River</w:t>
        </w:r>
      </w:smartTag>
      <w:r w:rsidRPr="00037E26">
        <w:t xml:space="preserve"> before (September 2012) and after (May/June 2013) the release of Commonwealth environmental water to determine the current status of fish communities and determine specific locations where </w:t>
      </w:r>
      <w:smartTag w:uri="urn:schemas-microsoft-com:office:smarttags" w:element="PlaceType">
        <w:r w:rsidRPr="00037E26">
          <w:t>Murray</w:t>
        </w:r>
      </w:smartTag>
      <w:r w:rsidRPr="00037E26">
        <w:t xml:space="preserve"> cod occurred in large numbers. These locations were then targeted for movement and spawning monitoring (</w:t>
      </w:r>
      <w:r w:rsidR="00DB1376" w:rsidRPr="00037E26">
        <w:t xml:space="preserve">see section </w:t>
      </w:r>
      <w:fldSimple w:instr=" REF _Ref370371006 \r ">
        <w:r w:rsidR="00436595">
          <w:t>10</w:t>
        </w:r>
      </w:fldSimple>
      <w:r w:rsidR="0037705B">
        <w:t xml:space="preserve"> </w:t>
      </w:r>
      <w:r w:rsidR="00037E26">
        <w:t xml:space="preserve">and </w:t>
      </w:r>
      <w:fldSimple w:instr=" REF _Ref370284969 \r ">
        <w:r w:rsidR="00436595">
          <w:t>11</w:t>
        </w:r>
      </w:fldSimple>
      <w:r w:rsidRPr="00037E26">
        <w:t>). Surveys of wetland regions focused on the Western Lakes, the Redbank system in the</w:t>
      </w:r>
      <w:r>
        <w:t xml:space="preserve"> Lowbidgee floodplain (which received a natural overbank flow in August 2012) and the mid-Murrumbidgee wetlands (which received Commonwealth environmental water in 2011-12, but not in 2012-13) </w:t>
      </w:r>
      <w:r w:rsidRPr="00037E26">
        <w:t>(</w:t>
      </w:r>
      <w:fldSimple w:instr=" REF _Ref370202322  \* MERGEFORMAT ">
        <w:r w:rsidR="00436595" w:rsidRPr="00436595">
          <w:t xml:space="preserve">Figure </w:t>
        </w:r>
        <w:r w:rsidR="00436595" w:rsidRPr="00436595">
          <w:rPr>
            <w:noProof/>
          </w:rPr>
          <w:t>5</w:t>
        </w:r>
      </w:fldSimple>
      <w:r w:rsidRPr="00037E26">
        <w:t>). Both</w:t>
      </w:r>
      <w:r>
        <w:t xml:space="preserve"> the Lowbidgee and mid-Murrumbidgee wetlands were drying during 2012-13, with the majority of monitoring sites dry by February 2013. </w:t>
      </w:r>
    </w:p>
    <w:p w:rsidR="00A5580F" w:rsidRDefault="00A5580F" w:rsidP="00037E26">
      <w:pPr>
        <w:pStyle w:val="BodyText1"/>
      </w:pPr>
    </w:p>
    <w:p w:rsidR="00E1766B" w:rsidRDefault="00716AE0" w:rsidP="00C44F46">
      <w:pPr>
        <w:pStyle w:val="Heading2"/>
      </w:pPr>
      <w:bookmarkStart w:id="224" w:name="_Toc370299202"/>
      <w:bookmarkStart w:id="225" w:name="_Toc370738779"/>
      <w:bookmarkStart w:id="226" w:name="_Toc378168545"/>
      <w:r>
        <w:t>Methods</w:t>
      </w:r>
      <w:bookmarkEnd w:id="224"/>
      <w:bookmarkEnd w:id="225"/>
      <w:bookmarkEnd w:id="226"/>
    </w:p>
    <w:p w:rsidR="00A5580F" w:rsidRPr="00CC6C18" w:rsidRDefault="00A5580F" w:rsidP="00037E26">
      <w:pPr>
        <w:pStyle w:val="Heading3"/>
      </w:pPr>
      <w:bookmarkStart w:id="227" w:name="_Toc370299203"/>
      <w:bookmarkStart w:id="228" w:name="_Toc370738780"/>
      <w:bookmarkStart w:id="229" w:name="_Toc378168546"/>
      <w:r>
        <w:t>Main channel sampling</w:t>
      </w:r>
      <w:bookmarkEnd w:id="227"/>
      <w:bookmarkEnd w:id="228"/>
      <w:bookmarkEnd w:id="229"/>
    </w:p>
    <w:p w:rsidR="00A5580F" w:rsidRDefault="00A5580F" w:rsidP="00A5580F">
      <w:r>
        <w:t>Murrumbidgee River fish communitie</w:t>
      </w:r>
      <w:r w:rsidR="00E45EE5">
        <w:t>s were sampled on two occasions,</w:t>
      </w:r>
      <w:r>
        <w:t xml:space="preserve"> once before the delivery of Commonwealth environmental water (September 2012) and once after delivery (May/June 2013). Boat electrofishing following the Sustainable Rivers Audit Protocol </w:t>
      </w:r>
      <w:r w:rsidR="00D20FAE">
        <w:fldChar w:fldCharType="begin"/>
      </w:r>
      <w:r w:rsidR="006171E9">
        <w:instrText xml:space="preserve"> ADDIN EN.CITE &lt;EndNote&gt;&lt;Cite&gt;&lt;Author&gt;MDBC&lt;/Author&gt;&lt;Year&gt;2004&lt;/Year&gt;&lt;RecNum&gt;2749&lt;/RecNum&gt;&lt;DisplayText&gt;(MDBC 2004)&lt;/DisplayText&gt;&lt;record&gt;&lt;rec-number&gt;2749&lt;/rec-number&gt;&lt;foreign-keys&gt;&lt;key app="EN" db-id="vxxvsda2b05fxpeaw2dp552mtrd5trxdrf0s"&gt;2749&lt;/key&gt;&lt;/foreign-keys&gt;&lt;ref-type name="Report"&gt;27&lt;/ref-type&gt;&lt;contributors&gt;&lt;authors&gt;&lt;author&gt;MDBC&lt;/author&gt;&lt;/authors&gt;&lt;/contributors&gt;&lt;titles&gt;&lt;title&gt;Fish Theme Pilot Audit Technical Report - Sustainable RIvers Audit&lt;/title&gt;&lt;secondary-title&gt;MDBC Publication 06/04&lt;/secondary-title&gt;&lt;/titles&gt;&lt;dates&gt;&lt;year&gt;2004&lt;/year&gt;&lt;/dates&gt;&lt;pub-location&gt;Murray-Darling Basin Commisson: Canberra&lt;/pub-location&gt;&lt;urls&gt;&lt;/urls&gt;&lt;/record&gt;&lt;/Cite&gt;&lt;/EndNote&gt;</w:instrText>
      </w:r>
      <w:r w:rsidR="00D20FAE">
        <w:fldChar w:fldCharType="separate"/>
      </w:r>
      <w:r w:rsidR="006171E9">
        <w:rPr>
          <w:noProof/>
        </w:rPr>
        <w:t>(</w:t>
      </w:r>
      <w:hyperlink w:anchor="_ENREF_71" w:tooltip="MDBC, 2004 #2749" w:history="1">
        <w:r w:rsidR="006810E6">
          <w:rPr>
            <w:noProof/>
          </w:rPr>
          <w:t>MDBC 2004</w:t>
        </w:r>
      </w:hyperlink>
      <w:r w:rsidR="006171E9">
        <w:rPr>
          <w:noProof/>
        </w:rPr>
        <w:t>)</w:t>
      </w:r>
      <w:r w:rsidR="00D20FAE">
        <w:fldChar w:fldCharType="end"/>
      </w:r>
      <w:r>
        <w:t xml:space="preserve"> was conducted at 15 reaches (sites) in the Murrumbidgee River between Gundagai and Willow Isles (downstream of Balranald) as well as two reference sites on Old Man Creek (</w:t>
      </w:r>
      <w:r w:rsidR="00DB1376">
        <w:t>see</w:t>
      </w:r>
      <w:r w:rsidR="00DB1376" w:rsidRPr="00037E26">
        <w:t xml:space="preserve"> </w:t>
      </w:r>
      <w:fldSimple w:instr=" REF _Ref355337782  \* MERGEFORMAT ">
        <w:r w:rsidR="00436595" w:rsidRPr="00436595">
          <w:t>Figure 2</w:t>
        </w:r>
      </w:fldSimple>
      <w:r w:rsidRPr="00037E26">
        <w:t xml:space="preserve">) </w:t>
      </w:r>
      <w:r>
        <w:t xml:space="preserve">(which did not receive environmental flows). </w:t>
      </w:r>
      <w:r w:rsidRPr="004F1FD3">
        <w:t xml:space="preserve">Electrofishing involved 12 replicate electrofishing </w:t>
      </w:r>
      <w:proofErr w:type="gramStart"/>
      <w:r w:rsidRPr="004F1FD3">
        <w:t>shots</w:t>
      </w:r>
      <w:r>
        <w:t>, that lasted 90 second</w:t>
      </w:r>
      <w:r w:rsidR="0037705B">
        <w:t>s</w:t>
      </w:r>
      <w:r>
        <w:t xml:space="preserve"> each</w:t>
      </w:r>
      <w:r w:rsidRPr="004F1FD3">
        <w:t xml:space="preserve"> (Smith-Root Model 7.5KVa electrofishing units)</w:t>
      </w:r>
      <w:r>
        <w:t>,</w:t>
      </w:r>
      <w:r w:rsidRPr="004F1FD3">
        <w:t xml:space="preserve"> at each site </w:t>
      </w:r>
      <w:r>
        <w:t>in</w:t>
      </w:r>
      <w:r w:rsidRPr="004F1FD3">
        <w:t xml:space="preserve"> all available habita</w:t>
      </w:r>
      <w:r>
        <w:t>t types (</w:t>
      </w:r>
      <w:r w:rsidR="00D20FAE">
        <w:fldChar w:fldCharType="begin"/>
      </w:r>
      <w:r w:rsidR="005B1A20">
        <w:instrText xml:space="preserve"> REF _Ref369594201 \h </w:instrText>
      </w:r>
      <w:r w:rsidR="00D20FAE">
        <w:fldChar w:fldCharType="separate"/>
      </w:r>
      <w:r w:rsidR="00436595">
        <w:t xml:space="preserve">Plate </w:t>
      </w:r>
      <w:r w:rsidR="00436595">
        <w:rPr>
          <w:noProof/>
        </w:rPr>
        <w:t>10</w:t>
      </w:r>
      <w:r w:rsidR="00D20FAE">
        <w:fldChar w:fldCharType="end"/>
      </w:r>
      <w:proofErr w:type="gramEnd"/>
      <w:r w:rsidR="005B1A20">
        <w:t xml:space="preserve">). </w:t>
      </w:r>
      <w:r>
        <w:t>In addition to this, ten</w:t>
      </w:r>
      <w:r w:rsidRPr="004F1FD3">
        <w:t xml:space="preserve"> unbaited bait traps were deployed </w:t>
      </w:r>
      <w:r>
        <w:t xml:space="preserve">at each site </w:t>
      </w:r>
      <w:r w:rsidRPr="004F1FD3">
        <w:t>to capture small-bodied fish species. Bait traps were set in edge habitat</w:t>
      </w:r>
      <w:r w:rsidR="0037705B">
        <w:t>s</w:t>
      </w:r>
      <w:r w:rsidRPr="004F1FD3">
        <w:t xml:space="preserve"> for a minimum of two hours at each site. At the conclusion of sampling, all fish were identified, measured (first 50 individuals of each species to the nearest millimetre - </w:t>
      </w:r>
      <w:r w:rsidRPr="00646051">
        <w:t>total length)</w:t>
      </w:r>
      <w:r w:rsidRPr="004F1FD3">
        <w:t xml:space="preserve"> and counted (for shots/traps that had more than 50 individuals of each species).</w:t>
      </w:r>
    </w:p>
    <w:p w:rsidR="00223470" w:rsidRDefault="00223470" w:rsidP="00223470">
      <w:pPr>
        <w:keepNex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88"/>
        <w:gridCol w:w="4355"/>
      </w:tblGrid>
      <w:tr w:rsidR="00223470" w:rsidTr="003F5E7C">
        <w:tc>
          <w:tcPr>
            <w:tcW w:w="4621" w:type="dxa"/>
          </w:tcPr>
          <w:p w:rsidR="00223470" w:rsidRPr="003F5E7C" w:rsidRDefault="0087202F" w:rsidP="003F5E7C">
            <w:pPr>
              <w:keepNext/>
              <w:rPr>
                <w:rFonts w:eastAsia="Times New Roman"/>
              </w:rPr>
            </w:pPr>
            <w:r>
              <w:rPr>
                <w:rFonts w:eastAsia="Times New Roman"/>
                <w:noProof/>
                <w:szCs w:val="20"/>
                <w:lang w:eastAsia="en-AU"/>
              </w:rPr>
              <w:drawing>
                <wp:inline distT="0" distB="0" distL="0" distR="0">
                  <wp:extent cx="3253105" cy="2171700"/>
                  <wp:effectExtent l="19050" t="0" r="4445" b="0"/>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8" cstate="print"/>
                          <a:srcRect/>
                          <a:stretch>
                            <a:fillRect/>
                          </a:stretch>
                        </pic:blipFill>
                        <pic:spPr bwMode="auto">
                          <a:xfrm>
                            <a:off x="0" y="0"/>
                            <a:ext cx="3253105" cy="2171700"/>
                          </a:xfrm>
                          <a:prstGeom prst="rect">
                            <a:avLst/>
                          </a:prstGeom>
                          <a:noFill/>
                          <a:ln w="9525">
                            <a:noFill/>
                            <a:miter lim="800000"/>
                            <a:headEnd/>
                            <a:tailEnd/>
                          </a:ln>
                        </pic:spPr>
                      </pic:pic>
                    </a:graphicData>
                  </a:graphic>
                </wp:inline>
              </w:drawing>
            </w:r>
          </w:p>
        </w:tc>
        <w:tc>
          <w:tcPr>
            <w:tcW w:w="4621" w:type="dxa"/>
          </w:tcPr>
          <w:p w:rsidR="00223470" w:rsidRPr="003F5E7C" w:rsidRDefault="0087202F" w:rsidP="003F5E7C">
            <w:pPr>
              <w:keepNext/>
              <w:rPr>
                <w:rFonts w:eastAsia="Times New Roman"/>
              </w:rPr>
            </w:pPr>
            <w:r>
              <w:rPr>
                <w:rFonts w:eastAsia="Times New Roman"/>
                <w:i/>
                <w:noProof/>
                <w:lang w:eastAsia="en-AU"/>
              </w:rPr>
              <w:drawing>
                <wp:inline distT="0" distB="0" distL="0" distR="0">
                  <wp:extent cx="2884170" cy="2162810"/>
                  <wp:effectExtent l="19050" t="0" r="0" b="0"/>
                  <wp:docPr id="31" name="Picture 31" descr="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30"/>
                          <pic:cNvPicPr>
                            <a:picLocks noChangeAspect="1" noChangeArrowheads="1"/>
                          </pic:cNvPicPr>
                        </pic:nvPicPr>
                        <pic:blipFill>
                          <a:blip r:embed="rId99" cstate="print"/>
                          <a:srcRect/>
                          <a:stretch>
                            <a:fillRect/>
                          </a:stretch>
                        </pic:blipFill>
                        <pic:spPr bwMode="auto">
                          <a:xfrm>
                            <a:off x="0" y="0"/>
                            <a:ext cx="2884170" cy="2162810"/>
                          </a:xfrm>
                          <a:prstGeom prst="rect">
                            <a:avLst/>
                          </a:prstGeom>
                          <a:noFill/>
                          <a:ln w="9525">
                            <a:noFill/>
                            <a:miter lim="800000"/>
                            <a:headEnd/>
                            <a:tailEnd/>
                          </a:ln>
                        </pic:spPr>
                      </pic:pic>
                    </a:graphicData>
                  </a:graphic>
                </wp:inline>
              </w:drawing>
            </w:r>
          </w:p>
        </w:tc>
      </w:tr>
    </w:tbl>
    <w:p w:rsidR="00223470" w:rsidRDefault="00223470" w:rsidP="00223470">
      <w:pPr>
        <w:keepNext/>
      </w:pPr>
    </w:p>
    <w:p w:rsidR="00FA3467" w:rsidRPr="00E74536" w:rsidRDefault="00FA3467" w:rsidP="00FA3467">
      <w:pPr>
        <w:pStyle w:val="Subtitle"/>
      </w:pPr>
      <w:bookmarkStart w:id="230" w:name="_Ref369594201"/>
      <w:bookmarkStart w:id="231" w:name="_Toc370738781"/>
      <w:r>
        <w:t xml:space="preserve">Plate </w:t>
      </w:r>
      <w:fldSimple w:instr=" SEQ Plate \* ARABIC ">
        <w:r w:rsidR="00436595">
          <w:rPr>
            <w:noProof/>
          </w:rPr>
          <w:t>10</w:t>
        </w:r>
      </w:fldSimple>
      <w:bookmarkEnd w:id="230"/>
      <w:r w:rsidR="00DB1376">
        <w:t xml:space="preserve"> </w:t>
      </w:r>
      <w:r>
        <w:t xml:space="preserve">(a) </w:t>
      </w:r>
      <w:r w:rsidRPr="0053058D">
        <w:t>Boat electrofishing surveys</w:t>
      </w:r>
      <w:r>
        <w:t xml:space="preserve"> and (b) wetland fish community surveys using fyke nets</w:t>
      </w:r>
      <w:bookmarkEnd w:id="231"/>
      <w:r w:rsidR="00E45EE5">
        <w:t>.</w:t>
      </w:r>
      <w:r>
        <w:t xml:space="preserve"> </w:t>
      </w:r>
    </w:p>
    <w:p w:rsidR="00FA3467" w:rsidRDefault="00FA3467" w:rsidP="00FA3467">
      <w:pPr>
        <w:pStyle w:val="Caption"/>
        <w:jc w:val="both"/>
      </w:pPr>
    </w:p>
    <w:p w:rsidR="00223470" w:rsidRDefault="00223470" w:rsidP="00A5580F">
      <w:r>
        <w:br w:type="page"/>
      </w:r>
    </w:p>
    <w:p w:rsidR="00A5580F" w:rsidRPr="00CC6C18" w:rsidRDefault="00A5580F" w:rsidP="00B27EB3">
      <w:pPr>
        <w:pStyle w:val="Heading3"/>
      </w:pPr>
      <w:bookmarkStart w:id="232" w:name="_Toc370299204"/>
      <w:bookmarkStart w:id="233" w:name="_Toc370738782"/>
      <w:bookmarkStart w:id="234" w:name="_Toc378168547"/>
      <w:r>
        <w:t>Wetland community sampling</w:t>
      </w:r>
      <w:bookmarkEnd w:id="232"/>
      <w:bookmarkEnd w:id="233"/>
      <w:bookmarkEnd w:id="234"/>
    </w:p>
    <w:p w:rsidR="00A5580F" w:rsidRPr="00850FD5" w:rsidRDefault="00A5580F" w:rsidP="00A5580F">
      <w:r w:rsidRPr="00850FD5">
        <w:t xml:space="preserve">Fish communities were also surveyed in wetlands in the mid-Murrumbidgee (five sites), Lowbidgee (five sites) and Western Lakes (four sites; </w:t>
      </w:r>
      <w:fldSimple w:instr=" REF _Ref367340740 \h  \* MERGEFORMAT ">
        <w:r w:rsidR="00436595" w:rsidRPr="00436595">
          <w:t xml:space="preserve">Table </w:t>
        </w:r>
        <w:r w:rsidR="00436595" w:rsidRPr="00436595">
          <w:rPr>
            <w:rStyle w:val="captionChar"/>
            <w:rFonts w:eastAsia="Calibri"/>
            <w:noProof/>
          </w:rPr>
          <w:t>7</w:t>
        </w:r>
      </w:fldSimple>
      <w:r w:rsidRPr="00850FD5">
        <w:t xml:space="preserve">). Surveys were conducted every two months between August 2012 and April 2013 (total of five sampling trips; </w:t>
      </w:r>
      <w:fldSimple w:instr=" REF _Ref367340740 \h  \* MERGEFORMAT ">
        <w:r w:rsidR="00436595" w:rsidRPr="00436595">
          <w:t xml:space="preserve">Table </w:t>
        </w:r>
        <w:r w:rsidR="00436595" w:rsidRPr="00436595">
          <w:rPr>
            <w:rStyle w:val="captionChar"/>
            <w:rFonts w:eastAsia="Calibri"/>
            <w:noProof/>
          </w:rPr>
          <w:t>7</w:t>
        </w:r>
      </w:fldSimple>
      <w:r w:rsidRPr="00850FD5">
        <w:t>). Not all wetlands were surveyed on all sampling trips</w:t>
      </w:r>
      <w:r w:rsidR="00E45EE5" w:rsidRPr="00850FD5">
        <w:t>,</w:t>
      </w:r>
      <w:r w:rsidRPr="00850FD5">
        <w:t xml:space="preserve"> as the timing of inundation and drying rates varied among the wetlands.  A combination of large fyke nets, small fyke nets, bait traps and sweep netting were used to sample all micro-habitat types within the wetlands. Five bait traps (dimensions 25 x 10 cm, 5 mm mesh) were set overnight at each site. Traps were baited and positioned under or near fringing vegetation to target small cryptic fish.  Four small (2 x 2 m wings, 2 mm mesh) fyke nets were left overnight at sites in the Western Lakes and Lowbidgee wetlands. A combination of two small fyke nets and two large fyke nets (2 x 10 m wings, 12 mm mesh) were set in the mid Murrumbidgee wetlands where water depths allowed. All fish collected were identified to species</w:t>
      </w:r>
      <w:r w:rsidR="00E45EE5" w:rsidRPr="00850FD5">
        <w:t>,</w:t>
      </w:r>
      <w:r w:rsidRPr="00850FD5">
        <w:t xml:space="preserve"> and the first 50 individuals of each species captured in each net were measured </w:t>
      </w:r>
      <w:r w:rsidR="00E45EE5" w:rsidRPr="00850FD5">
        <w:t>to the nearest millimetre</w:t>
      </w:r>
      <w:r w:rsidRPr="00850FD5">
        <w:t>. Alien fish species were euthanased and native species were returned to the waterbody.</w:t>
      </w:r>
    </w:p>
    <w:p w:rsidR="00716AE0" w:rsidRDefault="00716AE0" w:rsidP="00716AE0">
      <w:r w:rsidRPr="0001146D">
        <w:t xml:space="preserve">Natural flow attenuation downstream of Darlington Point may lead to natural changes in fish community structure in these regions compared to regions </w:t>
      </w:r>
      <w:r>
        <w:t xml:space="preserve">further </w:t>
      </w:r>
      <w:r w:rsidRPr="0001146D">
        <w:t xml:space="preserve">upstream, regardless of </w:t>
      </w:r>
      <w:r>
        <w:t>the successful delivery of environmental water</w:t>
      </w:r>
      <w:r w:rsidRPr="0001146D">
        <w:t xml:space="preserve">. To address this, </w:t>
      </w:r>
      <w:r>
        <w:t xml:space="preserve">river </w:t>
      </w:r>
      <w:r w:rsidRPr="0001146D">
        <w:t xml:space="preserve">fish community sampling sites were divided into </w:t>
      </w:r>
      <w:r>
        <w:t xml:space="preserve">four </w:t>
      </w:r>
      <w:r w:rsidRPr="0001146D">
        <w:t>regions</w:t>
      </w:r>
      <w:r>
        <w:t>, three i</w:t>
      </w:r>
      <w:r w:rsidRPr="0001146D">
        <w:t>n th</w:t>
      </w:r>
      <w:r>
        <w:t>e Murrumbidgee River (upper, middle and lower Murrumbidgee River) and one in Old Man Creek. Wetlands were also split into three distinct regions</w:t>
      </w:r>
      <w:r w:rsidR="00E45EE5">
        <w:t>:</w:t>
      </w:r>
      <w:r>
        <w:t xml:space="preserve"> the mid-Murrumbidgee wetlands, Lowbidgee</w:t>
      </w:r>
      <w:r w:rsidR="00E45EE5">
        <w:t xml:space="preserve"> wetlands and the Western Lakes</w:t>
      </w:r>
      <w:r>
        <w:t xml:space="preserve"> </w:t>
      </w:r>
      <w:r w:rsidR="008426F4">
        <w:t>(</w:t>
      </w:r>
      <w:fldSimple w:instr=" REF _Ref367340740 \h  \* MERGEFORMAT ">
        <w:r w:rsidR="00436595" w:rsidRPr="00436595">
          <w:t>Table 7</w:t>
        </w:r>
      </w:fldSimple>
      <w:r>
        <w:t>)</w:t>
      </w:r>
      <w:r w:rsidRPr="0001146D">
        <w:t xml:space="preserve">. </w:t>
      </w:r>
      <w:r>
        <w:t xml:space="preserve">Fish community data from river and wetland sampling </w:t>
      </w:r>
      <w:r w:rsidR="00E45EE5">
        <w:t xml:space="preserve">were </w:t>
      </w:r>
      <w:r>
        <w:t>pooled to determine species richness in each region. Relative abundance from small fyke nets was standardised to catch per unit effort (number of fish per fyke net hour) for statistical analyses.</w:t>
      </w:r>
    </w:p>
    <w:p w:rsidR="00A5580F" w:rsidRDefault="00A5580F" w:rsidP="00DB1376">
      <w:pPr>
        <w:pStyle w:val="Caption1"/>
      </w:pPr>
      <w:bookmarkStart w:id="235" w:name="_Ref364862738"/>
      <w:r w:rsidRPr="0001146D">
        <w:br w:type="page"/>
      </w:r>
      <w:bookmarkStart w:id="236" w:name="_Ref367340740"/>
      <w:bookmarkStart w:id="237" w:name="_Toc370738783"/>
      <w:r w:rsidRPr="00DB1376">
        <w:rPr>
          <w:b/>
        </w:rPr>
        <w:t xml:space="preserve">Table </w:t>
      </w:r>
      <w:r w:rsidR="00D20FAE" w:rsidRPr="00DB1376">
        <w:rPr>
          <w:rStyle w:val="captionChar"/>
          <w:b/>
        </w:rPr>
        <w:fldChar w:fldCharType="begin"/>
      </w:r>
      <w:r w:rsidRPr="00DB1376">
        <w:rPr>
          <w:rStyle w:val="captionChar"/>
          <w:b/>
        </w:rPr>
        <w:instrText xml:space="preserve"> SEQ Table \* ARABIC </w:instrText>
      </w:r>
      <w:r w:rsidR="00D20FAE" w:rsidRPr="00DB1376">
        <w:rPr>
          <w:rStyle w:val="captionChar"/>
          <w:b/>
        </w:rPr>
        <w:fldChar w:fldCharType="separate"/>
      </w:r>
      <w:r w:rsidR="00436595">
        <w:rPr>
          <w:rStyle w:val="captionChar"/>
          <w:b/>
          <w:noProof/>
        </w:rPr>
        <w:t>7</w:t>
      </w:r>
      <w:r w:rsidR="00D20FAE" w:rsidRPr="00DB1376">
        <w:rPr>
          <w:rStyle w:val="captionChar"/>
          <w:b/>
        </w:rPr>
        <w:fldChar w:fldCharType="end"/>
      </w:r>
      <w:bookmarkEnd w:id="235"/>
      <w:bookmarkEnd w:id="236"/>
      <w:r w:rsidRPr="00B51232">
        <w:t xml:space="preserve"> </w:t>
      </w:r>
      <w:r>
        <w:t>F</w:t>
      </w:r>
      <w:r w:rsidRPr="00B51232">
        <w:t xml:space="preserve">ish community </w:t>
      </w:r>
      <w:r>
        <w:t>surveys were completed in four river</w:t>
      </w:r>
      <w:r w:rsidR="000F78B0">
        <w:t xml:space="preserve"> </w:t>
      </w:r>
      <w:r w:rsidR="005960D9">
        <w:t>regions (</w:t>
      </w:r>
      <w:r>
        <w:t xml:space="preserve">16 </w:t>
      </w:r>
      <w:r w:rsidR="002C622E">
        <w:t xml:space="preserve">river </w:t>
      </w:r>
      <w:r>
        <w:t>sites) and three wetland</w:t>
      </w:r>
      <w:r w:rsidR="000F78B0">
        <w:t xml:space="preserve"> regions</w:t>
      </w:r>
      <w:r w:rsidRPr="00B51232">
        <w:t xml:space="preserve"> </w:t>
      </w:r>
      <w:r>
        <w:t xml:space="preserve">(14 </w:t>
      </w:r>
      <w:r w:rsidR="002C622E">
        <w:t xml:space="preserve">wetland </w:t>
      </w:r>
      <w:r>
        <w:t xml:space="preserve">sites) (see </w:t>
      </w:r>
      <w:fldSimple w:instr=" REF _Ref355345748 \h  \* MERGEFORMAT ">
        <w:r w:rsidR="00436595" w:rsidRPr="00436595">
          <w:rPr>
            <w:rFonts w:eastAsia="Calibri"/>
          </w:rPr>
          <w:t xml:space="preserve">Figure </w:t>
        </w:r>
        <w:r w:rsidR="00436595" w:rsidRPr="00436595">
          <w:rPr>
            <w:rStyle w:val="SubtitleChar"/>
            <w:rFonts w:eastAsia="Calibri"/>
            <w:noProof/>
          </w:rPr>
          <w:t>1</w:t>
        </w:r>
      </w:fldSimple>
      <w:r w:rsidR="00E45EE5" w:rsidRPr="00637355">
        <w:t xml:space="preserve"> </w:t>
      </w:r>
      <w:r w:rsidRPr="00637355">
        <w:t>f</w:t>
      </w:r>
      <w:r>
        <w:t xml:space="preserve">or site locations). </w:t>
      </w:r>
      <w:r w:rsidRPr="00B51232">
        <w:t xml:space="preserve">All river sites were sampled before </w:t>
      </w:r>
      <w:r>
        <w:t xml:space="preserve">(September 2012) </w:t>
      </w:r>
      <w:r w:rsidRPr="00B51232">
        <w:t xml:space="preserve">and after </w:t>
      </w:r>
      <w:r>
        <w:t xml:space="preserve">(May/June 2013) the delivery of </w:t>
      </w:r>
      <w:r w:rsidRPr="00B51232">
        <w:t>Commonwealth environmental water</w:t>
      </w:r>
      <w:r>
        <w:t>. Surveys of</w:t>
      </w:r>
      <w:r w:rsidRPr="00B51232">
        <w:t xml:space="preserve"> </w:t>
      </w:r>
      <w:r>
        <w:t xml:space="preserve">inundated </w:t>
      </w:r>
      <w:r w:rsidRPr="00B51232">
        <w:t xml:space="preserve">wetland </w:t>
      </w:r>
      <w:r w:rsidR="00D77A5E" w:rsidRPr="00B51232">
        <w:t>sit</w:t>
      </w:r>
      <w:r w:rsidR="00D77A5E">
        <w:t>es</w:t>
      </w:r>
      <w:r w:rsidR="00D77A5E" w:rsidRPr="00B51232">
        <w:t xml:space="preserve"> </w:t>
      </w:r>
      <w:r>
        <w:t xml:space="preserve">were completed </w:t>
      </w:r>
      <w:r w:rsidRPr="00B51232">
        <w:t>(</w:t>
      </w:r>
      <w:r>
        <w:t>W</w:t>
      </w:r>
      <w:r w:rsidR="005960D9">
        <w:t xml:space="preserve"> = wet and surveyed, </w:t>
      </w:r>
      <w:r w:rsidR="008426F4">
        <w:t>NS</w:t>
      </w:r>
      <w:r w:rsidR="005960D9">
        <w:t>= wet and not surveyed, D = wetland dry) from August 2012 – April 2013</w:t>
      </w:r>
      <w:bookmarkEnd w:id="237"/>
      <w:r w:rsidR="00E45EE5">
        <w:t>.</w:t>
      </w:r>
      <w:r w:rsidR="005960D9">
        <w:t xml:space="preserve"> </w:t>
      </w:r>
    </w:p>
    <w:p w:rsidR="005960D9" w:rsidRPr="005960D9" w:rsidRDefault="005960D9" w:rsidP="005960D9"/>
    <w:tbl>
      <w:tblPr>
        <w:tblW w:w="9322" w:type="dxa"/>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Layout w:type="fixed"/>
        <w:tblLook w:val="00A0"/>
      </w:tblPr>
      <w:tblGrid>
        <w:gridCol w:w="959"/>
        <w:gridCol w:w="1843"/>
        <w:gridCol w:w="992"/>
        <w:gridCol w:w="2126"/>
        <w:gridCol w:w="680"/>
        <w:gridCol w:w="680"/>
        <w:gridCol w:w="681"/>
        <w:gridCol w:w="680"/>
        <w:gridCol w:w="681"/>
      </w:tblGrid>
      <w:tr w:rsidR="00B27EB3" w:rsidRPr="00B27EB3" w:rsidTr="00B27EB3">
        <w:trPr>
          <w:trHeight w:hRule="exact" w:val="762"/>
        </w:trPr>
        <w:tc>
          <w:tcPr>
            <w:tcW w:w="959" w:type="dxa"/>
            <w:shd w:val="clear" w:color="auto" w:fill="86B29E"/>
          </w:tcPr>
          <w:p w:rsidR="00A5580F" w:rsidRPr="00B27EB3" w:rsidRDefault="00A5580F" w:rsidP="009E7250">
            <w:pPr>
              <w:pStyle w:val="Tabletext"/>
              <w:rPr>
                <w:b/>
                <w:color w:val="000000" w:themeColor="text1"/>
              </w:rPr>
            </w:pPr>
            <w:r w:rsidRPr="00B27EB3">
              <w:rPr>
                <w:b/>
                <w:color w:val="000000" w:themeColor="text1"/>
              </w:rPr>
              <w:t>River Region</w:t>
            </w:r>
          </w:p>
        </w:tc>
        <w:tc>
          <w:tcPr>
            <w:tcW w:w="1843" w:type="dxa"/>
            <w:shd w:val="clear" w:color="auto" w:fill="86B29E"/>
          </w:tcPr>
          <w:p w:rsidR="00A5580F" w:rsidRPr="00B27EB3" w:rsidRDefault="00A5580F" w:rsidP="009E7250">
            <w:pPr>
              <w:pStyle w:val="Tabletext"/>
              <w:rPr>
                <w:b/>
                <w:color w:val="000000" w:themeColor="text1"/>
              </w:rPr>
            </w:pPr>
            <w:r w:rsidRPr="00B27EB3">
              <w:rPr>
                <w:b/>
                <w:color w:val="000000" w:themeColor="text1"/>
              </w:rPr>
              <w:t>River sites</w:t>
            </w:r>
          </w:p>
        </w:tc>
        <w:tc>
          <w:tcPr>
            <w:tcW w:w="992" w:type="dxa"/>
            <w:tcBorders>
              <w:bottom w:val="single" w:sz="4" w:space="0" w:color="07601F"/>
            </w:tcBorders>
            <w:shd w:val="clear" w:color="auto" w:fill="86B29E"/>
          </w:tcPr>
          <w:p w:rsidR="00A5580F" w:rsidRPr="00B27EB3" w:rsidRDefault="00A5580F" w:rsidP="009E7250">
            <w:pPr>
              <w:pStyle w:val="Tabletext"/>
              <w:rPr>
                <w:b/>
                <w:color w:val="000000" w:themeColor="text1"/>
              </w:rPr>
            </w:pPr>
            <w:r w:rsidRPr="00B27EB3">
              <w:rPr>
                <w:b/>
                <w:color w:val="000000" w:themeColor="text1"/>
              </w:rPr>
              <w:t>Wetland regions</w:t>
            </w:r>
          </w:p>
        </w:tc>
        <w:tc>
          <w:tcPr>
            <w:tcW w:w="2126" w:type="dxa"/>
            <w:tcBorders>
              <w:bottom w:val="single" w:sz="4" w:space="0" w:color="07601F"/>
            </w:tcBorders>
            <w:shd w:val="clear" w:color="auto" w:fill="86B29E"/>
          </w:tcPr>
          <w:p w:rsidR="00A5580F" w:rsidRPr="00B27EB3" w:rsidRDefault="00A5580F" w:rsidP="009E7250">
            <w:pPr>
              <w:pStyle w:val="Tabletext"/>
              <w:rPr>
                <w:b/>
                <w:color w:val="000000" w:themeColor="text1"/>
              </w:rPr>
            </w:pPr>
            <w:r w:rsidRPr="00B27EB3">
              <w:rPr>
                <w:b/>
                <w:color w:val="000000" w:themeColor="text1"/>
              </w:rPr>
              <w:t xml:space="preserve">Wetland sites </w:t>
            </w:r>
          </w:p>
        </w:tc>
        <w:tc>
          <w:tcPr>
            <w:tcW w:w="680" w:type="dxa"/>
            <w:tcBorders>
              <w:bottom w:val="single" w:sz="4" w:space="0" w:color="07601F"/>
            </w:tcBorders>
            <w:shd w:val="clear" w:color="auto" w:fill="86B29E"/>
          </w:tcPr>
          <w:p w:rsidR="00A5580F" w:rsidRPr="00B27EB3" w:rsidRDefault="00A5580F" w:rsidP="009E7250">
            <w:pPr>
              <w:pStyle w:val="Tabletext"/>
              <w:rPr>
                <w:b/>
                <w:color w:val="000000" w:themeColor="text1"/>
              </w:rPr>
            </w:pPr>
            <w:r w:rsidRPr="00B27EB3">
              <w:rPr>
                <w:b/>
                <w:color w:val="000000" w:themeColor="text1"/>
              </w:rPr>
              <w:t>Aug</w:t>
            </w:r>
          </w:p>
        </w:tc>
        <w:tc>
          <w:tcPr>
            <w:tcW w:w="680" w:type="dxa"/>
            <w:tcBorders>
              <w:bottom w:val="single" w:sz="4" w:space="0" w:color="07601F"/>
            </w:tcBorders>
            <w:shd w:val="clear" w:color="auto" w:fill="86B29E"/>
          </w:tcPr>
          <w:p w:rsidR="00A5580F" w:rsidRPr="00B27EB3" w:rsidRDefault="00A5580F" w:rsidP="009E7250">
            <w:pPr>
              <w:pStyle w:val="Tabletext"/>
              <w:rPr>
                <w:b/>
                <w:color w:val="000000" w:themeColor="text1"/>
              </w:rPr>
            </w:pPr>
            <w:r w:rsidRPr="00B27EB3">
              <w:rPr>
                <w:b/>
                <w:color w:val="000000" w:themeColor="text1"/>
              </w:rPr>
              <w:t>Oct</w:t>
            </w:r>
          </w:p>
        </w:tc>
        <w:tc>
          <w:tcPr>
            <w:tcW w:w="681" w:type="dxa"/>
            <w:tcBorders>
              <w:bottom w:val="single" w:sz="4" w:space="0" w:color="07601F"/>
            </w:tcBorders>
            <w:shd w:val="clear" w:color="auto" w:fill="86B29E"/>
          </w:tcPr>
          <w:p w:rsidR="00A5580F" w:rsidRPr="00B27EB3" w:rsidRDefault="00A5580F" w:rsidP="009E7250">
            <w:pPr>
              <w:pStyle w:val="Tabletext"/>
              <w:rPr>
                <w:b/>
                <w:color w:val="000000" w:themeColor="text1"/>
              </w:rPr>
            </w:pPr>
            <w:r w:rsidRPr="00B27EB3">
              <w:rPr>
                <w:b/>
                <w:color w:val="000000" w:themeColor="text1"/>
              </w:rPr>
              <w:t>Dec</w:t>
            </w:r>
          </w:p>
        </w:tc>
        <w:tc>
          <w:tcPr>
            <w:tcW w:w="680" w:type="dxa"/>
            <w:tcBorders>
              <w:bottom w:val="single" w:sz="4" w:space="0" w:color="07601F"/>
            </w:tcBorders>
            <w:shd w:val="clear" w:color="auto" w:fill="86B29E"/>
          </w:tcPr>
          <w:p w:rsidR="00A5580F" w:rsidRPr="00B27EB3" w:rsidRDefault="00A5580F" w:rsidP="009E7250">
            <w:pPr>
              <w:pStyle w:val="Tabletext"/>
              <w:rPr>
                <w:b/>
                <w:color w:val="000000" w:themeColor="text1"/>
              </w:rPr>
            </w:pPr>
            <w:r w:rsidRPr="00B27EB3">
              <w:rPr>
                <w:b/>
                <w:color w:val="000000" w:themeColor="text1"/>
              </w:rPr>
              <w:t>Feb</w:t>
            </w:r>
          </w:p>
        </w:tc>
        <w:tc>
          <w:tcPr>
            <w:tcW w:w="681" w:type="dxa"/>
            <w:tcBorders>
              <w:bottom w:val="single" w:sz="4" w:space="0" w:color="07601F"/>
            </w:tcBorders>
            <w:shd w:val="clear" w:color="auto" w:fill="86B29E"/>
          </w:tcPr>
          <w:p w:rsidR="00A5580F" w:rsidRPr="00B27EB3" w:rsidRDefault="00A5580F" w:rsidP="009E7250">
            <w:pPr>
              <w:pStyle w:val="Tabletext"/>
              <w:rPr>
                <w:b/>
                <w:color w:val="000000" w:themeColor="text1"/>
              </w:rPr>
            </w:pPr>
            <w:r w:rsidRPr="00B27EB3">
              <w:rPr>
                <w:b/>
                <w:color w:val="000000" w:themeColor="text1"/>
              </w:rPr>
              <w:t>Apr</w:t>
            </w:r>
          </w:p>
        </w:tc>
      </w:tr>
      <w:tr w:rsidR="00A5580F" w:rsidRPr="004F1FD3" w:rsidTr="003F5E7C">
        <w:trPr>
          <w:trHeight w:hRule="exact" w:val="340"/>
        </w:trPr>
        <w:tc>
          <w:tcPr>
            <w:tcW w:w="959" w:type="dxa"/>
            <w:vMerge w:val="restart"/>
            <w:textDirection w:val="btLr"/>
          </w:tcPr>
          <w:p w:rsidR="00A5580F" w:rsidRPr="00D555A8" w:rsidRDefault="00A5580F" w:rsidP="003F5E7C">
            <w:pPr>
              <w:pStyle w:val="Tabletext"/>
              <w:jc w:val="center"/>
            </w:pPr>
            <w:r w:rsidRPr="00D555A8">
              <w:t>Upper</w:t>
            </w:r>
          </w:p>
        </w:tc>
        <w:tc>
          <w:tcPr>
            <w:tcW w:w="1843" w:type="dxa"/>
            <w:tcBorders>
              <w:right w:val="single" w:sz="4" w:space="0" w:color="07601F"/>
            </w:tcBorders>
          </w:tcPr>
          <w:p w:rsidR="00A5580F" w:rsidRPr="00D555A8" w:rsidRDefault="00A5580F" w:rsidP="009E7250">
            <w:pPr>
              <w:pStyle w:val="Tabletext"/>
            </w:pPr>
            <w:r w:rsidRPr="00D555A8">
              <w:t>Gundagai</w:t>
            </w:r>
          </w:p>
        </w:tc>
        <w:tc>
          <w:tcPr>
            <w:tcW w:w="992" w:type="dxa"/>
            <w:tcBorders>
              <w:top w:val="single" w:sz="4" w:space="0" w:color="07601F"/>
              <w:left w:val="single" w:sz="4" w:space="0" w:color="07601F"/>
              <w:bottom w:val="nil"/>
              <w:right w:val="nil"/>
            </w:tcBorders>
          </w:tcPr>
          <w:p w:rsidR="00A5580F" w:rsidRPr="00D555A8" w:rsidRDefault="00A5580F" w:rsidP="009E7250">
            <w:pPr>
              <w:pStyle w:val="Tabletext"/>
            </w:pPr>
          </w:p>
        </w:tc>
        <w:tc>
          <w:tcPr>
            <w:tcW w:w="2126" w:type="dxa"/>
            <w:tcBorders>
              <w:top w:val="single" w:sz="4" w:space="0" w:color="07601F"/>
              <w:left w:val="nil"/>
              <w:bottom w:val="nil"/>
              <w:right w:val="nil"/>
            </w:tcBorders>
          </w:tcPr>
          <w:p w:rsidR="00A5580F" w:rsidRPr="00D555A8" w:rsidRDefault="00A5580F" w:rsidP="009E7250">
            <w:pPr>
              <w:pStyle w:val="Tabletext"/>
            </w:pPr>
          </w:p>
        </w:tc>
        <w:tc>
          <w:tcPr>
            <w:tcW w:w="680" w:type="dxa"/>
            <w:tcBorders>
              <w:top w:val="single" w:sz="4" w:space="0" w:color="07601F"/>
              <w:left w:val="nil"/>
              <w:bottom w:val="nil"/>
              <w:right w:val="nil"/>
            </w:tcBorders>
          </w:tcPr>
          <w:p w:rsidR="00A5580F" w:rsidRPr="00D555A8" w:rsidRDefault="00A5580F" w:rsidP="009E7250">
            <w:pPr>
              <w:pStyle w:val="Tabletext"/>
            </w:pPr>
          </w:p>
        </w:tc>
        <w:tc>
          <w:tcPr>
            <w:tcW w:w="680" w:type="dxa"/>
            <w:tcBorders>
              <w:top w:val="single" w:sz="4" w:space="0" w:color="07601F"/>
              <w:left w:val="nil"/>
              <w:bottom w:val="nil"/>
              <w:right w:val="nil"/>
            </w:tcBorders>
          </w:tcPr>
          <w:p w:rsidR="00A5580F" w:rsidRPr="00D555A8" w:rsidRDefault="00A5580F" w:rsidP="009E7250">
            <w:pPr>
              <w:pStyle w:val="Tabletext"/>
            </w:pPr>
          </w:p>
        </w:tc>
        <w:tc>
          <w:tcPr>
            <w:tcW w:w="681" w:type="dxa"/>
            <w:tcBorders>
              <w:top w:val="single" w:sz="4" w:space="0" w:color="07601F"/>
              <w:left w:val="nil"/>
              <w:bottom w:val="nil"/>
              <w:right w:val="nil"/>
            </w:tcBorders>
          </w:tcPr>
          <w:p w:rsidR="00A5580F" w:rsidRPr="00D555A8" w:rsidRDefault="00A5580F" w:rsidP="009E7250">
            <w:pPr>
              <w:pStyle w:val="Tabletext"/>
            </w:pPr>
          </w:p>
        </w:tc>
        <w:tc>
          <w:tcPr>
            <w:tcW w:w="680" w:type="dxa"/>
            <w:tcBorders>
              <w:top w:val="single" w:sz="4" w:space="0" w:color="07601F"/>
              <w:left w:val="nil"/>
              <w:bottom w:val="nil"/>
              <w:right w:val="nil"/>
            </w:tcBorders>
          </w:tcPr>
          <w:p w:rsidR="00A5580F" w:rsidRPr="00D555A8" w:rsidRDefault="00A5580F" w:rsidP="009E7250">
            <w:pPr>
              <w:pStyle w:val="Tabletext"/>
            </w:pPr>
          </w:p>
        </w:tc>
        <w:tc>
          <w:tcPr>
            <w:tcW w:w="681" w:type="dxa"/>
            <w:tcBorders>
              <w:top w:val="single" w:sz="4" w:space="0" w:color="07601F"/>
              <w:left w:val="nil"/>
              <w:bottom w:val="nil"/>
              <w:right w:val="single" w:sz="4" w:space="0" w:color="07601F"/>
            </w:tcBorders>
          </w:tcPr>
          <w:p w:rsidR="00A5580F" w:rsidRPr="00D555A8" w:rsidRDefault="00A5580F" w:rsidP="009E7250">
            <w:pPr>
              <w:pStyle w:val="Tabletext"/>
            </w:pPr>
          </w:p>
        </w:tc>
      </w:tr>
      <w:tr w:rsidR="00A5580F" w:rsidRPr="004F1FD3" w:rsidTr="003F5E7C">
        <w:trPr>
          <w:trHeight w:hRule="exact" w:val="616"/>
        </w:trPr>
        <w:tc>
          <w:tcPr>
            <w:tcW w:w="959" w:type="dxa"/>
            <w:vMerge/>
            <w:textDirection w:val="btLr"/>
          </w:tcPr>
          <w:p w:rsidR="00A5580F" w:rsidRDefault="00A5580F" w:rsidP="003F5E7C">
            <w:pPr>
              <w:pStyle w:val="Tabletext"/>
              <w:jc w:val="center"/>
            </w:pPr>
          </w:p>
        </w:tc>
        <w:tc>
          <w:tcPr>
            <w:tcW w:w="1843" w:type="dxa"/>
            <w:tcBorders>
              <w:right w:val="single" w:sz="4" w:space="0" w:color="07601F"/>
            </w:tcBorders>
          </w:tcPr>
          <w:p w:rsidR="00A5580F" w:rsidRPr="00D555A8" w:rsidRDefault="00A5580F" w:rsidP="009E7250">
            <w:pPr>
              <w:pStyle w:val="Tabletext"/>
            </w:pPr>
            <w:r w:rsidRPr="00D555A8">
              <w:t>Wantabadgery</w:t>
            </w:r>
          </w:p>
        </w:tc>
        <w:tc>
          <w:tcPr>
            <w:tcW w:w="992" w:type="dxa"/>
            <w:tcBorders>
              <w:top w:val="nil"/>
              <w:left w:val="single" w:sz="4" w:space="0" w:color="07601F"/>
              <w:bottom w:val="single" w:sz="4" w:space="0" w:color="07601F"/>
              <w:right w:val="nil"/>
            </w:tcBorders>
          </w:tcPr>
          <w:p w:rsidR="00A5580F" w:rsidRPr="00D555A8" w:rsidRDefault="00A5580F" w:rsidP="003F5E7C">
            <w:pPr>
              <w:pStyle w:val="Tabletext"/>
              <w:jc w:val="center"/>
            </w:pPr>
          </w:p>
        </w:tc>
        <w:tc>
          <w:tcPr>
            <w:tcW w:w="2126" w:type="dxa"/>
            <w:tcBorders>
              <w:top w:val="nil"/>
              <w:left w:val="nil"/>
              <w:bottom w:val="single" w:sz="4" w:space="0" w:color="07601F"/>
              <w:right w:val="nil"/>
            </w:tcBorders>
          </w:tcPr>
          <w:p w:rsidR="00A5580F" w:rsidRPr="00D555A8" w:rsidRDefault="00A5580F" w:rsidP="009E7250">
            <w:pPr>
              <w:pStyle w:val="Tabletext"/>
            </w:pPr>
          </w:p>
        </w:tc>
        <w:tc>
          <w:tcPr>
            <w:tcW w:w="680" w:type="dxa"/>
            <w:tcBorders>
              <w:top w:val="nil"/>
              <w:left w:val="nil"/>
              <w:bottom w:val="single" w:sz="4" w:space="0" w:color="07601F"/>
              <w:right w:val="nil"/>
            </w:tcBorders>
          </w:tcPr>
          <w:p w:rsidR="00A5580F" w:rsidRPr="00D555A8" w:rsidRDefault="00A5580F" w:rsidP="009E7250">
            <w:pPr>
              <w:pStyle w:val="Tabletext"/>
            </w:pPr>
          </w:p>
        </w:tc>
        <w:tc>
          <w:tcPr>
            <w:tcW w:w="680" w:type="dxa"/>
            <w:tcBorders>
              <w:top w:val="nil"/>
              <w:left w:val="nil"/>
              <w:bottom w:val="single" w:sz="4" w:space="0" w:color="07601F"/>
              <w:right w:val="nil"/>
            </w:tcBorders>
          </w:tcPr>
          <w:p w:rsidR="00A5580F" w:rsidRPr="00D555A8" w:rsidRDefault="00A5580F" w:rsidP="009E7250">
            <w:pPr>
              <w:pStyle w:val="Tabletext"/>
            </w:pPr>
          </w:p>
        </w:tc>
        <w:tc>
          <w:tcPr>
            <w:tcW w:w="681" w:type="dxa"/>
            <w:tcBorders>
              <w:top w:val="nil"/>
              <w:left w:val="nil"/>
              <w:bottom w:val="single" w:sz="4" w:space="0" w:color="07601F"/>
              <w:right w:val="nil"/>
            </w:tcBorders>
          </w:tcPr>
          <w:p w:rsidR="00A5580F" w:rsidRPr="00D555A8" w:rsidRDefault="00A5580F" w:rsidP="009E7250">
            <w:pPr>
              <w:pStyle w:val="Tabletext"/>
            </w:pPr>
          </w:p>
        </w:tc>
        <w:tc>
          <w:tcPr>
            <w:tcW w:w="680" w:type="dxa"/>
            <w:tcBorders>
              <w:top w:val="nil"/>
              <w:left w:val="nil"/>
              <w:bottom w:val="single" w:sz="4" w:space="0" w:color="07601F"/>
              <w:right w:val="nil"/>
            </w:tcBorders>
          </w:tcPr>
          <w:p w:rsidR="00A5580F" w:rsidRPr="00D555A8" w:rsidRDefault="00A5580F" w:rsidP="009E7250">
            <w:pPr>
              <w:pStyle w:val="Tabletext"/>
            </w:pPr>
          </w:p>
        </w:tc>
        <w:tc>
          <w:tcPr>
            <w:tcW w:w="681" w:type="dxa"/>
            <w:tcBorders>
              <w:top w:val="nil"/>
              <w:left w:val="nil"/>
              <w:bottom w:val="single" w:sz="4" w:space="0" w:color="07601F"/>
              <w:right w:val="single" w:sz="4" w:space="0" w:color="07601F"/>
            </w:tcBorders>
          </w:tcPr>
          <w:p w:rsidR="00A5580F" w:rsidRPr="00D555A8" w:rsidRDefault="00A5580F" w:rsidP="009E7250">
            <w:pPr>
              <w:pStyle w:val="Tabletext"/>
            </w:pPr>
          </w:p>
        </w:tc>
      </w:tr>
      <w:tr w:rsidR="005960D9" w:rsidRPr="004F1FD3" w:rsidTr="003F5E7C">
        <w:trPr>
          <w:trHeight w:val="397"/>
        </w:trPr>
        <w:tc>
          <w:tcPr>
            <w:tcW w:w="959" w:type="dxa"/>
            <w:vMerge w:val="restart"/>
            <w:textDirection w:val="btLr"/>
          </w:tcPr>
          <w:p w:rsidR="00A5580F" w:rsidRPr="00D555A8" w:rsidRDefault="00A5580F" w:rsidP="003F5E7C">
            <w:pPr>
              <w:pStyle w:val="Tabletext"/>
              <w:jc w:val="center"/>
            </w:pPr>
            <w:r w:rsidRPr="00D555A8">
              <w:t>Middle</w:t>
            </w:r>
          </w:p>
        </w:tc>
        <w:tc>
          <w:tcPr>
            <w:tcW w:w="1843" w:type="dxa"/>
            <w:vMerge w:val="restart"/>
          </w:tcPr>
          <w:p w:rsidR="00A5580F" w:rsidRDefault="00A5580F" w:rsidP="003F5E7C">
            <w:pPr>
              <w:pStyle w:val="Tabletext"/>
              <w:spacing w:line="276" w:lineRule="auto"/>
            </w:pPr>
            <w:r w:rsidRPr="00D555A8">
              <w:t>Mucklebar</w:t>
            </w:r>
          </w:p>
          <w:p w:rsidR="009E7250" w:rsidRDefault="00A5580F" w:rsidP="003F5E7C">
            <w:pPr>
              <w:pStyle w:val="Tabletext"/>
              <w:spacing w:line="276" w:lineRule="auto"/>
            </w:pPr>
            <w:r w:rsidRPr="00D555A8">
              <w:t>Berry Jerry Station</w:t>
            </w:r>
            <w:r>
              <w:t xml:space="preserve"> </w:t>
            </w:r>
            <w:r w:rsidRPr="00D555A8">
              <w:t>Narrandera</w:t>
            </w:r>
            <w:r>
              <w:t xml:space="preserve"> </w:t>
            </w:r>
          </w:p>
          <w:p w:rsidR="009E7250" w:rsidRDefault="00A5580F" w:rsidP="003F5E7C">
            <w:pPr>
              <w:pStyle w:val="Tabletext"/>
              <w:spacing w:line="276" w:lineRule="auto"/>
            </w:pPr>
            <w:r w:rsidRPr="00D555A8">
              <w:t>Euroley Bridge</w:t>
            </w:r>
          </w:p>
          <w:p w:rsidR="009E7250" w:rsidRDefault="00A5580F" w:rsidP="003F5E7C">
            <w:pPr>
              <w:pStyle w:val="Tabletext"/>
              <w:spacing w:line="276" w:lineRule="auto"/>
            </w:pPr>
            <w:r w:rsidRPr="00D555A8">
              <w:t>Cookoothama</w:t>
            </w:r>
          </w:p>
          <w:p w:rsidR="009E7250" w:rsidRDefault="00A5580F" w:rsidP="003F5E7C">
            <w:pPr>
              <w:pStyle w:val="Tabletext"/>
              <w:spacing w:line="276" w:lineRule="auto"/>
            </w:pPr>
            <w:r w:rsidRPr="00D555A8">
              <w:t>Birdcage Reserve</w:t>
            </w:r>
          </w:p>
          <w:p w:rsidR="00A5580F" w:rsidRPr="00D555A8" w:rsidRDefault="00A5580F" w:rsidP="003F5E7C">
            <w:pPr>
              <w:pStyle w:val="Tabletext"/>
              <w:spacing w:line="276" w:lineRule="auto"/>
            </w:pPr>
            <w:r w:rsidRPr="00D555A8">
              <w:t>Carrathool</w:t>
            </w:r>
            <w:r>
              <w:t xml:space="preserve"> </w:t>
            </w:r>
            <w:r w:rsidRPr="00D555A8">
              <w:t>Hay</w:t>
            </w:r>
          </w:p>
        </w:tc>
        <w:tc>
          <w:tcPr>
            <w:tcW w:w="992" w:type="dxa"/>
            <w:vMerge w:val="restart"/>
            <w:tcBorders>
              <w:top w:val="single" w:sz="4" w:space="0" w:color="07601F"/>
            </w:tcBorders>
            <w:textDirection w:val="btLr"/>
          </w:tcPr>
          <w:p w:rsidR="00A5580F" w:rsidRPr="00D555A8" w:rsidRDefault="00A5580F" w:rsidP="003F5E7C">
            <w:pPr>
              <w:pStyle w:val="Tabletext"/>
              <w:ind w:left="113" w:right="113"/>
              <w:jc w:val="center"/>
            </w:pPr>
            <w:r>
              <w:t>Mid-</w:t>
            </w:r>
            <w:r w:rsidR="009E7250">
              <w:t>Murrumbidgee</w:t>
            </w:r>
          </w:p>
        </w:tc>
        <w:tc>
          <w:tcPr>
            <w:tcW w:w="2126" w:type="dxa"/>
            <w:tcBorders>
              <w:top w:val="single" w:sz="4" w:space="0" w:color="07601F"/>
            </w:tcBorders>
          </w:tcPr>
          <w:p w:rsidR="00A5580F" w:rsidRPr="00D555A8" w:rsidRDefault="00A5580F" w:rsidP="009E7250">
            <w:pPr>
              <w:pStyle w:val="Tabletext"/>
            </w:pPr>
            <w:r w:rsidRPr="00D555A8">
              <w:t>Euroley Wetland</w:t>
            </w:r>
          </w:p>
        </w:tc>
        <w:tc>
          <w:tcPr>
            <w:tcW w:w="680" w:type="dxa"/>
            <w:tcBorders>
              <w:top w:val="single" w:sz="4" w:space="0" w:color="07601F"/>
            </w:tcBorders>
            <w:shd w:val="clear" w:color="auto" w:fill="A1B0D1"/>
          </w:tcPr>
          <w:p w:rsidR="00A5580F" w:rsidRPr="003F5E7C" w:rsidRDefault="00A5580F" w:rsidP="009E7250">
            <w:pPr>
              <w:pStyle w:val="Tabletext"/>
              <w:rPr>
                <w:b/>
              </w:rPr>
            </w:pPr>
            <w:r w:rsidRPr="003F5E7C">
              <w:rPr>
                <w:b/>
              </w:rPr>
              <w:t>W</w:t>
            </w:r>
          </w:p>
        </w:tc>
        <w:tc>
          <w:tcPr>
            <w:tcW w:w="680" w:type="dxa"/>
            <w:tcBorders>
              <w:top w:val="single" w:sz="4" w:space="0" w:color="07601F"/>
            </w:tcBorders>
            <w:shd w:val="clear" w:color="auto" w:fill="A1B0D1"/>
          </w:tcPr>
          <w:p w:rsidR="00A5580F" w:rsidRPr="003F5E7C" w:rsidRDefault="00A5580F" w:rsidP="009E7250">
            <w:pPr>
              <w:pStyle w:val="Tabletext"/>
              <w:rPr>
                <w:b/>
              </w:rPr>
            </w:pPr>
            <w:r w:rsidRPr="003F5E7C">
              <w:rPr>
                <w:b/>
              </w:rPr>
              <w:t>W</w:t>
            </w:r>
          </w:p>
        </w:tc>
        <w:tc>
          <w:tcPr>
            <w:tcW w:w="681" w:type="dxa"/>
            <w:tcBorders>
              <w:top w:val="single" w:sz="4" w:space="0" w:color="07601F"/>
            </w:tcBorders>
            <w:shd w:val="clear" w:color="auto" w:fill="A1B0D1"/>
          </w:tcPr>
          <w:p w:rsidR="00A5580F" w:rsidRPr="003F5E7C" w:rsidRDefault="00A5580F" w:rsidP="009E7250">
            <w:pPr>
              <w:pStyle w:val="Tabletext"/>
              <w:rPr>
                <w:b/>
              </w:rPr>
            </w:pPr>
            <w:r w:rsidRPr="003F5E7C">
              <w:rPr>
                <w:b/>
              </w:rPr>
              <w:t>W</w:t>
            </w:r>
          </w:p>
        </w:tc>
        <w:tc>
          <w:tcPr>
            <w:tcW w:w="680" w:type="dxa"/>
            <w:tcBorders>
              <w:top w:val="single" w:sz="4" w:space="0" w:color="07601F"/>
            </w:tcBorders>
            <w:shd w:val="clear" w:color="auto" w:fill="86B29E"/>
          </w:tcPr>
          <w:p w:rsidR="00A5580F" w:rsidRPr="003F5E7C" w:rsidRDefault="00A5580F" w:rsidP="009E7250">
            <w:pPr>
              <w:pStyle w:val="Tabletext"/>
              <w:rPr>
                <w:b/>
              </w:rPr>
            </w:pPr>
            <w:r w:rsidRPr="003F5E7C">
              <w:rPr>
                <w:b/>
              </w:rPr>
              <w:t>D</w:t>
            </w:r>
          </w:p>
        </w:tc>
        <w:tc>
          <w:tcPr>
            <w:tcW w:w="681" w:type="dxa"/>
            <w:tcBorders>
              <w:top w:val="single" w:sz="4" w:space="0" w:color="07601F"/>
            </w:tcBorders>
            <w:shd w:val="clear" w:color="auto" w:fill="86B29E"/>
          </w:tcPr>
          <w:p w:rsidR="00A5580F" w:rsidRPr="003F5E7C" w:rsidRDefault="00A5580F" w:rsidP="009E7250">
            <w:pPr>
              <w:pStyle w:val="Tabletext"/>
              <w:rPr>
                <w:b/>
              </w:rPr>
            </w:pPr>
            <w:r w:rsidRPr="003F5E7C">
              <w:rPr>
                <w:b/>
              </w:rPr>
              <w:t>D</w:t>
            </w:r>
          </w:p>
        </w:tc>
      </w:tr>
      <w:tr w:rsidR="00A5580F" w:rsidRPr="004F1FD3" w:rsidTr="003F5E7C">
        <w:trPr>
          <w:trHeight w:val="397"/>
        </w:trPr>
        <w:tc>
          <w:tcPr>
            <w:tcW w:w="959" w:type="dxa"/>
            <w:vMerge/>
            <w:textDirection w:val="btLr"/>
          </w:tcPr>
          <w:p w:rsidR="00A5580F" w:rsidRDefault="00A5580F" w:rsidP="003F5E7C">
            <w:pPr>
              <w:pStyle w:val="Tabletext"/>
              <w:jc w:val="center"/>
            </w:pPr>
          </w:p>
        </w:tc>
        <w:tc>
          <w:tcPr>
            <w:tcW w:w="1843" w:type="dxa"/>
            <w:vMerge/>
          </w:tcPr>
          <w:p w:rsidR="00A5580F" w:rsidRPr="00D555A8" w:rsidRDefault="00A5580F" w:rsidP="009E7250">
            <w:pPr>
              <w:pStyle w:val="Tabletext"/>
            </w:pPr>
          </w:p>
        </w:tc>
        <w:tc>
          <w:tcPr>
            <w:tcW w:w="992" w:type="dxa"/>
            <w:vMerge/>
          </w:tcPr>
          <w:p w:rsidR="00A5580F" w:rsidRPr="00D555A8" w:rsidRDefault="00A5580F" w:rsidP="003F5E7C">
            <w:pPr>
              <w:pStyle w:val="Tabletext"/>
              <w:jc w:val="center"/>
            </w:pPr>
          </w:p>
        </w:tc>
        <w:tc>
          <w:tcPr>
            <w:tcW w:w="2126" w:type="dxa"/>
          </w:tcPr>
          <w:p w:rsidR="00A5580F" w:rsidRPr="00D555A8" w:rsidRDefault="00A5580F" w:rsidP="009E7250">
            <w:pPr>
              <w:pStyle w:val="Tabletext"/>
            </w:pPr>
            <w:r w:rsidRPr="00D555A8">
              <w:t xml:space="preserve">Goorogool Lagoon </w:t>
            </w:r>
          </w:p>
        </w:tc>
        <w:tc>
          <w:tcPr>
            <w:tcW w:w="680" w:type="dxa"/>
            <w:shd w:val="clear" w:color="auto" w:fill="A1B0D1"/>
          </w:tcPr>
          <w:p w:rsidR="00A5580F" w:rsidRPr="003F5E7C" w:rsidRDefault="00A5580F" w:rsidP="009E7250">
            <w:pPr>
              <w:pStyle w:val="Tabletext"/>
              <w:rPr>
                <w:b/>
              </w:rPr>
            </w:pPr>
            <w:r w:rsidRPr="003F5E7C">
              <w:rPr>
                <w:b/>
              </w:rPr>
              <w:t>W</w:t>
            </w:r>
          </w:p>
        </w:tc>
        <w:tc>
          <w:tcPr>
            <w:tcW w:w="680" w:type="dxa"/>
            <w:shd w:val="clear" w:color="auto" w:fill="A1B0D1"/>
          </w:tcPr>
          <w:p w:rsidR="00A5580F" w:rsidRPr="003F5E7C" w:rsidRDefault="00A5580F" w:rsidP="009E7250">
            <w:pPr>
              <w:pStyle w:val="Tabletext"/>
              <w:rPr>
                <w:b/>
              </w:rPr>
            </w:pPr>
            <w:r w:rsidRPr="003F5E7C">
              <w:rPr>
                <w:b/>
              </w:rPr>
              <w:t>W</w:t>
            </w:r>
          </w:p>
        </w:tc>
        <w:tc>
          <w:tcPr>
            <w:tcW w:w="681" w:type="dxa"/>
            <w:shd w:val="clear" w:color="auto" w:fill="86B29E"/>
          </w:tcPr>
          <w:p w:rsidR="00A5580F" w:rsidRPr="003F5E7C" w:rsidRDefault="00A5580F" w:rsidP="009E7250">
            <w:pPr>
              <w:pStyle w:val="Tabletext"/>
              <w:rPr>
                <w:b/>
              </w:rPr>
            </w:pPr>
            <w:r w:rsidRPr="003F5E7C">
              <w:rPr>
                <w:b/>
              </w:rPr>
              <w:t>D</w:t>
            </w:r>
          </w:p>
        </w:tc>
        <w:tc>
          <w:tcPr>
            <w:tcW w:w="680" w:type="dxa"/>
            <w:shd w:val="clear" w:color="auto" w:fill="86B29E"/>
          </w:tcPr>
          <w:p w:rsidR="00A5580F" w:rsidRPr="003F5E7C" w:rsidRDefault="00A5580F" w:rsidP="009E7250">
            <w:pPr>
              <w:pStyle w:val="Tabletext"/>
              <w:rPr>
                <w:b/>
              </w:rPr>
            </w:pPr>
            <w:r w:rsidRPr="003F5E7C">
              <w:rPr>
                <w:b/>
              </w:rPr>
              <w:t>D</w:t>
            </w:r>
          </w:p>
        </w:tc>
        <w:tc>
          <w:tcPr>
            <w:tcW w:w="681" w:type="dxa"/>
            <w:shd w:val="clear" w:color="auto" w:fill="86B29E"/>
          </w:tcPr>
          <w:p w:rsidR="00A5580F" w:rsidRPr="003F5E7C" w:rsidRDefault="00A5580F" w:rsidP="009E7250">
            <w:pPr>
              <w:pStyle w:val="Tabletext"/>
              <w:rPr>
                <w:b/>
              </w:rPr>
            </w:pPr>
            <w:r w:rsidRPr="003F5E7C">
              <w:rPr>
                <w:b/>
              </w:rPr>
              <w:t>D</w:t>
            </w:r>
          </w:p>
        </w:tc>
      </w:tr>
      <w:tr w:rsidR="00A5580F" w:rsidRPr="004F1FD3" w:rsidTr="003F5E7C">
        <w:trPr>
          <w:trHeight w:val="434"/>
        </w:trPr>
        <w:tc>
          <w:tcPr>
            <w:tcW w:w="959" w:type="dxa"/>
            <w:vMerge/>
            <w:textDirection w:val="btLr"/>
          </w:tcPr>
          <w:p w:rsidR="00A5580F" w:rsidRDefault="00A5580F" w:rsidP="003F5E7C">
            <w:pPr>
              <w:pStyle w:val="Tabletext"/>
              <w:jc w:val="center"/>
            </w:pPr>
          </w:p>
        </w:tc>
        <w:tc>
          <w:tcPr>
            <w:tcW w:w="1843" w:type="dxa"/>
            <w:vMerge/>
          </w:tcPr>
          <w:p w:rsidR="00A5580F" w:rsidRPr="00D555A8" w:rsidRDefault="00A5580F" w:rsidP="009E7250">
            <w:pPr>
              <w:pStyle w:val="Tabletext"/>
            </w:pPr>
          </w:p>
        </w:tc>
        <w:tc>
          <w:tcPr>
            <w:tcW w:w="992" w:type="dxa"/>
            <w:vMerge/>
          </w:tcPr>
          <w:p w:rsidR="00A5580F" w:rsidRPr="00D555A8" w:rsidRDefault="00A5580F" w:rsidP="003F5E7C">
            <w:pPr>
              <w:pStyle w:val="Tabletext"/>
              <w:jc w:val="center"/>
            </w:pPr>
          </w:p>
        </w:tc>
        <w:tc>
          <w:tcPr>
            <w:tcW w:w="2126" w:type="dxa"/>
          </w:tcPr>
          <w:p w:rsidR="00A5580F" w:rsidRPr="00D555A8" w:rsidRDefault="00A5580F" w:rsidP="009E7250">
            <w:pPr>
              <w:pStyle w:val="Tabletext"/>
            </w:pPr>
            <w:r w:rsidRPr="00D555A8">
              <w:t>McKennas Lagoon</w:t>
            </w:r>
          </w:p>
        </w:tc>
        <w:tc>
          <w:tcPr>
            <w:tcW w:w="680" w:type="dxa"/>
            <w:shd w:val="clear" w:color="auto" w:fill="A1B0D1"/>
          </w:tcPr>
          <w:p w:rsidR="00A5580F" w:rsidRPr="003F5E7C" w:rsidRDefault="00A5580F" w:rsidP="009E7250">
            <w:pPr>
              <w:pStyle w:val="Tabletext"/>
              <w:rPr>
                <w:b/>
              </w:rPr>
            </w:pPr>
            <w:r w:rsidRPr="003F5E7C">
              <w:rPr>
                <w:b/>
              </w:rPr>
              <w:t>W</w:t>
            </w:r>
          </w:p>
        </w:tc>
        <w:tc>
          <w:tcPr>
            <w:tcW w:w="680" w:type="dxa"/>
            <w:shd w:val="clear" w:color="auto" w:fill="A1B0D1"/>
          </w:tcPr>
          <w:p w:rsidR="00A5580F" w:rsidRPr="003F5E7C" w:rsidRDefault="00A5580F" w:rsidP="009E7250">
            <w:pPr>
              <w:pStyle w:val="Tabletext"/>
              <w:rPr>
                <w:b/>
              </w:rPr>
            </w:pPr>
            <w:r w:rsidRPr="003F5E7C">
              <w:rPr>
                <w:b/>
              </w:rPr>
              <w:t>W</w:t>
            </w:r>
          </w:p>
        </w:tc>
        <w:tc>
          <w:tcPr>
            <w:tcW w:w="681" w:type="dxa"/>
            <w:shd w:val="clear" w:color="auto" w:fill="A1B0D1"/>
          </w:tcPr>
          <w:p w:rsidR="00A5580F" w:rsidRPr="003F5E7C" w:rsidRDefault="00A5580F" w:rsidP="009E7250">
            <w:pPr>
              <w:pStyle w:val="Tabletext"/>
              <w:rPr>
                <w:b/>
              </w:rPr>
            </w:pPr>
            <w:r w:rsidRPr="003F5E7C">
              <w:rPr>
                <w:b/>
              </w:rPr>
              <w:t>W</w:t>
            </w:r>
          </w:p>
        </w:tc>
        <w:tc>
          <w:tcPr>
            <w:tcW w:w="680" w:type="dxa"/>
            <w:shd w:val="clear" w:color="auto" w:fill="86B29E"/>
          </w:tcPr>
          <w:p w:rsidR="00A5580F" w:rsidRPr="003F5E7C" w:rsidRDefault="00A5580F" w:rsidP="009E7250">
            <w:pPr>
              <w:pStyle w:val="Tabletext"/>
              <w:rPr>
                <w:b/>
              </w:rPr>
            </w:pPr>
            <w:r w:rsidRPr="003F5E7C">
              <w:rPr>
                <w:b/>
              </w:rPr>
              <w:t>D</w:t>
            </w:r>
          </w:p>
        </w:tc>
        <w:tc>
          <w:tcPr>
            <w:tcW w:w="681" w:type="dxa"/>
            <w:shd w:val="clear" w:color="auto" w:fill="86B29E"/>
          </w:tcPr>
          <w:p w:rsidR="00A5580F" w:rsidRPr="003F5E7C" w:rsidRDefault="00A5580F" w:rsidP="009E7250">
            <w:pPr>
              <w:pStyle w:val="Tabletext"/>
              <w:rPr>
                <w:b/>
              </w:rPr>
            </w:pPr>
            <w:r w:rsidRPr="003F5E7C">
              <w:rPr>
                <w:b/>
              </w:rPr>
              <w:t>D</w:t>
            </w:r>
          </w:p>
        </w:tc>
      </w:tr>
      <w:tr w:rsidR="00A5580F" w:rsidRPr="004F1FD3" w:rsidTr="003F5E7C">
        <w:trPr>
          <w:trHeight w:val="397"/>
        </w:trPr>
        <w:tc>
          <w:tcPr>
            <w:tcW w:w="959" w:type="dxa"/>
            <w:vMerge/>
            <w:textDirection w:val="btLr"/>
          </w:tcPr>
          <w:p w:rsidR="00A5580F" w:rsidRDefault="00A5580F" w:rsidP="003F5E7C">
            <w:pPr>
              <w:pStyle w:val="Tabletext"/>
              <w:jc w:val="center"/>
            </w:pPr>
          </w:p>
        </w:tc>
        <w:tc>
          <w:tcPr>
            <w:tcW w:w="1843" w:type="dxa"/>
            <w:vMerge/>
          </w:tcPr>
          <w:p w:rsidR="00A5580F" w:rsidRPr="00D555A8" w:rsidRDefault="00A5580F" w:rsidP="009E7250">
            <w:pPr>
              <w:pStyle w:val="Tabletext"/>
            </w:pPr>
          </w:p>
        </w:tc>
        <w:tc>
          <w:tcPr>
            <w:tcW w:w="992" w:type="dxa"/>
            <w:vMerge/>
          </w:tcPr>
          <w:p w:rsidR="00A5580F" w:rsidRPr="00D555A8" w:rsidRDefault="00A5580F" w:rsidP="003F5E7C">
            <w:pPr>
              <w:pStyle w:val="Tabletext"/>
              <w:jc w:val="center"/>
            </w:pPr>
          </w:p>
        </w:tc>
        <w:tc>
          <w:tcPr>
            <w:tcW w:w="2126" w:type="dxa"/>
          </w:tcPr>
          <w:p w:rsidR="00A5580F" w:rsidRPr="00D555A8" w:rsidRDefault="00A5580F" w:rsidP="009E7250">
            <w:pPr>
              <w:pStyle w:val="Tabletext"/>
            </w:pPr>
            <w:r w:rsidRPr="00D555A8">
              <w:t>Yarrada Lagoon</w:t>
            </w:r>
          </w:p>
        </w:tc>
        <w:tc>
          <w:tcPr>
            <w:tcW w:w="680" w:type="dxa"/>
            <w:shd w:val="clear" w:color="auto" w:fill="A1B0D1"/>
          </w:tcPr>
          <w:p w:rsidR="00A5580F" w:rsidRPr="003F5E7C" w:rsidRDefault="00A5580F" w:rsidP="009E7250">
            <w:pPr>
              <w:pStyle w:val="Tabletext"/>
              <w:rPr>
                <w:b/>
              </w:rPr>
            </w:pPr>
            <w:r w:rsidRPr="003F5E7C">
              <w:rPr>
                <w:b/>
              </w:rPr>
              <w:t>W</w:t>
            </w:r>
          </w:p>
        </w:tc>
        <w:tc>
          <w:tcPr>
            <w:tcW w:w="680" w:type="dxa"/>
            <w:shd w:val="clear" w:color="auto" w:fill="A1B0D1"/>
          </w:tcPr>
          <w:p w:rsidR="00A5580F" w:rsidRPr="003F5E7C" w:rsidRDefault="00A5580F" w:rsidP="009E7250">
            <w:pPr>
              <w:pStyle w:val="Tabletext"/>
              <w:rPr>
                <w:b/>
              </w:rPr>
            </w:pPr>
            <w:r w:rsidRPr="003F5E7C">
              <w:rPr>
                <w:b/>
              </w:rPr>
              <w:t>W</w:t>
            </w:r>
          </w:p>
        </w:tc>
        <w:tc>
          <w:tcPr>
            <w:tcW w:w="681" w:type="dxa"/>
            <w:shd w:val="clear" w:color="auto" w:fill="A1B0D1"/>
          </w:tcPr>
          <w:p w:rsidR="00A5580F" w:rsidRPr="003F5E7C" w:rsidRDefault="00A5580F" w:rsidP="009E7250">
            <w:pPr>
              <w:pStyle w:val="Tabletext"/>
              <w:rPr>
                <w:b/>
              </w:rPr>
            </w:pPr>
            <w:r w:rsidRPr="003F5E7C">
              <w:rPr>
                <w:b/>
              </w:rPr>
              <w:t>W</w:t>
            </w:r>
          </w:p>
        </w:tc>
        <w:tc>
          <w:tcPr>
            <w:tcW w:w="680" w:type="dxa"/>
            <w:shd w:val="clear" w:color="auto" w:fill="A1B0D1"/>
          </w:tcPr>
          <w:p w:rsidR="00A5580F" w:rsidRPr="003F5E7C" w:rsidRDefault="00A5580F" w:rsidP="009E7250">
            <w:pPr>
              <w:pStyle w:val="Tabletext"/>
              <w:rPr>
                <w:b/>
              </w:rPr>
            </w:pPr>
            <w:r w:rsidRPr="003F5E7C">
              <w:rPr>
                <w:b/>
              </w:rPr>
              <w:t>W</w:t>
            </w:r>
          </w:p>
        </w:tc>
        <w:tc>
          <w:tcPr>
            <w:tcW w:w="681" w:type="dxa"/>
            <w:shd w:val="clear" w:color="auto" w:fill="A1B0D1"/>
          </w:tcPr>
          <w:p w:rsidR="00A5580F" w:rsidRPr="003F5E7C" w:rsidRDefault="00A5580F" w:rsidP="009E7250">
            <w:pPr>
              <w:pStyle w:val="Tabletext"/>
              <w:rPr>
                <w:b/>
              </w:rPr>
            </w:pPr>
            <w:r w:rsidRPr="003F5E7C">
              <w:rPr>
                <w:b/>
              </w:rPr>
              <w:t>W</w:t>
            </w:r>
          </w:p>
        </w:tc>
      </w:tr>
      <w:tr w:rsidR="00A5580F" w:rsidRPr="004F1FD3" w:rsidTr="003F5E7C">
        <w:trPr>
          <w:trHeight w:val="397"/>
        </w:trPr>
        <w:tc>
          <w:tcPr>
            <w:tcW w:w="959" w:type="dxa"/>
            <w:vMerge/>
            <w:textDirection w:val="btLr"/>
          </w:tcPr>
          <w:p w:rsidR="00A5580F" w:rsidRDefault="00A5580F" w:rsidP="003F5E7C">
            <w:pPr>
              <w:pStyle w:val="Tabletext"/>
              <w:jc w:val="center"/>
            </w:pPr>
          </w:p>
        </w:tc>
        <w:tc>
          <w:tcPr>
            <w:tcW w:w="1843" w:type="dxa"/>
            <w:vMerge/>
          </w:tcPr>
          <w:p w:rsidR="00A5580F" w:rsidRPr="00D555A8" w:rsidRDefault="00A5580F" w:rsidP="009E7250">
            <w:pPr>
              <w:pStyle w:val="Tabletext"/>
            </w:pPr>
          </w:p>
        </w:tc>
        <w:tc>
          <w:tcPr>
            <w:tcW w:w="992" w:type="dxa"/>
            <w:vMerge/>
          </w:tcPr>
          <w:p w:rsidR="00A5580F" w:rsidRPr="00D555A8" w:rsidRDefault="00A5580F" w:rsidP="003F5E7C">
            <w:pPr>
              <w:pStyle w:val="Tabletext"/>
              <w:jc w:val="center"/>
            </w:pPr>
          </w:p>
        </w:tc>
        <w:tc>
          <w:tcPr>
            <w:tcW w:w="2126" w:type="dxa"/>
          </w:tcPr>
          <w:p w:rsidR="00A5580F" w:rsidRPr="00D555A8" w:rsidRDefault="00A5580F" w:rsidP="009E7250">
            <w:pPr>
              <w:pStyle w:val="Tabletext"/>
            </w:pPr>
            <w:r w:rsidRPr="00D555A8">
              <w:t>Sunshower Lagoon</w:t>
            </w:r>
          </w:p>
        </w:tc>
        <w:tc>
          <w:tcPr>
            <w:tcW w:w="680" w:type="dxa"/>
            <w:shd w:val="clear" w:color="auto" w:fill="A1B0D1"/>
          </w:tcPr>
          <w:p w:rsidR="00A5580F" w:rsidRPr="003F5E7C" w:rsidRDefault="00A5580F" w:rsidP="009E7250">
            <w:pPr>
              <w:pStyle w:val="Tabletext"/>
              <w:rPr>
                <w:b/>
              </w:rPr>
            </w:pPr>
            <w:r w:rsidRPr="003F5E7C">
              <w:rPr>
                <w:b/>
              </w:rPr>
              <w:t>W</w:t>
            </w:r>
          </w:p>
        </w:tc>
        <w:tc>
          <w:tcPr>
            <w:tcW w:w="680" w:type="dxa"/>
            <w:shd w:val="clear" w:color="auto" w:fill="A1B0D1"/>
          </w:tcPr>
          <w:p w:rsidR="00A5580F" w:rsidRPr="003F5E7C" w:rsidRDefault="00A5580F" w:rsidP="009E7250">
            <w:pPr>
              <w:pStyle w:val="Tabletext"/>
              <w:rPr>
                <w:b/>
              </w:rPr>
            </w:pPr>
            <w:r w:rsidRPr="003F5E7C">
              <w:rPr>
                <w:b/>
              </w:rPr>
              <w:t>W</w:t>
            </w:r>
          </w:p>
        </w:tc>
        <w:tc>
          <w:tcPr>
            <w:tcW w:w="681" w:type="dxa"/>
            <w:shd w:val="clear" w:color="auto" w:fill="A1B0D1"/>
          </w:tcPr>
          <w:p w:rsidR="00A5580F" w:rsidRPr="003F5E7C" w:rsidRDefault="00A5580F" w:rsidP="009E7250">
            <w:pPr>
              <w:pStyle w:val="Tabletext"/>
              <w:rPr>
                <w:b/>
              </w:rPr>
            </w:pPr>
            <w:r w:rsidRPr="003F5E7C">
              <w:rPr>
                <w:b/>
              </w:rPr>
              <w:t>W</w:t>
            </w:r>
          </w:p>
        </w:tc>
        <w:tc>
          <w:tcPr>
            <w:tcW w:w="680" w:type="dxa"/>
            <w:shd w:val="clear" w:color="auto" w:fill="86B29E"/>
          </w:tcPr>
          <w:p w:rsidR="00A5580F" w:rsidRPr="003F5E7C" w:rsidRDefault="00A5580F" w:rsidP="009E7250">
            <w:pPr>
              <w:pStyle w:val="Tabletext"/>
              <w:rPr>
                <w:b/>
              </w:rPr>
            </w:pPr>
            <w:r w:rsidRPr="003F5E7C">
              <w:rPr>
                <w:b/>
              </w:rPr>
              <w:t>D</w:t>
            </w:r>
          </w:p>
        </w:tc>
        <w:tc>
          <w:tcPr>
            <w:tcW w:w="681" w:type="dxa"/>
            <w:shd w:val="clear" w:color="auto" w:fill="86B29E"/>
          </w:tcPr>
          <w:p w:rsidR="00A5580F" w:rsidRPr="003F5E7C" w:rsidRDefault="00A5580F" w:rsidP="009E7250">
            <w:pPr>
              <w:pStyle w:val="Tabletext"/>
              <w:rPr>
                <w:b/>
              </w:rPr>
            </w:pPr>
            <w:r w:rsidRPr="003F5E7C">
              <w:rPr>
                <w:b/>
              </w:rPr>
              <w:t>D</w:t>
            </w:r>
          </w:p>
        </w:tc>
      </w:tr>
      <w:tr w:rsidR="009E7250" w:rsidRPr="004F1FD3" w:rsidTr="003F5E7C">
        <w:trPr>
          <w:trHeight w:hRule="exact" w:val="340"/>
        </w:trPr>
        <w:tc>
          <w:tcPr>
            <w:tcW w:w="959" w:type="dxa"/>
            <w:vMerge w:val="restart"/>
            <w:textDirection w:val="btLr"/>
          </w:tcPr>
          <w:p w:rsidR="009E7250" w:rsidRPr="00D555A8" w:rsidRDefault="009E7250" w:rsidP="003F5E7C">
            <w:pPr>
              <w:pStyle w:val="Tabletext"/>
              <w:jc w:val="center"/>
            </w:pPr>
            <w:r w:rsidRPr="00D555A8">
              <w:t>Lower</w:t>
            </w:r>
          </w:p>
        </w:tc>
        <w:tc>
          <w:tcPr>
            <w:tcW w:w="1843" w:type="dxa"/>
            <w:vMerge w:val="restart"/>
          </w:tcPr>
          <w:p w:rsidR="009E7250" w:rsidRPr="00D555A8" w:rsidRDefault="009E7250" w:rsidP="003F5E7C">
            <w:pPr>
              <w:pStyle w:val="Tabletext"/>
              <w:spacing w:line="720" w:lineRule="auto"/>
            </w:pPr>
            <w:r w:rsidRPr="00D555A8">
              <w:t>Maude</w:t>
            </w:r>
          </w:p>
          <w:p w:rsidR="009E7250" w:rsidRPr="00D555A8" w:rsidRDefault="009E7250" w:rsidP="003F5E7C">
            <w:pPr>
              <w:pStyle w:val="Tabletext"/>
              <w:spacing w:line="720" w:lineRule="auto"/>
            </w:pPr>
            <w:r w:rsidRPr="00D555A8">
              <w:t>Redbank Weir</w:t>
            </w:r>
          </w:p>
          <w:p w:rsidR="009E7250" w:rsidRPr="00D555A8" w:rsidRDefault="009E7250" w:rsidP="003F5E7C">
            <w:pPr>
              <w:pStyle w:val="Tabletext"/>
              <w:spacing w:line="720" w:lineRule="auto"/>
            </w:pPr>
            <w:r w:rsidRPr="00D555A8">
              <w:t>Glen Avon</w:t>
            </w:r>
          </w:p>
          <w:p w:rsidR="009E7250" w:rsidRPr="00D555A8" w:rsidRDefault="009E7250" w:rsidP="003F5E7C">
            <w:pPr>
              <w:pStyle w:val="Tabletext"/>
              <w:spacing w:line="720" w:lineRule="auto"/>
            </w:pPr>
            <w:r w:rsidRPr="00D555A8">
              <w:t>Baupie Escape</w:t>
            </w:r>
          </w:p>
          <w:p w:rsidR="009E7250" w:rsidRPr="00D555A8" w:rsidRDefault="009E7250" w:rsidP="003F5E7C">
            <w:pPr>
              <w:pStyle w:val="Tabletext"/>
              <w:spacing w:line="720" w:lineRule="auto"/>
            </w:pPr>
            <w:r w:rsidRPr="00D555A8">
              <w:t>Willow Isles</w:t>
            </w:r>
          </w:p>
        </w:tc>
        <w:tc>
          <w:tcPr>
            <w:tcW w:w="992" w:type="dxa"/>
            <w:vMerge w:val="restart"/>
            <w:textDirection w:val="btLr"/>
          </w:tcPr>
          <w:p w:rsidR="009E7250" w:rsidRPr="00D555A8" w:rsidRDefault="009E7250" w:rsidP="003F5E7C">
            <w:pPr>
              <w:pStyle w:val="Tabletext"/>
              <w:ind w:left="113" w:right="113"/>
              <w:jc w:val="center"/>
            </w:pPr>
            <w:r>
              <w:t>Lowbidgee</w:t>
            </w:r>
          </w:p>
        </w:tc>
        <w:tc>
          <w:tcPr>
            <w:tcW w:w="2126" w:type="dxa"/>
          </w:tcPr>
          <w:p w:rsidR="009E7250" w:rsidRPr="00D555A8" w:rsidRDefault="009E7250" w:rsidP="009E7250">
            <w:pPr>
              <w:pStyle w:val="Tabletext"/>
            </w:pPr>
            <w:r w:rsidRPr="00D555A8">
              <w:t>Piggery Swamp</w:t>
            </w:r>
          </w:p>
        </w:tc>
        <w:tc>
          <w:tcPr>
            <w:tcW w:w="680" w:type="dxa"/>
            <w:shd w:val="clear" w:color="auto" w:fill="A1B0D1"/>
          </w:tcPr>
          <w:p w:rsidR="009E7250" w:rsidRPr="003F5E7C" w:rsidRDefault="009E7250" w:rsidP="009E7250">
            <w:pPr>
              <w:pStyle w:val="Tabletext"/>
              <w:rPr>
                <w:b/>
              </w:rPr>
            </w:pPr>
            <w:r w:rsidRPr="003F5E7C">
              <w:rPr>
                <w:b/>
              </w:rPr>
              <w:t>W</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NS</w:t>
            </w:r>
          </w:p>
        </w:tc>
        <w:tc>
          <w:tcPr>
            <w:tcW w:w="680" w:type="dxa"/>
            <w:shd w:val="clear" w:color="auto" w:fill="86B29E"/>
          </w:tcPr>
          <w:p w:rsidR="009E7250" w:rsidRPr="003F5E7C" w:rsidRDefault="009E7250" w:rsidP="009E7250">
            <w:pPr>
              <w:pStyle w:val="Tabletext"/>
              <w:rPr>
                <w:b/>
              </w:rPr>
            </w:pPr>
            <w:r w:rsidRPr="003F5E7C">
              <w:rPr>
                <w:b/>
              </w:rPr>
              <w:t>D</w:t>
            </w:r>
          </w:p>
        </w:tc>
        <w:tc>
          <w:tcPr>
            <w:tcW w:w="681" w:type="dxa"/>
            <w:shd w:val="clear" w:color="auto" w:fill="86B29E"/>
          </w:tcPr>
          <w:p w:rsidR="009E7250" w:rsidRPr="003F5E7C" w:rsidRDefault="009E7250" w:rsidP="009E7250">
            <w:pPr>
              <w:pStyle w:val="Tabletext"/>
              <w:rPr>
                <w:b/>
              </w:rPr>
            </w:pPr>
            <w:r w:rsidRPr="003F5E7C">
              <w:rPr>
                <w:b/>
              </w:rPr>
              <w:t>D</w:t>
            </w:r>
          </w:p>
        </w:tc>
      </w:tr>
      <w:tr w:rsidR="009E7250" w:rsidRPr="004F1FD3" w:rsidTr="003F5E7C">
        <w:trPr>
          <w:trHeight w:hRule="exact" w:val="340"/>
        </w:trPr>
        <w:tc>
          <w:tcPr>
            <w:tcW w:w="959" w:type="dxa"/>
            <w:vMerge/>
            <w:textDirection w:val="btLr"/>
          </w:tcPr>
          <w:p w:rsidR="009E7250" w:rsidRDefault="009E7250" w:rsidP="003F5E7C">
            <w:pPr>
              <w:pStyle w:val="Tabletext"/>
              <w:jc w:val="center"/>
            </w:pPr>
          </w:p>
        </w:tc>
        <w:tc>
          <w:tcPr>
            <w:tcW w:w="1843" w:type="dxa"/>
            <w:vMerge/>
          </w:tcPr>
          <w:p w:rsidR="009E7250" w:rsidRPr="00D555A8" w:rsidRDefault="009E7250" w:rsidP="009E7250">
            <w:pPr>
              <w:pStyle w:val="Tabletext"/>
            </w:pPr>
          </w:p>
        </w:tc>
        <w:tc>
          <w:tcPr>
            <w:tcW w:w="992" w:type="dxa"/>
            <w:vMerge/>
          </w:tcPr>
          <w:p w:rsidR="009E7250" w:rsidRPr="00D555A8" w:rsidRDefault="009E7250" w:rsidP="003F5E7C">
            <w:pPr>
              <w:pStyle w:val="Tabletext"/>
              <w:jc w:val="center"/>
            </w:pPr>
          </w:p>
        </w:tc>
        <w:tc>
          <w:tcPr>
            <w:tcW w:w="2126" w:type="dxa"/>
          </w:tcPr>
          <w:p w:rsidR="009E7250" w:rsidRPr="00D555A8" w:rsidRDefault="009E7250" w:rsidP="009E7250">
            <w:pPr>
              <w:pStyle w:val="Tabletext"/>
            </w:pPr>
            <w:r w:rsidRPr="00D555A8">
              <w:t xml:space="preserve">Little Piggery </w:t>
            </w:r>
          </w:p>
        </w:tc>
        <w:tc>
          <w:tcPr>
            <w:tcW w:w="680" w:type="dxa"/>
            <w:shd w:val="clear" w:color="auto" w:fill="A1B0D1"/>
          </w:tcPr>
          <w:p w:rsidR="009E7250" w:rsidRPr="003F5E7C" w:rsidRDefault="009E7250" w:rsidP="009E7250">
            <w:pPr>
              <w:pStyle w:val="Tabletext"/>
              <w:rPr>
                <w:b/>
              </w:rPr>
            </w:pPr>
            <w:r w:rsidRPr="003F5E7C">
              <w:rPr>
                <w:b/>
              </w:rPr>
              <w:t>W</w:t>
            </w:r>
          </w:p>
        </w:tc>
        <w:tc>
          <w:tcPr>
            <w:tcW w:w="680" w:type="dxa"/>
            <w:shd w:val="clear" w:color="auto" w:fill="A1B0D1"/>
          </w:tcPr>
          <w:p w:rsidR="009E7250" w:rsidRPr="003F5E7C" w:rsidRDefault="000F78B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NS</w:t>
            </w:r>
          </w:p>
        </w:tc>
        <w:tc>
          <w:tcPr>
            <w:tcW w:w="680" w:type="dxa"/>
            <w:shd w:val="clear" w:color="auto" w:fill="86B29E"/>
          </w:tcPr>
          <w:p w:rsidR="009E7250" w:rsidRPr="003F5E7C" w:rsidRDefault="009E7250" w:rsidP="009E7250">
            <w:pPr>
              <w:pStyle w:val="Tabletext"/>
              <w:rPr>
                <w:b/>
              </w:rPr>
            </w:pPr>
            <w:r w:rsidRPr="003F5E7C">
              <w:rPr>
                <w:b/>
              </w:rPr>
              <w:t>D</w:t>
            </w:r>
          </w:p>
        </w:tc>
        <w:tc>
          <w:tcPr>
            <w:tcW w:w="681" w:type="dxa"/>
            <w:shd w:val="clear" w:color="auto" w:fill="86B29E"/>
          </w:tcPr>
          <w:p w:rsidR="009E7250" w:rsidRPr="003F5E7C" w:rsidRDefault="009E7250" w:rsidP="009E7250">
            <w:pPr>
              <w:pStyle w:val="Tabletext"/>
              <w:rPr>
                <w:b/>
              </w:rPr>
            </w:pPr>
            <w:r w:rsidRPr="003F5E7C">
              <w:rPr>
                <w:b/>
              </w:rPr>
              <w:t>D</w:t>
            </w:r>
          </w:p>
        </w:tc>
      </w:tr>
      <w:tr w:rsidR="009E7250" w:rsidRPr="004F1FD3" w:rsidTr="003F5E7C">
        <w:trPr>
          <w:trHeight w:hRule="exact" w:val="340"/>
        </w:trPr>
        <w:tc>
          <w:tcPr>
            <w:tcW w:w="959" w:type="dxa"/>
            <w:vMerge/>
            <w:textDirection w:val="btLr"/>
          </w:tcPr>
          <w:p w:rsidR="009E7250" w:rsidRDefault="009E7250" w:rsidP="003F5E7C">
            <w:pPr>
              <w:pStyle w:val="Tabletext"/>
              <w:jc w:val="center"/>
            </w:pPr>
          </w:p>
        </w:tc>
        <w:tc>
          <w:tcPr>
            <w:tcW w:w="1843" w:type="dxa"/>
            <w:vMerge/>
          </w:tcPr>
          <w:p w:rsidR="009E7250" w:rsidRPr="00D555A8" w:rsidRDefault="009E7250" w:rsidP="009E7250">
            <w:pPr>
              <w:pStyle w:val="Tabletext"/>
            </w:pPr>
          </w:p>
        </w:tc>
        <w:tc>
          <w:tcPr>
            <w:tcW w:w="992" w:type="dxa"/>
            <w:vMerge/>
          </w:tcPr>
          <w:p w:rsidR="009E7250" w:rsidRPr="00D555A8" w:rsidRDefault="009E7250" w:rsidP="003F5E7C">
            <w:pPr>
              <w:pStyle w:val="Tabletext"/>
              <w:jc w:val="center"/>
            </w:pPr>
          </w:p>
        </w:tc>
        <w:tc>
          <w:tcPr>
            <w:tcW w:w="2126" w:type="dxa"/>
          </w:tcPr>
          <w:p w:rsidR="009E7250" w:rsidRPr="00D555A8" w:rsidRDefault="009E7250" w:rsidP="009E7250">
            <w:pPr>
              <w:pStyle w:val="Tabletext"/>
            </w:pPr>
            <w:r w:rsidRPr="00D555A8">
              <w:t>Mercedes Wetland</w:t>
            </w:r>
          </w:p>
        </w:tc>
        <w:tc>
          <w:tcPr>
            <w:tcW w:w="680" w:type="dxa"/>
            <w:shd w:val="clear" w:color="auto" w:fill="A1B0D1"/>
          </w:tcPr>
          <w:p w:rsidR="009E7250" w:rsidRPr="003F5E7C" w:rsidRDefault="009E7250" w:rsidP="009E7250">
            <w:pPr>
              <w:pStyle w:val="Tabletext"/>
              <w:rPr>
                <w:b/>
              </w:rPr>
            </w:pPr>
            <w:r w:rsidRPr="003F5E7C">
              <w:rPr>
                <w:b/>
              </w:rPr>
              <w:t>W</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NS</w:t>
            </w:r>
          </w:p>
        </w:tc>
        <w:tc>
          <w:tcPr>
            <w:tcW w:w="680" w:type="dxa"/>
            <w:shd w:val="clear" w:color="auto" w:fill="86B29E"/>
          </w:tcPr>
          <w:p w:rsidR="009E7250" w:rsidRPr="003F5E7C" w:rsidRDefault="009E7250" w:rsidP="009E7250">
            <w:pPr>
              <w:pStyle w:val="Tabletext"/>
              <w:rPr>
                <w:b/>
              </w:rPr>
            </w:pPr>
            <w:r w:rsidRPr="003F5E7C">
              <w:rPr>
                <w:b/>
              </w:rPr>
              <w:t>D</w:t>
            </w:r>
          </w:p>
        </w:tc>
        <w:tc>
          <w:tcPr>
            <w:tcW w:w="681" w:type="dxa"/>
            <w:shd w:val="clear" w:color="auto" w:fill="A1B0D1"/>
          </w:tcPr>
          <w:p w:rsidR="009E7250" w:rsidRPr="003F5E7C" w:rsidRDefault="009E7250" w:rsidP="009E7250">
            <w:pPr>
              <w:pStyle w:val="Tabletext"/>
              <w:rPr>
                <w:b/>
              </w:rPr>
            </w:pPr>
            <w:r w:rsidRPr="003F5E7C">
              <w:rPr>
                <w:b/>
              </w:rPr>
              <w:t>W</w:t>
            </w:r>
          </w:p>
        </w:tc>
      </w:tr>
      <w:tr w:rsidR="009E7250" w:rsidRPr="004F1FD3" w:rsidTr="003F5E7C">
        <w:trPr>
          <w:trHeight w:hRule="exact" w:val="340"/>
        </w:trPr>
        <w:tc>
          <w:tcPr>
            <w:tcW w:w="959" w:type="dxa"/>
            <w:vMerge/>
            <w:textDirection w:val="btLr"/>
          </w:tcPr>
          <w:p w:rsidR="009E7250" w:rsidRDefault="009E7250" w:rsidP="003F5E7C">
            <w:pPr>
              <w:pStyle w:val="Tabletext"/>
              <w:jc w:val="center"/>
            </w:pPr>
          </w:p>
        </w:tc>
        <w:tc>
          <w:tcPr>
            <w:tcW w:w="1843" w:type="dxa"/>
            <w:vMerge/>
          </w:tcPr>
          <w:p w:rsidR="009E7250" w:rsidRPr="00D555A8" w:rsidRDefault="009E7250" w:rsidP="009E7250">
            <w:pPr>
              <w:pStyle w:val="Tabletext"/>
            </w:pPr>
          </w:p>
        </w:tc>
        <w:tc>
          <w:tcPr>
            <w:tcW w:w="992" w:type="dxa"/>
            <w:vMerge/>
          </w:tcPr>
          <w:p w:rsidR="009E7250" w:rsidRPr="00D555A8" w:rsidRDefault="009E7250" w:rsidP="003F5E7C">
            <w:pPr>
              <w:pStyle w:val="Tabletext"/>
              <w:jc w:val="center"/>
            </w:pPr>
          </w:p>
        </w:tc>
        <w:tc>
          <w:tcPr>
            <w:tcW w:w="2126" w:type="dxa"/>
          </w:tcPr>
          <w:p w:rsidR="009E7250" w:rsidRPr="00D555A8" w:rsidRDefault="009E7250" w:rsidP="009E7250">
            <w:pPr>
              <w:pStyle w:val="Tabletext"/>
            </w:pPr>
            <w:r w:rsidRPr="00D555A8">
              <w:t>Wagourah Lagoon</w:t>
            </w:r>
          </w:p>
        </w:tc>
        <w:tc>
          <w:tcPr>
            <w:tcW w:w="680" w:type="dxa"/>
            <w:shd w:val="clear" w:color="auto" w:fill="A1B0D1"/>
          </w:tcPr>
          <w:p w:rsidR="009E7250" w:rsidRPr="003F5E7C" w:rsidRDefault="009E7250" w:rsidP="009E7250">
            <w:pPr>
              <w:pStyle w:val="Tabletext"/>
              <w:rPr>
                <w:b/>
              </w:rPr>
            </w:pPr>
            <w:r w:rsidRPr="003F5E7C">
              <w:rPr>
                <w:b/>
              </w:rPr>
              <w:t>W</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NS</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W</w:t>
            </w:r>
          </w:p>
        </w:tc>
      </w:tr>
      <w:tr w:rsidR="009E7250" w:rsidRPr="004F1FD3" w:rsidTr="003F5E7C">
        <w:trPr>
          <w:trHeight w:hRule="exact" w:val="340"/>
        </w:trPr>
        <w:tc>
          <w:tcPr>
            <w:tcW w:w="959" w:type="dxa"/>
            <w:vMerge/>
            <w:textDirection w:val="btLr"/>
          </w:tcPr>
          <w:p w:rsidR="009E7250" w:rsidRDefault="009E7250" w:rsidP="003F5E7C">
            <w:pPr>
              <w:pStyle w:val="Tabletext"/>
              <w:jc w:val="center"/>
            </w:pPr>
          </w:p>
        </w:tc>
        <w:tc>
          <w:tcPr>
            <w:tcW w:w="1843" w:type="dxa"/>
            <w:vMerge/>
          </w:tcPr>
          <w:p w:rsidR="009E7250" w:rsidRPr="00D555A8" w:rsidRDefault="009E7250" w:rsidP="009E7250">
            <w:pPr>
              <w:pStyle w:val="Tabletext"/>
            </w:pPr>
          </w:p>
        </w:tc>
        <w:tc>
          <w:tcPr>
            <w:tcW w:w="992" w:type="dxa"/>
            <w:vMerge/>
          </w:tcPr>
          <w:p w:rsidR="009E7250" w:rsidRDefault="009E7250" w:rsidP="003F5E7C">
            <w:pPr>
              <w:pStyle w:val="Tabletext"/>
              <w:jc w:val="center"/>
            </w:pPr>
          </w:p>
        </w:tc>
        <w:tc>
          <w:tcPr>
            <w:tcW w:w="2126" w:type="dxa"/>
          </w:tcPr>
          <w:p w:rsidR="009E7250" w:rsidRPr="00D555A8" w:rsidRDefault="009E7250" w:rsidP="009E7250">
            <w:pPr>
              <w:pStyle w:val="Tabletext"/>
            </w:pPr>
            <w:r>
              <w:t>Two</w:t>
            </w:r>
            <w:r w:rsidRPr="00D555A8">
              <w:t xml:space="preserve"> Bridges Swamp</w:t>
            </w:r>
          </w:p>
        </w:tc>
        <w:tc>
          <w:tcPr>
            <w:tcW w:w="680" w:type="dxa"/>
            <w:shd w:val="clear" w:color="auto" w:fill="A1B0D1"/>
          </w:tcPr>
          <w:p w:rsidR="009E7250" w:rsidRPr="003F5E7C" w:rsidRDefault="009E7250" w:rsidP="009E7250">
            <w:pPr>
              <w:pStyle w:val="Tabletext"/>
              <w:rPr>
                <w:b/>
              </w:rPr>
            </w:pPr>
            <w:r w:rsidRPr="003F5E7C">
              <w:rPr>
                <w:b/>
              </w:rPr>
              <w:t>W</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NS</w:t>
            </w:r>
          </w:p>
        </w:tc>
        <w:tc>
          <w:tcPr>
            <w:tcW w:w="680" w:type="dxa"/>
            <w:shd w:val="clear" w:color="auto" w:fill="86B29E"/>
          </w:tcPr>
          <w:p w:rsidR="009E7250" w:rsidRPr="003F5E7C" w:rsidRDefault="009E7250" w:rsidP="009E7250">
            <w:pPr>
              <w:pStyle w:val="Tabletext"/>
              <w:rPr>
                <w:b/>
              </w:rPr>
            </w:pPr>
            <w:r w:rsidRPr="003F5E7C">
              <w:rPr>
                <w:b/>
              </w:rPr>
              <w:t>D</w:t>
            </w:r>
          </w:p>
        </w:tc>
        <w:tc>
          <w:tcPr>
            <w:tcW w:w="681" w:type="dxa"/>
            <w:shd w:val="clear" w:color="auto" w:fill="86B29E"/>
          </w:tcPr>
          <w:p w:rsidR="009E7250" w:rsidRPr="003F5E7C" w:rsidRDefault="009E7250" w:rsidP="009E7250">
            <w:pPr>
              <w:pStyle w:val="Tabletext"/>
              <w:rPr>
                <w:b/>
              </w:rPr>
            </w:pPr>
            <w:r w:rsidRPr="003F5E7C">
              <w:rPr>
                <w:b/>
              </w:rPr>
              <w:t>D</w:t>
            </w:r>
          </w:p>
        </w:tc>
      </w:tr>
      <w:tr w:rsidR="009E7250" w:rsidRPr="004F1FD3" w:rsidTr="003F5E7C">
        <w:trPr>
          <w:trHeight w:hRule="exact" w:val="340"/>
        </w:trPr>
        <w:tc>
          <w:tcPr>
            <w:tcW w:w="959" w:type="dxa"/>
            <w:vMerge/>
            <w:textDirection w:val="btLr"/>
          </w:tcPr>
          <w:p w:rsidR="009E7250" w:rsidRPr="00D555A8" w:rsidRDefault="009E7250" w:rsidP="003F5E7C">
            <w:pPr>
              <w:pStyle w:val="Tabletext"/>
              <w:jc w:val="center"/>
            </w:pPr>
          </w:p>
        </w:tc>
        <w:tc>
          <w:tcPr>
            <w:tcW w:w="1843" w:type="dxa"/>
            <w:vMerge/>
          </w:tcPr>
          <w:p w:rsidR="009E7250" w:rsidRPr="00D555A8" w:rsidRDefault="009E7250" w:rsidP="009E7250">
            <w:pPr>
              <w:pStyle w:val="Tabletext"/>
            </w:pPr>
          </w:p>
        </w:tc>
        <w:tc>
          <w:tcPr>
            <w:tcW w:w="992" w:type="dxa"/>
            <w:vMerge w:val="restart"/>
            <w:textDirection w:val="btLr"/>
          </w:tcPr>
          <w:p w:rsidR="009E7250" w:rsidRPr="00D555A8" w:rsidRDefault="009E7250" w:rsidP="003F5E7C">
            <w:pPr>
              <w:pStyle w:val="Tabletext"/>
              <w:ind w:left="113" w:right="113"/>
              <w:jc w:val="center"/>
            </w:pPr>
            <w:r w:rsidRPr="00D555A8">
              <w:t>Western Lakes</w:t>
            </w:r>
          </w:p>
        </w:tc>
        <w:tc>
          <w:tcPr>
            <w:tcW w:w="2126" w:type="dxa"/>
          </w:tcPr>
          <w:p w:rsidR="009E7250" w:rsidRPr="00D555A8" w:rsidRDefault="009E7250" w:rsidP="009E7250">
            <w:pPr>
              <w:pStyle w:val="Tabletext"/>
            </w:pPr>
            <w:r w:rsidRPr="00D555A8">
              <w:t>Paika Lake</w:t>
            </w:r>
          </w:p>
          <w:p w:rsidR="009E7250" w:rsidRPr="00D555A8" w:rsidRDefault="009E7250" w:rsidP="009E7250">
            <w:pPr>
              <w:pStyle w:val="Tabletext"/>
            </w:pPr>
          </w:p>
          <w:p w:rsidR="009E7250" w:rsidRPr="00D555A8" w:rsidRDefault="009E7250" w:rsidP="009E7250">
            <w:pPr>
              <w:pStyle w:val="Tabletext"/>
            </w:pPr>
            <w:r w:rsidRPr="00D555A8">
              <w:t>Cherax Swamp</w:t>
            </w:r>
          </w:p>
          <w:p w:rsidR="009E7250" w:rsidRPr="00D555A8" w:rsidRDefault="009E7250" w:rsidP="009E7250">
            <w:pPr>
              <w:pStyle w:val="Tabletext"/>
            </w:pPr>
            <w:r w:rsidRPr="00D555A8">
              <w:t>Hobblers Wetland</w:t>
            </w:r>
          </w:p>
          <w:p w:rsidR="009E7250" w:rsidRPr="00D555A8" w:rsidRDefault="009E7250" w:rsidP="009E7250">
            <w:pPr>
              <w:pStyle w:val="Tabletext"/>
            </w:pPr>
            <w:r w:rsidRPr="00D555A8">
              <w:t>Penarie Creek</w:t>
            </w:r>
          </w:p>
        </w:tc>
        <w:tc>
          <w:tcPr>
            <w:tcW w:w="680" w:type="dxa"/>
            <w:shd w:val="clear" w:color="auto" w:fill="A1B0D1"/>
          </w:tcPr>
          <w:p w:rsidR="009E7250" w:rsidRPr="003F5E7C" w:rsidRDefault="000F78B0" w:rsidP="009E7250">
            <w:pPr>
              <w:pStyle w:val="Tabletext"/>
              <w:rPr>
                <w:b/>
              </w:rPr>
            </w:pPr>
            <w:r w:rsidRPr="003F5E7C">
              <w:rPr>
                <w:b/>
              </w:rPr>
              <w:t>NS</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NS</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W</w:t>
            </w:r>
          </w:p>
        </w:tc>
      </w:tr>
      <w:tr w:rsidR="009E7250" w:rsidRPr="004F1FD3" w:rsidTr="003F5E7C">
        <w:trPr>
          <w:trHeight w:hRule="exact" w:val="340"/>
        </w:trPr>
        <w:tc>
          <w:tcPr>
            <w:tcW w:w="959" w:type="dxa"/>
            <w:vMerge/>
            <w:textDirection w:val="btLr"/>
          </w:tcPr>
          <w:p w:rsidR="009E7250" w:rsidRPr="00D555A8" w:rsidRDefault="009E7250" w:rsidP="003F5E7C">
            <w:pPr>
              <w:pStyle w:val="Tabletext"/>
              <w:jc w:val="center"/>
            </w:pPr>
          </w:p>
        </w:tc>
        <w:tc>
          <w:tcPr>
            <w:tcW w:w="1843" w:type="dxa"/>
            <w:vMerge/>
          </w:tcPr>
          <w:p w:rsidR="009E7250" w:rsidRPr="00D555A8" w:rsidRDefault="009E7250" w:rsidP="009E7250">
            <w:pPr>
              <w:pStyle w:val="Tabletext"/>
            </w:pPr>
          </w:p>
        </w:tc>
        <w:tc>
          <w:tcPr>
            <w:tcW w:w="992" w:type="dxa"/>
            <w:vMerge/>
          </w:tcPr>
          <w:p w:rsidR="009E7250" w:rsidRPr="00D555A8" w:rsidRDefault="009E7250" w:rsidP="009E7250">
            <w:pPr>
              <w:pStyle w:val="Tabletext"/>
            </w:pPr>
          </w:p>
        </w:tc>
        <w:tc>
          <w:tcPr>
            <w:tcW w:w="2126" w:type="dxa"/>
          </w:tcPr>
          <w:p w:rsidR="009E7250" w:rsidRPr="00D555A8" w:rsidRDefault="009E7250" w:rsidP="009E7250">
            <w:pPr>
              <w:pStyle w:val="Tabletext"/>
            </w:pPr>
            <w:r w:rsidRPr="00D555A8">
              <w:t>Cherax Swamp</w:t>
            </w:r>
          </w:p>
        </w:tc>
        <w:tc>
          <w:tcPr>
            <w:tcW w:w="680" w:type="dxa"/>
            <w:shd w:val="clear" w:color="auto" w:fill="86B29E"/>
          </w:tcPr>
          <w:p w:rsidR="009E7250" w:rsidRPr="003F5E7C" w:rsidRDefault="009E7250" w:rsidP="009E7250">
            <w:pPr>
              <w:pStyle w:val="Tabletext"/>
              <w:rPr>
                <w:b/>
              </w:rPr>
            </w:pPr>
            <w:r w:rsidRPr="003F5E7C">
              <w:rPr>
                <w:b/>
              </w:rPr>
              <w:t>D</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NS</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86B29E"/>
          </w:tcPr>
          <w:p w:rsidR="009E7250" w:rsidRPr="003F5E7C" w:rsidRDefault="009E7250" w:rsidP="009E7250">
            <w:pPr>
              <w:pStyle w:val="Tabletext"/>
              <w:rPr>
                <w:b/>
              </w:rPr>
            </w:pPr>
            <w:r w:rsidRPr="003F5E7C">
              <w:rPr>
                <w:b/>
              </w:rPr>
              <w:t>D</w:t>
            </w:r>
          </w:p>
        </w:tc>
      </w:tr>
      <w:tr w:rsidR="009E7250" w:rsidRPr="004F1FD3" w:rsidTr="003F5E7C">
        <w:trPr>
          <w:trHeight w:hRule="exact" w:val="340"/>
        </w:trPr>
        <w:tc>
          <w:tcPr>
            <w:tcW w:w="959" w:type="dxa"/>
            <w:vMerge/>
            <w:textDirection w:val="btLr"/>
          </w:tcPr>
          <w:p w:rsidR="009E7250" w:rsidRPr="00D555A8" w:rsidRDefault="009E7250" w:rsidP="003F5E7C">
            <w:pPr>
              <w:pStyle w:val="Tabletext"/>
              <w:jc w:val="center"/>
            </w:pPr>
          </w:p>
        </w:tc>
        <w:tc>
          <w:tcPr>
            <w:tcW w:w="1843" w:type="dxa"/>
            <w:vMerge/>
          </w:tcPr>
          <w:p w:rsidR="009E7250" w:rsidRPr="00D555A8" w:rsidRDefault="009E7250" w:rsidP="009E7250">
            <w:pPr>
              <w:pStyle w:val="Tabletext"/>
            </w:pPr>
          </w:p>
        </w:tc>
        <w:tc>
          <w:tcPr>
            <w:tcW w:w="992" w:type="dxa"/>
            <w:vMerge/>
          </w:tcPr>
          <w:p w:rsidR="009E7250" w:rsidRPr="00D555A8" w:rsidRDefault="009E7250" w:rsidP="009E7250">
            <w:pPr>
              <w:pStyle w:val="Tabletext"/>
            </w:pPr>
          </w:p>
        </w:tc>
        <w:tc>
          <w:tcPr>
            <w:tcW w:w="2126" w:type="dxa"/>
          </w:tcPr>
          <w:p w:rsidR="009E7250" w:rsidRPr="00D555A8" w:rsidRDefault="009E7250" w:rsidP="009E7250">
            <w:pPr>
              <w:pStyle w:val="Tabletext"/>
            </w:pPr>
            <w:r w:rsidRPr="00D555A8">
              <w:t>Hobblers Wetland</w:t>
            </w:r>
          </w:p>
        </w:tc>
        <w:tc>
          <w:tcPr>
            <w:tcW w:w="680" w:type="dxa"/>
            <w:shd w:val="clear" w:color="auto" w:fill="86B29E"/>
          </w:tcPr>
          <w:p w:rsidR="009E7250" w:rsidRPr="003F5E7C" w:rsidRDefault="009E7250" w:rsidP="009E7250">
            <w:pPr>
              <w:pStyle w:val="Tabletext"/>
              <w:rPr>
                <w:b/>
              </w:rPr>
            </w:pPr>
            <w:r w:rsidRPr="003F5E7C">
              <w:rPr>
                <w:b/>
              </w:rPr>
              <w:t>D</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0F78B0">
            <w:pPr>
              <w:pStyle w:val="Tabletext"/>
              <w:rPr>
                <w:b/>
              </w:rPr>
            </w:pPr>
            <w:r w:rsidRPr="003F5E7C">
              <w:rPr>
                <w:b/>
              </w:rPr>
              <w:t xml:space="preserve">NS </w:t>
            </w:r>
          </w:p>
        </w:tc>
        <w:tc>
          <w:tcPr>
            <w:tcW w:w="680" w:type="dxa"/>
            <w:shd w:val="clear" w:color="auto" w:fill="A1B0D1"/>
          </w:tcPr>
          <w:p w:rsidR="009E7250" w:rsidRPr="003F5E7C" w:rsidRDefault="009E7250" w:rsidP="009E7250">
            <w:pPr>
              <w:pStyle w:val="Tabletext"/>
              <w:rPr>
                <w:b/>
              </w:rPr>
            </w:pPr>
            <w:r w:rsidRPr="003F5E7C">
              <w:rPr>
                <w:b/>
              </w:rPr>
              <w:t>W</w:t>
            </w:r>
          </w:p>
        </w:tc>
        <w:tc>
          <w:tcPr>
            <w:tcW w:w="681" w:type="dxa"/>
            <w:shd w:val="clear" w:color="auto" w:fill="A1B0D1"/>
          </w:tcPr>
          <w:p w:rsidR="009E7250" w:rsidRPr="003F5E7C" w:rsidRDefault="009E7250" w:rsidP="009E7250">
            <w:pPr>
              <w:pStyle w:val="Tabletext"/>
              <w:rPr>
                <w:b/>
              </w:rPr>
            </w:pPr>
            <w:r w:rsidRPr="003F5E7C">
              <w:rPr>
                <w:b/>
              </w:rPr>
              <w:t>W</w:t>
            </w:r>
          </w:p>
        </w:tc>
      </w:tr>
      <w:tr w:rsidR="009E7250" w:rsidRPr="004F1FD3" w:rsidTr="003F5E7C">
        <w:trPr>
          <w:trHeight w:hRule="exact" w:val="340"/>
        </w:trPr>
        <w:tc>
          <w:tcPr>
            <w:tcW w:w="959" w:type="dxa"/>
            <w:vMerge/>
            <w:textDirection w:val="btLr"/>
          </w:tcPr>
          <w:p w:rsidR="009E7250" w:rsidRPr="00D555A8" w:rsidRDefault="009E7250" w:rsidP="003F5E7C">
            <w:pPr>
              <w:pStyle w:val="Tabletext"/>
              <w:jc w:val="center"/>
            </w:pPr>
          </w:p>
        </w:tc>
        <w:tc>
          <w:tcPr>
            <w:tcW w:w="1843" w:type="dxa"/>
            <w:vMerge/>
          </w:tcPr>
          <w:p w:rsidR="009E7250" w:rsidRPr="00D555A8" w:rsidRDefault="009E7250" w:rsidP="009E7250">
            <w:pPr>
              <w:pStyle w:val="Tabletext"/>
            </w:pPr>
          </w:p>
        </w:tc>
        <w:tc>
          <w:tcPr>
            <w:tcW w:w="992" w:type="dxa"/>
            <w:vMerge/>
            <w:tcBorders>
              <w:bottom w:val="single" w:sz="4" w:space="0" w:color="07601F"/>
            </w:tcBorders>
          </w:tcPr>
          <w:p w:rsidR="009E7250" w:rsidRPr="00D555A8" w:rsidRDefault="009E7250" w:rsidP="009E7250">
            <w:pPr>
              <w:pStyle w:val="Tabletext"/>
            </w:pPr>
          </w:p>
        </w:tc>
        <w:tc>
          <w:tcPr>
            <w:tcW w:w="2126" w:type="dxa"/>
            <w:tcBorders>
              <w:bottom w:val="single" w:sz="4" w:space="0" w:color="07601F"/>
            </w:tcBorders>
          </w:tcPr>
          <w:p w:rsidR="009E7250" w:rsidRPr="00D555A8" w:rsidRDefault="009E7250" w:rsidP="009E7250">
            <w:pPr>
              <w:pStyle w:val="Tabletext"/>
            </w:pPr>
            <w:r w:rsidRPr="00D555A8">
              <w:t>Penarie Creek</w:t>
            </w:r>
          </w:p>
        </w:tc>
        <w:tc>
          <w:tcPr>
            <w:tcW w:w="680" w:type="dxa"/>
            <w:tcBorders>
              <w:bottom w:val="single" w:sz="4" w:space="0" w:color="07601F"/>
            </w:tcBorders>
            <w:shd w:val="clear" w:color="auto" w:fill="86B29E"/>
          </w:tcPr>
          <w:p w:rsidR="009E7250" w:rsidRPr="003F5E7C" w:rsidRDefault="009E7250" w:rsidP="009E7250">
            <w:pPr>
              <w:pStyle w:val="Tabletext"/>
              <w:rPr>
                <w:b/>
              </w:rPr>
            </w:pPr>
            <w:r w:rsidRPr="003F5E7C">
              <w:rPr>
                <w:b/>
              </w:rPr>
              <w:t>D</w:t>
            </w:r>
          </w:p>
        </w:tc>
        <w:tc>
          <w:tcPr>
            <w:tcW w:w="680" w:type="dxa"/>
            <w:tcBorders>
              <w:bottom w:val="single" w:sz="4" w:space="0" w:color="07601F"/>
            </w:tcBorders>
            <w:shd w:val="clear" w:color="auto" w:fill="A1B0D1"/>
          </w:tcPr>
          <w:p w:rsidR="009E7250" w:rsidRPr="003F5E7C" w:rsidRDefault="009E7250" w:rsidP="009E7250">
            <w:pPr>
              <w:pStyle w:val="Tabletext"/>
              <w:rPr>
                <w:b/>
              </w:rPr>
            </w:pPr>
            <w:r w:rsidRPr="003F5E7C">
              <w:rPr>
                <w:b/>
              </w:rPr>
              <w:t>W</w:t>
            </w:r>
          </w:p>
        </w:tc>
        <w:tc>
          <w:tcPr>
            <w:tcW w:w="681" w:type="dxa"/>
            <w:tcBorders>
              <w:bottom w:val="single" w:sz="4" w:space="0" w:color="07601F"/>
            </w:tcBorders>
            <w:shd w:val="clear" w:color="auto" w:fill="86B29E"/>
          </w:tcPr>
          <w:p w:rsidR="009E7250" w:rsidRPr="003F5E7C" w:rsidRDefault="009E7250" w:rsidP="009E7250">
            <w:pPr>
              <w:pStyle w:val="Tabletext"/>
              <w:rPr>
                <w:b/>
              </w:rPr>
            </w:pPr>
          </w:p>
        </w:tc>
        <w:tc>
          <w:tcPr>
            <w:tcW w:w="680" w:type="dxa"/>
            <w:tcBorders>
              <w:bottom w:val="single" w:sz="4" w:space="0" w:color="07601F"/>
            </w:tcBorders>
            <w:shd w:val="clear" w:color="auto" w:fill="86B29E"/>
          </w:tcPr>
          <w:p w:rsidR="009E7250" w:rsidRPr="003F5E7C" w:rsidRDefault="009E7250" w:rsidP="009E7250">
            <w:pPr>
              <w:pStyle w:val="Tabletext"/>
              <w:rPr>
                <w:b/>
              </w:rPr>
            </w:pPr>
            <w:r w:rsidRPr="003F5E7C">
              <w:rPr>
                <w:b/>
              </w:rPr>
              <w:t>D</w:t>
            </w:r>
          </w:p>
        </w:tc>
        <w:tc>
          <w:tcPr>
            <w:tcW w:w="681" w:type="dxa"/>
            <w:tcBorders>
              <w:bottom w:val="single" w:sz="4" w:space="0" w:color="07601F"/>
            </w:tcBorders>
            <w:shd w:val="clear" w:color="auto" w:fill="86B29E"/>
          </w:tcPr>
          <w:p w:rsidR="009E7250" w:rsidRPr="003F5E7C" w:rsidRDefault="009E7250" w:rsidP="009E7250">
            <w:pPr>
              <w:pStyle w:val="Tabletext"/>
              <w:rPr>
                <w:b/>
              </w:rPr>
            </w:pPr>
            <w:r w:rsidRPr="003F5E7C">
              <w:rPr>
                <w:b/>
              </w:rPr>
              <w:t>D</w:t>
            </w:r>
          </w:p>
        </w:tc>
      </w:tr>
      <w:tr w:rsidR="00A5580F" w:rsidRPr="004F1FD3" w:rsidTr="003F5E7C">
        <w:trPr>
          <w:trHeight w:hRule="exact" w:val="340"/>
        </w:trPr>
        <w:tc>
          <w:tcPr>
            <w:tcW w:w="959" w:type="dxa"/>
            <w:vMerge w:val="restart"/>
            <w:textDirection w:val="btLr"/>
          </w:tcPr>
          <w:p w:rsidR="00A5580F" w:rsidRPr="00D555A8" w:rsidRDefault="00A5580F" w:rsidP="003F5E7C">
            <w:pPr>
              <w:pStyle w:val="Tabletext"/>
              <w:jc w:val="center"/>
            </w:pPr>
            <w:r w:rsidRPr="00D555A8">
              <w:t>Old Man Creek</w:t>
            </w:r>
          </w:p>
        </w:tc>
        <w:tc>
          <w:tcPr>
            <w:tcW w:w="1843" w:type="dxa"/>
            <w:vMerge w:val="restart"/>
            <w:tcBorders>
              <w:right w:val="single" w:sz="4" w:space="0" w:color="07601F"/>
            </w:tcBorders>
          </w:tcPr>
          <w:p w:rsidR="00A5580F" w:rsidRDefault="00A5580F" w:rsidP="009E7250">
            <w:pPr>
              <w:pStyle w:val="Tabletext"/>
            </w:pPr>
            <w:r w:rsidRPr="00D555A8">
              <w:t>Bernofy</w:t>
            </w:r>
          </w:p>
          <w:p w:rsidR="000F78B0" w:rsidRPr="00D555A8" w:rsidRDefault="000F78B0" w:rsidP="009E7250">
            <w:pPr>
              <w:pStyle w:val="Tabletext"/>
            </w:pPr>
          </w:p>
          <w:p w:rsidR="00A5580F" w:rsidRPr="00D555A8" w:rsidRDefault="00A5580F" w:rsidP="009E7250">
            <w:pPr>
              <w:pStyle w:val="Tabletext"/>
            </w:pPr>
            <w:r w:rsidRPr="00D555A8">
              <w:t>Gum Creek Station</w:t>
            </w:r>
          </w:p>
        </w:tc>
        <w:tc>
          <w:tcPr>
            <w:tcW w:w="992" w:type="dxa"/>
            <w:tcBorders>
              <w:top w:val="single" w:sz="4" w:space="0" w:color="07601F"/>
              <w:left w:val="single" w:sz="4" w:space="0" w:color="07601F"/>
              <w:bottom w:val="nil"/>
              <w:right w:val="nil"/>
            </w:tcBorders>
          </w:tcPr>
          <w:p w:rsidR="00A5580F" w:rsidRPr="00D555A8" w:rsidRDefault="00A5580F" w:rsidP="009E7250">
            <w:pPr>
              <w:pStyle w:val="Tabletext"/>
            </w:pPr>
          </w:p>
        </w:tc>
        <w:tc>
          <w:tcPr>
            <w:tcW w:w="2126" w:type="dxa"/>
            <w:tcBorders>
              <w:top w:val="single" w:sz="4" w:space="0" w:color="07601F"/>
              <w:left w:val="nil"/>
              <w:bottom w:val="nil"/>
              <w:right w:val="nil"/>
            </w:tcBorders>
          </w:tcPr>
          <w:p w:rsidR="00A5580F" w:rsidRPr="00D555A8" w:rsidRDefault="00A5580F" w:rsidP="009E7250">
            <w:pPr>
              <w:pStyle w:val="Tabletext"/>
            </w:pPr>
          </w:p>
        </w:tc>
        <w:tc>
          <w:tcPr>
            <w:tcW w:w="680" w:type="dxa"/>
            <w:tcBorders>
              <w:top w:val="single" w:sz="4" w:space="0" w:color="07601F"/>
              <w:left w:val="nil"/>
              <w:bottom w:val="nil"/>
              <w:right w:val="nil"/>
            </w:tcBorders>
          </w:tcPr>
          <w:p w:rsidR="00A5580F" w:rsidRPr="00D555A8" w:rsidRDefault="00A5580F" w:rsidP="009E7250">
            <w:pPr>
              <w:pStyle w:val="Tabletext"/>
            </w:pPr>
          </w:p>
        </w:tc>
        <w:tc>
          <w:tcPr>
            <w:tcW w:w="680" w:type="dxa"/>
            <w:tcBorders>
              <w:top w:val="single" w:sz="4" w:space="0" w:color="07601F"/>
              <w:left w:val="nil"/>
              <w:bottom w:val="nil"/>
              <w:right w:val="nil"/>
            </w:tcBorders>
          </w:tcPr>
          <w:p w:rsidR="00A5580F" w:rsidRPr="00D555A8" w:rsidRDefault="00A5580F" w:rsidP="009E7250">
            <w:pPr>
              <w:pStyle w:val="Tabletext"/>
            </w:pPr>
          </w:p>
        </w:tc>
        <w:tc>
          <w:tcPr>
            <w:tcW w:w="681" w:type="dxa"/>
            <w:tcBorders>
              <w:top w:val="single" w:sz="4" w:space="0" w:color="07601F"/>
              <w:left w:val="nil"/>
              <w:bottom w:val="nil"/>
              <w:right w:val="nil"/>
            </w:tcBorders>
          </w:tcPr>
          <w:p w:rsidR="00A5580F" w:rsidRPr="00D555A8" w:rsidRDefault="00A5580F" w:rsidP="009E7250">
            <w:pPr>
              <w:pStyle w:val="Tabletext"/>
            </w:pPr>
          </w:p>
        </w:tc>
        <w:tc>
          <w:tcPr>
            <w:tcW w:w="680" w:type="dxa"/>
            <w:tcBorders>
              <w:top w:val="single" w:sz="4" w:space="0" w:color="07601F"/>
              <w:left w:val="nil"/>
              <w:bottom w:val="nil"/>
              <w:right w:val="nil"/>
            </w:tcBorders>
          </w:tcPr>
          <w:p w:rsidR="00A5580F" w:rsidRPr="00D555A8" w:rsidRDefault="00A5580F" w:rsidP="009E7250">
            <w:pPr>
              <w:pStyle w:val="Tabletext"/>
            </w:pPr>
          </w:p>
        </w:tc>
        <w:tc>
          <w:tcPr>
            <w:tcW w:w="681" w:type="dxa"/>
            <w:tcBorders>
              <w:top w:val="single" w:sz="4" w:space="0" w:color="07601F"/>
              <w:left w:val="nil"/>
              <w:bottom w:val="nil"/>
              <w:right w:val="single" w:sz="4" w:space="0" w:color="07601F"/>
            </w:tcBorders>
          </w:tcPr>
          <w:p w:rsidR="00A5580F" w:rsidRPr="00D555A8" w:rsidRDefault="00A5580F" w:rsidP="009E7250">
            <w:pPr>
              <w:pStyle w:val="Tabletext"/>
            </w:pPr>
          </w:p>
        </w:tc>
      </w:tr>
      <w:tr w:rsidR="00A5580F" w:rsidRPr="004F1FD3" w:rsidTr="003F5E7C">
        <w:trPr>
          <w:trHeight w:hRule="exact" w:val="774"/>
        </w:trPr>
        <w:tc>
          <w:tcPr>
            <w:tcW w:w="959" w:type="dxa"/>
            <w:vMerge/>
          </w:tcPr>
          <w:p w:rsidR="00A5580F" w:rsidRPr="00D555A8" w:rsidRDefault="00A5580F" w:rsidP="009E7250">
            <w:pPr>
              <w:pStyle w:val="Tabletext"/>
            </w:pPr>
          </w:p>
        </w:tc>
        <w:tc>
          <w:tcPr>
            <w:tcW w:w="1843" w:type="dxa"/>
            <w:vMerge/>
            <w:tcBorders>
              <w:right w:val="single" w:sz="4" w:space="0" w:color="07601F"/>
            </w:tcBorders>
          </w:tcPr>
          <w:p w:rsidR="00A5580F" w:rsidRPr="00D555A8" w:rsidRDefault="00A5580F" w:rsidP="009E7250">
            <w:pPr>
              <w:pStyle w:val="Tabletext"/>
            </w:pPr>
          </w:p>
        </w:tc>
        <w:tc>
          <w:tcPr>
            <w:tcW w:w="992" w:type="dxa"/>
            <w:tcBorders>
              <w:top w:val="nil"/>
              <w:left w:val="single" w:sz="4" w:space="0" w:color="07601F"/>
              <w:bottom w:val="single" w:sz="4" w:space="0" w:color="07601F"/>
              <w:right w:val="nil"/>
            </w:tcBorders>
          </w:tcPr>
          <w:p w:rsidR="00A5580F" w:rsidRPr="00D555A8" w:rsidRDefault="00A5580F" w:rsidP="009E7250">
            <w:pPr>
              <w:pStyle w:val="Tabletext"/>
            </w:pPr>
          </w:p>
        </w:tc>
        <w:tc>
          <w:tcPr>
            <w:tcW w:w="2126" w:type="dxa"/>
            <w:tcBorders>
              <w:top w:val="nil"/>
              <w:left w:val="nil"/>
              <w:bottom w:val="single" w:sz="4" w:space="0" w:color="07601F"/>
              <w:right w:val="nil"/>
            </w:tcBorders>
          </w:tcPr>
          <w:p w:rsidR="00A5580F" w:rsidRPr="00D555A8" w:rsidRDefault="00A5580F" w:rsidP="009E7250">
            <w:pPr>
              <w:pStyle w:val="Tabletext"/>
            </w:pPr>
          </w:p>
        </w:tc>
        <w:tc>
          <w:tcPr>
            <w:tcW w:w="680" w:type="dxa"/>
            <w:tcBorders>
              <w:top w:val="nil"/>
              <w:left w:val="nil"/>
              <w:bottom w:val="single" w:sz="4" w:space="0" w:color="07601F"/>
              <w:right w:val="nil"/>
            </w:tcBorders>
          </w:tcPr>
          <w:p w:rsidR="00A5580F" w:rsidRPr="00D555A8" w:rsidRDefault="00A5580F" w:rsidP="009E7250">
            <w:pPr>
              <w:pStyle w:val="Tabletext"/>
            </w:pPr>
          </w:p>
        </w:tc>
        <w:tc>
          <w:tcPr>
            <w:tcW w:w="680" w:type="dxa"/>
            <w:tcBorders>
              <w:top w:val="nil"/>
              <w:left w:val="nil"/>
              <w:bottom w:val="single" w:sz="4" w:space="0" w:color="07601F"/>
              <w:right w:val="nil"/>
            </w:tcBorders>
          </w:tcPr>
          <w:p w:rsidR="00A5580F" w:rsidRPr="00D555A8" w:rsidRDefault="00A5580F" w:rsidP="009E7250">
            <w:pPr>
              <w:pStyle w:val="Tabletext"/>
            </w:pPr>
          </w:p>
        </w:tc>
        <w:tc>
          <w:tcPr>
            <w:tcW w:w="681" w:type="dxa"/>
            <w:tcBorders>
              <w:top w:val="nil"/>
              <w:left w:val="nil"/>
              <w:bottom w:val="single" w:sz="4" w:space="0" w:color="07601F"/>
              <w:right w:val="nil"/>
            </w:tcBorders>
          </w:tcPr>
          <w:p w:rsidR="00A5580F" w:rsidRPr="00D555A8" w:rsidRDefault="00A5580F" w:rsidP="009E7250">
            <w:pPr>
              <w:pStyle w:val="Tabletext"/>
            </w:pPr>
          </w:p>
        </w:tc>
        <w:tc>
          <w:tcPr>
            <w:tcW w:w="680" w:type="dxa"/>
            <w:tcBorders>
              <w:top w:val="nil"/>
              <w:left w:val="nil"/>
              <w:bottom w:val="single" w:sz="4" w:space="0" w:color="07601F"/>
              <w:right w:val="nil"/>
            </w:tcBorders>
          </w:tcPr>
          <w:p w:rsidR="00A5580F" w:rsidRPr="00D555A8" w:rsidRDefault="00A5580F" w:rsidP="009E7250">
            <w:pPr>
              <w:pStyle w:val="Tabletext"/>
            </w:pPr>
          </w:p>
        </w:tc>
        <w:tc>
          <w:tcPr>
            <w:tcW w:w="681" w:type="dxa"/>
            <w:tcBorders>
              <w:top w:val="nil"/>
              <w:left w:val="nil"/>
              <w:bottom w:val="single" w:sz="4" w:space="0" w:color="07601F"/>
              <w:right w:val="single" w:sz="4" w:space="0" w:color="07601F"/>
            </w:tcBorders>
          </w:tcPr>
          <w:p w:rsidR="00A5580F" w:rsidRPr="00D555A8" w:rsidRDefault="00A5580F" w:rsidP="009E7250">
            <w:pPr>
              <w:pStyle w:val="Tabletext"/>
            </w:pPr>
          </w:p>
        </w:tc>
      </w:tr>
    </w:tbl>
    <w:p w:rsidR="005B1A20" w:rsidRDefault="005B1A20" w:rsidP="00A5580F">
      <w:bookmarkStart w:id="238" w:name="_Ref367341728"/>
    </w:p>
    <w:p w:rsidR="00A5580F" w:rsidRDefault="00A5580F" w:rsidP="00A5580F"/>
    <w:p w:rsidR="00A5580F" w:rsidRPr="005960D9" w:rsidRDefault="00716AE0" w:rsidP="00C44F46">
      <w:pPr>
        <w:pStyle w:val="Heading2"/>
      </w:pPr>
      <w:bookmarkStart w:id="239" w:name="_Toc370299205"/>
      <w:bookmarkStart w:id="240" w:name="_Toc370738784"/>
      <w:bookmarkStart w:id="241" w:name="_Toc378168548"/>
      <w:bookmarkEnd w:id="238"/>
      <w:r w:rsidRPr="005960D9">
        <w:t>Results</w:t>
      </w:r>
      <w:bookmarkEnd w:id="239"/>
      <w:bookmarkEnd w:id="240"/>
      <w:bookmarkEnd w:id="241"/>
    </w:p>
    <w:p w:rsidR="00A5580F" w:rsidRDefault="00A5580F" w:rsidP="00D21D06">
      <w:pPr>
        <w:pStyle w:val="BodyText1"/>
      </w:pPr>
      <w:r w:rsidRPr="00850FD5">
        <w:t xml:space="preserve">A total of 97,077 fish were collected during surveys of the Murrumbidgee Catchment in 2012-13. Most fish were caught in the Western Lakes (44,547 fish), compared to the Lowbidgee wetlands (33,817 fish), mid-Murrumbidgee wetlands (15,594 fish) and Murrumbidgee River (3,119 fish).  </w:t>
      </w:r>
      <w:proofErr w:type="gramStart"/>
      <w:r w:rsidRPr="00850FD5">
        <w:t xml:space="preserve">Overall, ten native species, one native species complex (carp gudgeon species complex; </w:t>
      </w:r>
      <w:r w:rsidRPr="00850FD5">
        <w:rPr>
          <w:i/>
        </w:rPr>
        <w:t>Hypseleotris</w:t>
      </w:r>
      <w:r w:rsidRPr="00850FD5">
        <w:t xml:space="preserve"> spp.)</w:t>
      </w:r>
      <w:proofErr w:type="gramEnd"/>
      <w:r w:rsidR="00E45EE5" w:rsidRPr="00850FD5">
        <w:t xml:space="preserve"> </w:t>
      </w:r>
      <w:r w:rsidR="008701AF" w:rsidRPr="00850FD5">
        <w:t>(</w:t>
      </w:r>
      <w:fldSimple w:instr=" REF _Ref349740399 \h  \* MERGEFORMAT ">
        <w:r w:rsidR="00436595" w:rsidRPr="00436595">
          <w:t xml:space="preserve">Plate </w:t>
        </w:r>
        <w:r w:rsidR="00436595" w:rsidRPr="00436595">
          <w:rPr>
            <w:noProof/>
          </w:rPr>
          <w:t>11</w:t>
        </w:r>
      </w:fldSimple>
      <w:r w:rsidR="008701AF" w:rsidRPr="00850FD5">
        <w:t>)</w:t>
      </w:r>
      <w:r w:rsidRPr="00850FD5">
        <w:t xml:space="preserve"> and six exotic species were captured (</w:t>
      </w:r>
      <w:fldSimple w:instr=" REF _Ref367182760 \h  \* MERGEFORMAT ">
        <w:r w:rsidR="00436595" w:rsidRPr="00436595">
          <w:t xml:space="preserve">Figure </w:t>
        </w:r>
        <w:r w:rsidR="00436595" w:rsidRPr="00436595">
          <w:rPr>
            <w:noProof/>
          </w:rPr>
          <w:t>20</w:t>
        </w:r>
      </w:fldSimple>
      <w:r w:rsidRPr="00850FD5">
        <w:t>). Murray</w:t>
      </w:r>
      <w:r>
        <w:t xml:space="preserve"> cod</w:t>
      </w:r>
      <w:r w:rsidR="00D21D06">
        <w:t xml:space="preserve"> (</w:t>
      </w:r>
      <w:r w:rsidR="00D21D06" w:rsidRPr="00D21D06">
        <w:rPr>
          <w:i/>
        </w:rPr>
        <w:t>Maccullochella peelii</w:t>
      </w:r>
      <w:r w:rsidR="00D21D06">
        <w:rPr>
          <w:i/>
        </w:rPr>
        <w:t xml:space="preserve">), </w:t>
      </w:r>
      <w:r w:rsidR="00D21D06">
        <w:t>river</w:t>
      </w:r>
      <w:r>
        <w:t xml:space="preserve"> blackfish</w:t>
      </w:r>
      <w:r w:rsidR="00D21D06">
        <w:t xml:space="preserve"> (</w:t>
      </w:r>
      <w:r w:rsidR="00D21D06" w:rsidRPr="00D21D06">
        <w:rPr>
          <w:i/>
        </w:rPr>
        <w:t>Gadopsis marmoratus</w:t>
      </w:r>
      <w:r w:rsidR="00D21D06">
        <w:t xml:space="preserve">), </w:t>
      </w:r>
      <w:r>
        <w:t>and trout cod</w:t>
      </w:r>
      <w:r w:rsidR="00DE7FD8">
        <w:t xml:space="preserve"> </w:t>
      </w:r>
      <w:r w:rsidR="00D21D06">
        <w:t>(</w:t>
      </w:r>
      <w:r w:rsidR="00D21D06" w:rsidRPr="00D21D06">
        <w:rPr>
          <w:i/>
        </w:rPr>
        <w:t>Maccullochella macquariensis</w:t>
      </w:r>
      <w:r w:rsidR="00D21D06">
        <w:t>)</w:t>
      </w:r>
      <w:r w:rsidR="00D21D06" w:rsidRPr="00DE7FD8">
        <w:t xml:space="preserve"> </w:t>
      </w:r>
      <w:r w:rsidR="00DE7FD8" w:rsidRPr="00DE7FD8">
        <w:t>(</w:t>
      </w:r>
      <w:fldSimple w:instr=" REF _Ref355954548  \* MERGEFORMAT ">
        <w:r w:rsidR="00436595" w:rsidRPr="00436595">
          <w:t xml:space="preserve">Plate </w:t>
        </w:r>
        <w:r w:rsidR="00436595" w:rsidRPr="00436595">
          <w:rPr>
            <w:noProof/>
          </w:rPr>
          <w:t>12</w:t>
        </w:r>
      </w:fldSimple>
      <w:r w:rsidR="00DE7FD8" w:rsidRPr="00DE7FD8">
        <w:t>)</w:t>
      </w:r>
      <w:r w:rsidRPr="00DE7FD8">
        <w:t xml:space="preserve"> were only collected from river sites while flat-headed gudgeon</w:t>
      </w:r>
      <w:r w:rsidR="00D21D06">
        <w:t xml:space="preserve"> </w:t>
      </w:r>
      <w:r w:rsidR="00037E26" w:rsidRPr="00037E26">
        <w:t>(</w:t>
      </w:r>
      <w:r w:rsidR="00D21D06" w:rsidRPr="00037E26">
        <w:rPr>
          <w:i/>
        </w:rPr>
        <w:t>Philypnodon grandiceps</w:t>
      </w:r>
      <w:r w:rsidR="00037E26" w:rsidRPr="00037E26">
        <w:t>)</w:t>
      </w:r>
      <w:r w:rsidRPr="00DE7FD8">
        <w:t xml:space="preserve"> and oriental</w:t>
      </w:r>
      <w:r>
        <w:t xml:space="preserve"> weatherloach</w:t>
      </w:r>
      <w:r w:rsidR="00037E26">
        <w:t xml:space="preserve"> (</w:t>
      </w:r>
      <w:r w:rsidR="00037E26" w:rsidRPr="00037E26">
        <w:rPr>
          <w:i/>
        </w:rPr>
        <w:t>Misgurnus anguillicaudatus</w:t>
      </w:r>
      <w:r w:rsidR="00037E26">
        <w:rPr>
          <w:rStyle w:val="st1"/>
          <w:rFonts w:ascii="Arial" w:hAnsi="Arial" w:cs="Arial"/>
          <w:color w:val="444444"/>
        </w:rPr>
        <w:t>)</w:t>
      </w:r>
      <w:r>
        <w:t xml:space="preserve"> were only collected from wetland sites. Native fish abundance increased substantially in the Murrumbidgee River following the delivery of Commonwealth environmental water. Carp gudgeons dominated fish communities in the wetland sites on all survey occasions </w:t>
      </w:r>
      <w:r w:rsidRPr="006731F3">
        <w:t>(</w:t>
      </w:r>
      <w:fldSimple w:instr=" REF _Ref367343452 \h  \* MERGEFORMAT ">
        <w:r w:rsidR="00436595" w:rsidRPr="00436595">
          <w:t xml:space="preserve">Figure </w:t>
        </w:r>
        <w:r w:rsidR="00436595" w:rsidRPr="00436595">
          <w:rPr>
            <w:noProof/>
          </w:rPr>
          <w:t>23</w:t>
        </w:r>
      </w:fldSimple>
      <w:r w:rsidR="006731F3">
        <w:t>).</w:t>
      </w:r>
    </w:p>
    <w:p w:rsidR="00B24FB9" w:rsidRDefault="00B24FB9" w:rsidP="00A5580F"/>
    <w:p w:rsidR="00B24FB9" w:rsidRDefault="00D20FAE" w:rsidP="00B24FB9">
      <w:r>
        <w:rPr>
          <w:noProof/>
          <w:lang w:eastAsia="en-AU"/>
        </w:rPr>
        <w:pict>
          <v:shape id="_x0000_s1087" type="#_x0000_t202" style="position:absolute;left:0;text-align:left;margin-left:32pt;margin-top:297.05pt;width:123.95pt;height:20.75pt;z-index:251723264;mso-width-relative:margin;mso-height-relative:margin" stroked="f">
            <v:textbox style="mso-next-textbox:#_x0000_s1087">
              <w:txbxContent>
                <w:p w:rsidR="006E06FC" w:rsidRPr="002C622E" w:rsidRDefault="006E06FC" w:rsidP="002C622E">
                  <w:pPr>
                    <w:rPr>
                      <w:sz w:val="20"/>
                      <w:szCs w:val="20"/>
                    </w:rPr>
                  </w:pPr>
                  <w:r>
                    <w:rPr>
                      <w:sz w:val="20"/>
                      <w:szCs w:val="20"/>
                    </w:rPr>
                    <w:t>Native</w:t>
                  </w:r>
                  <w:r w:rsidRPr="002C622E">
                    <w:rPr>
                      <w:sz w:val="20"/>
                      <w:szCs w:val="20"/>
                    </w:rPr>
                    <w:t xml:space="preserve"> species</w:t>
                  </w:r>
                </w:p>
              </w:txbxContent>
            </v:textbox>
          </v:shape>
        </w:pict>
      </w:r>
      <w:r w:rsidRPr="00D20FAE">
        <w:rPr>
          <w:noProof/>
          <w:lang w:val="en-US" w:eastAsia="zh-TW"/>
        </w:rPr>
        <w:pict>
          <v:shape id="_x0000_s1086" type="#_x0000_t202" style="position:absolute;left:0;text-align:left;margin-left:37.9pt;margin-top:8.5pt;width:123.95pt;height:20.75pt;z-index:251722240;mso-width-relative:margin;mso-height-relative:margin" stroked="f">
            <v:textbox style="mso-next-textbox:#_x0000_s1086">
              <w:txbxContent>
                <w:p w:rsidR="006E06FC" w:rsidRPr="002C622E" w:rsidRDefault="006E06FC">
                  <w:pPr>
                    <w:rPr>
                      <w:sz w:val="20"/>
                      <w:szCs w:val="20"/>
                    </w:rPr>
                  </w:pPr>
                  <w:r w:rsidRPr="002C622E">
                    <w:rPr>
                      <w:sz w:val="20"/>
                      <w:szCs w:val="20"/>
                    </w:rPr>
                    <w:t>Exotic species</w:t>
                  </w:r>
                </w:p>
              </w:txbxContent>
            </v:textbox>
          </v:shape>
        </w:pict>
      </w:r>
      <w:r w:rsidR="0087202F">
        <w:rPr>
          <w:rFonts w:ascii="Times New Roman" w:hAnsi="Times New Roman"/>
          <w:noProof/>
          <w:sz w:val="24"/>
          <w:szCs w:val="24"/>
          <w:lang w:eastAsia="en-AU"/>
        </w:rPr>
        <w:drawing>
          <wp:inline distT="0" distB="0" distL="0" distR="0">
            <wp:extent cx="4844415" cy="3692525"/>
            <wp:effectExtent l="19050" t="0" r="0" b="0"/>
            <wp:docPr id="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cstate="print"/>
                    <a:srcRect l="2312" b="6746"/>
                    <a:stretch>
                      <a:fillRect/>
                    </a:stretch>
                  </pic:blipFill>
                  <pic:spPr bwMode="auto">
                    <a:xfrm>
                      <a:off x="0" y="0"/>
                      <a:ext cx="4844415" cy="3692525"/>
                    </a:xfrm>
                    <a:prstGeom prst="rect">
                      <a:avLst/>
                    </a:prstGeom>
                    <a:noFill/>
                    <a:ln w="9525">
                      <a:noFill/>
                      <a:miter lim="800000"/>
                      <a:headEnd/>
                      <a:tailEnd/>
                    </a:ln>
                  </pic:spPr>
                </pic:pic>
              </a:graphicData>
            </a:graphic>
          </wp:inline>
        </w:drawing>
      </w:r>
    </w:p>
    <w:p w:rsidR="00B24FB9" w:rsidRDefault="00B24FB9" w:rsidP="00B24FB9">
      <w:pPr>
        <w:keepNext/>
      </w:pPr>
    </w:p>
    <w:p w:rsidR="00B24FB9" w:rsidRDefault="00B24FB9" w:rsidP="00DB1376">
      <w:pPr>
        <w:pStyle w:val="Caption1"/>
      </w:pPr>
      <w:bookmarkStart w:id="242" w:name="_Ref367182760"/>
      <w:bookmarkStart w:id="243" w:name="_Toc370738785"/>
      <w:r w:rsidRPr="00DB1376">
        <w:rPr>
          <w:b/>
        </w:rPr>
        <w:t xml:space="preserve">Figure </w:t>
      </w:r>
      <w:r w:rsidR="00D20FAE" w:rsidRPr="00DB1376">
        <w:rPr>
          <w:b/>
        </w:rPr>
        <w:fldChar w:fldCharType="begin"/>
      </w:r>
      <w:r w:rsidRPr="00DB1376">
        <w:rPr>
          <w:b/>
        </w:rPr>
        <w:instrText xml:space="preserve"> SEQ Figure \* ARABIC </w:instrText>
      </w:r>
      <w:r w:rsidR="00D20FAE" w:rsidRPr="00DB1376">
        <w:rPr>
          <w:b/>
        </w:rPr>
        <w:fldChar w:fldCharType="separate"/>
      </w:r>
      <w:r w:rsidR="00436595">
        <w:rPr>
          <w:b/>
          <w:noProof/>
        </w:rPr>
        <w:t>20</w:t>
      </w:r>
      <w:r w:rsidR="00D20FAE" w:rsidRPr="00DB1376">
        <w:rPr>
          <w:b/>
        </w:rPr>
        <w:fldChar w:fldCharType="end"/>
      </w:r>
      <w:bookmarkEnd w:id="242"/>
      <w:r w:rsidRPr="00226F1D">
        <w:t xml:space="preserve"> </w:t>
      </w:r>
      <w:r>
        <w:t>Species richness (number of species recorded) at each river (R) and wetland (W) fish community survey sites for native (top) and exotic (bottom) fish species.</w:t>
      </w:r>
      <w:bookmarkEnd w:id="243"/>
    </w:p>
    <w:tbl>
      <w:tblPr>
        <w:tblW w:w="9464" w:type="dxa"/>
        <w:tblLayout w:type="fixed"/>
        <w:tblLook w:val="04A0"/>
      </w:tblPr>
      <w:tblGrid>
        <w:gridCol w:w="4786"/>
        <w:gridCol w:w="4678"/>
      </w:tblGrid>
      <w:tr w:rsidR="00317EAF" w:rsidRPr="004657B9" w:rsidTr="00784387">
        <w:tc>
          <w:tcPr>
            <w:tcW w:w="4786" w:type="dxa"/>
          </w:tcPr>
          <w:p w:rsidR="00317EAF" w:rsidRPr="004657B9" w:rsidRDefault="00317EAF" w:rsidP="00FB3A5E">
            <w:pPr>
              <w:keepNext/>
              <w:spacing w:after="0" w:line="240" w:lineRule="auto"/>
              <w:jc w:val="left"/>
              <w:rPr>
                <w:sz w:val="20"/>
                <w:szCs w:val="20"/>
              </w:rPr>
            </w:pPr>
            <w:r>
              <w:rPr>
                <w:rFonts w:cs="Calibri"/>
                <w:b/>
              </w:rPr>
              <w:br w:type="page"/>
            </w:r>
            <w:r w:rsidR="00E1766B">
              <w:rPr>
                <w:noProof/>
                <w:sz w:val="20"/>
                <w:szCs w:val="20"/>
                <w:lang w:eastAsia="en-AU"/>
              </w:rPr>
              <w:drawing>
                <wp:inline distT="0" distB="0" distL="0" distR="0">
                  <wp:extent cx="2876550" cy="1609725"/>
                  <wp:effectExtent l="19050" t="0" r="0" b="0"/>
                  <wp:docPr id="120" name="Picture 17" descr="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36"/>
                          <pic:cNvPicPr>
                            <a:picLocks noChangeAspect="1" noChangeArrowheads="1"/>
                          </pic:cNvPicPr>
                        </pic:nvPicPr>
                        <pic:blipFill>
                          <a:blip r:embed="rId101" cstate="print"/>
                          <a:srcRect/>
                          <a:stretch>
                            <a:fillRect/>
                          </a:stretch>
                        </pic:blipFill>
                        <pic:spPr bwMode="auto">
                          <a:xfrm>
                            <a:off x="0" y="0"/>
                            <a:ext cx="2876550" cy="1609725"/>
                          </a:xfrm>
                          <a:prstGeom prst="rect">
                            <a:avLst/>
                          </a:prstGeom>
                          <a:noFill/>
                          <a:ln w="9525">
                            <a:noFill/>
                            <a:miter lim="800000"/>
                            <a:headEnd/>
                            <a:tailEnd/>
                          </a:ln>
                        </pic:spPr>
                      </pic:pic>
                    </a:graphicData>
                  </a:graphic>
                </wp:inline>
              </w:drawing>
            </w:r>
          </w:p>
          <w:p w:rsidR="00317EAF" w:rsidRPr="004657B9" w:rsidRDefault="00317EAF" w:rsidP="00FB3A5E">
            <w:pPr>
              <w:keepNext/>
              <w:spacing w:after="0" w:line="240" w:lineRule="auto"/>
              <w:jc w:val="left"/>
              <w:rPr>
                <w:sz w:val="20"/>
                <w:szCs w:val="20"/>
              </w:rPr>
            </w:pPr>
            <w:r w:rsidRPr="004657B9">
              <w:rPr>
                <w:sz w:val="20"/>
                <w:szCs w:val="20"/>
              </w:rPr>
              <w:t xml:space="preserve">Australian </w:t>
            </w:r>
            <w:r>
              <w:rPr>
                <w:sz w:val="20"/>
                <w:szCs w:val="20"/>
              </w:rPr>
              <w:t>s</w:t>
            </w:r>
            <w:r w:rsidRPr="004657B9">
              <w:rPr>
                <w:sz w:val="20"/>
                <w:szCs w:val="20"/>
              </w:rPr>
              <w:t>melt (</w:t>
            </w:r>
            <w:r w:rsidRPr="004657B9">
              <w:rPr>
                <w:i/>
                <w:sz w:val="20"/>
                <w:szCs w:val="20"/>
              </w:rPr>
              <w:t>Retropinna semoni</w:t>
            </w:r>
            <w:r w:rsidRPr="004657B9">
              <w:rPr>
                <w:sz w:val="20"/>
                <w:szCs w:val="20"/>
              </w:rPr>
              <w:t>)</w:t>
            </w:r>
          </w:p>
        </w:tc>
        <w:tc>
          <w:tcPr>
            <w:tcW w:w="4678" w:type="dxa"/>
          </w:tcPr>
          <w:p w:rsidR="00317EAF" w:rsidRPr="004657B9" w:rsidRDefault="00E1766B" w:rsidP="00FB3A5E">
            <w:pPr>
              <w:keepNext/>
              <w:spacing w:after="0" w:line="240" w:lineRule="auto"/>
              <w:jc w:val="left"/>
              <w:rPr>
                <w:sz w:val="20"/>
                <w:szCs w:val="20"/>
              </w:rPr>
            </w:pPr>
            <w:r>
              <w:rPr>
                <w:noProof/>
                <w:sz w:val="20"/>
                <w:szCs w:val="20"/>
                <w:lang w:eastAsia="en-AU"/>
              </w:rPr>
              <w:drawing>
                <wp:inline distT="0" distB="0" distL="0" distR="0">
                  <wp:extent cx="2876550" cy="1609725"/>
                  <wp:effectExtent l="19050" t="0" r="0" b="0"/>
                  <wp:docPr id="119" name="Picture 18" descr="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29"/>
                          <pic:cNvPicPr>
                            <a:picLocks noChangeAspect="1" noChangeArrowheads="1"/>
                          </pic:cNvPicPr>
                        </pic:nvPicPr>
                        <pic:blipFill>
                          <a:blip r:embed="rId102" cstate="print"/>
                          <a:srcRect/>
                          <a:stretch>
                            <a:fillRect/>
                          </a:stretch>
                        </pic:blipFill>
                        <pic:spPr bwMode="auto">
                          <a:xfrm>
                            <a:off x="0" y="0"/>
                            <a:ext cx="2876550" cy="1609725"/>
                          </a:xfrm>
                          <a:prstGeom prst="rect">
                            <a:avLst/>
                          </a:prstGeom>
                          <a:noFill/>
                          <a:ln w="9525">
                            <a:noFill/>
                            <a:miter lim="800000"/>
                            <a:headEnd/>
                            <a:tailEnd/>
                          </a:ln>
                        </pic:spPr>
                      </pic:pic>
                    </a:graphicData>
                  </a:graphic>
                </wp:inline>
              </w:drawing>
            </w:r>
          </w:p>
          <w:p w:rsidR="00317EAF" w:rsidRPr="004657B9" w:rsidRDefault="00317EAF" w:rsidP="00FB3A5E">
            <w:pPr>
              <w:keepNext/>
              <w:spacing w:after="0" w:line="240" w:lineRule="auto"/>
              <w:jc w:val="left"/>
              <w:rPr>
                <w:i/>
                <w:sz w:val="20"/>
                <w:szCs w:val="20"/>
              </w:rPr>
            </w:pPr>
            <w:r>
              <w:rPr>
                <w:sz w:val="20"/>
                <w:szCs w:val="20"/>
              </w:rPr>
              <w:t>g</w:t>
            </w:r>
            <w:r w:rsidRPr="004657B9">
              <w:rPr>
                <w:sz w:val="20"/>
                <w:szCs w:val="20"/>
              </w:rPr>
              <w:t xml:space="preserve">olden perch </w:t>
            </w:r>
            <w:r w:rsidRPr="004657B9">
              <w:rPr>
                <w:i/>
                <w:sz w:val="20"/>
                <w:szCs w:val="20"/>
              </w:rPr>
              <w:t>(Macquaria ambigua)</w:t>
            </w:r>
          </w:p>
        </w:tc>
      </w:tr>
      <w:tr w:rsidR="00317EAF" w:rsidRPr="004657B9" w:rsidTr="00784387">
        <w:tc>
          <w:tcPr>
            <w:tcW w:w="4786" w:type="dxa"/>
          </w:tcPr>
          <w:p w:rsidR="00317EAF" w:rsidRPr="004657B9" w:rsidRDefault="00E1766B" w:rsidP="00FB3A5E">
            <w:pPr>
              <w:keepNext/>
              <w:spacing w:after="0" w:line="240" w:lineRule="auto"/>
              <w:jc w:val="left"/>
              <w:rPr>
                <w:sz w:val="20"/>
                <w:szCs w:val="20"/>
              </w:rPr>
            </w:pPr>
            <w:r>
              <w:rPr>
                <w:noProof/>
                <w:sz w:val="20"/>
                <w:szCs w:val="20"/>
                <w:lang w:eastAsia="en-AU"/>
              </w:rPr>
              <w:drawing>
                <wp:inline distT="0" distB="0" distL="0" distR="0">
                  <wp:extent cx="2876550" cy="1609725"/>
                  <wp:effectExtent l="19050" t="0" r="0" b="0"/>
                  <wp:docPr id="118" name="Picture 19" descr="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96"/>
                          <pic:cNvPicPr>
                            <a:picLocks noChangeAspect="1" noChangeArrowheads="1"/>
                          </pic:cNvPicPr>
                        </pic:nvPicPr>
                        <pic:blipFill>
                          <a:blip r:embed="rId103" cstate="print"/>
                          <a:srcRect/>
                          <a:stretch>
                            <a:fillRect/>
                          </a:stretch>
                        </pic:blipFill>
                        <pic:spPr bwMode="auto">
                          <a:xfrm>
                            <a:off x="0" y="0"/>
                            <a:ext cx="2876550" cy="1609725"/>
                          </a:xfrm>
                          <a:prstGeom prst="rect">
                            <a:avLst/>
                          </a:prstGeom>
                          <a:noFill/>
                          <a:ln w="9525">
                            <a:noFill/>
                            <a:miter lim="800000"/>
                            <a:headEnd/>
                            <a:tailEnd/>
                          </a:ln>
                        </pic:spPr>
                      </pic:pic>
                    </a:graphicData>
                  </a:graphic>
                </wp:inline>
              </w:drawing>
            </w:r>
          </w:p>
          <w:p w:rsidR="00317EAF" w:rsidRPr="004657B9" w:rsidRDefault="00317EAF" w:rsidP="00FB3A5E">
            <w:pPr>
              <w:keepNext/>
              <w:spacing w:after="0" w:line="240" w:lineRule="auto"/>
              <w:jc w:val="left"/>
              <w:rPr>
                <w:sz w:val="20"/>
                <w:szCs w:val="20"/>
              </w:rPr>
            </w:pPr>
            <w:r>
              <w:rPr>
                <w:sz w:val="20"/>
                <w:szCs w:val="20"/>
              </w:rPr>
              <w:t>f</w:t>
            </w:r>
            <w:r w:rsidRPr="004657B9">
              <w:rPr>
                <w:sz w:val="20"/>
                <w:szCs w:val="20"/>
              </w:rPr>
              <w:t>lat-headed gudgeon (</w:t>
            </w:r>
            <w:r w:rsidRPr="004657B9">
              <w:rPr>
                <w:i/>
                <w:sz w:val="20"/>
                <w:szCs w:val="20"/>
              </w:rPr>
              <w:t>Philypnodon grandiceps</w:t>
            </w:r>
            <w:r w:rsidRPr="004657B9">
              <w:rPr>
                <w:sz w:val="20"/>
                <w:szCs w:val="20"/>
              </w:rPr>
              <w:t>)</w:t>
            </w:r>
          </w:p>
        </w:tc>
        <w:tc>
          <w:tcPr>
            <w:tcW w:w="4678" w:type="dxa"/>
          </w:tcPr>
          <w:p w:rsidR="00317EAF" w:rsidRPr="004657B9" w:rsidRDefault="00E1766B" w:rsidP="00FB3A5E">
            <w:pPr>
              <w:keepNext/>
              <w:spacing w:after="0" w:line="240" w:lineRule="auto"/>
              <w:jc w:val="left"/>
              <w:rPr>
                <w:sz w:val="20"/>
                <w:szCs w:val="20"/>
              </w:rPr>
            </w:pPr>
            <w:r>
              <w:rPr>
                <w:noProof/>
                <w:sz w:val="20"/>
                <w:szCs w:val="20"/>
                <w:lang w:eastAsia="en-AU"/>
              </w:rPr>
              <w:drawing>
                <wp:inline distT="0" distB="0" distL="0" distR="0">
                  <wp:extent cx="2876550" cy="1609725"/>
                  <wp:effectExtent l="19050" t="0" r="0" b="0"/>
                  <wp:docPr id="117" name="Picture 20" descr="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312"/>
                          <pic:cNvPicPr>
                            <a:picLocks noChangeAspect="1" noChangeArrowheads="1"/>
                          </pic:cNvPicPr>
                        </pic:nvPicPr>
                        <pic:blipFill>
                          <a:blip r:embed="rId104" cstate="print"/>
                          <a:srcRect/>
                          <a:stretch>
                            <a:fillRect/>
                          </a:stretch>
                        </pic:blipFill>
                        <pic:spPr bwMode="auto">
                          <a:xfrm>
                            <a:off x="0" y="0"/>
                            <a:ext cx="2876550" cy="1609725"/>
                          </a:xfrm>
                          <a:prstGeom prst="rect">
                            <a:avLst/>
                          </a:prstGeom>
                          <a:noFill/>
                          <a:ln w="9525">
                            <a:noFill/>
                            <a:miter lim="800000"/>
                            <a:headEnd/>
                            <a:tailEnd/>
                          </a:ln>
                        </pic:spPr>
                      </pic:pic>
                    </a:graphicData>
                  </a:graphic>
                </wp:inline>
              </w:drawing>
            </w:r>
          </w:p>
          <w:p w:rsidR="00317EAF" w:rsidRPr="004657B9" w:rsidRDefault="00317EAF" w:rsidP="00FB3A5E">
            <w:pPr>
              <w:keepNext/>
              <w:spacing w:after="0" w:line="240" w:lineRule="auto"/>
              <w:jc w:val="left"/>
              <w:rPr>
                <w:sz w:val="20"/>
                <w:szCs w:val="20"/>
              </w:rPr>
            </w:pPr>
            <w:proofErr w:type="gramStart"/>
            <w:r>
              <w:rPr>
                <w:sz w:val="20"/>
                <w:szCs w:val="20"/>
              </w:rPr>
              <w:t>c</w:t>
            </w:r>
            <w:r w:rsidRPr="004657B9">
              <w:rPr>
                <w:sz w:val="20"/>
                <w:szCs w:val="20"/>
              </w:rPr>
              <w:t>arp</w:t>
            </w:r>
            <w:proofErr w:type="gramEnd"/>
            <w:r w:rsidRPr="004657B9">
              <w:rPr>
                <w:sz w:val="20"/>
                <w:szCs w:val="20"/>
              </w:rPr>
              <w:t xml:space="preserve"> gudgeon (</w:t>
            </w:r>
            <w:r w:rsidRPr="004657B9">
              <w:rPr>
                <w:i/>
                <w:sz w:val="20"/>
                <w:szCs w:val="20"/>
              </w:rPr>
              <w:t xml:space="preserve">Hypseleotris </w:t>
            </w:r>
            <w:r w:rsidRPr="004657B9">
              <w:rPr>
                <w:sz w:val="20"/>
                <w:szCs w:val="20"/>
              </w:rPr>
              <w:t>spp.)</w:t>
            </w:r>
          </w:p>
        </w:tc>
      </w:tr>
      <w:tr w:rsidR="00317EAF" w:rsidRPr="004657B9" w:rsidTr="00784387">
        <w:tc>
          <w:tcPr>
            <w:tcW w:w="4786" w:type="dxa"/>
          </w:tcPr>
          <w:p w:rsidR="00317EAF" w:rsidRPr="004657B9" w:rsidRDefault="00E1766B" w:rsidP="00FB3A5E">
            <w:pPr>
              <w:keepNext/>
              <w:spacing w:after="0" w:line="240" w:lineRule="auto"/>
              <w:jc w:val="left"/>
              <w:rPr>
                <w:sz w:val="20"/>
                <w:szCs w:val="20"/>
              </w:rPr>
            </w:pPr>
            <w:r>
              <w:rPr>
                <w:noProof/>
                <w:sz w:val="20"/>
                <w:szCs w:val="20"/>
                <w:lang w:eastAsia="en-AU"/>
              </w:rPr>
              <w:drawing>
                <wp:inline distT="0" distB="0" distL="0" distR="0">
                  <wp:extent cx="2876550" cy="1638300"/>
                  <wp:effectExtent l="19050" t="0" r="0" b="0"/>
                  <wp:docPr id="116" name="Picture 21" descr="unspecked hardy head oct 11_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unspecked hardy head oct 11_b"/>
                          <pic:cNvPicPr>
                            <a:picLocks noChangeAspect="1" noChangeArrowheads="1"/>
                          </pic:cNvPicPr>
                        </pic:nvPicPr>
                        <pic:blipFill>
                          <a:blip r:embed="rId105" cstate="print"/>
                          <a:srcRect/>
                          <a:stretch>
                            <a:fillRect/>
                          </a:stretch>
                        </pic:blipFill>
                        <pic:spPr bwMode="auto">
                          <a:xfrm>
                            <a:off x="0" y="0"/>
                            <a:ext cx="2876550" cy="1638300"/>
                          </a:xfrm>
                          <a:prstGeom prst="rect">
                            <a:avLst/>
                          </a:prstGeom>
                          <a:noFill/>
                          <a:ln w="9525">
                            <a:noFill/>
                            <a:miter lim="800000"/>
                            <a:headEnd/>
                            <a:tailEnd/>
                          </a:ln>
                        </pic:spPr>
                      </pic:pic>
                    </a:graphicData>
                  </a:graphic>
                </wp:inline>
              </w:drawing>
            </w:r>
          </w:p>
          <w:p w:rsidR="00317EAF" w:rsidRPr="004657B9" w:rsidRDefault="00317EAF" w:rsidP="00FB3A5E">
            <w:pPr>
              <w:keepNext/>
              <w:spacing w:after="0" w:line="240" w:lineRule="auto"/>
              <w:jc w:val="left"/>
              <w:rPr>
                <w:sz w:val="20"/>
                <w:szCs w:val="20"/>
              </w:rPr>
            </w:pPr>
            <w:r>
              <w:rPr>
                <w:sz w:val="20"/>
                <w:szCs w:val="20"/>
              </w:rPr>
              <w:t>u</w:t>
            </w:r>
            <w:r w:rsidRPr="004657B9">
              <w:rPr>
                <w:sz w:val="20"/>
                <w:szCs w:val="20"/>
              </w:rPr>
              <w:t>n-specked hardyhead (</w:t>
            </w:r>
            <w:r w:rsidRPr="004657B9">
              <w:rPr>
                <w:i/>
                <w:sz w:val="20"/>
                <w:szCs w:val="20"/>
              </w:rPr>
              <w:t>Craterocephalus stercusmuscarum fulvus</w:t>
            </w:r>
            <w:r w:rsidRPr="004657B9">
              <w:rPr>
                <w:sz w:val="20"/>
                <w:szCs w:val="20"/>
              </w:rPr>
              <w:t>)</w:t>
            </w:r>
          </w:p>
        </w:tc>
        <w:tc>
          <w:tcPr>
            <w:tcW w:w="4678" w:type="dxa"/>
          </w:tcPr>
          <w:p w:rsidR="00317EAF" w:rsidRPr="004657B9" w:rsidRDefault="00E1766B" w:rsidP="00FB3A5E">
            <w:pPr>
              <w:keepNext/>
              <w:spacing w:after="0" w:line="240" w:lineRule="auto"/>
              <w:jc w:val="left"/>
              <w:rPr>
                <w:sz w:val="20"/>
                <w:szCs w:val="20"/>
              </w:rPr>
            </w:pPr>
            <w:r>
              <w:rPr>
                <w:noProof/>
                <w:sz w:val="20"/>
                <w:szCs w:val="20"/>
                <w:lang w:eastAsia="en-AU"/>
              </w:rPr>
              <w:drawing>
                <wp:inline distT="0" distB="0" distL="0" distR="0">
                  <wp:extent cx="2876550" cy="1609725"/>
                  <wp:effectExtent l="19050" t="0" r="0" b="0"/>
                  <wp:docPr id="115" name="Picture 22" descr="IMGP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P0518"/>
                          <pic:cNvPicPr>
                            <a:picLocks noChangeAspect="1" noChangeArrowheads="1"/>
                          </pic:cNvPicPr>
                        </pic:nvPicPr>
                        <pic:blipFill>
                          <a:blip r:embed="rId106" cstate="print"/>
                          <a:srcRect/>
                          <a:stretch>
                            <a:fillRect/>
                          </a:stretch>
                        </pic:blipFill>
                        <pic:spPr bwMode="auto">
                          <a:xfrm>
                            <a:off x="0" y="0"/>
                            <a:ext cx="2876550" cy="1609725"/>
                          </a:xfrm>
                          <a:prstGeom prst="rect">
                            <a:avLst/>
                          </a:prstGeom>
                          <a:noFill/>
                          <a:ln w="9525">
                            <a:noFill/>
                            <a:miter lim="800000"/>
                            <a:headEnd/>
                            <a:tailEnd/>
                          </a:ln>
                        </pic:spPr>
                      </pic:pic>
                    </a:graphicData>
                  </a:graphic>
                </wp:inline>
              </w:drawing>
            </w:r>
          </w:p>
          <w:p w:rsidR="00317EAF" w:rsidRPr="004657B9" w:rsidRDefault="00317EAF" w:rsidP="00FB3A5E">
            <w:pPr>
              <w:keepNext/>
              <w:spacing w:after="0" w:line="240" w:lineRule="auto"/>
              <w:jc w:val="left"/>
              <w:rPr>
                <w:sz w:val="20"/>
                <w:szCs w:val="20"/>
              </w:rPr>
            </w:pPr>
            <w:r>
              <w:rPr>
                <w:sz w:val="20"/>
                <w:szCs w:val="20"/>
              </w:rPr>
              <w:t>b</w:t>
            </w:r>
            <w:r w:rsidRPr="004657B9">
              <w:rPr>
                <w:sz w:val="20"/>
                <w:szCs w:val="20"/>
              </w:rPr>
              <w:t>ony herring (</w:t>
            </w:r>
            <w:r w:rsidRPr="004657B9">
              <w:rPr>
                <w:i/>
                <w:sz w:val="20"/>
                <w:szCs w:val="20"/>
              </w:rPr>
              <w:t>Nematalosa erebi</w:t>
            </w:r>
            <w:r w:rsidRPr="004657B9">
              <w:rPr>
                <w:sz w:val="20"/>
                <w:szCs w:val="20"/>
              </w:rPr>
              <w:t>)</w:t>
            </w:r>
          </w:p>
        </w:tc>
      </w:tr>
      <w:tr w:rsidR="00317EAF" w:rsidRPr="004657B9" w:rsidTr="00784387">
        <w:tc>
          <w:tcPr>
            <w:tcW w:w="4786" w:type="dxa"/>
          </w:tcPr>
          <w:p w:rsidR="00317EAF" w:rsidRPr="004657B9" w:rsidRDefault="00E1766B" w:rsidP="00FB3A5E">
            <w:pPr>
              <w:keepNext/>
              <w:spacing w:after="0" w:line="240" w:lineRule="auto"/>
              <w:jc w:val="left"/>
              <w:rPr>
                <w:sz w:val="20"/>
                <w:szCs w:val="20"/>
              </w:rPr>
            </w:pPr>
            <w:r>
              <w:rPr>
                <w:noProof/>
                <w:sz w:val="20"/>
                <w:szCs w:val="20"/>
                <w:lang w:eastAsia="en-AU"/>
              </w:rPr>
              <w:drawing>
                <wp:inline distT="0" distB="0" distL="0" distR="0">
                  <wp:extent cx="2876550" cy="1333500"/>
                  <wp:effectExtent l="19050" t="0" r="0" b="0"/>
                  <wp:docPr id="114" name="Picture 23" descr="MD rainbow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D rainbow fish"/>
                          <pic:cNvPicPr>
                            <a:picLocks noChangeAspect="1" noChangeArrowheads="1"/>
                          </pic:cNvPicPr>
                        </pic:nvPicPr>
                        <pic:blipFill>
                          <a:blip r:embed="rId107" cstate="print"/>
                          <a:srcRect/>
                          <a:stretch>
                            <a:fillRect/>
                          </a:stretch>
                        </pic:blipFill>
                        <pic:spPr bwMode="auto">
                          <a:xfrm>
                            <a:off x="0" y="0"/>
                            <a:ext cx="2876550" cy="1333500"/>
                          </a:xfrm>
                          <a:prstGeom prst="rect">
                            <a:avLst/>
                          </a:prstGeom>
                          <a:noFill/>
                          <a:ln w="9525">
                            <a:noFill/>
                            <a:miter lim="800000"/>
                            <a:headEnd/>
                            <a:tailEnd/>
                          </a:ln>
                        </pic:spPr>
                      </pic:pic>
                    </a:graphicData>
                  </a:graphic>
                </wp:inline>
              </w:drawing>
            </w:r>
          </w:p>
          <w:p w:rsidR="00317EAF" w:rsidRPr="004657B9" w:rsidRDefault="00317EAF" w:rsidP="00FB3A5E">
            <w:pPr>
              <w:keepNext/>
              <w:spacing w:after="0" w:line="240" w:lineRule="auto"/>
              <w:jc w:val="left"/>
              <w:rPr>
                <w:sz w:val="20"/>
                <w:szCs w:val="20"/>
              </w:rPr>
            </w:pPr>
            <w:r w:rsidRPr="004657B9">
              <w:rPr>
                <w:sz w:val="20"/>
                <w:szCs w:val="20"/>
              </w:rPr>
              <w:t xml:space="preserve">Murray-Darling </w:t>
            </w:r>
            <w:r>
              <w:rPr>
                <w:sz w:val="20"/>
                <w:szCs w:val="20"/>
              </w:rPr>
              <w:t>r</w:t>
            </w:r>
            <w:r w:rsidRPr="004657B9">
              <w:rPr>
                <w:sz w:val="20"/>
                <w:szCs w:val="20"/>
              </w:rPr>
              <w:t>ainbowfish (</w:t>
            </w:r>
            <w:r w:rsidRPr="004657B9">
              <w:rPr>
                <w:i/>
                <w:sz w:val="20"/>
                <w:szCs w:val="20"/>
              </w:rPr>
              <w:t>Melanotaenia fluviatilis</w:t>
            </w:r>
            <w:r w:rsidRPr="004657B9">
              <w:rPr>
                <w:sz w:val="20"/>
                <w:szCs w:val="20"/>
              </w:rPr>
              <w:t>)</w:t>
            </w:r>
          </w:p>
        </w:tc>
        <w:tc>
          <w:tcPr>
            <w:tcW w:w="4678" w:type="dxa"/>
          </w:tcPr>
          <w:p w:rsidR="00317EAF" w:rsidRPr="004657B9" w:rsidRDefault="00317EAF" w:rsidP="00FB3A5E">
            <w:pPr>
              <w:keepNext/>
              <w:spacing w:after="0" w:line="240" w:lineRule="auto"/>
              <w:ind w:left="-108"/>
              <w:jc w:val="left"/>
              <w:rPr>
                <w:sz w:val="20"/>
                <w:szCs w:val="20"/>
              </w:rPr>
            </w:pPr>
          </w:p>
        </w:tc>
      </w:tr>
    </w:tbl>
    <w:p w:rsidR="00317EAF" w:rsidRPr="004657B9" w:rsidRDefault="00317EAF" w:rsidP="00FB3A5E">
      <w:pPr>
        <w:pStyle w:val="Subtitle"/>
        <w:keepNext/>
        <w:rPr>
          <w:b/>
          <w:szCs w:val="20"/>
        </w:rPr>
      </w:pPr>
    </w:p>
    <w:p w:rsidR="00317EAF" w:rsidRDefault="00317EAF" w:rsidP="00317EAF">
      <w:pPr>
        <w:pStyle w:val="Subtitle"/>
      </w:pPr>
      <w:bookmarkStart w:id="244" w:name="_Ref349740399"/>
      <w:bookmarkStart w:id="245" w:name="_Toc349811132"/>
      <w:bookmarkStart w:id="246" w:name="_Ref355358560"/>
      <w:bookmarkStart w:id="247" w:name="_Toc370738786"/>
      <w:r w:rsidRPr="00E01B5B">
        <w:rPr>
          <w:b/>
        </w:rPr>
        <w:t xml:space="preserve">Plate </w:t>
      </w:r>
      <w:r w:rsidR="00D20FAE" w:rsidRPr="00E01B5B">
        <w:rPr>
          <w:b/>
        </w:rPr>
        <w:fldChar w:fldCharType="begin"/>
      </w:r>
      <w:r w:rsidRPr="00E01B5B">
        <w:rPr>
          <w:b/>
        </w:rPr>
        <w:instrText xml:space="preserve"> SEQ Plate \* ARABIC </w:instrText>
      </w:r>
      <w:r w:rsidR="00D20FAE" w:rsidRPr="00E01B5B">
        <w:rPr>
          <w:b/>
        </w:rPr>
        <w:fldChar w:fldCharType="separate"/>
      </w:r>
      <w:r w:rsidR="00436595">
        <w:rPr>
          <w:b/>
          <w:noProof/>
        </w:rPr>
        <w:t>11</w:t>
      </w:r>
      <w:r w:rsidR="00D20FAE" w:rsidRPr="00E01B5B">
        <w:rPr>
          <w:b/>
        </w:rPr>
        <w:fldChar w:fldCharType="end"/>
      </w:r>
      <w:bookmarkEnd w:id="244"/>
      <w:r>
        <w:t xml:space="preserve"> Native fish species recorded during the 2012-13 surveys of wetlands in the mid and Lower Murrumbidgee</w:t>
      </w:r>
      <w:bookmarkEnd w:id="245"/>
      <w:r>
        <w:t>.</w:t>
      </w:r>
      <w:bookmarkEnd w:id="246"/>
      <w:bookmarkEnd w:id="247"/>
    </w:p>
    <w:p w:rsidR="00C52B4B" w:rsidRPr="007E7CE7" w:rsidRDefault="00C52B4B" w:rsidP="00C52B4B">
      <w:pPr>
        <w:rPr>
          <w:rFonts w:cs="Calibri"/>
        </w:rPr>
      </w:pPr>
    </w:p>
    <w:tbl>
      <w:tblPr>
        <w:tblW w:w="9518" w:type="dxa"/>
        <w:tblLayout w:type="fixed"/>
        <w:tblLook w:val="01E0"/>
      </w:tblPr>
      <w:tblGrid>
        <w:gridCol w:w="4786"/>
        <w:gridCol w:w="4732"/>
      </w:tblGrid>
      <w:tr w:rsidR="00C52B4B" w:rsidRPr="00082A33" w:rsidTr="008E5029">
        <w:tc>
          <w:tcPr>
            <w:tcW w:w="4786" w:type="dxa"/>
          </w:tcPr>
          <w:p w:rsidR="00C52B4B" w:rsidRPr="00082A33" w:rsidRDefault="00C52B4B" w:rsidP="00FB3A5E">
            <w:pPr>
              <w:keepNext/>
              <w:spacing w:after="0" w:line="240" w:lineRule="auto"/>
              <w:rPr>
                <w:b/>
                <w:sz w:val="20"/>
                <w:szCs w:val="20"/>
              </w:rPr>
            </w:pPr>
            <w:r>
              <w:rPr>
                <w:b/>
                <w:noProof/>
                <w:sz w:val="20"/>
                <w:szCs w:val="20"/>
                <w:lang w:eastAsia="en-AU"/>
              </w:rPr>
              <w:drawing>
                <wp:inline distT="0" distB="0" distL="0" distR="0">
                  <wp:extent cx="2878455" cy="2154555"/>
                  <wp:effectExtent l="19050" t="0" r="0" b="0"/>
                  <wp:docPr id="85" name="Picture 15" descr="P921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9210033"/>
                          <pic:cNvPicPr>
                            <a:picLocks noChangeAspect="1" noChangeArrowheads="1"/>
                          </pic:cNvPicPr>
                        </pic:nvPicPr>
                        <pic:blipFill>
                          <a:blip r:embed="rId108" cstate="print"/>
                          <a:srcRect/>
                          <a:stretch>
                            <a:fillRect/>
                          </a:stretch>
                        </pic:blipFill>
                        <pic:spPr bwMode="auto">
                          <a:xfrm>
                            <a:off x="0" y="0"/>
                            <a:ext cx="2878455" cy="2154555"/>
                          </a:xfrm>
                          <a:prstGeom prst="rect">
                            <a:avLst/>
                          </a:prstGeom>
                          <a:noFill/>
                          <a:ln w="9525">
                            <a:noFill/>
                            <a:miter lim="800000"/>
                            <a:headEnd/>
                            <a:tailEnd/>
                          </a:ln>
                        </pic:spPr>
                      </pic:pic>
                    </a:graphicData>
                  </a:graphic>
                </wp:inline>
              </w:drawing>
            </w:r>
          </w:p>
        </w:tc>
        <w:tc>
          <w:tcPr>
            <w:tcW w:w="4732" w:type="dxa"/>
          </w:tcPr>
          <w:p w:rsidR="00C52B4B" w:rsidRPr="00082A33" w:rsidRDefault="00C52B4B" w:rsidP="00FB3A5E">
            <w:pPr>
              <w:keepNext/>
              <w:spacing w:after="0" w:line="240" w:lineRule="auto"/>
              <w:rPr>
                <w:b/>
                <w:sz w:val="20"/>
                <w:szCs w:val="20"/>
              </w:rPr>
            </w:pPr>
            <w:r>
              <w:rPr>
                <w:b/>
                <w:noProof/>
                <w:sz w:val="20"/>
                <w:szCs w:val="20"/>
                <w:lang w:eastAsia="en-AU"/>
              </w:rPr>
              <w:drawing>
                <wp:inline distT="0" distB="0" distL="0" distR="0">
                  <wp:extent cx="2878455" cy="2154555"/>
                  <wp:effectExtent l="19050" t="0" r="0" b="0"/>
                  <wp:docPr id="84" name="Picture 16" descr="P911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9110013"/>
                          <pic:cNvPicPr>
                            <a:picLocks noChangeAspect="1" noChangeArrowheads="1"/>
                          </pic:cNvPicPr>
                        </pic:nvPicPr>
                        <pic:blipFill>
                          <a:blip r:embed="rId109" cstate="print"/>
                          <a:srcRect/>
                          <a:stretch>
                            <a:fillRect/>
                          </a:stretch>
                        </pic:blipFill>
                        <pic:spPr bwMode="auto">
                          <a:xfrm>
                            <a:off x="0" y="0"/>
                            <a:ext cx="2878455" cy="2154555"/>
                          </a:xfrm>
                          <a:prstGeom prst="rect">
                            <a:avLst/>
                          </a:prstGeom>
                          <a:noFill/>
                          <a:ln w="9525">
                            <a:noFill/>
                            <a:miter lim="800000"/>
                            <a:headEnd/>
                            <a:tailEnd/>
                          </a:ln>
                        </pic:spPr>
                      </pic:pic>
                    </a:graphicData>
                  </a:graphic>
                </wp:inline>
              </w:drawing>
            </w:r>
          </w:p>
        </w:tc>
      </w:tr>
      <w:tr w:rsidR="00C52B4B" w:rsidRPr="00082A33" w:rsidTr="008E5029">
        <w:tc>
          <w:tcPr>
            <w:tcW w:w="4786" w:type="dxa"/>
          </w:tcPr>
          <w:p w:rsidR="00C52B4B" w:rsidRPr="00082A33" w:rsidRDefault="00C52B4B" w:rsidP="00FB3A5E">
            <w:pPr>
              <w:keepNext/>
              <w:spacing w:after="0" w:line="240" w:lineRule="auto"/>
              <w:rPr>
                <w:sz w:val="20"/>
                <w:szCs w:val="20"/>
              </w:rPr>
            </w:pPr>
            <w:r w:rsidRPr="00082A33">
              <w:rPr>
                <w:sz w:val="20"/>
                <w:szCs w:val="20"/>
              </w:rPr>
              <w:t>Murray cod (</w:t>
            </w:r>
            <w:r w:rsidRPr="00082A33">
              <w:rPr>
                <w:i/>
                <w:sz w:val="20"/>
                <w:szCs w:val="20"/>
              </w:rPr>
              <w:t>Maccullochella peelii)</w:t>
            </w:r>
            <w:r w:rsidRPr="00082A33">
              <w:rPr>
                <w:sz w:val="20"/>
                <w:szCs w:val="20"/>
              </w:rPr>
              <w:t xml:space="preserve">Photo: J. Hutchison </w:t>
            </w:r>
          </w:p>
        </w:tc>
        <w:tc>
          <w:tcPr>
            <w:tcW w:w="4732" w:type="dxa"/>
          </w:tcPr>
          <w:p w:rsidR="00C52B4B" w:rsidRPr="00082A33" w:rsidRDefault="00C52B4B" w:rsidP="00FB3A5E">
            <w:pPr>
              <w:keepNext/>
              <w:spacing w:after="0" w:line="240" w:lineRule="auto"/>
              <w:rPr>
                <w:sz w:val="20"/>
                <w:szCs w:val="20"/>
              </w:rPr>
            </w:pPr>
            <w:r w:rsidRPr="00082A33">
              <w:rPr>
                <w:sz w:val="20"/>
                <w:szCs w:val="20"/>
              </w:rPr>
              <w:t>golden perch (</w:t>
            </w:r>
            <w:r w:rsidRPr="00082A33">
              <w:rPr>
                <w:i/>
                <w:sz w:val="20"/>
                <w:szCs w:val="20"/>
              </w:rPr>
              <w:t>Macquaria ambigua</w:t>
            </w:r>
            <w:r w:rsidRPr="00082A33">
              <w:rPr>
                <w:sz w:val="20"/>
                <w:szCs w:val="20"/>
              </w:rPr>
              <w:t>) Photo: M.</w:t>
            </w:r>
            <w:r>
              <w:rPr>
                <w:sz w:val="20"/>
                <w:szCs w:val="20"/>
              </w:rPr>
              <w:t xml:space="preserve"> </w:t>
            </w:r>
            <w:r w:rsidRPr="00082A33">
              <w:rPr>
                <w:sz w:val="20"/>
                <w:szCs w:val="20"/>
              </w:rPr>
              <w:t xml:space="preserve">Hill </w:t>
            </w:r>
          </w:p>
        </w:tc>
      </w:tr>
      <w:tr w:rsidR="00C52B4B" w:rsidRPr="00082A33" w:rsidTr="008E5029">
        <w:tc>
          <w:tcPr>
            <w:tcW w:w="4786" w:type="dxa"/>
          </w:tcPr>
          <w:p w:rsidR="00C52B4B" w:rsidRPr="00082A33" w:rsidRDefault="00C52B4B" w:rsidP="00FB3A5E">
            <w:pPr>
              <w:keepNext/>
              <w:spacing w:after="0" w:line="240" w:lineRule="auto"/>
              <w:rPr>
                <w:sz w:val="20"/>
                <w:szCs w:val="20"/>
              </w:rPr>
            </w:pPr>
            <w:r>
              <w:rPr>
                <w:noProof/>
                <w:sz w:val="20"/>
                <w:szCs w:val="20"/>
                <w:lang w:eastAsia="en-AU"/>
              </w:rPr>
              <w:drawing>
                <wp:inline distT="0" distB="0" distL="0" distR="0">
                  <wp:extent cx="2878455" cy="2154555"/>
                  <wp:effectExtent l="19050" t="0" r="0" b="0"/>
                  <wp:docPr id="56" name="Picture 17" descr="P925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9250056"/>
                          <pic:cNvPicPr>
                            <a:picLocks noChangeAspect="1" noChangeArrowheads="1"/>
                          </pic:cNvPicPr>
                        </pic:nvPicPr>
                        <pic:blipFill>
                          <a:blip r:embed="rId110" cstate="print"/>
                          <a:srcRect/>
                          <a:stretch>
                            <a:fillRect/>
                          </a:stretch>
                        </pic:blipFill>
                        <pic:spPr bwMode="auto">
                          <a:xfrm>
                            <a:off x="0" y="0"/>
                            <a:ext cx="2878455" cy="2154555"/>
                          </a:xfrm>
                          <a:prstGeom prst="rect">
                            <a:avLst/>
                          </a:prstGeom>
                          <a:noFill/>
                          <a:ln w="9525">
                            <a:noFill/>
                            <a:miter lim="800000"/>
                            <a:headEnd/>
                            <a:tailEnd/>
                          </a:ln>
                        </pic:spPr>
                      </pic:pic>
                    </a:graphicData>
                  </a:graphic>
                </wp:inline>
              </w:drawing>
            </w:r>
          </w:p>
        </w:tc>
        <w:tc>
          <w:tcPr>
            <w:tcW w:w="4732" w:type="dxa"/>
          </w:tcPr>
          <w:p w:rsidR="00C52B4B" w:rsidRPr="00082A33" w:rsidRDefault="00C52B4B" w:rsidP="00FB3A5E">
            <w:pPr>
              <w:keepNext/>
              <w:spacing w:after="0" w:line="240" w:lineRule="auto"/>
              <w:rPr>
                <w:sz w:val="20"/>
                <w:szCs w:val="20"/>
              </w:rPr>
            </w:pPr>
            <w:r>
              <w:rPr>
                <w:noProof/>
                <w:sz w:val="20"/>
                <w:szCs w:val="20"/>
                <w:lang w:eastAsia="en-AU"/>
              </w:rPr>
              <w:drawing>
                <wp:inline distT="0" distB="0" distL="0" distR="0">
                  <wp:extent cx="2878455" cy="2154555"/>
                  <wp:effectExtent l="19050" t="0" r="0" b="0"/>
                  <wp:docPr id="54" name="Picture 18" descr="P925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9250065"/>
                          <pic:cNvPicPr>
                            <a:picLocks noChangeAspect="1" noChangeArrowheads="1"/>
                          </pic:cNvPicPr>
                        </pic:nvPicPr>
                        <pic:blipFill>
                          <a:blip r:embed="rId111" cstate="print"/>
                          <a:srcRect/>
                          <a:stretch>
                            <a:fillRect/>
                          </a:stretch>
                        </pic:blipFill>
                        <pic:spPr bwMode="auto">
                          <a:xfrm>
                            <a:off x="0" y="0"/>
                            <a:ext cx="2878455" cy="2154555"/>
                          </a:xfrm>
                          <a:prstGeom prst="rect">
                            <a:avLst/>
                          </a:prstGeom>
                          <a:noFill/>
                          <a:ln w="9525">
                            <a:noFill/>
                            <a:miter lim="800000"/>
                            <a:headEnd/>
                            <a:tailEnd/>
                          </a:ln>
                        </pic:spPr>
                      </pic:pic>
                    </a:graphicData>
                  </a:graphic>
                </wp:inline>
              </w:drawing>
            </w:r>
          </w:p>
        </w:tc>
      </w:tr>
      <w:tr w:rsidR="00C52B4B" w:rsidRPr="00082A33" w:rsidTr="008E5029">
        <w:tc>
          <w:tcPr>
            <w:tcW w:w="4786" w:type="dxa"/>
          </w:tcPr>
          <w:p w:rsidR="00C52B4B" w:rsidRPr="00082A33" w:rsidRDefault="00C52B4B" w:rsidP="00FB3A5E">
            <w:pPr>
              <w:keepNext/>
              <w:spacing w:after="0" w:line="240" w:lineRule="auto"/>
              <w:rPr>
                <w:sz w:val="20"/>
                <w:szCs w:val="20"/>
              </w:rPr>
            </w:pPr>
            <w:r w:rsidRPr="00082A33">
              <w:rPr>
                <w:sz w:val="20"/>
                <w:szCs w:val="20"/>
              </w:rPr>
              <w:t>river blackfish (</w:t>
            </w:r>
            <w:r w:rsidRPr="00082A33">
              <w:rPr>
                <w:i/>
                <w:sz w:val="20"/>
                <w:szCs w:val="20"/>
              </w:rPr>
              <w:t>Gadopsis marmoratus</w:t>
            </w:r>
            <w:r w:rsidRPr="00082A33">
              <w:rPr>
                <w:sz w:val="20"/>
                <w:szCs w:val="20"/>
              </w:rPr>
              <w:t xml:space="preserve">) Photo: J. McPherson </w:t>
            </w:r>
          </w:p>
        </w:tc>
        <w:tc>
          <w:tcPr>
            <w:tcW w:w="4732" w:type="dxa"/>
          </w:tcPr>
          <w:p w:rsidR="00C52B4B" w:rsidRPr="00082A33" w:rsidRDefault="00C52B4B" w:rsidP="00FB3A5E">
            <w:pPr>
              <w:keepNext/>
              <w:spacing w:after="0" w:line="240" w:lineRule="auto"/>
              <w:rPr>
                <w:sz w:val="20"/>
                <w:szCs w:val="20"/>
              </w:rPr>
            </w:pPr>
            <w:r w:rsidRPr="00082A33">
              <w:rPr>
                <w:sz w:val="20"/>
                <w:szCs w:val="20"/>
              </w:rPr>
              <w:t>trout cod (</w:t>
            </w:r>
            <w:r w:rsidRPr="00082A33">
              <w:rPr>
                <w:i/>
                <w:sz w:val="20"/>
                <w:szCs w:val="20"/>
              </w:rPr>
              <w:t>Maccullochella macquariensis</w:t>
            </w:r>
            <w:r w:rsidRPr="00082A33">
              <w:rPr>
                <w:sz w:val="20"/>
                <w:szCs w:val="20"/>
              </w:rPr>
              <w:t>) Photo: R.</w:t>
            </w:r>
            <w:r>
              <w:rPr>
                <w:sz w:val="20"/>
                <w:szCs w:val="20"/>
              </w:rPr>
              <w:t xml:space="preserve"> </w:t>
            </w:r>
            <w:r w:rsidRPr="00082A33">
              <w:rPr>
                <w:sz w:val="20"/>
                <w:szCs w:val="20"/>
              </w:rPr>
              <w:t xml:space="preserve">Rehwinkel </w:t>
            </w:r>
          </w:p>
        </w:tc>
      </w:tr>
    </w:tbl>
    <w:p w:rsidR="00C52B4B" w:rsidRDefault="00C52B4B" w:rsidP="00FB3A5E">
      <w:pPr>
        <w:pStyle w:val="Subtitle"/>
        <w:keepNext/>
      </w:pPr>
      <w:bookmarkStart w:id="248" w:name="_Ref349730018"/>
    </w:p>
    <w:p w:rsidR="00C52B4B" w:rsidRDefault="00C52B4B" w:rsidP="00DB1376">
      <w:pPr>
        <w:pStyle w:val="Caption1"/>
      </w:pPr>
      <w:bookmarkStart w:id="249" w:name="_Ref355954548"/>
      <w:bookmarkStart w:id="250" w:name="_Ref370370510"/>
      <w:bookmarkStart w:id="251" w:name="_Toc370738787"/>
      <w:r w:rsidRPr="00B41296">
        <w:rPr>
          <w:b/>
        </w:rPr>
        <w:t xml:space="preserve">Plate </w:t>
      </w:r>
      <w:r w:rsidR="00D20FAE" w:rsidRPr="00B41296">
        <w:rPr>
          <w:b/>
        </w:rPr>
        <w:fldChar w:fldCharType="begin"/>
      </w:r>
      <w:r w:rsidRPr="00B41296">
        <w:rPr>
          <w:b/>
        </w:rPr>
        <w:instrText xml:space="preserve"> SEQ Plate \* ARABIC </w:instrText>
      </w:r>
      <w:r w:rsidR="00D20FAE" w:rsidRPr="00B41296">
        <w:rPr>
          <w:b/>
        </w:rPr>
        <w:fldChar w:fldCharType="separate"/>
      </w:r>
      <w:r w:rsidR="00436595">
        <w:rPr>
          <w:b/>
          <w:noProof/>
        </w:rPr>
        <w:t>12</w:t>
      </w:r>
      <w:r w:rsidR="00D20FAE" w:rsidRPr="00B41296">
        <w:rPr>
          <w:b/>
        </w:rPr>
        <w:fldChar w:fldCharType="end"/>
      </w:r>
      <w:bookmarkEnd w:id="248"/>
      <w:bookmarkEnd w:id="249"/>
      <w:r>
        <w:t xml:space="preserve"> </w:t>
      </w:r>
      <w:r w:rsidRPr="00F86690">
        <w:t xml:space="preserve">Key fish species </w:t>
      </w:r>
      <w:r>
        <w:t xml:space="preserve">surveyed ‘before’ </w:t>
      </w:r>
      <w:r w:rsidR="00866518">
        <w:t xml:space="preserve">Commonwealth environmental watering </w:t>
      </w:r>
      <w:r>
        <w:t>in the Murrumbidgee River.</w:t>
      </w:r>
      <w:bookmarkEnd w:id="250"/>
      <w:bookmarkEnd w:id="251"/>
    </w:p>
    <w:p w:rsidR="005960D9" w:rsidRDefault="005960D9" w:rsidP="00A5580F">
      <w:pPr>
        <w:rPr>
          <w:i/>
        </w:rPr>
      </w:pPr>
    </w:p>
    <w:p w:rsidR="00A5580F" w:rsidRPr="00CC6C18" w:rsidRDefault="00A5580F" w:rsidP="00C013EB">
      <w:pPr>
        <w:pStyle w:val="Heading3"/>
      </w:pPr>
      <w:bookmarkStart w:id="252" w:name="_Toc370299206"/>
      <w:bookmarkStart w:id="253" w:name="_Toc370738788"/>
      <w:bookmarkStart w:id="254" w:name="_Toc378168549"/>
      <w:r>
        <w:t xml:space="preserve">Main channel fish </w:t>
      </w:r>
      <w:r w:rsidR="005960D9">
        <w:t>community composition</w:t>
      </w:r>
      <w:bookmarkEnd w:id="252"/>
      <w:bookmarkEnd w:id="253"/>
      <w:bookmarkEnd w:id="254"/>
    </w:p>
    <w:p w:rsidR="00A5580F" w:rsidRDefault="00A5580F" w:rsidP="00A5580F">
      <w:r>
        <w:t>In the Murrumbidgee River, the composition of f</w:t>
      </w:r>
      <w:r w:rsidRPr="00205B62">
        <w:t>ish communit</w:t>
      </w:r>
      <w:r>
        <w:t>ies</w:t>
      </w:r>
      <w:r w:rsidRPr="00205B62">
        <w:t xml:space="preserve"> </w:t>
      </w:r>
      <w:r>
        <w:t>changed significantly after the delivery of Commonwealth environmental water</w:t>
      </w:r>
      <w:r w:rsidRPr="00205B62">
        <w:t xml:space="preserve"> (ANOSIM: Global R = 0.408, </w:t>
      </w:r>
      <w:r w:rsidR="00FB3A5E">
        <w:t>p</w:t>
      </w:r>
      <w:r w:rsidRPr="00205B62">
        <w:t xml:space="preserve"> &lt; 0.001). Pairwise tests </w:t>
      </w:r>
      <w:r>
        <w:t xml:space="preserve">used to determine if fish communities differed among the river regions before and after the delivery of Commonwealth environmental water indicated that there were no significant differences among the upper Murrumbidgee River, middle Murrumbidgee River or Old Man Creek. Fish communities of the lower Murrumbidgee River differed significantly from the mid- and upper-Murrumbidgee river regions (upper R = 0.4, </w:t>
      </w:r>
      <w:r w:rsidR="00FB3A5E">
        <w:t>p</w:t>
      </w:r>
      <w:r>
        <w:t xml:space="preserve"> = 0.04; middle R = 0.426, </w:t>
      </w:r>
      <w:r w:rsidR="00FB3A5E">
        <w:t>p</w:t>
      </w:r>
      <w:r>
        <w:t xml:space="preserve"> = 0.02), </w:t>
      </w:r>
      <w:r w:rsidR="00866518">
        <w:t>due to</w:t>
      </w:r>
      <w:r>
        <w:t xml:space="preserve"> larger numbers of Australian smelt, bony herring and carp in the lower region.</w:t>
      </w:r>
    </w:p>
    <w:p w:rsidR="00A5580F" w:rsidRDefault="00A5580F" w:rsidP="00A5580F">
      <w:r>
        <w:t xml:space="preserve"> </w:t>
      </w:r>
    </w:p>
    <w:p w:rsidR="00A5580F" w:rsidRDefault="00A5580F" w:rsidP="00A5580F">
      <w:r>
        <w:t xml:space="preserve">The biomass of fish communities in the Murrumbidgee River also changed significantly after the delivery of Commonwealth environmental water </w:t>
      </w:r>
      <w:r w:rsidRPr="00205B62">
        <w:t xml:space="preserve">(ANOSIM: Global R: 0.229; </w:t>
      </w:r>
      <w:r w:rsidR="00FB3A5E">
        <w:t>p</w:t>
      </w:r>
      <w:r w:rsidRPr="00205B62">
        <w:t xml:space="preserve"> &lt; 0.001). </w:t>
      </w:r>
      <w:r>
        <w:t>Total biomass for each</w:t>
      </w:r>
      <w:r w:rsidRPr="00205B62">
        <w:t xml:space="preserve"> species </w:t>
      </w:r>
      <w:r>
        <w:t xml:space="preserve">was </w:t>
      </w:r>
      <w:r w:rsidRPr="00205B62">
        <w:t xml:space="preserve">substantially higher </w:t>
      </w:r>
      <w:r>
        <w:t xml:space="preserve">after environmental watering, with the total biomass of Murray cod, trout cod, golden perch, bony herring and carp doubling between pre-watering and after-watering </w:t>
      </w:r>
      <w:r w:rsidRPr="00DE7FD8">
        <w:t>periods (</w:t>
      </w:r>
      <w:fldSimple w:instr=" REF _Ref367342857 \h  \* MERGEFORMAT ">
        <w:r w:rsidR="00436595" w:rsidRPr="00436595">
          <w:t xml:space="preserve">Figure </w:t>
        </w:r>
        <w:r w:rsidR="00436595" w:rsidRPr="00436595">
          <w:rPr>
            <w:noProof/>
          </w:rPr>
          <w:t>21</w:t>
        </w:r>
      </w:fldSimple>
      <w:r w:rsidRPr="00DE7FD8">
        <w:t>).</w:t>
      </w:r>
      <w:r w:rsidR="00866518">
        <w:t xml:space="preserve"> </w:t>
      </w:r>
      <w:r w:rsidRPr="00DE7FD8">
        <w:t>There</w:t>
      </w:r>
      <w:r>
        <w:t xml:space="preserve"> were no significant differences among river regions based on fish biomass, suggesting that each region was able to support a similar sized fish community, at least when overall fish biomass was considered. </w:t>
      </w:r>
      <w:r w:rsidR="00FB3A5E">
        <w:t>C</w:t>
      </w:r>
      <w:r>
        <w:t xml:space="preserve">arp increased in abundance and biomass after the delivery of Commonwealth environmental water, </w:t>
      </w:r>
      <w:r w:rsidR="00FB3A5E">
        <w:t xml:space="preserve">but </w:t>
      </w:r>
      <w:r>
        <w:t xml:space="preserve">this could not be attributed to recruitment, with no significant increases in abundance of juvenile carp indicated by the analysis of length-frequency </w:t>
      </w:r>
      <w:r w:rsidRPr="000E02AD">
        <w:t>distributions (</w:t>
      </w:r>
      <w:fldSimple w:instr=" REF _Ref367342537 \h  \* MERGEFORMAT ">
        <w:r w:rsidR="00436595" w:rsidRPr="00436595">
          <w:t xml:space="preserve">Figure </w:t>
        </w:r>
        <w:r w:rsidR="00436595" w:rsidRPr="00436595">
          <w:rPr>
            <w:noProof/>
          </w:rPr>
          <w:t>24</w:t>
        </w:r>
      </w:fldSimple>
      <w:r w:rsidRPr="000E02AD">
        <w:t xml:space="preserve">). The survey results suggested that the size structure of Australian smelt changed significantly after the delivery of environmental water (KS = 2.116; </w:t>
      </w:r>
      <w:r w:rsidR="00FB3A5E">
        <w:t>p</w:t>
      </w:r>
      <w:r w:rsidRPr="000E02AD">
        <w:t>&lt;0.001). Observed increases in the number of Australian smelt within the Murrumbidgee River after the delivery of environmental water were attributed to the recruitment of juvenile smelt, with a shift in the distribution of length frequencies to smaller-sized individuals after watering</w:t>
      </w:r>
      <w:r w:rsidR="00C11A72">
        <w:t xml:space="preserve"> </w:t>
      </w:r>
      <w:r w:rsidR="000E02AD" w:rsidRPr="000E02AD">
        <w:t>(see</w:t>
      </w:r>
      <w:r w:rsidRPr="000E02AD">
        <w:t xml:space="preserve"> </w:t>
      </w:r>
      <w:fldSimple w:instr=" REF _Ref367342537 \h  \* MERGEFORMAT ">
        <w:r w:rsidR="00436595" w:rsidRPr="00436595">
          <w:t xml:space="preserve">Figure </w:t>
        </w:r>
        <w:r w:rsidR="00436595" w:rsidRPr="00436595">
          <w:rPr>
            <w:noProof/>
          </w:rPr>
          <w:t>24</w:t>
        </w:r>
      </w:fldSimple>
      <w:r w:rsidR="000E02AD" w:rsidRPr="000E02AD">
        <w:t>).</w:t>
      </w:r>
    </w:p>
    <w:p w:rsidR="00B24FB9" w:rsidRPr="0001146D" w:rsidRDefault="0087202F" w:rsidP="00B24FB9">
      <w:r>
        <w:rPr>
          <w:noProof/>
          <w:lang w:eastAsia="en-AU"/>
        </w:rPr>
        <w:drawing>
          <wp:inline distT="0" distB="0" distL="0" distR="0">
            <wp:extent cx="5864225" cy="2681605"/>
            <wp:effectExtent l="19050" t="0" r="3175" b="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print"/>
                    <a:srcRect b="35492"/>
                    <a:stretch>
                      <a:fillRect/>
                    </a:stretch>
                  </pic:blipFill>
                  <pic:spPr bwMode="auto">
                    <a:xfrm>
                      <a:off x="0" y="0"/>
                      <a:ext cx="5864225" cy="2681605"/>
                    </a:xfrm>
                    <a:prstGeom prst="rect">
                      <a:avLst/>
                    </a:prstGeom>
                    <a:noFill/>
                    <a:ln w="9525">
                      <a:noFill/>
                      <a:miter lim="800000"/>
                      <a:headEnd/>
                      <a:tailEnd/>
                    </a:ln>
                  </pic:spPr>
                </pic:pic>
              </a:graphicData>
            </a:graphic>
          </wp:inline>
        </w:drawing>
      </w:r>
    </w:p>
    <w:p w:rsidR="00B24FB9" w:rsidRDefault="00B24FB9" w:rsidP="00B24FB9">
      <w:pPr>
        <w:pStyle w:val="Subtitle"/>
      </w:pPr>
      <w:bookmarkStart w:id="255" w:name="_Ref367342857"/>
      <w:bookmarkStart w:id="256" w:name="_Toc370738789"/>
      <w:proofErr w:type="gramStart"/>
      <w:r w:rsidRPr="000E02AD">
        <w:rPr>
          <w:b/>
        </w:rPr>
        <w:t xml:space="preserve">Figure </w:t>
      </w:r>
      <w:proofErr w:type="gramEnd"/>
      <w:r w:rsidR="00D20FAE" w:rsidRPr="000E02AD">
        <w:rPr>
          <w:b/>
        </w:rPr>
        <w:fldChar w:fldCharType="begin"/>
      </w:r>
      <w:r w:rsidRPr="000E02AD">
        <w:rPr>
          <w:b/>
        </w:rPr>
        <w:instrText xml:space="preserve"> SEQ Figure \* ARABIC </w:instrText>
      </w:r>
      <w:r w:rsidR="00D20FAE" w:rsidRPr="000E02AD">
        <w:rPr>
          <w:b/>
        </w:rPr>
        <w:fldChar w:fldCharType="separate"/>
      </w:r>
      <w:r w:rsidR="00436595">
        <w:rPr>
          <w:b/>
          <w:noProof/>
        </w:rPr>
        <w:t>21</w:t>
      </w:r>
      <w:r w:rsidR="00D20FAE" w:rsidRPr="000E02AD">
        <w:rPr>
          <w:b/>
        </w:rPr>
        <w:fldChar w:fldCharType="end"/>
      </w:r>
      <w:bookmarkEnd w:id="255"/>
      <w:proofErr w:type="gramStart"/>
      <w:r w:rsidRPr="000E02AD">
        <w:rPr>
          <w:b/>
        </w:rPr>
        <w:t>.</w:t>
      </w:r>
      <w:proofErr w:type="gramEnd"/>
      <w:r>
        <w:t xml:space="preserve"> Distribution of Murray cod </w:t>
      </w:r>
      <w:r w:rsidRPr="00003E44">
        <w:t>in the Murrumbidgee</w:t>
      </w:r>
      <w:r>
        <w:t xml:space="preserve"> River</w:t>
      </w:r>
      <w:r w:rsidRPr="00003E44">
        <w:t xml:space="preserve"> system pr</w:t>
      </w:r>
      <w:r>
        <w:t>e- and post- 2012 Commonwealth environmental water</w:t>
      </w:r>
      <w:r w:rsidRPr="00003E44">
        <w:t xml:space="preserve"> delivery.</w:t>
      </w:r>
      <w:r>
        <w:t xml:space="preserve"> </w:t>
      </w:r>
      <w:r w:rsidR="004C738F">
        <w:t>Note the control site Bernofy on Old Man Creek.</w:t>
      </w:r>
      <w:bookmarkEnd w:id="256"/>
    </w:p>
    <w:p w:rsidR="00C11A72" w:rsidRPr="00C11A72" w:rsidRDefault="00C11A72" w:rsidP="00C11A72"/>
    <w:p w:rsidR="00E3071C" w:rsidRDefault="003C23DC" w:rsidP="00E3071C">
      <w:pPr>
        <w:autoSpaceDE w:val="0"/>
        <w:autoSpaceDN w:val="0"/>
        <w:adjustRightInd w:val="0"/>
        <w:spacing w:after="0" w:line="240" w:lineRule="auto"/>
        <w:jc w:val="left"/>
        <w:rPr>
          <w:rFonts w:ascii="Times New Roman" w:hAnsi="Times New Roman"/>
          <w:sz w:val="24"/>
          <w:szCs w:val="24"/>
          <w:lang w:eastAsia="en-AU"/>
        </w:rPr>
      </w:pPr>
      <w:r>
        <w:rPr>
          <w:rFonts w:ascii="Times New Roman" w:hAnsi="Times New Roman"/>
          <w:noProof/>
          <w:sz w:val="24"/>
          <w:szCs w:val="24"/>
          <w:lang w:eastAsia="en-AU"/>
        </w:rPr>
        <w:drawing>
          <wp:inline distT="0" distB="0" distL="0" distR="0">
            <wp:extent cx="5172075" cy="4514850"/>
            <wp:effectExtent l="19050" t="0" r="9525" b="0"/>
            <wp:docPr id="13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3" cstate="print"/>
                    <a:srcRect/>
                    <a:stretch>
                      <a:fillRect/>
                    </a:stretch>
                  </pic:blipFill>
                  <pic:spPr bwMode="auto">
                    <a:xfrm>
                      <a:off x="0" y="0"/>
                      <a:ext cx="5172075" cy="4514850"/>
                    </a:xfrm>
                    <a:prstGeom prst="rect">
                      <a:avLst/>
                    </a:prstGeom>
                    <a:noFill/>
                    <a:ln w="9525">
                      <a:noFill/>
                      <a:miter lim="800000"/>
                      <a:headEnd/>
                      <a:tailEnd/>
                    </a:ln>
                  </pic:spPr>
                </pic:pic>
              </a:graphicData>
            </a:graphic>
          </wp:inline>
        </w:drawing>
      </w:r>
    </w:p>
    <w:p w:rsidR="00B24FB9" w:rsidRDefault="00B24FB9" w:rsidP="00A5580F">
      <w:pPr>
        <w:rPr>
          <w:i/>
        </w:rPr>
      </w:pPr>
    </w:p>
    <w:p w:rsidR="000E02AD" w:rsidRDefault="000E02AD" w:rsidP="000E02AD">
      <w:pPr>
        <w:pStyle w:val="Caption1"/>
      </w:pPr>
      <w:bookmarkStart w:id="257" w:name="_Toc370738790"/>
      <w:r w:rsidRPr="000E02AD">
        <w:rPr>
          <w:b/>
        </w:rPr>
        <w:t xml:space="preserve">Figure </w:t>
      </w:r>
      <w:r w:rsidR="00D20FAE" w:rsidRPr="000E02AD">
        <w:rPr>
          <w:b/>
        </w:rPr>
        <w:fldChar w:fldCharType="begin"/>
      </w:r>
      <w:r w:rsidRPr="000E02AD">
        <w:rPr>
          <w:b/>
        </w:rPr>
        <w:instrText xml:space="preserve"> SEQ Figure \* ARABIC </w:instrText>
      </w:r>
      <w:r w:rsidR="00D20FAE" w:rsidRPr="000E02AD">
        <w:rPr>
          <w:b/>
        </w:rPr>
        <w:fldChar w:fldCharType="separate"/>
      </w:r>
      <w:r w:rsidR="00436595">
        <w:rPr>
          <w:b/>
          <w:noProof/>
        </w:rPr>
        <w:t>22</w:t>
      </w:r>
      <w:r w:rsidR="00D20FAE" w:rsidRPr="000E02AD">
        <w:rPr>
          <w:b/>
        </w:rPr>
        <w:fldChar w:fldCharType="end"/>
      </w:r>
      <w:r>
        <w:t xml:space="preserve"> </w:t>
      </w:r>
      <w:r w:rsidRPr="000E02AD">
        <w:t>Number of fish captured in the Murrumbidgee River (upper, middle and lower) and Old Man Creek (OMC) before (September 2012) and after (*May/June 2013) Commonwealth</w:t>
      </w:r>
      <w:r>
        <w:t xml:space="preserve"> environmental water delivery</w:t>
      </w:r>
      <w:r w:rsidR="002C622E">
        <w:t>.</w:t>
      </w:r>
      <w:bookmarkEnd w:id="257"/>
      <w:r>
        <w:t xml:space="preserve"> </w:t>
      </w:r>
    </w:p>
    <w:p w:rsidR="000E02AD" w:rsidRDefault="000E02AD">
      <w:pPr>
        <w:spacing w:after="0" w:line="240" w:lineRule="auto"/>
        <w:jc w:val="left"/>
        <w:rPr>
          <w:rFonts w:eastAsia="Times New Roman"/>
          <w:iCs/>
          <w:color w:val="076028"/>
          <w:kern w:val="32"/>
          <w:sz w:val="24"/>
          <w:szCs w:val="26"/>
        </w:rPr>
      </w:pPr>
    </w:p>
    <w:p w:rsidR="0045056E" w:rsidRDefault="0045056E">
      <w:pPr>
        <w:spacing w:after="0" w:line="240" w:lineRule="auto"/>
        <w:jc w:val="left"/>
        <w:rPr>
          <w:rFonts w:eastAsia="Times New Roman"/>
          <w:iCs/>
          <w:color w:val="076028"/>
          <w:kern w:val="32"/>
          <w:sz w:val="24"/>
          <w:szCs w:val="26"/>
        </w:rPr>
      </w:pPr>
    </w:p>
    <w:p w:rsidR="00E1766B" w:rsidRDefault="005960D9" w:rsidP="00C013EB">
      <w:pPr>
        <w:pStyle w:val="Heading3"/>
      </w:pPr>
      <w:bookmarkStart w:id="258" w:name="_Toc370299207"/>
      <w:bookmarkStart w:id="259" w:name="_Toc370738791"/>
      <w:bookmarkStart w:id="260" w:name="_Toc378168550"/>
      <w:r>
        <w:t>Wetland fish community composition</w:t>
      </w:r>
      <w:bookmarkEnd w:id="258"/>
      <w:bookmarkEnd w:id="259"/>
      <w:bookmarkEnd w:id="260"/>
      <w:r w:rsidR="00A5580F">
        <w:t xml:space="preserve"> </w:t>
      </w:r>
    </w:p>
    <w:p w:rsidR="00A5580F" w:rsidRDefault="00A5580F" w:rsidP="00A5580F">
      <w:r>
        <w:t>Wetland fish community structure also changed significantly over t</w:t>
      </w:r>
      <w:r w:rsidR="00FB3A5E">
        <w:t>ime (ANOSIM: Global R = 0.194, p</w:t>
      </w:r>
      <w:r>
        <w:t xml:space="preserve"> =</w:t>
      </w:r>
      <w:r w:rsidR="00FB3A5E">
        <w:t xml:space="preserve"> </w:t>
      </w:r>
      <w:r>
        <w:t>0.012</w:t>
      </w:r>
      <w:r w:rsidRPr="00850FD5">
        <w:t>)</w:t>
      </w:r>
      <w:r w:rsidR="00FB3A5E" w:rsidRPr="00850FD5">
        <w:t xml:space="preserve"> </w:t>
      </w:r>
      <w:r w:rsidR="00DB1376" w:rsidRPr="00850FD5">
        <w:t>(</w:t>
      </w:r>
      <w:fldSimple w:instr=" REF _Ref367343452  \* MERGEFORMAT ">
        <w:r w:rsidR="00436595" w:rsidRPr="00436595">
          <w:t xml:space="preserve">Figure </w:t>
        </w:r>
        <w:r w:rsidR="00436595" w:rsidRPr="00436595">
          <w:rPr>
            <w:noProof/>
          </w:rPr>
          <w:t>23</w:t>
        </w:r>
      </w:fldSimple>
      <w:r w:rsidR="00DB1376" w:rsidRPr="00850FD5">
        <w:t>)</w:t>
      </w:r>
      <w:r w:rsidRPr="00850FD5">
        <w:t>. Pairwise</w:t>
      </w:r>
      <w:r>
        <w:t xml:space="preserve"> tests identified that these changes were due to differences in wetland fish communities between Octobe</w:t>
      </w:r>
      <w:r w:rsidR="00FB3A5E">
        <w:t>r and December 2012 (R = 0.24, p</w:t>
      </w:r>
      <w:r>
        <w:t xml:space="preserve"> = 0.029), and October 2012 and </w:t>
      </w:r>
      <w:r w:rsidRPr="002204EF">
        <w:t>February</w:t>
      </w:r>
      <w:r>
        <w:t xml:space="preserve"> 2013</w:t>
      </w:r>
      <w:r w:rsidRPr="002204EF">
        <w:t xml:space="preserve"> (R = 0.303, </w:t>
      </w:r>
      <w:r w:rsidR="00FB3A5E">
        <w:t>p</w:t>
      </w:r>
      <w:r w:rsidRPr="002204EF">
        <w:t xml:space="preserve"> = 0.024)</w:t>
      </w:r>
      <w:r>
        <w:t xml:space="preserve"> sampling occasions.</w:t>
      </w:r>
      <w:r w:rsidRPr="002204EF">
        <w:t xml:space="preserve"> </w:t>
      </w:r>
      <w:r>
        <w:t xml:space="preserve">Differences in the catch between the October and December surveys were a result of the higher proportion of carp and </w:t>
      </w:r>
      <w:r w:rsidR="00932D24">
        <w:t>g</w:t>
      </w:r>
      <w:r>
        <w:t xml:space="preserve">ambusia in the Lowbidgee in the October surveys, and the dominance of carp gudgeon in the mid-Murrumbidgee wetlands in the December surveys. In addition, there was a substantial increase in the relative abundance of all fish species in wetlands sampled between October 2012 and February 2013, particularly in the Western Lakes and Lowbidgee regions where more than </w:t>
      </w:r>
      <w:r w:rsidRPr="002204EF">
        <w:t>200 fish</w:t>
      </w:r>
      <w:r>
        <w:t xml:space="preserve"> were</w:t>
      </w:r>
      <w:r w:rsidRPr="002204EF">
        <w:t xml:space="preserve"> caught per fyke net hour</w:t>
      </w:r>
      <w:r>
        <w:t xml:space="preserve">. These increases were driven by very high catches of carp gudgeon. </w:t>
      </w:r>
    </w:p>
    <w:p w:rsidR="00A5580F" w:rsidRDefault="00A5580F" w:rsidP="00A5580F">
      <w:r>
        <w:t xml:space="preserve">Wetland fish communities differed among the wetland regions </w:t>
      </w:r>
      <w:r w:rsidRPr="00D02A4E">
        <w:t xml:space="preserve">(ANOSIM: Global R = 0.26, </w:t>
      </w:r>
      <w:r w:rsidR="00FB3A5E">
        <w:t>p</w:t>
      </w:r>
      <w:r w:rsidRPr="00D02A4E">
        <w:t xml:space="preserve"> = 0.017), with </w:t>
      </w:r>
      <w:r>
        <w:t>differences between the</w:t>
      </w:r>
      <w:r w:rsidRPr="00D02A4E">
        <w:t xml:space="preserve"> </w:t>
      </w:r>
      <w:r>
        <w:t>Lowbidgee</w:t>
      </w:r>
      <w:r w:rsidRPr="00D02A4E">
        <w:t xml:space="preserve"> wetland</w:t>
      </w:r>
      <w:r>
        <w:t>s and</w:t>
      </w:r>
      <w:r w:rsidRPr="00D02A4E">
        <w:t xml:space="preserve"> both the mid-Murrumbidgee </w:t>
      </w:r>
      <w:r>
        <w:t xml:space="preserve">wetlands </w:t>
      </w:r>
      <w:r w:rsidRPr="00D02A4E">
        <w:t xml:space="preserve">(R = 0.271, </w:t>
      </w:r>
      <w:r w:rsidR="00FB3A5E">
        <w:t>p</w:t>
      </w:r>
      <w:r w:rsidRPr="00D02A4E">
        <w:t xml:space="preserve"> = 0.029) and the Western Lakes region (R = 0.343, </w:t>
      </w:r>
      <w:r w:rsidR="00FB3A5E">
        <w:t>p</w:t>
      </w:r>
      <w:r w:rsidRPr="00D02A4E">
        <w:t xml:space="preserve"> = 0.036). The Mid-Murrumbidgee wetlands and </w:t>
      </w:r>
      <w:r>
        <w:t>W</w:t>
      </w:r>
      <w:r w:rsidRPr="00D02A4E">
        <w:t xml:space="preserve">estern </w:t>
      </w:r>
      <w:r>
        <w:t>L</w:t>
      </w:r>
      <w:r w:rsidRPr="00D02A4E">
        <w:t xml:space="preserve">akes were overall characterised by a large proportion of small bodied native fish with a dominance of carp gudgeon. </w:t>
      </w:r>
      <w:r>
        <w:t xml:space="preserve"> </w:t>
      </w:r>
    </w:p>
    <w:p w:rsidR="00B24FB9" w:rsidRPr="00B51232" w:rsidRDefault="00B24FB9" w:rsidP="00B24FB9">
      <w:pPr>
        <w:keepNext/>
      </w:pPr>
    </w:p>
    <w:p w:rsidR="00B24FB9" w:rsidRDefault="0087202F" w:rsidP="00B24FB9">
      <w:pPr>
        <w:keepNext/>
      </w:pPr>
      <w:r>
        <w:rPr>
          <w:rFonts w:ascii="Times New Roman" w:hAnsi="Times New Roman"/>
          <w:noProof/>
          <w:sz w:val="24"/>
          <w:szCs w:val="24"/>
          <w:lang w:eastAsia="en-AU"/>
        </w:rPr>
        <w:drawing>
          <wp:inline distT="0" distB="0" distL="0" distR="0">
            <wp:extent cx="4800600" cy="3596005"/>
            <wp:effectExtent l="19050" t="0" r="0" b="0"/>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4" cstate="print"/>
                    <a:srcRect r="11772" b="7080"/>
                    <a:stretch>
                      <a:fillRect/>
                    </a:stretch>
                  </pic:blipFill>
                  <pic:spPr bwMode="auto">
                    <a:xfrm>
                      <a:off x="0" y="0"/>
                      <a:ext cx="4800600" cy="3596005"/>
                    </a:xfrm>
                    <a:prstGeom prst="rect">
                      <a:avLst/>
                    </a:prstGeom>
                    <a:noFill/>
                    <a:ln w="9525">
                      <a:noFill/>
                      <a:miter lim="800000"/>
                      <a:headEnd/>
                      <a:tailEnd/>
                    </a:ln>
                  </pic:spPr>
                </pic:pic>
              </a:graphicData>
            </a:graphic>
          </wp:inline>
        </w:drawing>
      </w:r>
    </w:p>
    <w:p w:rsidR="00B24FB9" w:rsidRPr="004F1B08" w:rsidRDefault="00B24FB9" w:rsidP="00B24FB9">
      <w:pPr>
        <w:pStyle w:val="Subtitle"/>
      </w:pPr>
      <w:bookmarkStart w:id="261" w:name="_Ref367343452"/>
      <w:bookmarkStart w:id="262" w:name="_Toc370738792"/>
      <w:r w:rsidRPr="00DB1376">
        <w:rPr>
          <w:b/>
        </w:rPr>
        <w:t xml:space="preserve">Figure </w:t>
      </w:r>
      <w:r w:rsidR="00D20FAE" w:rsidRPr="00DB1376">
        <w:rPr>
          <w:b/>
        </w:rPr>
        <w:fldChar w:fldCharType="begin"/>
      </w:r>
      <w:r w:rsidRPr="00DB1376">
        <w:rPr>
          <w:b/>
        </w:rPr>
        <w:instrText xml:space="preserve"> SEQ Figure \* ARABIC </w:instrText>
      </w:r>
      <w:r w:rsidR="00D20FAE" w:rsidRPr="00DB1376">
        <w:rPr>
          <w:b/>
        </w:rPr>
        <w:fldChar w:fldCharType="separate"/>
      </w:r>
      <w:r w:rsidR="00436595">
        <w:rPr>
          <w:b/>
          <w:noProof/>
        </w:rPr>
        <w:t>23</w:t>
      </w:r>
      <w:r w:rsidR="00D20FAE" w:rsidRPr="00DB1376">
        <w:rPr>
          <w:b/>
        </w:rPr>
        <w:fldChar w:fldCharType="end"/>
      </w:r>
      <w:bookmarkEnd w:id="261"/>
      <w:r w:rsidRPr="004F1B08">
        <w:t xml:space="preserve"> </w:t>
      </w:r>
      <w:r w:rsidR="00DB1376">
        <w:t>T</w:t>
      </w:r>
      <w:r w:rsidRPr="004F1B08">
        <w:t xml:space="preserve">he mid-Murrumbidgee wetlands, </w:t>
      </w:r>
      <w:r w:rsidR="004C738F">
        <w:t>L</w:t>
      </w:r>
      <w:r w:rsidRPr="004F1B08">
        <w:t>owbidgee wetlands and Western Lakes in spring (October 2012) and summer (February 2013)</w:t>
      </w:r>
      <w:r>
        <w:t xml:space="preserve"> </w:t>
      </w:r>
      <w:r w:rsidRPr="004F1B08">
        <w:t xml:space="preserve">(catch per unit effort; fish per </w:t>
      </w:r>
      <w:r>
        <w:t xml:space="preserve">24 </w:t>
      </w:r>
      <w:r w:rsidRPr="004F1B08">
        <w:t>fyke net hour</w:t>
      </w:r>
      <w:r>
        <w:t>s</w:t>
      </w:r>
      <w:r w:rsidRPr="004F1B08">
        <w:t>)</w:t>
      </w:r>
      <w:r w:rsidR="00961A71">
        <w:t>.</w:t>
      </w:r>
      <w:bookmarkEnd w:id="262"/>
      <w:r w:rsidR="00961A71">
        <w:t xml:space="preserve"> </w:t>
      </w:r>
    </w:p>
    <w:p w:rsidR="005960D9" w:rsidRDefault="005960D9" w:rsidP="00A5580F"/>
    <w:p w:rsidR="005960D9" w:rsidRDefault="005960D9" w:rsidP="005811DF">
      <w:pPr>
        <w:pStyle w:val="Heading3"/>
      </w:pPr>
      <w:bookmarkStart w:id="263" w:name="_Toc370299208"/>
      <w:bookmarkStart w:id="264" w:name="_Toc370738793"/>
      <w:bookmarkStart w:id="265" w:name="_Toc378168551"/>
      <w:r>
        <w:t>Fish sizes and recruitment</w:t>
      </w:r>
      <w:bookmarkEnd w:id="263"/>
      <w:bookmarkEnd w:id="264"/>
      <w:bookmarkEnd w:id="265"/>
    </w:p>
    <w:p w:rsidR="00A5580F" w:rsidRPr="00213F10" w:rsidRDefault="00A5580F" w:rsidP="00A5580F">
      <w:r w:rsidRPr="00213F10">
        <w:t>Length frequency distributio</w:t>
      </w:r>
      <w:r>
        <w:t>n analysis</w:t>
      </w:r>
      <w:r w:rsidRPr="00213F10">
        <w:t xml:space="preserve"> was used to detect </w:t>
      </w:r>
      <w:r>
        <w:t>recruitment</w:t>
      </w:r>
      <w:r w:rsidRPr="00213F10">
        <w:t xml:space="preserve"> in wetland fish species</w:t>
      </w:r>
      <w:r>
        <w:t xml:space="preserve"> in the form of an increase of smaller sized fish cohorts</w:t>
      </w:r>
      <w:r w:rsidRPr="00213F10">
        <w:t xml:space="preserve">. </w:t>
      </w:r>
      <w:r>
        <w:t xml:space="preserve"> The length frequency distribution of carp gudgeon changed significantly from October 2012 to February 2013 across all we</w:t>
      </w:r>
      <w:r w:rsidR="00F9172A">
        <w:t xml:space="preserve">tland regions (Mid KS = 8.281, p &lt; 0.001; Low KS = 10.248, p &lt; </w:t>
      </w:r>
      <w:r>
        <w:t>0.00</w:t>
      </w:r>
      <w:r w:rsidR="00F9172A">
        <w:t>1, Western Lakes KS = 9.856, P &lt;</w:t>
      </w:r>
      <w:r>
        <w:t xml:space="preserve"> 0.001). A new carp gudgeon cohort is evident in each wetland region in the February surveys, indicating that spawning is likely to have occurred within wetlands between December 2012 and February 2013, the known spawning season for this species</w:t>
      </w:r>
      <w:r w:rsidR="00716AE0">
        <w:t>.</w:t>
      </w:r>
      <w:r>
        <w:t xml:space="preserve"> </w:t>
      </w:r>
    </w:p>
    <w:p w:rsidR="00A5580F" w:rsidRDefault="00A5580F" w:rsidP="00A5580F">
      <w:r w:rsidRPr="00213F10">
        <w:t xml:space="preserve">Carp and goldfish were combined for the length frequency analysis </w:t>
      </w:r>
      <w:r>
        <w:t xml:space="preserve">due to difficulty in identifying very small individuals of these species in the field. The length frequency distribution of carp/goldfish changed significantly among sampling occasions, with a new </w:t>
      </w:r>
      <w:r w:rsidRPr="00850FD5">
        <w:t>cohort evident in October in the mid-Murrum</w:t>
      </w:r>
      <w:r w:rsidR="00F9172A" w:rsidRPr="00850FD5">
        <w:t>bidgee wetlands (KS = 2.393, p &lt; </w:t>
      </w:r>
      <w:r w:rsidRPr="00850FD5">
        <w:t>0.001;</w:t>
      </w:r>
      <w:r w:rsidR="00932D24" w:rsidRPr="00850FD5">
        <w:t xml:space="preserve"> </w:t>
      </w:r>
      <w:fldSimple w:instr=" REF _Ref369785444 \h  \* MERGEFORMAT ">
        <w:r w:rsidR="00436595" w:rsidRPr="00436595">
          <w:t xml:space="preserve">Figure </w:t>
        </w:r>
        <w:r w:rsidR="00436595" w:rsidRPr="00436595">
          <w:rPr>
            <w:noProof/>
          </w:rPr>
          <w:t>25</w:t>
        </w:r>
      </w:fldSimple>
      <w:r w:rsidRPr="00850FD5">
        <w:t>). Wetlands in this region were disconnected at this time and did not receive inflows</w:t>
      </w:r>
      <w:r>
        <w:t xml:space="preserve"> in 2012-13</w:t>
      </w:r>
      <w:r w:rsidR="004C738F">
        <w:t>.</w:t>
      </w:r>
      <w:r>
        <w:t xml:space="preserve"> </w:t>
      </w:r>
      <w:r w:rsidR="004C738F">
        <w:t>T</w:t>
      </w:r>
      <w:r>
        <w:t>herefore</w:t>
      </w:r>
      <w:r w:rsidR="00F9172A">
        <w:t>,</w:t>
      </w:r>
      <w:r>
        <w:t xml:space="preserve"> spawning by this species was by individuals that remained within the wetlands since it was last filled in autumn 2012 and was not in response to the delivery of Commonwealth environmental water in spring 2012. In the Western Lakes, water was delivered in September 2012</w:t>
      </w:r>
      <w:r w:rsidR="00F9172A">
        <w:t>,</w:t>
      </w:r>
      <w:r>
        <w:t xml:space="preserve"> and while there were some carp less than 20 mm in October 2012, by February and April 2013 total carp numbers had substantially decreased (no carp were captured at all) while the surveys indicated a substantial increase in carp gudgeon numbers.</w:t>
      </w:r>
    </w:p>
    <w:p w:rsidR="00A5580F" w:rsidRDefault="00A5580F" w:rsidP="00C63F30"/>
    <w:p w:rsidR="004860C0" w:rsidRDefault="0087202F" w:rsidP="00F9172A">
      <w:pPr>
        <w:pStyle w:val="Caption"/>
        <w:keepNext/>
        <w:rPr>
          <w:rFonts w:ascii="Century Gothic" w:hAnsi="Century Gothic"/>
          <w:noProof/>
          <w:sz w:val="22"/>
          <w:szCs w:val="22"/>
          <w:lang w:eastAsia="en-AU"/>
        </w:rPr>
      </w:pPr>
      <w:r>
        <w:rPr>
          <w:rFonts w:ascii="Century Gothic" w:hAnsi="Century Gothic"/>
          <w:noProof/>
          <w:sz w:val="22"/>
          <w:szCs w:val="22"/>
          <w:lang w:eastAsia="en-AU"/>
        </w:rPr>
        <w:drawing>
          <wp:inline distT="0" distB="0" distL="0" distR="0">
            <wp:extent cx="4194175" cy="5732780"/>
            <wp:effectExtent l="19050" t="0" r="0" b="0"/>
            <wp:docPr id="37" name="Picture 37" descr="EFishSizeHi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FishSizeHists"/>
                    <pic:cNvPicPr>
                      <a:picLocks noChangeAspect="1" noChangeArrowheads="1"/>
                    </pic:cNvPicPr>
                  </pic:nvPicPr>
                  <pic:blipFill>
                    <a:blip r:embed="rId115" cstate="print"/>
                    <a:srcRect/>
                    <a:stretch>
                      <a:fillRect/>
                    </a:stretch>
                  </pic:blipFill>
                  <pic:spPr bwMode="auto">
                    <a:xfrm>
                      <a:off x="0" y="0"/>
                      <a:ext cx="4194175" cy="5732780"/>
                    </a:xfrm>
                    <a:prstGeom prst="rect">
                      <a:avLst/>
                    </a:prstGeom>
                    <a:noFill/>
                    <a:ln w="9525">
                      <a:noFill/>
                      <a:miter lim="800000"/>
                      <a:headEnd/>
                      <a:tailEnd/>
                    </a:ln>
                  </pic:spPr>
                </pic:pic>
              </a:graphicData>
            </a:graphic>
          </wp:inline>
        </w:drawing>
      </w:r>
    </w:p>
    <w:p w:rsidR="004E57DA" w:rsidRDefault="004E57DA" w:rsidP="004E57DA">
      <w:pPr>
        <w:pStyle w:val="Subtitle"/>
        <w:rPr>
          <w:noProof/>
          <w:lang w:eastAsia="en-AU"/>
        </w:rPr>
      </w:pPr>
      <w:bookmarkStart w:id="266" w:name="_Ref367342537"/>
      <w:bookmarkStart w:id="267" w:name="_Toc370738794"/>
      <w:r w:rsidRPr="00C63F30">
        <w:rPr>
          <w:b/>
        </w:rPr>
        <w:t xml:space="preserve">Figure </w:t>
      </w:r>
      <w:r w:rsidR="00D20FAE" w:rsidRPr="00C63F30">
        <w:rPr>
          <w:b/>
        </w:rPr>
        <w:fldChar w:fldCharType="begin"/>
      </w:r>
      <w:r w:rsidRPr="00C63F30">
        <w:rPr>
          <w:b/>
        </w:rPr>
        <w:instrText xml:space="preserve"> SEQ Figure \* ARABIC </w:instrText>
      </w:r>
      <w:r w:rsidR="00D20FAE" w:rsidRPr="00C63F30">
        <w:rPr>
          <w:b/>
        </w:rPr>
        <w:fldChar w:fldCharType="separate"/>
      </w:r>
      <w:r w:rsidR="00436595">
        <w:rPr>
          <w:b/>
          <w:noProof/>
        </w:rPr>
        <w:t>24</w:t>
      </w:r>
      <w:r w:rsidR="00D20FAE" w:rsidRPr="00C63F30">
        <w:rPr>
          <w:b/>
        </w:rPr>
        <w:fldChar w:fldCharType="end"/>
      </w:r>
      <w:bookmarkEnd w:id="266"/>
      <w:r>
        <w:t xml:space="preserve"> Relative length frequency distribution of </w:t>
      </w:r>
      <w:r w:rsidR="00C63F30">
        <w:t xml:space="preserve">Murray cod (top) Australian smelt (middle) </w:t>
      </w:r>
      <w:r w:rsidR="00C23601">
        <w:t>and common</w:t>
      </w:r>
      <w:r>
        <w:t xml:space="preserve"> carp (</w:t>
      </w:r>
      <w:r w:rsidR="00C63F30">
        <w:t>bottom</w:t>
      </w:r>
      <w:r>
        <w:t>) in the Murrumbidgee River before and after Commonwealth environmental watering (September 2012</w:t>
      </w:r>
      <w:r w:rsidR="00C63F30">
        <w:t xml:space="preserve"> (before) </w:t>
      </w:r>
      <w:r w:rsidR="00C23601">
        <w:t>and May</w:t>
      </w:r>
      <w:r>
        <w:t xml:space="preserve"> 2013</w:t>
      </w:r>
      <w:r w:rsidR="00C63F30" w:rsidRPr="00C63F30">
        <w:t xml:space="preserve"> </w:t>
      </w:r>
      <w:r w:rsidR="00C63F30">
        <w:t>(after) Commonwealth environmental release</w:t>
      </w:r>
      <w:r>
        <w:t>.</w:t>
      </w:r>
      <w:r w:rsidR="00C23601">
        <w:t xml:space="preserve"> </w:t>
      </w:r>
      <w:r w:rsidR="00C23601">
        <w:rPr>
          <w:noProof/>
          <w:lang w:eastAsia="en-AU"/>
        </w:rPr>
        <w:t>Note the differences in y axis scales across charts.</w:t>
      </w:r>
      <w:bookmarkEnd w:id="267"/>
      <w:r w:rsidRPr="00E25262">
        <w:rPr>
          <w:noProof/>
          <w:lang w:eastAsia="en-AU"/>
        </w:rPr>
        <w:t xml:space="preserve"> </w:t>
      </w:r>
    </w:p>
    <w:p w:rsidR="00F9172A" w:rsidRDefault="00F9172A" w:rsidP="00A5580F">
      <w:pPr>
        <w:pStyle w:val="Caption"/>
        <w:rPr>
          <w:rFonts w:ascii="Century Gothic" w:hAnsi="Century Gothic"/>
          <w:sz w:val="22"/>
          <w:szCs w:val="22"/>
        </w:rPr>
      </w:pPr>
    </w:p>
    <w:p w:rsidR="00197569" w:rsidRDefault="0087202F" w:rsidP="00F9172A">
      <w:pPr>
        <w:pStyle w:val="Caption"/>
        <w:keepNext/>
        <w:rPr>
          <w:rFonts w:ascii="Century Gothic" w:hAnsi="Century Gothic"/>
          <w:sz w:val="22"/>
          <w:szCs w:val="22"/>
        </w:rPr>
      </w:pPr>
      <w:r>
        <w:rPr>
          <w:rFonts w:ascii="Century Gothic" w:hAnsi="Century Gothic"/>
          <w:noProof/>
          <w:sz w:val="22"/>
          <w:szCs w:val="22"/>
          <w:lang w:eastAsia="en-AU"/>
        </w:rPr>
        <w:drawing>
          <wp:inline distT="0" distB="0" distL="0" distR="0">
            <wp:extent cx="5732780" cy="5732780"/>
            <wp:effectExtent l="19050" t="0" r="1270" b="0"/>
            <wp:docPr id="38" name="Picture 38" descr="sizeDistributionsH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izeDistributionsHiRes"/>
                    <pic:cNvPicPr>
                      <a:picLocks noChangeAspect="1" noChangeArrowheads="1"/>
                    </pic:cNvPicPr>
                  </pic:nvPicPr>
                  <pic:blipFill>
                    <a:blip r:embed="rId116" cstate="print"/>
                    <a:srcRect/>
                    <a:stretch>
                      <a:fillRect/>
                    </a:stretch>
                  </pic:blipFill>
                  <pic:spPr bwMode="auto">
                    <a:xfrm>
                      <a:off x="0" y="0"/>
                      <a:ext cx="5732780" cy="5732780"/>
                    </a:xfrm>
                    <a:prstGeom prst="rect">
                      <a:avLst/>
                    </a:prstGeom>
                    <a:noFill/>
                    <a:ln w="9525">
                      <a:noFill/>
                      <a:miter lim="800000"/>
                      <a:headEnd/>
                      <a:tailEnd/>
                    </a:ln>
                  </pic:spPr>
                </pic:pic>
              </a:graphicData>
            </a:graphic>
          </wp:inline>
        </w:drawing>
      </w:r>
    </w:p>
    <w:p w:rsidR="00A5580F" w:rsidRPr="00C11A72" w:rsidRDefault="00C11A72" w:rsidP="00DB1376">
      <w:pPr>
        <w:pStyle w:val="Caption1"/>
      </w:pPr>
      <w:bookmarkStart w:id="268" w:name="_Ref369785444"/>
      <w:bookmarkStart w:id="269" w:name="_Toc370738795"/>
      <w:r w:rsidRPr="00DB1376">
        <w:rPr>
          <w:b/>
        </w:rPr>
        <w:t xml:space="preserve">Figure </w:t>
      </w:r>
      <w:r w:rsidR="00D20FAE" w:rsidRPr="00DB1376">
        <w:rPr>
          <w:b/>
        </w:rPr>
        <w:fldChar w:fldCharType="begin"/>
      </w:r>
      <w:r w:rsidR="007A2ADA" w:rsidRPr="00DB1376">
        <w:rPr>
          <w:b/>
        </w:rPr>
        <w:instrText xml:space="preserve"> SEQ Figure \* ARABIC </w:instrText>
      </w:r>
      <w:r w:rsidR="00D20FAE" w:rsidRPr="00DB1376">
        <w:rPr>
          <w:b/>
        </w:rPr>
        <w:fldChar w:fldCharType="separate"/>
      </w:r>
      <w:r w:rsidR="00436595">
        <w:rPr>
          <w:b/>
          <w:noProof/>
        </w:rPr>
        <w:t>25</w:t>
      </w:r>
      <w:r w:rsidR="00D20FAE" w:rsidRPr="00DB1376">
        <w:rPr>
          <w:b/>
        </w:rPr>
        <w:fldChar w:fldCharType="end"/>
      </w:r>
      <w:bookmarkEnd w:id="268"/>
      <w:r w:rsidRPr="00C11A72">
        <w:t xml:space="preserve"> </w:t>
      </w:r>
      <w:r w:rsidR="001523B7" w:rsidRPr="00C11A72">
        <w:t xml:space="preserve">Size </w:t>
      </w:r>
      <w:r w:rsidR="00197569" w:rsidRPr="00C11A72">
        <w:t>distribution of carp gudgeons</w:t>
      </w:r>
      <w:r w:rsidR="001523B7" w:rsidRPr="00C11A72">
        <w:t xml:space="preserve"> (top) and Common carp and goldfish (bottom)</w:t>
      </w:r>
      <w:r w:rsidR="00197569" w:rsidRPr="00C11A72">
        <w:t xml:space="preserve"> </w:t>
      </w:r>
      <w:r w:rsidR="001523B7" w:rsidRPr="00C11A72">
        <w:t>in October</w:t>
      </w:r>
      <w:r w:rsidR="00197569" w:rsidRPr="00C11A72">
        <w:t xml:space="preserve"> 2012 </w:t>
      </w:r>
      <w:r w:rsidR="001523B7" w:rsidRPr="00C11A72">
        <w:t xml:space="preserve">and February </w:t>
      </w:r>
      <w:r w:rsidR="00197569" w:rsidRPr="00C11A72">
        <w:t>2013 in the</w:t>
      </w:r>
      <w:r w:rsidR="001523B7" w:rsidRPr="00C11A72">
        <w:t xml:space="preserve"> mid-Murrumbidgee wetlands, Lowb</w:t>
      </w:r>
      <w:r w:rsidR="00197569" w:rsidRPr="00C11A72">
        <w:t xml:space="preserve">idgee wetlands and Western Lakes. </w:t>
      </w:r>
      <w:r w:rsidR="00C23601">
        <w:rPr>
          <w:noProof/>
          <w:lang w:eastAsia="en-AU"/>
        </w:rPr>
        <w:t>Note the differences in y axis scales across charts.</w:t>
      </w:r>
      <w:bookmarkEnd w:id="269"/>
    </w:p>
    <w:p w:rsidR="00F9172A" w:rsidRDefault="00F9172A" w:rsidP="00A5580F"/>
    <w:p w:rsidR="00A5580F" w:rsidRDefault="00A5580F" w:rsidP="00A5580F"/>
    <w:p w:rsidR="00A5580F" w:rsidRDefault="00716AE0" w:rsidP="00C44F46">
      <w:pPr>
        <w:pStyle w:val="Heading2"/>
      </w:pPr>
      <w:bookmarkStart w:id="270" w:name="_Toc370299209"/>
      <w:bookmarkStart w:id="271" w:name="_Toc370738796"/>
      <w:bookmarkStart w:id="272" w:name="_Toc378168552"/>
      <w:r w:rsidRPr="00205B62">
        <w:t>Discussion</w:t>
      </w:r>
      <w:bookmarkEnd w:id="270"/>
      <w:bookmarkEnd w:id="271"/>
      <w:bookmarkEnd w:id="272"/>
    </w:p>
    <w:p w:rsidR="00924E36" w:rsidRPr="0045510A" w:rsidRDefault="00924E36" w:rsidP="00924E36">
      <w:r w:rsidRPr="0045510A">
        <w:t>Wetland fish communities were dominated by small-bodied native fish species, which outnumbered exotic fish species such as carp, goldfish and gambusia by more than 100 to one.</w:t>
      </w:r>
    </w:p>
    <w:p w:rsidR="00924E36" w:rsidRPr="0045510A" w:rsidRDefault="00924E36" w:rsidP="00924E36">
      <w:r w:rsidRPr="0045510A">
        <w:t xml:space="preserve">There was no evidence of significant carp recruitment in the Murrumbidgee River main channel following the delivery of Commonwealth environmental water. There was some evidence of low levels of carp spawning in the wetlands in October 2012 but subsequent surveys over 2012-13 indicated low recruitment rates of carp with total carp numbers decreasing in all wetland regions. </w:t>
      </w:r>
    </w:p>
    <w:p w:rsidR="0038039F" w:rsidRDefault="00C23601" w:rsidP="00A5580F">
      <w:r>
        <w:t>The composition of fish communities</w:t>
      </w:r>
      <w:r w:rsidR="00F9172A">
        <w:t xml:space="preserve"> in</w:t>
      </w:r>
      <w:r>
        <w:t xml:space="preserve"> the Murrumbidgee River and associated wetlands has changed markedly over the past 50 years with many wetland species, such as the Murray hardyhead and southern purple spotted gudgeon</w:t>
      </w:r>
      <w:r w:rsidR="00F9172A">
        <w:t>,</w:t>
      </w:r>
      <w:r>
        <w:t xml:space="preserve"> </w:t>
      </w:r>
      <w:r w:rsidR="00F9172A">
        <w:t xml:space="preserve">which </w:t>
      </w:r>
      <w:r>
        <w:t xml:space="preserve">were once abundant in the Murrumbidgee </w:t>
      </w:r>
      <w:r w:rsidR="00D20FAE">
        <w:fldChar w:fldCharType="begin"/>
      </w:r>
      <w:r w:rsidR="006171E9">
        <w:instrText xml:space="preserve"> ADDIN EN.CITE &lt;EndNote&gt;&lt;Cite&gt;&lt;Author&gt;Anderson&lt;/Author&gt;&lt;Year&gt;1915&lt;/Year&gt;&lt;RecNum&gt;3294&lt;/RecNum&gt;&lt;DisplayText&gt;(Anderson 1915)&lt;/DisplayText&gt;&lt;record&gt;&lt;rec-number&gt;3294&lt;/rec-number&gt;&lt;foreign-keys&gt;&lt;key app="EN" db-id="vxxvsda2b05fxpeaw2dp552mtrd5trxdrf0s"&gt;3294&lt;/key&gt;&lt;/foreign-keys&gt;&lt;ref-type name="Journal Article"&gt;17&lt;/ref-type&gt;&lt;contributors&gt;&lt;authors&gt;&lt;author&gt;Anderson, H. K. &lt;/author&gt;&lt;/authors&gt;&lt;/contributors&gt;&lt;titles&gt;&lt;title&gt;Rescue Operations on the Murrumbidgee River&lt;/title&gt;&lt;secondary-title&gt;The Australian Zoologist&lt;/secondary-title&gt;&lt;/titles&gt;&lt;periodical&gt;&lt;full-title&gt;The Australian Zoologist&lt;/full-title&gt;&lt;/periodical&gt;&lt;pages&gt;157-160&lt;/pages&gt;&lt;volume&gt;1&lt;/volume&gt;&lt;dates&gt;&lt;year&gt;1915&lt;/year&gt;&lt;/dates&gt;&lt;urls&gt;&lt;/urls&gt;&lt;/record&gt;&lt;/Cite&gt;&lt;/EndNote&gt;</w:instrText>
      </w:r>
      <w:r w:rsidR="00D20FAE">
        <w:fldChar w:fldCharType="separate"/>
      </w:r>
      <w:r w:rsidR="006171E9">
        <w:rPr>
          <w:noProof/>
        </w:rPr>
        <w:t>(</w:t>
      </w:r>
      <w:hyperlink w:anchor="_ENREF_4" w:tooltip="Anderson, 1915 #3294" w:history="1">
        <w:r w:rsidR="006810E6">
          <w:rPr>
            <w:noProof/>
          </w:rPr>
          <w:t>Anderson 1915</w:t>
        </w:r>
      </w:hyperlink>
      <w:r w:rsidR="006171E9">
        <w:rPr>
          <w:noProof/>
        </w:rPr>
        <w:t>)</w:t>
      </w:r>
      <w:r w:rsidR="00D20FAE">
        <w:fldChar w:fldCharType="end"/>
      </w:r>
      <w:r>
        <w:t>, now locally extinct</w:t>
      </w:r>
      <w:r w:rsidR="00F9172A">
        <w:t>.</w:t>
      </w:r>
      <w:r>
        <w:t xml:space="preserve"> </w:t>
      </w:r>
      <w:r w:rsidR="00924E36" w:rsidRPr="0045510A">
        <w:t>Overall</w:t>
      </w:r>
      <w:r w:rsidR="00F9172A">
        <w:t>,</w:t>
      </w:r>
      <w:r w:rsidR="00924E36" w:rsidRPr="0045510A">
        <w:t xml:space="preserve"> the total abundance and biomass of native fish increased significantly after the delivery of Commonwealth environmental water,</w:t>
      </w:r>
      <w:r w:rsidR="00924E36">
        <w:t xml:space="preserve"> both within the Murrumbidgee River and the Western Lakes. This change in abundance and biomass was driven by a combination of recruitment by </w:t>
      </w:r>
      <w:r w:rsidR="00924E36" w:rsidRPr="0045510A">
        <w:t xml:space="preserve">small-bodied native species (carp gudgeon and Australian smelt) and immigration of large bodied fish, in particular </w:t>
      </w:r>
      <w:r>
        <w:t>g</w:t>
      </w:r>
      <w:r w:rsidR="00924E36" w:rsidRPr="0045510A">
        <w:t xml:space="preserve">olden perch. </w:t>
      </w:r>
    </w:p>
    <w:p w:rsidR="00A5580F" w:rsidRDefault="00924E36" w:rsidP="00A5580F">
      <w:r>
        <w:t>While f</w:t>
      </w:r>
      <w:r w:rsidR="00A5580F">
        <w:t xml:space="preserve">ish communities are expected to change seasonally in response to changes </w:t>
      </w:r>
      <w:r w:rsidR="00C23601">
        <w:t>to</w:t>
      </w:r>
      <w:r w:rsidR="002C0B87">
        <w:t xml:space="preserve"> the availability of habitat, r</w:t>
      </w:r>
      <w:r w:rsidR="0038039F">
        <w:t>ecruitment</w:t>
      </w:r>
      <w:r>
        <w:t xml:space="preserve"> of small bodied native fish </w:t>
      </w:r>
      <w:r w:rsidR="0038039F">
        <w:t xml:space="preserve">was significantly higher in </w:t>
      </w:r>
      <w:r>
        <w:t xml:space="preserve">wetlands receiving Commonwealth </w:t>
      </w:r>
      <w:r w:rsidR="003D06FF">
        <w:t>e</w:t>
      </w:r>
      <w:r>
        <w:t>nvironmental water (Western Lakes)</w:t>
      </w:r>
      <w:r w:rsidR="002C7732">
        <w:t xml:space="preserve"> than either the mid-Murrumbidgee or Lowbidgee</w:t>
      </w:r>
      <w:r w:rsidR="002C0B87">
        <w:t>,</w:t>
      </w:r>
      <w:r w:rsidR="002C7732">
        <w:t xml:space="preserve"> which dried rapidly over the water year.</w:t>
      </w:r>
      <w:r w:rsidR="0038039F">
        <w:t xml:space="preserve"> </w:t>
      </w:r>
      <w:r w:rsidR="002C7732">
        <w:t>In the Murrumbidgee River</w:t>
      </w:r>
      <w:r w:rsidR="002C0B87">
        <w:t>,</w:t>
      </w:r>
      <w:r w:rsidR="00A5580F">
        <w:t xml:space="preserve"> </w:t>
      </w:r>
      <w:r w:rsidR="002C7732">
        <w:t>o</w:t>
      </w:r>
      <w:r w:rsidR="00A5580F">
        <w:t>bserved differences in fish communities were due to increased abundances of native species following the delivery of environmental water, particularly Australian smelt and bony herring</w:t>
      </w:r>
      <w:r w:rsidR="002C7732">
        <w:t>.</w:t>
      </w:r>
    </w:p>
    <w:p w:rsidR="00A5580F" w:rsidRDefault="002C7732" w:rsidP="00A5580F">
      <w:r>
        <w:t xml:space="preserve">Commonwealth environmental flows </w:t>
      </w:r>
      <w:r w:rsidR="00A5580F">
        <w:t xml:space="preserve">delivered in 2012 were targeted to increase the availability of spawning habitat for Murray cod </w:t>
      </w:r>
      <w:r>
        <w:t>and</w:t>
      </w:r>
      <w:r w:rsidR="00A5580F">
        <w:t xml:space="preserve"> encourage recruitment by this iconic species. Murray cod were most abundant in the </w:t>
      </w:r>
      <w:r w:rsidR="00A5580F" w:rsidRPr="00DB1376">
        <w:t xml:space="preserve">middle region of the Murrumbidgee River, between Wagga Wagga and Hay, and were therefore targeted for specific fish movement and spawning and recruitment monitoring (refer to </w:t>
      </w:r>
      <w:r w:rsidRPr="00DB1376">
        <w:t>following sections</w:t>
      </w:r>
      <w:r w:rsidR="00A5580F" w:rsidRPr="00DB1376">
        <w:t>). Total biomass increased for most fish species after the environmental water was delivered, with some species (e.g. Australian smelt</w:t>
      </w:r>
      <w:r w:rsidR="00A5580F">
        <w:t>) producing new cohorts of larvae and juveniles, leading to increased biomass, while other species (e.g. golden perch) re-distributed throughout the river in response to improved connectivity create</w:t>
      </w:r>
      <w:r w:rsidR="002C0B87">
        <w:t>d by the environmental flow.</w:t>
      </w:r>
    </w:p>
    <w:p w:rsidR="00BA470A" w:rsidRDefault="00A5580F" w:rsidP="00A5580F">
      <w:r>
        <w:t xml:space="preserve">Although the total abundance and total biomass of carp </w:t>
      </w:r>
      <w:r w:rsidR="002C7732">
        <w:t xml:space="preserve">increased </w:t>
      </w:r>
      <w:r>
        <w:t xml:space="preserve">in the Murrumbidgee River after the delivery of Commonwealth environmental water, this was not attributed to spawning of carp within the river channel, </w:t>
      </w:r>
      <w:r w:rsidR="002C7732">
        <w:t xml:space="preserve">and there was no evidence of young of year fish or </w:t>
      </w:r>
      <w:r w:rsidR="00922591">
        <w:t>larval carp</w:t>
      </w:r>
      <w:r w:rsidR="002C7732">
        <w:t xml:space="preserve"> </w:t>
      </w:r>
      <w:r w:rsidR="00A8637A">
        <w:t>(see</w:t>
      </w:r>
      <w:r w:rsidR="002C7732">
        <w:t xml:space="preserve"> following sections). </w:t>
      </w:r>
      <w:r w:rsidR="00844EB1">
        <w:t>This interpretation is further supported by a similar increase in carp biomass in the control site</w:t>
      </w:r>
      <w:r w:rsidR="002C0B87">
        <w:t>,</w:t>
      </w:r>
      <w:r w:rsidR="00844EB1">
        <w:t xml:space="preserve"> Old Man Creek, where no environmental flows were received.</w:t>
      </w:r>
      <w:r>
        <w:t xml:space="preserve"> This outcome demonstrates that flows delivered in 2012 were not conducive to carp recruitment within the Murrumbidgee River</w:t>
      </w:r>
      <w:r w:rsidR="00BA470A">
        <w:t xml:space="preserve">, as had been shown in long-term analysis of common carp populations </w:t>
      </w:r>
      <w:r w:rsidR="00D20FAE">
        <w:fldChar w:fldCharType="begin"/>
      </w:r>
      <w:r w:rsidR="006171E9">
        <w:instrText xml:space="preserve"> ADDIN EN.CITE &lt;EndNote&gt;&lt;Cite&gt;&lt;Author&gt;Forsyth&lt;/Author&gt;&lt;Year&gt;2013&lt;/Year&gt;&lt;RecNum&gt;3418&lt;/RecNum&gt;&lt;DisplayText&gt;(Forsyth, Koehn&lt;style face="italic"&gt; et al.&lt;/style&gt; 2013)&lt;/DisplayText&gt;&lt;record&gt;&lt;rec-number&gt;3418&lt;/rec-number&gt;&lt;foreign-keys&gt;&lt;key app="EN" db-id="vxxvsda2b05fxpeaw2dp552mtrd5trxdrf0s"&gt;3418&lt;/key&gt;&lt;/foreign-keys&gt;&lt;ref-type name="Journal Article"&gt;17&lt;/ref-type&gt;&lt;contributors&gt;&lt;authors&gt;&lt;author&gt;Forsyth, DavidM&lt;/author&gt;&lt;author&gt;Koehn, JohnD&lt;/author&gt;&lt;author&gt;MacKenzie, DarrylI&lt;/author&gt;&lt;author&gt;Stuart, IvorG&lt;/author&gt;&lt;/authors&gt;&lt;/contributors&gt;&lt;titles&gt;&lt;title&gt;Population dynamics of invading freshwater fish: common carp (Cyprinus carpio) in the Murray-Darling Basin, Australia&lt;/title&gt;&lt;secondary-title&gt;Biological Invasions&lt;/secondary-title&gt;&lt;alt-title&gt;Biol Invasions&lt;/alt-title&gt;&lt;/titles&gt;&lt;periodical&gt;&lt;full-title&gt;Biological Invasions&lt;/full-title&gt;&lt;abbr-1&gt;Biol Invasions&lt;/abbr-1&gt;&lt;/periodical&gt;&lt;alt-periodical&gt;&lt;full-title&gt;Biological Invasions&lt;/full-title&gt;&lt;abbr-1&gt;Biol Invasions&lt;/abbr-1&gt;&lt;/alt-periodical&gt;&lt;pages&gt;341-354&lt;/pages&gt;&lt;volume&gt;15&lt;/volume&gt;&lt;number&gt;2&lt;/number&gt;&lt;keywords&gt;&lt;keyword&gt;Biological invasions&lt;/keyword&gt;&lt;keyword&gt;Catch-per-unit-effort&lt;/keyword&gt;&lt;keyword&gt;Exponential population growth&lt;/keyword&gt;&lt;keyword&gt;Invasive fish&lt;/keyword&gt;&lt;keyword&gt;Logistic model&lt;/keyword&gt;&lt;keyword&gt;Murray River&lt;/keyword&gt;&lt;keyword&gt;Pest fish&lt;/keyword&gt;&lt;keyword&gt;Population growth rate&lt;/keyword&gt;&lt;keyword&gt;Rate of increase&lt;/keyword&gt;&lt;/keywords&gt;&lt;dates&gt;&lt;year&gt;2013&lt;/year&gt;&lt;pub-dates&gt;&lt;date&gt;2013/02/01&lt;/date&gt;&lt;/pub-dates&gt;&lt;/dates&gt;&lt;publisher&gt;Springer Netherlands&lt;/publisher&gt;&lt;isbn&gt;1387-3547&lt;/isbn&gt;&lt;urls&gt;&lt;related-urls&gt;&lt;url&gt;http://dx.doi.org/10.1007/s10530-012-0290-1&lt;/url&gt;&lt;/related-urls&gt;&lt;/urls&gt;&lt;electronic-resource-num&gt;10.1007/s10530-012-0290-1&lt;/electronic-resource-num&gt;&lt;language&gt;English&lt;/language&gt;&lt;/record&gt;&lt;/Cite&gt;&lt;/EndNote&gt;</w:instrText>
      </w:r>
      <w:r w:rsidR="00D20FAE">
        <w:fldChar w:fldCharType="separate"/>
      </w:r>
      <w:r w:rsidR="006171E9">
        <w:rPr>
          <w:noProof/>
        </w:rPr>
        <w:t>(</w:t>
      </w:r>
      <w:hyperlink w:anchor="_ENREF_34" w:tooltip="Forsyth, 2013 #3418" w:history="1">
        <w:r w:rsidR="006810E6">
          <w:rPr>
            <w:noProof/>
          </w:rPr>
          <w:t>Forsyth, Koehn</w:t>
        </w:r>
        <w:r w:rsidR="006810E6" w:rsidRPr="006171E9">
          <w:rPr>
            <w:i/>
            <w:noProof/>
          </w:rPr>
          <w:t xml:space="preserve"> et al.</w:t>
        </w:r>
        <w:r w:rsidR="006810E6">
          <w:rPr>
            <w:noProof/>
          </w:rPr>
          <w:t xml:space="preserve"> 2013</w:t>
        </w:r>
      </w:hyperlink>
      <w:r w:rsidR="006171E9">
        <w:rPr>
          <w:noProof/>
        </w:rPr>
        <w:t>)</w:t>
      </w:r>
      <w:r w:rsidR="00D20FAE">
        <w:fldChar w:fldCharType="end"/>
      </w:r>
      <w:r>
        <w:t xml:space="preserve">. There </w:t>
      </w:r>
      <w:r w:rsidR="00FE3B5B">
        <w:t>were</w:t>
      </w:r>
      <w:r w:rsidR="002C0B87">
        <w:t>,</w:t>
      </w:r>
      <w:r w:rsidR="00FE3B5B">
        <w:t xml:space="preserve"> however,</w:t>
      </w:r>
      <w:r>
        <w:t xml:space="preserve"> </w:t>
      </w:r>
      <w:r w:rsidR="00844EB1">
        <w:t xml:space="preserve">a </w:t>
      </w:r>
      <w:r w:rsidR="00A8637A">
        <w:t>very small number of young-of-year carp in wetlands,</w:t>
      </w:r>
      <w:r w:rsidR="00844EB1">
        <w:t xml:space="preserve"> </w:t>
      </w:r>
      <w:r w:rsidR="002C0B87">
        <w:t xml:space="preserve">and </w:t>
      </w:r>
      <w:r w:rsidR="00FE3B5B">
        <w:t>it</w:t>
      </w:r>
      <w:r w:rsidR="00A8637A">
        <w:t xml:space="preserve"> should be noted that the mid-Murrumbidgee </w:t>
      </w:r>
      <w:r w:rsidR="00BA470A">
        <w:t xml:space="preserve">and </w:t>
      </w:r>
      <w:r w:rsidR="00A8637A">
        <w:t xml:space="preserve">Lowbidgee </w:t>
      </w:r>
      <w:r w:rsidR="00BA470A">
        <w:t xml:space="preserve">did not </w:t>
      </w:r>
      <w:r w:rsidR="00A8637A">
        <w:t>receive Commonwealth environmental water in 2012-13. At all wetland sites</w:t>
      </w:r>
      <w:r w:rsidR="002C0B87">
        <w:t>,</w:t>
      </w:r>
      <w:r w:rsidR="00A8637A">
        <w:t xml:space="preserve"> common </w:t>
      </w:r>
      <w:r>
        <w:t xml:space="preserve">carp abundance decreased </w:t>
      </w:r>
      <w:r w:rsidR="00BA470A">
        <w:t>over summer, while native carp gudgeon numbers increased significantly. The Western Lakes are fitted with carp screens to preclude the establishment of large carp</w:t>
      </w:r>
      <w:r w:rsidR="002C0B87">
        <w:t>,</w:t>
      </w:r>
      <w:r w:rsidR="00844EB1">
        <w:t xml:space="preserve"> and</w:t>
      </w:r>
      <w:r w:rsidR="00BA470A">
        <w:t xml:space="preserve"> this appears to have been successful in limit</w:t>
      </w:r>
      <w:r w:rsidR="00844EB1">
        <w:t>ing</w:t>
      </w:r>
      <w:r w:rsidR="00BA470A">
        <w:t xml:space="preserve"> carp recruitment within </w:t>
      </w:r>
      <w:r w:rsidR="002C0B87">
        <w:t xml:space="preserve">the </w:t>
      </w:r>
      <w:r w:rsidR="00BA470A">
        <w:t xml:space="preserve">system. </w:t>
      </w:r>
      <w:r>
        <w:t xml:space="preserve"> </w:t>
      </w:r>
    </w:p>
    <w:p w:rsidR="00202FB2" w:rsidRDefault="00A5580F" w:rsidP="00A5580F">
      <w:r>
        <w:t>In 2012-13, Commonwealth environmental water increased connectivity, habitat and food availability for native fish species in the Murrumbidgee River and the Western Lakes. Increases in abundance and biomass of native species in the Murrumbidgee River and the absen</w:t>
      </w:r>
      <w:r w:rsidR="002C0B87">
        <w:t>ce of carp recruitment indicated</w:t>
      </w:r>
      <w:r>
        <w:t xml:space="preserve"> a successful flow delivery in terms of allowing native species to re-distribute within the system whilst also providing suitable environmental conditions for spawning by small-bodied natives. Although the mid-Murrumbidgee and Lowbidgee wetlands remained disconnected throughout the watering year, changes in their fish communities could be attributed to recruitment and/or death of fish within populations established through managed and natural reconnection flow events in 2011-12 </w:t>
      </w:r>
      <w:r w:rsidR="00D20FAE">
        <w:fldChar w:fldCharType="begin"/>
      </w:r>
      <w:r w:rsidR="006171E9">
        <w:instrText xml:space="preserve"> ADDIN EN.CITE &lt;EndNote&gt;&lt;Cite&gt;&lt;Author&gt;Wassens&lt;/Author&gt;&lt;Year&gt;2012&lt;/Year&gt;&lt;RecNum&gt;3272&lt;/RecNum&gt;&lt;DisplayText&gt;(Wassens, Watts&lt;style face="italic"&gt; et al.&lt;/style&gt; 2012)&lt;/DisplayText&gt;&lt;record&gt;&lt;rec-number&gt;3272&lt;/rec-number&gt;&lt;foreign-keys&gt;&lt;key app="EN" db-id="vxxvsda2b05fxpeaw2dp552mtrd5trxdrf0s"&gt;3272&lt;/key&gt;&lt;/foreign-keys&gt;&lt;ref-type name="Book"&gt;6&lt;/ref-type&gt;&lt;contributors&gt;&lt;authors&gt;&lt;author&gt;Wassens, S.&lt;/author&gt;&lt;author&gt;Watts, R. 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system&lt;/title&gt;&lt;/titles&gt;&lt;dates&gt;&lt;year&gt;2012&lt;/year&gt;&lt;/dates&gt;&lt;pub-location&gt;Albury&lt;/pub-location&gt;&lt;publisher&gt;Institute for Land, Water and Society, Charles Sturt University&lt;/publisher&gt;&lt;urls&gt;&lt;related-urls&gt;&lt;url&gt;http://www.environment.gov.au/ewater/publications/pubs/ecosystem-response-monitoring-murrumbidgee-2.pdf&lt;/url&gt;&lt;/related-urls&gt;&lt;/urls&gt;&lt;/record&gt;&lt;/Cite&gt;&lt;/EndNote&gt;</w:instrText>
      </w:r>
      <w:r w:rsidR="00D20FAE">
        <w:fldChar w:fldCharType="separate"/>
      </w:r>
      <w:r w:rsidR="006171E9">
        <w:rPr>
          <w:noProof/>
        </w:rPr>
        <w:t>(</w:t>
      </w:r>
      <w:hyperlink w:anchor="_ENREF_106" w:tooltip="Wassens, 2012 #3272" w:history="1">
        <w:r w:rsidR="006810E6">
          <w:rPr>
            <w:noProof/>
          </w:rPr>
          <w:t>Wassens, Watts</w:t>
        </w:r>
        <w:r w:rsidR="006810E6" w:rsidRPr="006171E9">
          <w:rPr>
            <w:i/>
            <w:noProof/>
          </w:rPr>
          <w:t xml:space="preserve"> et al.</w:t>
        </w:r>
        <w:r w:rsidR="006810E6">
          <w:rPr>
            <w:noProof/>
          </w:rPr>
          <w:t xml:space="preserve"> 2012</w:t>
        </w:r>
      </w:hyperlink>
      <w:r w:rsidR="006171E9">
        <w:rPr>
          <w:noProof/>
        </w:rPr>
        <w:t>)</w:t>
      </w:r>
      <w:r w:rsidR="00D20FAE">
        <w:fldChar w:fldCharType="end"/>
      </w:r>
      <w:r>
        <w:t>.  High abundances of native fish in the survey wetlands demonstrated that these habitats support a native fish population during their drying phase. Prior to river regulation, many of these wetlands would remain wet throughout the year, with multiple reconnect</w:t>
      </w:r>
      <w:r w:rsidR="00844EB1">
        <w:t>ions</w:t>
      </w:r>
      <w:r>
        <w:t xml:space="preserve"> to the river sustaining these populations and allowing movement of recruits between the wetland and river. D</w:t>
      </w:r>
      <w:r w:rsidRPr="00236E9C">
        <w:t>ifference</w:t>
      </w:r>
      <w:r>
        <w:t>s</w:t>
      </w:r>
      <w:r w:rsidRPr="00236E9C">
        <w:t xml:space="preserve"> in</w:t>
      </w:r>
      <w:r>
        <w:t xml:space="preserve"> the</w:t>
      </w:r>
      <w:r w:rsidRPr="00236E9C">
        <w:t xml:space="preserve"> </w:t>
      </w:r>
      <w:r>
        <w:t xml:space="preserve">diversity and abundance of fish species among the wetland regions are likely to be heavily influenced not only by the wetland type but also by environmental water management, which is crucial for maintaining the values of wetland habitats for native fish communities. </w:t>
      </w:r>
    </w:p>
    <w:p w:rsidR="00202FB2" w:rsidRDefault="00202FB2">
      <w:pPr>
        <w:spacing w:after="0" w:line="240" w:lineRule="auto"/>
        <w:jc w:val="left"/>
      </w:pPr>
      <w:r>
        <w:br w:type="page"/>
      </w:r>
    </w:p>
    <w:tbl>
      <w:tblPr>
        <w:tblStyle w:val="TableGrid"/>
        <w:tblW w:w="0" w:type="auto"/>
        <w:tblLook w:val="04A0"/>
      </w:tblPr>
      <w:tblGrid>
        <w:gridCol w:w="9242"/>
      </w:tblGrid>
      <w:tr w:rsidR="00193122" w:rsidRPr="002156AA" w:rsidTr="002156AA">
        <w:trPr>
          <w:cnfStyle w:val="100000000000"/>
        </w:trPr>
        <w:tc>
          <w:tcPr>
            <w:tcW w:w="9242" w:type="dxa"/>
          </w:tcPr>
          <w:p w:rsidR="00E1766B" w:rsidRDefault="00505588" w:rsidP="00961A71">
            <w:pPr>
              <w:pStyle w:val="Title"/>
            </w:pPr>
            <w:bookmarkStart w:id="273" w:name="_Toc370738797"/>
            <w:r w:rsidRPr="00505588">
              <w:t>Fish movement</w:t>
            </w:r>
            <w:bookmarkEnd w:id="273"/>
          </w:p>
          <w:p w:rsidR="00E1766B" w:rsidRDefault="00E1766B">
            <w:pPr>
              <w:pStyle w:val="NoSpacing"/>
              <w:rPr>
                <w:b/>
              </w:rPr>
            </w:pPr>
            <w:r>
              <w:rPr>
                <w:b/>
                <w:noProof/>
                <w:sz w:val="22"/>
                <w:lang w:eastAsia="en-AU"/>
              </w:rPr>
              <w:drawing>
                <wp:inline distT="0" distB="0" distL="0" distR="0">
                  <wp:extent cx="3833495" cy="2875280"/>
                  <wp:effectExtent l="19050" t="0" r="0" b="0"/>
                  <wp:docPr id="39" name="Picture 39" descr="P910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9100012"/>
                          <pic:cNvPicPr>
                            <a:picLocks noChangeAspect="1" noChangeArrowheads="1"/>
                          </pic:cNvPicPr>
                        </pic:nvPicPr>
                        <pic:blipFill>
                          <a:blip r:embed="rId117" cstate="print"/>
                          <a:srcRect/>
                          <a:stretch>
                            <a:fillRect/>
                          </a:stretch>
                        </pic:blipFill>
                        <pic:spPr bwMode="auto">
                          <a:xfrm>
                            <a:off x="0" y="0"/>
                            <a:ext cx="3833495" cy="2875280"/>
                          </a:xfrm>
                          <a:prstGeom prst="rect">
                            <a:avLst/>
                          </a:prstGeom>
                          <a:noFill/>
                          <a:ln w="9525">
                            <a:noFill/>
                            <a:miter lim="800000"/>
                            <a:headEnd/>
                            <a:tailEnd/>
                          </a:ln>
                        </pic:spPr>
                      </pic:pic>
                    </a:graphicData>
                  </a:graphic>
                </wp:inline>
              </w:drawing>
            </w:r>
          </w:p>
          <w:p w:rsidR="00BF551E" w:rsidRPr="002156AA" w:rsidRDefault="00505588" w:rsidP="00716AE0">
            <w:pPr>
              <w:pStyle w:val="NoSpacing"/>
              <w:rPr>
                <w:b/>
              </w:rPr>
            </w:pPr>
            <w:r w:rsidRPr="00505588">
              <w:rPr>
                <w:b/>
              </w:rPr>
              <w:t xml:space="preserve">Murray cod ready for release after being </w:t>
            </w:r>
            <w:r w:rsidR="004D56C6">
              <w:rPr>
                <w:b/>
              </w:rPr>
              <w:t xml:space="preserve">surgically implanted with an </w:t>
            </w:r>
            <w:r w:rsidRPr="00505588">
              <w:rPr>
                <w:b/>
              </w:rPr>
              <w:t>acoustic tag</w:t>
            </w:r>
          </w:p>
          <w:p w:rsidR="00E1766B" w:rsidRDefault="00E1766B">
            <w:pPr>
              <w:pStyle w:val="NoSpacing"/>
            </w:pPr>
          </w:p>
          <w:p w:rsidR="00E1766B" w:rsidRDefault="00505588">
            <w:pPr>
              <w:pStyle w:val="NoSpacing"/>
            </w:pPr>
            <w:r w:rsidRPr="00505588">
              <w:t xml:space="preserve">Freshwater fish are highly mobile and move in association with flow changes in order to spawn, disperse and feed </w:t>
            </w:r>
            <w:r w:rsidR="00D20FAE">
              <w:fldChar w:fldCharType="begin"/>
            </w:r>
            <w:r w:rsidR="009E2C5C">
              <w:instrText xml:space="preserve"> ADDIN EN.CITE &lt;EndNote&gt;&lt;Cite&gt;&lt;Author&gt;Lucas&lt;/Author&gt;&lt;Year&gt;1998&lt;/Year&gt;&lt;RecNum&gt;3447&lt;/RecNum&gt;&lt;DisplayText&gt;(Lucas, Mercer&lt;style face="italic"&gt; et al.&lt;/style&gt; 1998)&lt;/DisplayText&gt;&lt;record&gt;&lt;rec-number&gt;3447&lt;/rec-number&gt;&lt;foreign-keys&gt;&lt;key app="EN" db-id="vxxvsda2b05fxpeaw2dp552mtrd5trxdrf0s"&gt;3447&lt;/key&gt;&lt;/foreign-keys&gt;&lt;ref-type name="Journal Article"&gt;17&lt;/ref-type&gt;&lt;contributors&gt;&lt;authors&gt;&lt;author&gt;Lucas, M. C.&lt;/author&gt;&lt;author&gt;Mercer, T.&lt;/author&gt;&lt;author&gt;Batley, E.&lt;/author&gt;&lt;author&gt;Frear, P. A.&lt;/author&gt;&lt;author&gt;Peirson, G.&lt;/author&gt;&lt;author&gt;Duncan, A.&lt;/author&gt;&lt;author&gt;Kubecka, J.&lt;/author&gt;&lt;/authors&gt;&lt;/contributors&gt;&lt;titles&gt;&lt;title&gt;Spatio–temporal variations in the distribution and abundance of fish in the Yorkshire Ouse system&lt;/title&gt;&lt;secondary-title&gt;Science of The Total Environment&lt;/secondary-title&gt;&lt;/titles&gt;&lt;periodical&gt;&lt;full-title&gt;Science of The Total Environment&lt;/full-title&gt;&lt;/periodical&gt;&lt;pages&gt;437-455&lt;/pages&gt;&lt;volume&gt;210–211&lt;/volume&gt;&lt;number&gt;0&lt;/number&gt;&lt;keywords&gt;&lt;keyword&gt;LOIS&lt;/keyword&gt;&lt;keyword&gt;Humber&lt;/keyword&gt;&lt;keyword&gt;Ouse&lt;/keyword&gt;&lt;keyword&gt;Nidd&lt;/keyword&gt;&lt;keyword&gt;Fish&lt;/keyword&gt;&lt;keyword&gt;Abundance&lt;/keyword&gt;&lt;keyword&gt;Distribution&lt;/keyword&gt;&lt;keyword&gt;Migration&lt;/keyword&gt;&lt;keyword&gt;Habitat&lt;/keyword&gt;&lt;keyword&gt;Long-term change&lt;/keyword&gt;&lt;keyword&gt;Electric-fishing&lt;/keyword&gt;&lt;keyword&gt;Telemetry&lt;/keyword&gt;&lt;keyword&gt;Sonar&lt;/keyword&gt;&lt;/keywords&gt;&lt;dates&gt;&lt;year&gt;1998&lt;/year&gt;&lt;pub-dates&gt;&lt;date&gt;3/24/&lt;/date&gt;&lt;/pub-dates&gt;&lt;/dates&gt;&lt;isbn&gt;0048-9697&lt;/isbn&gt;&lt;urls&gt;&lt;related-urls&gt;&lt;url&gt;http://www.sciencedirect.com/science/article/pii/S0048969798000308&lt;/url&gt;&lt;/related-urls&gt;&lt;/urls&gt;&lt;electronic-resource-num&gt;http://dx.doi.org/10.1016/S0048-9697(98)00030-8&lt;/electronic-resource-num&gt;&lt;/record&gt;&lt;/Cite&gt;&lt;/EndNote&gt;</w:instrText>
            </w:r>
            <w:r w:rsidR="00D20FAE">
              <w:fldChar w:fldCharType="separate"/>
            </w:r>
            <w:r w:rsidR="009E2C5C">
              <w:rPr>
                <w:noProof/>
              </w:rPr>
              <w:t>(</w:t>
            </w:r>
            <w:hyperlink w:anchor="_ENREF_70" w:tooltip="Lucas, 1998 #3447" w:history="1">
              <w:r w:rsidR="006810E6">
                <w:rPr>
                  <w:noProof/>
                </w:rPr>
                <w:t>Lucas, Mercer</w:t>
              </w:r>
              <w:r w:rsidR="006810E6" w:rsidRPr="009E2C5C">
                <w:rPr>
                  <w:i/>
                  <w:noProof/>
                </w:rPr>
                <w:t xml:space="preserve"> et al.</w:t>
              </w:r>
              <w:r w:rsidR="006810E6">
                <w:rPr>
                  <w:noProof/>
                </w:rPr>
                <w:t xml:space="preserve"> 1998</w:t>
              </w:r>
            </w:hyperlink>
            <w:r w:rsidR="009E2C5C">
              <w:rPr>
                <w:noProof/>
              </w:rPr>
              <w:t>)</w:t>
            </w:r>
            <w:r w:rsidR="00D20FAE">
              <w:fldChar w:fldCharType="end"/>
            </w:r>
            <w:r w:rsidRPr="00505588">
              <w:t>. Twenty-seven Murray cod (</w:t>
            </w:r>
            <w:r w:rsidRPr="00505588">
              <w:rPr>
                <w:i/>
              </w:rPr>
              <w:t>Maccullochella peelii</w:t>
            </w:r>
            <w:r w:rsidRPr="00505588">
              <w:t>), six trout cod (</w:t>
            </w:r>
            <w:r w:rsidRPr="00505588">
              <w:rPr>
                <w:i/>
              </w:rPr>
              <w:t>Macchullochella macquariensis</w:t>
            </w:r>
            <w:r w:rsidRPr="00505588">
              <w:t>), five golden perch (</w:t>
            </w:r>
            <w:r w:rsidRPr="00505588">
              <w:rPr>
                <w:i/>
              </w:rPr>
              <w:t>Macquaria ambigua</w:t>
            </w:r>
            <w:r w:rsidRPr="00505588">
              <w:t>) and two silver perch (</w:t>
            </w:r>
            <w:r w:rsidRPr="00505588">
              <w:rPr>
                <w:i/>
              </w:rPr>
              <w:t>Bidyanus bidyanus</w:t>
            </w:r>
            <w:r w:rsidRPr="00505588">
              <w:t xml:space="preserve">) were </w:t>
            </w:r>
            <w:r w:rsidR="004D56C6">
              <w:t xml:space="preserve">surgically </w:t>
            </w:r>
            <w:r w:rsidRPr="00505588">
              <w:t xml:space="preserve">implanted with acoustic tags in September 2012 and March 2013 to examine spawning related movement before, during and after delivery of the 2012-13 Commonwealth environmental </w:t>
            </w:r>
            <w:r w:rsidR="006A2BD9">
              <w:t>watering</w:t>
            </w:r>
            <w:r w:rsidR="006A2BD9" w:rsidRPr="00505588">
              <w:t xml:space="preserve"> </w:t>
            </w:r>
            <w:r w:rsidRPr="00505588">
              <w:t xml:space="preserve">in the Murrumbidgee River. Assessment of spawning movement activity contributed to an assessment of the Commonwealth environmental watering objectives related to </w:t>
            </w:r>
            <w:r w:rsidRPr="00505588">
              <w:rPr>
                <w:b/>
              </w:rPr>
              <w:t xml:space="preserve">“supporting breeding and recruitment by native fish” </w:t>
            </w:r>
            <w:r w:rsidRPr="00505588">
              <w:t xml:space="preserve">and </w:t>
            </w:r>
            <w:r w:rsidRPr="00505588">
              <w:rPr>
                <w:b/>
              </w:rPr>
              <w:t>“support ecosystem functions that relate to longitudinal and lateral connectivity</w:t>
            </w:r>
            <w:r w:rsidRPr="00505588">
              <w:t>”</w:t>
            </w:r>
            <w:r w:rsidRPr="002C0B87">
              <w:t xml:space="preserve">. </w:t>
            </w:r>
          </w:p>
          <w:p w:rsidR="00193122" w:rsidRPr="002156AA" w:rsidRDefault="00193122" w:rsidP="00716AE0">
            <w:pPr>
              <w:pStyle w:val="NoSpacing"/>
              <w:rPr>
                <w:b/>
              </w:rPr>
            </w:pPr>
          </w:p>
          <w:p w:rsidR="00E1766B" w:rsidRDefault="00505588">
            <w:pPr>
              <w:pStyle w:val="NoSpacing"/>
              <w:rPr>
                <w:b/>
              </w:rPr>
            </w:pPr>
            <w:r w:rsidRPr="00505588">
              <w:rPr>
                <w:b/>
              </w:rPr>
              <w:t xml:space="preserve">key outcomes: </w:t>
            </w:r>
          </w:p>
          <w:p w:rsidR="00E1766B" w:rsidRDefault="00505588" w:rsidP="000A6C7F">
            <w:pPr>
              <w:pStyle w:val="NoSpacing"/>
              <w:numPr>
                <w:ilvl w:val="0"/>
                <w:numId w:val="42"/>
              </w:numPr>
            </w:pPr>
            <w:r w:rsidRPr="00505588">
              <w:rPr>
                <w:b/>
              </w:rPr>
              <w:t>Movement behaviours of tagged Murray cod were consistent with spawning related movements during Commonwealth environmental water delivery</w:t>
            </w:r>
            <w:r w:rsidRPr="00505588">
              <w:t xml:space="preserve"> (which also coincided with the known spawning season of this species). Commonwealth environmental flows provided conditions suitable for the spawning of this species</w:t>
            </w:r>
            <w:r w:rsidR="002C0B87">
              <w:t>,</w:t>
            </w:r>
            <w:r w:rsidRPr="00505588">
              <w:t xml:space="preserve"> which is supported by the movement patterns of tagged Murray cod as well as the presence of drifting cod larvae two weeks to one month after behaviours consistent with spawning related movements.</w:t>
            </w:r>
          </w:p>
          <w:p w:rsidR="00E1766B" w:rsidRDefault="00505588" w:rsidP="000A6C7F">
            <w:pPr>
              <w:pStyle w:val="NoSpacing"/>
              <w:numPr>
                <w:ilvl w:val="0"/>
                <w:numId w:val="42"/>
              </w:numPr>
              <w:rPr>
                <w:sz w:val="22"/>
              </w:rPr>
            </w:pPr>
            <w:r w:rsidRPr="00505588">
              <w:t>Tagged silver perch made large scale movements during Commonwealth environmental water delivery</w:t>
            </w:r>
            <w:r w:rsidR="002C0B87">
              <w:t>,</w:t>
            </w:r>
            <w:r w:rsidRPr="00505588">
              <w:t xml:space="preserve"> which supports the objective of increasing longitudinal connectivity throughout the mid-Murrumbidgee River.</w:t>
            </w:r>
          </w:p>
          <w:p w:rsidR="00E1766B" w:rsidRDefault="00E1766B">
            <w:pPr>
              <w:pStyle w:val="NoSpacing"/>
            </w:pPr>
          </w:p>
        </w:tc>
      </w:tr>
    </w:tbl>
    <w:p w:rsidR="00B24FB9" w:rsidRPr="000748A3" w:rsidRDefault="003A3273" w:rsidP="005518DB">
      <w:pPr>
        <w:pStyle w:val="Heading1"/>
      </w:pPr>
      <w:r>
        <w:br w:type="page"/>
      </w:r>
      <w:bookmarkStart w:id="274" w:name="_Toc370299210"/>
      <w:bookmarkStart w:id="275" w:name="_Ref370371006"/>
      <w:bookmarkStart w:id="276" w:name="_Toc370738798"/>
      <w:bookmarkStart w:id="277" w:name="_Toc370911603"/>
      <w:bookmarkStart w:id="278" w:name="_Toc378168553"/>
      <w:r w:rsidR="00B24FB9" w:rsidRPr="000748A3">
        <w:t>Fish movement in response to</w:t>
      </w:r>
      <w:r>
        <w:t xml:space="preserve"> Commonwealth</w:t>
      </w:r>
      <w:r w:rsidR="00B24FB9" w:rsidRPr="000748A3">
        <w:t xml:space="preserve"> environmental water delivery in the Murrumbidgee River</w:t>
      </w:r>
      <w:bookmarkEnd w:id="274"/>
      <w:bookmarkEnd w:id="275"/>
      <w:bookmarkEnd w:id="276"/>
      <w:bookmarkEnd w:id="277"/>
      <w:bookmarkEnd w:id="278"/>
    </w:p>
    <w:p w:rsidR="00C26BC6" w:rsidRDefault="00C26BC6" w:rsidP="00C26BC6">
      <w:pPr>
        <w:spacing w:after="0"/>
      </w:pPr>
    </w:p>
    <w:p w:rsidR="00C26BC6" w:rsidRDefault="00C26BC6" w:rsidP="00C26BC6">
      <w:r>
        <w:t xml:space="preserve">Freshwater fish are highly mobile and are known to exhibit specific movement patterns during development </w:t>
      </w:r>
      <w:r w:rsidR="00D20FAE">
        <w:fldChar w:fldCharType="begin"/>
      </w:r>
      <w:r w:rsidR="009E2C5C">
        <w:instrText xml:space="preserve"> ADDIN EN.CITE &lt;EndNote&gt;&lt;Cite&gt;&lt;Author&gt;Jackson&lt;/Author&gt;&lt;Year&gt;2001&lt;/Year&gt;&lt;RecNum&gt;3451&lt;/RecNum&gt;&lt;DisplayText&gt;(Koehn and Nicol 1996, Jackson, Peres-Neto&lt;style face="italic"&gt; et al.&lt;/style&gt; 2001)&lt;/DisplayText&gt;&lt;record&gt;&lt;rec-number&gt;3451&lt;/rec-number&gt;&lt;foreign-keys&gt;&lt;key app="EN" db-id="vxxvsda2b05fxpeaw2dp552mtrd5trxdrf0s"&gt;3451&lt;/key&gt;&lt;/foreign-keys&gt;&lt;ref-type name="Journal Article"&gt;17&lt;/ref-type&gt;&lt;contributors&gt;&lt;authors&gt;&lt;author&gt;Jackson, Donald A&lt;/author&gt;&lt;author&gt;Peres-Neto, Pedro R&lt;/author&gt;&lt;author&gt;Olden, Julian D&lt;/author&gt;&lt;/authors&gt;&lt;/contributors&gt;&lt;titles&gt;&lt;title&gt;What controls who is where in freshwater fish communities the roles of biotic, abiotic, and spatial factors&lt;/title&gt;&lt;secondary-title&gt;Canadian Journal of Fisheries and Aquatic Sciences&lt;/secondary-title&gt;&lt;/titles&gt;&lt;periodical&gt;&lt;full-title&gt;Canadian Journal of Fisheries and Aquatic Sciences&lt;/full-title&gt;&lt;/periodical&gt;&lt;pages&gt;157-170&lt;/pages&gt;&lt;volume&gt;58&lt;/volume&gt;&lt;number&gt;1&lt;/number&gt;&lt;dates&gt;&lt;year&gt;2001&lt;/year&gt;&lt;/dates&gt;&lt;isbn&gt;0706-652X&lt;/isbn&gt;&lt;urls&gt;&lt;/urls&gt;&lt;/record&gt;&lt;/Cite&gt;&lt;Cite&gt;&lt;Author&gt;Koehn&lt;/Author&gt;&lt;Year&gt;1996&lt;/Year&gt;&lt;RecNum&gt;3452&lt;/RecNum&gt;&lt;record&gt;&lt;rec-number&gt;3452&lt;/rec-number&gt;&lt;foreign-keys&gt;&lt;key app="EN" db-id="vxxvsda2b05fxpeaw2dp552mtrd5trxdrf0s"&gt;3452&lt;/key&gt;&lt;/foreign-keys&gt;&lt;ref-type name="Conference Proceedings"&gt;10&lt;/ref-type&gt;&lt;contributors&gt;&lt;authors&gt;&lt;author&gt;Koehn, J. D.&lt;/author&gt;&lt;author&gt;Nicol, S. J.&lt;/author&gt;&lt;/authors&gt;&lt;secondary-authors&gt;&lt;author&gt;Banens, R. J.&lt;/author&gt;&lt;author&gt;Lehane, R.&lt;/author&gt;&lt;/secondary-authors&gt;&lt;/contributors&gt;&lt;titles&gt;&lt;title&gt;Habitat and movement requirements of fish&lt;/title&gt;&lt;secondary-title&gt;Processings of the 1996 Riverine Enviroment Forum&lt;/secondary-title&gt;&lt;/titles&gt;&lt;pages&gt;1-6&lt;/pages&gt;&lt;dates&gt;&lt;year&gt;1996&lt;/year&gt;&lt;/dates&gt;&lt;pub-location&gt;Brisbane, Queensland&lt;/pub-location&gt;&lt;publisher&gt;Murray Darling Basin Commission&lt;/publisher&gt;&lt;urls&gt;&lt;/urls&gt;&lt;/record&gt;&lt;/Cite&gt;&lt;/EndNote&gt;</w:instrText>
      </w:r>
      <w:r w:rsidR="00D20FAE">
        <w:fldChar w:fldCharType="separate"/>
      </w:r>
      <w:r w:rsidR="009E2C5C">
        <w:rPr>
          <w:noProof/>
        </w:rPr>
        <w:t>(</w:t>
      </w:r>
      <w:hyperlink w:anchor="_ENREF_68" w:tooltip="Koehn, 1996 #3452" w:history="1">
        <w:r w:rsidR="006810E6">
          <w:rPr>
            <w:noProof/>
          </w:rPr>
          <w:t>Koehn and Nicol 1996</w:t>
        </w:r>
      </w:hyperlink>
      <w:r w:rsidR="009E2C5C">
        <w:rPr>
          <w:noProof/>
        </w:rPr>
        <w:t xml:space="preserve">, </w:t>
      </w:r>
      <w:hyperlink w:anchor="_ENREF_43" w:tooltip="Jackson, 2001 #3451" w:history="1">
        <w:r w:rsidR="006810E6">
          <w:rPr>
            <w:noProof/>
          </w:rPr>
          <w:t>Jackson, Peres-Neto</w:t>
        </w:r>
        <w:r w:rsidR="006810E6" w:rsidRPr="009E2C5C">
          <w:rPr>
            <w:i/>
            <w:noProof/>
          </w:rPr>
          <w:t xml:space="preserve"> et al.</w:t>
        </w:r>
        <w:r w:rsidR="006810E6">
          <w:rPr>
            <w:noProof/>
          </w:rPr>
          <w:t xml:space="preserve"> 2001</w:t>
        </w:r>
      </w:hyperlink>
      <w:r w:rsidR="009E2C5C">
        <w:rPr>
          <w:noProof/>
        </w:rPr>
        <w:t>)</w:t>
      </w:r>
      <w:r w:rsidR="00D20FAE">
        <w:fldChar w:fldCharType="end"/>
      </w:r>
      <w:r>
        <w:t xml:space="preserve">. For example, adult Murray cod exhibit complex seasonal movement patterns in alignment with their predictable spawning season </w:t>
      </w:r>
      <w:r w:rsidR="00D20FAE">
        <w:fldChar w:fldCharType="begin"/>
      </w:r>
      <w:r w:rsidR="009E2C5C">
        <w:instrText xml:space="preserve"> ADDIN EN.CITE &lt;EndNote&gt;&lt;Cite&gt;&lt;Author&gt;Koehn&lt;/Author&gt;&lt;Year&gt;2009&lt;/Year&gt;&lt;RecNum&gt;3453&lt;/RecNum&gt;&lt;DisplayText&gt;(Koehn, McKenzie&lt;style face="italic"&gt; et al.&lt;/style&gt; 2009)&lt;/DisplayText&gt;&lt;record&gt;&lt;rec-number&gt;3453&lt;/rec-number&gt;&lt;foreign-keys&gt;&lt;key app="EN" db-id="vxxvsda2b05fxpeaw2dp552mtrd5trxdrf0s"&gt;3453&lt;/key&gt;&lt;/foreign-keys&gt;&lt;ref-type name="Journal Article"&gt;17&lt;/ref-type&gt;&lt;contributors&gt;&lt;authors&gt;&lt;author&gt;Koehn, J. D.&lt;/author&gt;&lt;author&gt;McKenzie, J. A.&lt;/author&gt;&lt;author&gt;O’Mahony, D. J.&lt;/author&gt;&lt;author&gt;Nicol, S. J.&lt;/author&gt;&lt;author&gt;O’Connor, J. P.&lt;/author&gt;&lt;author&gt;O’Connor, W. G.&lt;/author&gt;&lt;/authors&gt;&lt;/contributors&gt;&lt;titles&gt;&lt;title&gt;Movements of Murray cod (Maccullochella peelii peelii) in a large Australian lowland river&lt;/title&gt;&lt;secondary-title&gt;Ecology of Freshwater Fish&lt;/secondary-title&gt;&lt;/titles&gt;&lt;periodical&gt;&lt;full-title&gt;Ecology of Freshwater Fish&lt;/full-title&gt;&lt;/periodical&gt;&lt;pages&gt;594-602&lt;/pages&gt;&lt;volume&gt;18&lt;/volume&gt;&lt;number&gt;4&lt;/number&gt;&lt;keywords&gt;&lt;keyword&gt;fish passage&lt;/keyword&gt;&lt;keyword&gt;homing&lt;/keyword&gt;&lt;keyword&gt;migration&lt;/keyword&gt;&lt;keyword&gt;radio telemetry&lt;/keyword&gt;&lt;/keywords&gt;&lt;dates&gt;&lt;year&gt;2009&lt;/year&gt;&lt;/dates&gt;&lt;publisher&gt;Blackwell Publishing Ltd&lt;/publisher&gt;&lt;isbn&gt;1600-0633&lt;/isbn&gt;&lt;urls&gt;&lt;related-urls&gt;&lt;url&gt;http://dx.doi.org/10.1111/j.1600-0633.2009.00375.x&lt;/url&gt;&lt;/related-urls&gt;&lt;/urls&gt;&lt;electronic-resource-num&gt;10.1111/j.1600-0633.2009.00375.x&lt;/electronic-resource-num&gt;&lt;/record&gt;&lt;/Cite&gt;&lt;/EndNote&gt;</w:instrText>
      </w:r>
      <w:r w:rsidR="00D20FAE">
        <w:fldChar w:fldCharType="separate"/>
      </w:r>
      <w:r w:rsidR="009E2C5C">
        <w:rPr>
          <w:noProof/>
        </w:rPr>
        <w:t>(</w:t>
      </w:r>
      <w:hyperlink w:anchor="_ENREF_67" w:tooltip="Koehn, 2009 #3453" w:history="1">
        <w:r w:rsidR="006810E6">
          <w:rPr>
            <w:noProof/>
          </w:rPr>
          <w:t>Koehn, McKenzie</w:t>
        </w:r>
        <w:r w:rsidR="006810E6" w:rsidRPr="009E2C5C">
          <w:rPr>
            <w:i/>
            <w:noProof/>
          </w:rPr>
          <w:t xml:space="preserve"> et al.</w:t>
        </w:r>
        <w:r w:rsidR="006810E6">
          <w:rPr>
            <w:noProof/>
          </w:rPr>
          <w:t xml:space="preserve"> 2009</w:t>
        </w:r>
      </w:hyperlink>
      <w:r w:rsidR="009E2C5C">
        <w:rPr>
          <w:noProof/>
        </w:rPr>
        <w:t>)</w:t>
      </w:r>
      <w:r w:rsidR="00D20FAE">
        <w:fldChar w:fldCharType="end"/>
      </w:r>
      <w:r>
        <w:t>, whilst juvenile Murray cod seek out complex woody structure</w:t>
      </w:r>
      <w:r w:rsidR="00D1153F">
        <w:t>s</w:t>
      </w:r>
      <w:r>
        <w:t xml:space="preserve"> for protection against larger predators </w:t>
      </w:r>
      <w:r w:rsidR="00D20FAE">
        <w:fldChar w:fldCharType="begin"/>
      </w:r>
      <w:r w:rsidR="009E2C5C">
        <w:instrText xml:space="preserve"> ADDIN EN.CITE &lt;EndNote&gt;&lt;Cite&gt;&lt;Author&gt;Jones&lt;/Author&gt;&lt;Year&gt;2007&lt;/Year&gt;&lt;RecNum&gt;3454&lt;/RecNum&gt;&lt;DisplayText&gt;(Jones and Stuart 2007)&lt;/DisplayText&gt;&lt;record&gt;&lt;rec-number&gt;3454&lt;/rec-number&gt;&lt;foreign-keys&gt;&lt;key app="EN" db-id="vxxvsda2b05fxpeaw2dp552mtrd5trxdrf0s"&gt;3454&lt;/key&gt;&lt;/foreign-keys&gt;&lt;ref-type name="Journal Article"&gt;17&lt;/ref-type&gt;&lt;contributors&gt;&lt;authors&gt;&lt;author&gt;Jones, M. J.&lt;/author&gt;&lt;author&gt;Stuart, I. G.&lt;/author&gt;&lt;/authors&gt;&lt;/contributors&gt;&lt;titles&gt;&lt;title&gt;Movements and habitat use of common carp (Cyprinus carpio) and Murray cod (Maccullochella peelii peelii) juveniles in a large lowland Australian river&lt;/title&gt;&lt;secondary-title&gt;Ecology of Freshwater Fish&lt;/secondary-title&gt;&lt;/titles&gt;&lt;periodical&gt;&lt;full-title&gt;Ecology of Freshwater Fish&lt;/full-title&gt;&lt;/periodical&gt;&lt;pages&gt;210-220&lt;/pages&gt;&lt;volume&gt;16&lt;/volume&gt;&lt;number&gt;2&lt;/number&gt;&lt;keywords&gt;&lt;keyword&gt;radio-telemetry&lt;/keyword&gt;&lt;keyword&gt;site fidelity&lt;/keyword&gt;&lt;keyword&gt;residency&lt;/keyword&gt;&lt;keyword&gt;Murray River&lt;/keyword&gt;&lt;/keywords&gt;&lt;dates&gt;&lt;year&gt;2007&lt;/year&gt;&lt;/dates&gt;&lt;publisher&gt;Blackwell Publishing Ltd&lt;/publisher&gt;&lt;isbn&gt;1600-0633&lt;/isbn&gt;&lt;urls&gt;&lt;related-urls&gt;&lt;url&gt;http://dx.doi.org/10.1111/j.1600-0633.2006.00213.x&lt;/url&gt;&lt;/related-urls&gt;&lt;/urls&gt;&lt;electronic-resource-num&gt;10.1111/j.1600-0633.2006.00213.x&lt;/electronic-resource-num&gt;&lt;/record&gt;&lt;/Cite&gt;&lt;/EndNote&gt;</w:instrText>
      </w:r>
      <w:r w:rsidR="00D20FAE">
        <w:fldChar w:fldCharType="separate"/>
      </w:r>
      <w:r w:rsidR="009E2C5C">
        <w:rPr>
          <w:noProof/>
        </w:rPr>
        <w:t>(</w:t>
      </w:r>
      <w:hyperlink w:anchor="_ENREF_47" w:tooltip="Jones, 2007 #3454" w:history="1">
        <w:r w:rsidR="006810E6">
          <w:rPr>
            <w:noProof/>
          </w:rPr>
          <w:t>Jones and Stuart 2007</w:t>
        </w:r>
      </w:hyperlink>
      <w:r w:rsidR="009E2C5C">
        <w:rPr>
          <w:noProof/>
        </w:rPr>
        <w:t>)</w:t>
      </w:r>
      <w:r w:rsidR="00D20FAE">
        <w:fldChar w:fldCharType="end"/>
      </w:r>
      <w:r>
        <w:t xml:space="preserve">. In some species, specific movement patterns have been observed in response to changes in discharge, water level, water temperature, food availability and accessibility to suitable habitat </w:t>
      </w:r>
      <w:r w:rsidR="00D20FAE">
        <w:fldChar w:fldCharType="begin">
          <w:fldData xml:space="preserve">PEVuZE5vdGU+PENpdGU+PEF1dGhvcj5BZ29zdGluaG88L0F1dGhvcj48WWVhcj4yMDA3PC9ZZWFy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</w:fldData>
        </w:fldChar>
      </w:r>
      <w:r w:rsidR="009E2C5C">
        <w:instrText xml:space="preserve"> ADDIN EN.CITE </w:instrText>
      </w:r>
      <w:r w:rsidR="00D20FAE">
        <w:fldChar w:fldCharType="begin">
          <w:fldData xml:space="preserve">PEVuZE5vdGU+PENpdGU+PEF1dGhvcj5BZ29zdGluaG88L0F1dGhvcj48WWVhcj4yMDA3PC9ZZWFy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</w:fldData>
        </w:fldChar>
      </w:r>
      <w:r w:rsidR="009E2C5C">
        <w:instrText xml:space="preserve"> ADDIN EN.CITE.DATA </w:instrText>
      </w:r>
      <w:r w:rsidR="00D20FAE">
        <w:fldChar w:fldCharType="end"/>
      </w:r>
      <w:r w:rsidR="00D20FAE">
        <w:fldChar w:fldCharType="separate"/>
      </w:r>
      <w:r w:rsidR="009E2C5C">
        <w:rPr>
          <w:noProof/>
        </w:rPr>
        <w:t>(</w:t>
      </w:r>
      <w:hyperlink w:anchor="_ENREF_83" w:tooltip="Reynolds, 1983 #3456" w:history="1">
        <w:r w:rsidR="006810E6">
          <w:rPr>
            <w:noProof/>
          </w:rPr>
          <w:t>Reynolds 1983</w:t>
        </w:r>
      </w:hyperlink>
      <w:r w:rsidR="009E2C5C">
        <w:rPr>
          <w:noProof/>
        </w:rPr>
        <w:t xml:space="preserve">, </w:t>
      </w:r>
      <w:hyperlink w:anchor="_ENREF_3" w:tooltip="Agostinho, 2007 #3455" w:history="1">
        <w:r w:rsidR="006810E6">
          <w:rPr>
            <w:noProof/>
          </w:rPr>
          <w:t>Agostinho, Gomes</w:t>
        </w:r>
        <w:r w:rsidR="006810E6" w:rsidRPr="009E2C5C">
          <w:rPr>
            <w:i/>
            <w:noProof/>
          </w:rPr>
          <w:t xml:space="preserve"> et al.</w:t>
        </w:r>
        <w:r w:rsidR="006810E6">
          <w:rPr>
            <w:noProof/>
          </w:rPr>
          <w:t xml:space="preserve"> 2007</w:t>
        </w:r>
      </w:hyperlink>
      <w:r w:rsidR="009E2C5C">
        <w:rPr>
          <w:noProof/>
        </w:rPr>
        <w:t xml:space="preserve">, </w:t>
      </w:r>
      <w:hyperlink w:anchor="_ENREF_47" w:tooltip="Jones, 2007 #3454" w:history="1">
        <w:r w:rsidR="006810E6">
          <w:rPr>
            <w:noProof/>
          </w:rPr>
          <w:t>Jones and Stuart 2007</w:t>
        </w:r>
      </w:hyperlink>
      <w:r w:rsidR="009E2C5C">
        <w:rPr>
          <w:noProof/>
        </w:rPr>
        <w:t>)</w:t>
      </w:r>
      <w:r w:rsidR="00D20FAE">
        <w:fldChar w:fldCharType="end"/>
      </w:r>
      <w:r>
        <w:t xml:space="preserve">. For example, golden perch in the Murray-Darling Basin move large geographical distances in response to rising water levels </w:t>
      </w:r>
      <w:r w:rsidR="00D20FAE">
        <w:fldChar w:fldCharType="begin"/>
      </w:r>
      <w:r w:rsidR="009E2C5C">
        <w:instrText xml:space="preserve"> ADDIN EN.CITE &lt;EndNote&gt;&lt;Cite&gt;&lt;Author&gt;Reynolds&lt;/Author&gt;&lt;Year&gt;1983&lt;/Year&gt;&lt;RecNum&gt;3456&lt;/RecNum&gt;&lt;DisplayText&gt;(Reynolds 1983)&lt;/DisplayText&gt;&lt;record&gt;&lt;rec-number&gt;3456&lt;/rec-number&gt;&lt;foreign-keys&gt;&lt;key app="EN" db-id="vxxvsda2b05fxpeaw2dp552mtrd5trxdrf0s"&gt;3456&lt;/key&gt;&lt;/foreign-keys&gt;&lt;ref-type name="Journal Article"&gt;17&lt;/ref-type&gt;&lt;contributors&gt;&lt;authors&gt;&lt;author&gt;Reynolds, LF&lt;/author&gt;&lt;/authors&gt;&lt;/contributors&gt;&lt;titles&gt;&lt;title&gt;Migration patterns of five fish species in the Murray-Darling River system&lt;/title&gt;&lt;secondary-title&gt;Marine and Freshwater Research&lt;/secondary-title&gt;&lt;/titles&gt;&lt;periodical&gt;&lt;full-title&gt;Marine and Freshwater Research&lt;/full-title&gt;&lt;/periodical&gt;&lt;pages&gt;857-871&lt;/pages&gt;&lt;volume&gt;34&lt;/volume&gt;&lt;number&gt;6&lt;/number&gt;&lt;dates&gt;&lt;year&gt;1983&lt;/year&gt;&lt;/dates&gt;&lt;urls&gt;&lt;related-urls&gt;&lt;url&gt;http://www.publish.csiro.au/paper/MF9830857&lt;/url&gt;&lt;/related-urls&gt;&lt;/urls&gt;&lt;electronic-resource-num&gt;http://dx.doi.org/10.1071/MF9830857&lt;/electronic-resource-num&gt;&lt;/record&gt;&lt;/Cite&gt;&lt;/EndNote&gt;</w:instrText>
      </w:r>
      <w:r w:rsidR="00D20FAE">
        <w:fldChar w:fldCharType="separate"/>
      </w:r>
      <w:r w:rsidR="009E2C5C">
        <w:rPr>
          <w:noProof/>
        </w:rPr>
        <w:t>(</w:t>
      </w:r>
      <w:hyperlink w:anchor="_ENREF_83" w:tooltip="Reynolds, 1983 #3456" w:history="1">
        <w:r w:rsidR="006810E6">
          <w:rPr>
            <w:noProof/>
          </w:rPr>
          <w:t>Reynolds 1983</w:t>
        </w:r>
      </w:hyperlink>
      <w:r w:rsidR="009E2C5C">
        <w:rPr>
          <w:noProof/>
        </w:rPr>
        <w:t>)</w:t>
      </w:r>
      <w:r w:rsidR="00D20FAE">
        <w:fldChar w:fldCharType="end"/>
      </w:r>
      <w:r w:rsidRPr="005F0283">
        <w:t xml:space="preserve">. </w:t>
      </w:r>
      <w:r>
        <w:t xml:space="preserve">It is anticipated that delivery of Commonwealth environmental flows within the predictable spawning season of large-bodied native fish in the Murrumbidgee River may initiate a fish movement response in large-bodied native fish. </w:t>
      </w:r>
    </w:p>
    <w:p w:rsidR="00C26BC6" w:rsidRDefault="00C26BC6" w:rsidP="00C26BC6">
      <w:r>
        <w:t xml:space="preserve">Fish movements occurring in response to Commonwealth environmental water delivery can be assessed using a number of monitoring techniques including radio tracking, passive integrated transponder systems and acoustic tracking </w:t>
      </w:r>
      <w:r w:rsidR="00D20FAE">
        <w:fldChar w:fldCharType="begin"/>
      </w:r>
      <w:r w:rsidR="009E2C5C">
        <w:instrText xml:space="preserve"> ADDIN EN.CITE &lt;EndNote&gt;&lt;Cite&gt;&lt;Author&gt;Adams&lt;/Author&gt;&lt;Year&gt;2012&lt;/Year&gt;&lt;RecNum&gt;3457&lt;/RecNum&gt;&lt;DisplayText&gt;(Adams, Beeman&lt;style face="italic"&gt; et al.&lt;/style&gt; 2012)&lt;/DisplayText&gt;&lt;record&gt;&lt;rec-number&gt;3457&lt;/rec-number&gt;&lt;foreign-keys&gt;&lt;key app="EN" db-id="vxxvsda2b05fxpeaw2dp552mtrd5trxdrf0s"&gt;3457&lt;/key&gt;&lt;/foreign-keys&gt;&lt;ref-type name="Edited Book"&gt;28&lt;/ref-type&gt;&lt;contributors&gt;&lt;authors&gt;&lt;author&gt;Adams, N. S.&lt;/author&gt;&lt;author&gt;Beeman, J. W.&lt;/author&gt;&lt;author&gt;Eiler, J. H.&lt;/author&gt;&lt;/authors&gt;&lt;/contributors&gt;&lt;titles&gt;&lt;title&gt;Telemetry Techniques: A User Guide for Fisheries Research&lt;/title&gt;&lt;/titles&gt;&lt;dates&gt;&lt;year&gt;2012&lt;/year&gt;&lt;/dates&gt;&lt;pub-location&gt;Maryland&lt;/pub-location&gt;&lt;publisher&gt;American Fisheries Society&lt;/publisher&gt;&lt;urls&gt;&lt;/urls&gt;&lt;/record&gt;&lt;/Cite&gt;&lt;/EndNote&gt;</w:instrText>
      </w:r>
      <w:r w:rsidR="00D20FAE">
        <w:fldChar w:fldCharType="separate"/>
      </w:r>
      <w:r w:rsidR="009E2C5C">
        <w:rPr>
          <w:noProof/>
        </w:rPr>
        <w:t>(</w:t>
      </w:r>
      <w:hyperlink w:anchor="_ENREF_2" w:tooltip="Adams, 2012 #3457" w:history="1">
        <w:r w:rsidR="006810E6">
          <w:rPr>
            <w:noProof/>
          </w:rPr>
          <w:t>Adams, Beeman</w:t>
        </w:r>
        <w:r w:rsidR="006810E6" w:rsidRPr="009E2C5C">
          <w:rPr>
            <w:i/>
            <w:noProof/>
          </w:rPr>
          <w:t xml:space="preserve"> et al.</w:t>
        </w:r>
        <w:r w:rsidR="006810E6">
          <w:rPr>
            <w:noProof/>
          </w:rPr>
          <w:t xml:space="preserve"> 2012</w:t>
        </w:r>
      </w:hyperlink>
      <w:r w:rsidR="009E2C5C">
        <w:rPr>
          <w:noProof/>
        </w:rPr>
        <w:t>)</w:t>
      </w:r>
      <w:r w:rsidR="00D20FAE">
        <w:fldChar w:fldCharType="end"/>
      </w:r>
      <w:r>
        <w:t>. For this study, acoustic tracking is the most suitable as it records the location of tagged fish in the study reach when they are within the detection range of the receiver units. Receiver units are strategically placed at regular intervals along the river so that both small and large movements can be detected. When a tagged fish swims within the detection range of the acoustic receiver, the unique identification number of the tagged fish as well as the date and time of the detection is recorded. A movement of a tagged fish is defined as ‘detections on two or more acoustic receivers’ so that directionality and the distance moved can be calculated. Overall, movement patterns of tagged fish are assessed by calculating the number of acoustic receivers they have passed within a set timeframe (this can be in both upstream and downstream directions). In the case of environmental water delivery, the strategic placement of acoustic receivers can provide information on timing of movements, distances travelled, correlation of movement with increases in discharge as well as evidence of spawning-related behaviours. This information can then inform the delivery success of Commonwealth environmental water as well as advise the future planning of events to maximise fish movement and spawning related outcomes.</w:t>
      </w:r>
    </w:p>
    <w:p w:rsidR="00C26BC6" w:rsidRDefault="00C26BC6" w:rsidP="00C26BC6">
      <w:r w:rsidRPr="005F0283">
        <w:t xml:space="preserve">The </w:t>
      </w:r>
      <w:r>
        <w:t>specific aim of this monitoring component is</w:t>
      </w:r>
      <w:r w:rsidRPr="005F0283">
        <w:t xml:space="preserve"> to </w:t>
      </w:r>
      <w:r>
        <w:t>examine</w:t>
      </w:r>
      <w:r w:rsidRPr="005F0283">
        <w:t xml:space="preserve"> potential spawning-related movement</w:t>
      </w:r>
      <w:r>
        <w:t xml:space="preserve"> in</w:t>
      </w:r>
      <w:r w:rsidRPr="005F0283">
        <w:t xml:space="preserve"> large-bodied native fish in </w:t>
      </w:r>
      <w:r>
        <w:t>association with</w:t>
      </w:r>
      <w:r w:rsidRPr="005F0283">
        <w:t xml:space="preserve"> the</w:t>
      </w:r>
      <w:r>
        <w:t xml:space="preserve"> delivery of Commonwealth environmental water</w:t>
      </w:r>
      <w:r w:rsidRPr="005F0283">
        <w:t xml:space="preserve">. Spawning </w:t>
      </w:r>
      <w:r>
        <w:t xml:space="preserve">by large bodied fish typically </w:t>
      </w:r>
      <w:r w:rsidRPr="005F0283">
        <w:t>occurs over a defined period</w:t>
      </w:r>
      <w:r>
        <w:t xml:space="preserve">. For example, </w:t>
      </w:r>
      <w:r w:rsidRPr="005F0283">
        <w:t>Murray cod spawn between</w:t>
      </w:r>
      <w:r>
        <w:t xml:space="preserve"> mid-October and late-November </w:t>
      </w:r>
      <w:r w:rsidR="00D20FAE">
        <w:fldChar w:fldCharType="begin"/>
      </w:r>
      <w:r w:rsidR="006171E9">
        <w:instrText xml:space="preserve"> ADDIN EN.CITE &lt;EndNote&gt;&lt;Cite&gt;&lt;Author&gt;Humphries&lt;/Author&gt;&lt;Year&gt;2005&lt;/Year&gt;&lt;RecNum&gt;3296&lt;/RecNum&gt;&lt;DisplayText&gt;(Humphries 2005)&lt;/DisplayText&gt;&lt;record&gt;&lt;rec-number&gt;3296&lt;/rec-number&gt;&lt;foreign-keys&gt;&lt;key app="EN" db-id="vxxvsda2b05fxpeaw2dp552mtrd5trxdrf0s"&gt;3296&lt;/key&gt;&lt;/foreign-keys&gt;&lt;ref-type name="Journal Article"&gt;17&lt;/ref-type&gt;&lt;contributors&gt;&lt;authors&gt;&lt;author&gt;Humphries, P.&lt;/author&gt;&lt;/authors&gt;&lt;/contributors&gt;&lt;titles&gt;&lt;title&gt;&lt;style face="normal" font="default" size="100%"&gt;Spawning time and early life history of Murray cod, &lt;/style&gt;&lt;style face="italic" font="default" size="100%"&gt;Maccullochella peelii&lt;/style&gt;&lt;style face="normal" font="default" size="100%"&gt; (Mitchell) in an Australian river&lt;/style&gt;&lt;/title&gt;&lt;secondary-title&gt;Environmental Biology of Fishes&lt;/secondary-title&gt;&lt;/titles&gt;&lt;periodical&gt;&lt;full-title&gt;Environmental Biology of Fishes&lt;/full-title&gt;&lt;/periodical&gt;&lt;pages&gt;393-407&lt;/pages&gt;&lt;volume&gt;72&lt;/volume&gt;&lt;dates&gt;&lt;year&gt;2005&lt;/year&gt;&lt;/dates&gt;&lt;urls&gt;&lt;/urls&gt;&lt;/record&gt;&lt;/Cite&gt;&lt;/EndNote&gt;</w:instrText>
      </w:r>
      <w:r w:rsidR="00D20FAE">
        <w:fldChar w:fldCharType="separate"/>
      </w:r>
      <w:r w:rsidR="006171E9">
        <w:rPr>
          <w:noProof/>
        </w:rPr>
        <w:t>(</w:t>
      </w:r>
      <w:hyperlink w:anchor="_ENREF_40" w:tooltip="Humphries, 2005 #3296" w:history="1">
        <w:r w:rsidR="006810E6">
          <w:rPr>
            <w:noProof/>
          </w:rPr>
          <w:t>Humphries 2005</w:t>
        </w:r>
      </w:hyperlink>
      <w:r w:rsidR="006171E9">
        <w:rPr>
          <w:noProof/>
        </w:rPr>
        <w:t>)</w:t>
      </w:r>
      <w:r w:rsidR="00D20FAE">
        <w:fldChar w:fldCharType="end"/>
      </w:r>
      <w:r w:rsidRPr="005F0283">
        <w:t xml:space="preserve">. </w:t>
      </w:r>
      <w:r>
        <w:t>It was hypothesised that the delivery of water, at an optimal temperatur</w:t>
      </w:r>
      <w:r w:rsidR="00D1153F">
        <w:t>e (17 – </w:t>
      </w:r>
      <w:r>
        <w:t xml:space="preserve">18°C) delivered during the spawning season, would increase water levels for an extended period, thereby increasing nest inundation and availability, potentially leading to greater spawning success. For example, the spawning migration and parental care behaviour exhibited by Murray cod </w:t>
      </w:r>
      <w:r w:rsidR="00D20FAE">
        <w:fldChar w:fldCharType="begin"/>
      </w:r>
      <w:r w:rsidR="006171E9">
        <w:instrText xml:space="preserve"> ADDIN EN.CITE &lt;EndNote&gt;&lt;Cite&gt;&lt;Author&gt;Rowland&lt;/Author&gt;&lt;Year&gt;1983&lt;/Year&gt;&lt;RecNum&gt;3297&lt;/RecNum&gt;&lt;DisplayText&gt;(Rowland 1983)&lt;/DisplayText&gt;&lt;record&gt;&lt;rec-number&gt;3297&lt;/rec-number&gt;&lt;foreign-keys&gt;&lt;key app="EN" db-id="vxxvsda2b05fxpeaw2dp552mtrd5trxdrf0s"&gt;3297&lt;/key&gt;&lt;/foreign-keys&gt;&lt;ref-type name="Journal Article"&gt;17&lt;/ref-type&gt;&lt;contributors&gt;&lt;authors&gt;&lt;author&gt;Rowland, S. J. &lt;/author&gt;&lt;/authors&gt;&lt;/contributors&gt;&lt;titles&gt;&lt;title&gt;&lt;style face="normal" font="default" size="100%"&gt;Spawning of the Australian freshwater fish Murray cod, &lt;/style&gt;&lt;style face="italic" font="default" size="100%"&gt;Maccullochella peeli&lt;/style&gt;&lt;style face="normal" font="default" size="100%"&gt; (Mitchell), in earthen ponds&lt;/style&gt;&lt;/title&gt;&lt;secondary-title&gt;Journal of Fish Biology&lt;/secondary-title&gt;&lt;/titles&gt;&lt;periodical&gt;&lt;full-title&gt;Journal of Fish Biology&lt;/full-title&gt;&lt;/periodical&gt;&lt;pages&gt;525-534.&lt;/pages&gt;&lt;volume&gt;23&lt;/volume&gt;&lt;dates&gt;&lt;year&gt;1983&lt;/year&gt;&lt;/dates&gt;&lt;urls&gt;&lt;/urls&gt;&lt;/record&gt;&lt;/Cite&gt;&lt;/EndNote&gt;</w:instrText>
      </w:r>
      <w:r w:rsidR="00D20FAE">
        <w:fldChar w:fldCharType="separate"/>
      </w:r>
      <w:r w:rsidR="006171E9">
        <w:rPr>
          <w:noProof/>
        </w:rPr>
        <w:t>(</w:t>
      </w:r>
      <w:hyperlink w:anchor="_ENREF_89" w:tooltip="Rowland, 1983 #3297" w:history="1">
        <w:r w:rsidR="006810E6">
          <w:rPr>
            <w:noProof/>
          </w:rPr>
          <w:t>Rowland 1983</w:t>
        </w:r>
      </w:hyperlink>
      <w:r w:rsidR="006171E9">
        <w:rPr>
          <w:noProof/>
        </w:rPr>
        <w:t>)</w:t>
      </w:r>
      <w:r w:rsidR="00D20FAE">
        <w:fldChar w:fldCharType="end"/>
      </w:r>
      <w:r>
        <w:t xml:space="preserve"> means that its spawning response to environmental flows can be tracked with the acoustic array. We would expect that following delivery of an appropriatel</w:t>
      </w:r>
      <w:r w:rsidR="00D1153F">
        <w:t>y timed environmental flow,</w:t>
      </w:r>
      <w:r>
        <w:t xml:space="preserve"> Murray cod males and females would undertake upstream or downstream movements consistent with actively seeking out a suitable mate and nest site. This would then be followed by a short period of inactivity (spawning), after which males would remain sedentary for a period of approximately ten days while guarding their eggs and larvae in the nest. </w:t>
      </w:r>
    </w:p>
    <w:p w:rsidR="00C26BC6" w:rsidRDefault="00C26BC6" w:rsidP="00C26BC6"/>
    <w:p w:rsidR="00C26BC6" w:rsidRPr="005F0283" w:rsidRDefault="00D31D5F" w:rsidP="00C44F46">
      <w:pPr>
        <w:pStyle w:val="Heading2"/>
      </w:pPr>
      <w:bookmarkStart w:id="279" w:name="_Toc370299211"/>
      <w:bookmarkStart w:id="280" w:name="_Toc370738799"/>
      <w:r>
        <w:t xml:space="preserve"> </w:t>
      </w:r>
      <w:bookmarkStart w:id="281" w:name="_Toc378168554"/>
      <w:r w:rsidR="00716AE0">
        <w:t>Methods</w:t>
      </w:r>
      <w:bookmarkEnd w:id="279"/>
      <w:bookmarkEnd w:id="280"/>
      <w:bookmarkEnd w:id="281"/>
    </w:p>
    <w:p w:rsidR="00E1766B" w:rsidRDefault="00C26BC6" w:rsidP="000A6C7F">
      <w:pPr>
        <w:pStyle w:val="Heading3"/>
      </w:pPr>
      <w:bookmarkStart w:id="282" w:name="_Toc370299212"/>
      <w:bookmarkStart w:id="283" w:name="_Toc370738800"/>
      <w:bookmarkStart w:id="284" w:name="_Toc378168555"/>
      <w:r>
        <w:t>Fish Collection</w:t>
      </w:r>
      <w:bookmarkEnd w:id="282"/>
      <w:bookmarkEnd w:id="283"/>
      <w:bookmarkEnd w:id="284"/>
    </w:p>
    <w:p w:rsidR="00C26BC6" w:rsidRDefault="00C26BC6" w:rsidP="00C26BC6">
      <w:r>
        <w:t>To collect fish for acoustic tagging, multi-pass electrofishing was performed in the study reach in the mid-Murrumbidgee River throughout September 2012 prior to the Commonwealth environmental release.  Prior to surgical implantation of the acoustic tag, fish were anaesthetised in an oxygenated tank containing 50 mg/L benzocaine (ethyl-p-amino benzoate).</w:t>
      </w:r>
      <w:r w:rsidR="006A2BD9">
        <w:t xml:space="preserve"> </w:t>
      </w:r>
      <w:r>
        <w:t>The gill movements of fish were monitored until it became shallow and irregular indicating the fish was under anaesthesia. The fish were then measured and weighed to ensure the suitability for acoustic tagging (the acoustic tag must remain below or near 2% of the fish’s body weight). Acoustic tags were surgically implanted into individuals of four large bodied native fish species; Murray cod (n=27) and trout cod (n=6) which exhibit nesting behaviours</w:t>
      </w:r>
      <w:r w:rsidR="006A2BD9">
        <w:t xml:space="preserve"> were tagged.</w:t>
      </w:r>
      <w:r>
        <w:t xml:space="preserve"> </w:t>
      </w:r>
      <w:r w:rsidR="006A2BD9">
        <w:t>G</w:t>
      </w:r>
      <w:r>
        <w:t xml:space="preserve">olden perch (n=5) and silver perch (n=2) that are known to move in response to flow delivery were tagged to determine if the flow provided a secondary benefit of connectivity for these species </w:t>
      </w:r>
      <w:r w:rsidRPr="000A6C7F">
        <w:t>(</w:t>
      </w:r>
      <w:r w:rsidR="00D20FAE">
        <w:fldChar w:fldCharType="begin"/>
      </w:r>
      <w:r w:rsidR="00DE7FD8">
        <w:instrText xml:space="preserve"> REF _Ref370370434 </w:instrText>
      </w:r>
      <w:r w:rsidR="00D20FAE">
        <w:fldChar w:fldCharType="separate"/>
      </w:r>
      <w:r w:rsidR="00436595">
        <w:t>A</w:t>
      </w:r>
      <w:r w:rsidR="00436595" w:rsidRPr="00510245">
        <w:t>ppendix</w:t>
      </w:r>
      <w:r w:rsidR="00436595" w:rsidRPr="00C909C4">
        <w:t xml:space="preserve"> </w:t>
      </w:r>
      <w:r w:rsidR="00436595">
        <w:t xml:space="preserve">2. </w:t>
      </w:r>
      <w:proofErr w:type="gramStart"/>
      <w:r w:rsidR="00436595">
        <w:t>Details of Acoustic Array</w:t>
      </w:r>
      <w:r w:rsidR="00D20FAE">
        <w:fldChar w:fldCharType="end"/>
      </w:r>
      <w:r w:rsidRPr="000A6C7F">
        <w:t>).</w:t>
      </w:r>
      <w:proofErr w:type="gramEnd"/>
      <w:r>
        <w:t xml:space="preserve"> Surgery to implant </w:t>
      </w:r>
      <w:r w:rsidRPr="00850FD5">
        <w:t xml:space="preserve">acoustic tags followed the procedure described in </w:t>
      </w:r>
      <w:r w:rsidR="00D20FAE" w:rsidRPr="00850FD5">
        <w:fldChar w:fldCharType="begin"/>
      </w:r>
      <w:r w:rsidR="009E2C5C" w:rsidRPr="00850FD5">
        <w:instrText xml:space="preserve"> ADDIN EN.CITE &lt;EndNote&gt;&lt;Cite&gt;&lt;Author&gt;Butler&lt;/Author&gt;&lt;Year&gt;2009&lt;/Year&gt;&lt;RecNum&gt;3458&lt;/RecNum&gt;&lt;DisplayText&gt;(Butler, Mackay&lt;style face="italic"&gt; et al.&lt;/style&gt; 2009)&lt;/DisplayText&gt;&lt;record&gt;&lt;rec-number&gt;3458&lt;/rec-number&gt;&lt;foreign-keys&gt;&lt;key app="EN" db-id="vxxvsda2b05fxpeaw2dp552mtrd5trxdrf0s"&gt;3458&lt;/key&gt;&lt;/foreign-keys&gt;&lt;ref-type name="Journal Article"&gt;17&lt;/ref-type&gt;&lt;contributors&gt;&lt;authors&gt;&lt;author&gt;Butler, G. L.&lt;/author&gt;&lt;author&gt;Mackay, B.&lt;/author&gt;&lt;author&gt;Rowland, S. J.&lt;/author&gt;&lt;author&gt;Pease, B. C.&lt;/author&gt;&lt;/authors&gt;&lt;/contributors&gt;&lt;titles&gt;&lt;title&gt;Retention of intra-peritoneal transmitters and post-operative recovery of four Australian native fish species&lt;/title&gt;&lt;secondary-title&gt;Marine and Freshwater Research&lt;/secondary-title&gt;&lt;/titles&gt;&lt;periodical&gt;&lt;full-title&gt;Marine and Freshwater Research&lt;/full-title&gt;&lt;/periodical&gt;&lt;pages&gt;361-370&lt;/pages&gt;&lt;volume&gt;60&lt;/volume&gt;&lt;number&gt;4&lt;/number&gt;&lt;keywords&gt;&lt;keyword&gt;acoustic transmitters, PIT tags, radio transmitters, suture material.&lt;/keyword&gt;&lt;/keywords&gt;&lt;dates&gt;&lt;year&gt;2009&lt;/year&gt;&lt;/dates&gt;&lt;urls&gt;&lt;related-urls&gt;&lt;url&gt;http://www.publish.csiro.au/paper/MF08147&lt;/url&gt;&lt;/related-urls&gt;&lt;/urls&gt;&lt;electronic-resource-num&gt;http://dx.doi.org/10.1071/MF08147&lt;/electronic-resource-num&gt;&lt;/record&gt;&lt;/Cite&gt;&lt;/EndNote&gt;</w:instrText>
      </w:r>
      <w:r w:rsidR="00D20FAE" w:rsidRPr="00850FD5">
        <w:fldChar w:fldCharType="separate"/>
      </w:r>
      <w:r w:rsidR="009E2C5C" w:rsidRPr="00850FD5">
        <w:rPr>
          <w:noProof/>
        </w:rPr>
        <w:t>(</w:t>
      </w:r>
      <w:hyperlink w:anchor="_ENREF_21" w:tooltip="Butler, 2009 #3458" w:history="1">
        <w:r w:rsidR="006810E6" w:rsidRPr="00850FD5">
          <w:rPr>
            <w:noProof/>
          </w:rPr>
          <w:t>Butler, Mackay</w:t>
        </w:r>
        <w:r w:rsidR="006810E6" w:rsidRPr="00850FD5">
          <w:rPr>
            <w:i/>
            <w:noProof/>
          </w:rPr>
          <w:t xml:space="preserve"> et al.</w:t>
        </w:r>
        <w:r w:rsidR="006810E6" w:rsidRPr="00850FD5">
          <w:rPr>
            <w:noProof/>
          </w:rPr>
          <w:t xml:space="preserve"> 2009</w:t>
        </w:r>
      </w:hyperlink>
      <w:r w:rsidR="009E2C5C" w:rsidRPr="00850FD5">
        <w:rPr>
          <w:noProof/>
        </w:rPr>
        <w:t>)</w:t>
      </w:r>
      <w:r w:rsidR="00D20FAE" w:rsidRPr="00850FD5">
        <w:fldChar w:fldCharType="end"/>
      </w:r>
      <w:r w:rsidRPr="00850FD5">
        <w:t xml:space="preserve"> (</w:t>
      </w:r>
      <w:fldSimple w:instr=" REF _Ref370287643  \* MERGEFORMAT ">
        <w:r w:rsidR="00436595" w:rsidRPr="00436595">
          <w:t xml:space="preserve">Plate </w:t>
        </w:r>
        <w:r w:rsidR="00436595" w:rsidRPr="00436595">
          <w:rPr>
            <w:noProof/>
          </w:rPr>
          <w:t>13</w:t>
        </w:r>
      </w:fldSimple>
      <w:r w:rsidRPr="00850FD5">
        <w:t>).</w:t>
      </w:r>
      <w:r>
        <w:t xml:space="preserve"> </w:t>
      </w:r>
    </w:p>
    <w:p w:rsidR="00C26BC6" w:rsidRDefault="00C26BC6" w:rsidP="00C26BC6"/>
    <w:p w:rsidR="00C26BC6" w:rsidRPr="0093630F" w:rsidRDefault="00BF39C5" w:rsidP="00C26BC6">
      <w:pPr>
        <w:keepNext/>
        <w:spacing w:after="0"/>
      </w:pPr>
      <w:r>
        <w:rPr>
          <w:noProof/>
          <w:lang w:eastAsia="en-AU"/>
        </w:rPr>
        <w:drawing>
          <wp:inline distT="0" distB="0" distL="0" distR="0">
            <wp:extent cx="2294890" cy="1741170"/>
            <wp:effectExtent l="19050" t="0" r="0" b="0"/>
            <wp:docPr id="106" name="Picture 2" descr="P913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9130023"/>
                    <pic:cNvPicPr>
                      <a:picLocks noChangeAspect="1" noChangeArrowheads="1"/>
                    </pic:cNvPicPr>
                  </pic:nvPicPr>
                  <pic:blipFill>
                    <a:blip r:embed="rId118" cstate="print"/>
                    <a:srcRect/>
                    <a:stretch>
                      <a:fillRect/>
                    </a:stretch>
                  </pic:blipFill>
                  <pic:spPr bwMode="auto">
                    <a:xfrm>
                      <a:off x="0" y="0"/>
                      <a:ext cx="2294890" cy="1741170"/>
                    </a:xfrm>
                    <a:prstGeom prst="rect">
                      <a:avLst/>
                    </a:prstGeom>
                    <a:noFill/>
                    <a:ln w="9525">
                      <a:noFill/>
                      <a:miter lim="800000"/>
                      <a:headEnd/>
                      <a:tailEnd/>
                    </a:ln>
                  </pic:spPr>
                </pic:pic>
              </a:graphicData>
            </a:graphic>
          </wp:inline>
        </w:drawing>
      </w:r>
      <w:r w:rsidR="0087202F">
        <w:rPr>
          <w:noProof/>
          <w:lang w:eastAsia="en-AU"/>
        </w:rPr>
        <w:drawing>
          <wp:inline distT="0" distB="0" distL="0" distR="0">
            <wp:extent cx="2303780" cy="1732280"/>
            <wp:effectExtent l="19050" t="0" r="1270" b="0"/>
            <wp:docPr id="40" name="Picture 1" descr="P91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9100003"/>
                    <pic:cNvPicPr>
                      <a:picLocks noChangeAspect="1" noChangeArrowheads="1"/>
                    </pic:cNvPicPr>
                  </pic:nvPicPr>
                  <pic:blipFill>
                    <a:blip r:embed="rId119" cstate="print"/>
                    <a:srcRect/>
                    <a:stretch>
                      <a:fillRect/>
                    </a:stretch>
                  </pic:blipFill>
                  <pic:spPr bwMode="auto">
                    <a:xfrm>
                      <a:off x="0" y="0"/>
                      <a:ext cx="2303780" cy="1732280"/>
                    </a:xfrm>
                    <a:prstGeom prst="rect">
                      <a:avLst/>
                    </a:prstGeom>
                    <a:noFill/>
                    <a:ln w="9525">
                      <a:noFill/>
                      <a:miter lim="800000"/>
                      <a:headEnd/>
                      <a:tailEnd/>
                    </a:ln>
                  </pic:spPr>
                </pic:pic>
              </a:graphicData>
            </a:graphic>
          </wp:inline>
        </w:drawing>
      </w:r>
    </w:p>
    <w:p w:rsidR="00C26BC6" w:rsidRPr="0093630F" w:rsidRDefault="00D00B56" w:rsidP="00D00B56">
      <w:pPr>
        <w:pStyle w:val="Caption1"/>
      </w:pPr>
      <w:bookmarkStart w:id="285" w:name="_Ref370287643"/>
      <w:bookmarkStart w:id="286" w:name="_Toc370738801"/>
      <w:r w:rsidRPr="00D00B56">
        <w:rPr>
          <w:b/>
        </w:rPr>
        <w:t xml:space="preserve">Plate </w:t>
      </w:r>
      <w:r w:rsidR="00D20FAE" w:rsidRPr="00D00B56">
        <w:rPr>
          <w:b/>
        </w:rPr>
        <w:fldChar w:fldCharType="begin"/>
      </w:r>
      <w:r w:rsidRPr="00D00B56">
        <w:rPr>
          <w:b/>
        </w:rPr>
        <w:instrText xml:space="preserve"> SEQ Plate \* ARABIC </w:instrText>
      </w:r>
      <w:r w:rsidR="00D20FAE" w:rsidRPr="00D00B56">
        <w:rPr>
          <w:b/>
        </w:rPr>
        <w:fldChar w:fldCharType="separate"/>
      </w:r>
      <w:r w:rsidR="00436595">
        <w:rPr>
          <w:b/>
          <w:noProof/>
        </w:rPr>
        <w:t>13</w:t>
      </w:r>
      <w:r w:rsidR="00D20FAE" w:rsidRPr="00D00B56">
        <w:rPr>
          <w:b/>
        </w:rPr>
        <w:fldChar w:fldCharType="end"/>
      </w:r>
      <w:bookmarkEnd w:id="285"/>
      <w:r w:rsidR="00C26BC6">
        <w:t xml:space="preserve"> (a) Surgery to implant</w:t>
      </w:r>
      <w:r w:rsidR="00C26BC6" w:rsidRPr="0093630F">
        <w:t xml:space="preserve"> acoustic tag into a golden perch and (b) Murray cod </w:t>
      </w:r>
      <w:r w:rsidR="00C26BC6">
        <w:t>with acoustic tag implanted, ready to be sutured, given antibiotics and released.</w:t>
      </w:r>
      <w:bookmarkEnd w:id="286"/>
    </w:p>
    <w:p w:rsidR="00C26BC6" w:rsidRDefault="00C26BC6" w:rsidP="00C26BC6">
      <w:pPr>
        <w:spacing w:after="0"/>
      </w:pPr>
    </w:p>
    <w:p w:rsidR="00E1766B" w:rsidRDefault="00C26BC6" w:rsidP="004D56C6">
      <w:pPr>
        <w:pStyle w:val="Heading3"/>
      </w:pPr>
      <w:bookmarkStart w:id="287" w:name="_Toc370299213"/>
      <w:bookmarkStart w:id="288" w:name="_Toc370738802"/>
      <w:bookmarkStart w:id="289" w:name="_Toc378168556"/>
      <w:r w:rsidRPr="005F0283">
        <w:t>Deployment of Acoustic Array</w:t>
      </w:r>
      <w:bookmarkEnd w:id="287"/>
      <w:bookmarkEnd w:id="288"/>
      <w:bookmarkEnd w:id="289"/>
    </w:p>
    <w:p w:rsidR="00C26BC6" w:rsidRDefault="00C26BC6" w:rsidP="00C26BC6">
      <w:proofErr w:type="gramStart"/>
      <w:r w:rsidRPr="005F0283">
        <w:t xml:space="preserve">An array of </w:t>
      </w:r>
      <w:r>
        <w:t>20</w:t>
      </w:r>
      <w:r w:rsidRPr="005F0283">
        <w:t xml:space="preserve"> </w:t>
      </w:r>
      <w:r w:rsidRPr="00C476EF">
        <w:t>acoustic receivers (VEMCO Ltd., Halifax, Nova Scotia, Canada) were</w:t>
      </w:r>
      <w:proofErr w:type="gramEnd"/>
      <w:r w:rsidRPr="00C476EF">
        <w:t xml:space="preserve"> </w:t>
      </w:r>
      <w:r w:rsidRPr="000A6C7F">
        <w:t>deployed in the Murrumbidgee River system between Berembed Weir and Yanco Weir (</w:t>
      </w:r>
      <w:fldSimple w:instr=" REF _Ref370287671  \* MERGEFORMAT ">
        <w:r w:rsidR="00436595" w:rsidRPr="00436595">
          <w:t xml:space="preserve">Figure </w:t>
        </w:r>
        <w:r w:rsidR="00436595" w:rsidRPr="00436595">
          <w:rPr>
            <w:noProof/>
          </w:rPr>
          <w:t>26</w:t>
        </w:r>
      </w:fldSimple>
      <w:r w:rsidRPr="000A6C7F">
        <w:t xml:space="preserve">). Acoustic receivers record the date, time and identity of acoustic tagged fish swimming within the detection range of the receiver units. Receivers were deployed during the week </w:t>
      </w:r>
      <w:r w:rsidR="00D1153F">
        <w:t>beginning</w:t>
      </w:r>
      <w:r w:rsidRPr="000A6C7F">
        <w:t xml:space="preserve"> 24</w:t>
      </w:r>
      <w:r w:rsidR="00D1153F" w:rsidRPr="00D1153F">
        <w:t xml:space="preserve"> </w:t>
      </w:r>
      <w:r w:rsidRPr="000A6C7F">
        <w:t xml:space="preserve">September 2012, with 18 receivers installed in the Murrumbidgee River channel and one receiver at the confluence of each of Old Man Creek and Yanco Creek to detect movement into tributaries (further details are provided in </w:t>
      </w:r>
      <w:r w:rsidR="00D20FAE">
        <w:fldChar w:fldCharType="begin"/>
      </w:r>
      <w:r w:rsidR="00DE7FD8">
        <w:instrText xml:space="preserve"> REF _Ref370370415 </w:instrText>
      </w:r>
      <w:r w:rsidR="00D20FAE">
        <w:fldChar w:fldCharType="separate"/>
      </w:r>
      <w:r w:rsidR="00436595">
        <w:t>A</w:t>
      </w:r>
      <w:r w:rsidR="00436595" w:rsidRPr="00510245">
        <w:t>ppendix</w:t>
      </w:r>
      <w:r w:rsidR="00436595" w:rsidRPr="00C909C4">
        <w:t xml:space="preserve"> </w:t>
      </w:r>
      <w:r w:rsidR="00436595">
        <w:t xml:space="preserve">2. </w:t>
      </w:r>
      <w:proofErr w:type="gramStart"/>
      <w:r w:rsidR="00436595">
        <w:t>Details of Acoustic Array</w:t>
      </w:r>
      <w:r w:rsidR="00D20FAE">
        <w:fldChar w:fldCharType="end"/>
      </w:r>
      <w:r w:rsidRPr="000A6C7F">
        <w:t>).</w:t>
      </w:r>
      <w:proofErr w:type="gramEnd"/>
      <w:r w:rsidRPr="000A6C7F">
        <w:t xml:space="preserve"> The acoustic array provided continuous monitoring of the movement of tagged fish throughout the study period.</w:t>
      </w:r>
    </w:p>
    <w:p w:rsidR="00D1153F" w:rsidRDefault="00D1153F" w:rsidP="00C4796B">
      <w:pPr>
        <w:rPr>
          <w:i/>
        </w:rPr>
        <w:sectPr w:rsidR="00D1153F" w:rsidSect="00B80BE4">
          <w:type w:val="continuous"/>
          <w:pgSz w:w="11907" w:h="16839" w:code="9"/>
          <w:pgMar w:top="1440" w:right="1440" w:bottom="1440" w:left="1440" w:header="708" w:footer="708" w:gutter="0"/>
          <w:cols w:space="708"/>
          <w:docGrid w:linePitch="360"/>
        </w:sectPr>
      </w:pPr>
    </w:p>
    <w:p w:rsidR="00C4796B" w:rsidRDefault="0087202F" w:rsidP="00C4796B">
      <w:r>
        <w:rPr>
          <w:noProof/>
          <w:lang w:eastAsia="en-AU"/>
        </w:rPr>
        <w:drawing>
          <wp:inline distT="0" distB="0" distL="0" distR="0">
            <wp:extent cx="8882543" cy="4886325"/>
            <wp:effectExtent l="19050" t="0" r="0" b="0"/>
            <wp:docPr id="42" name="Picture 42" descr="sitemap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itemapI2"/>
                    <pic:cNvPicPr>
                      <a:picLocks noChangeAspect="1" noChangeArrowheads="1"/>
                    </pic:cNvPicPr>
                  </pic:nvPicPr>
                  <pic:blipFill>
                    <a:blip r:embed="rId33" cstate="print"/>
                    <a:srcRect/>
                    <a:stretch>
                      <a:fillRect/>
                    </a:stretch>
                  </pic:blipFill>
                  <pic:spPr bwMode="auto">
                    <a:xfrm>
                      <a:off x="0" y="0"/>
                      <a:ext cx="8886089" cy="4888276"/>
                    </a:xfrm>
                    <a:prstGeom prst="rect">
                      <a:avLst/>
                    </a:prstGeom>
                    <a:noFill/>
                    <a:ln w="9525">
                      <a:noFill/>
                      <a:miter lim="800000"/>
                      <a:headEnd/>
                      <a:tailEnd/>
                    </a:ln>
                  </pic:spPr>
                </pic:pic>
              </a:graphicData>
            </a:graphic>
          </wp:inline>
        </w:drawing>
      </w:r>
    </w:p>
    <w:p w:rsidR="00C4796B" w:rsidRDefault="00C4796B" w:rsidP="00D00B56">
      <w:pPr>
        <w:pStyle w:val="Caption1"/>
      </w:pPr>
      <w:bookmarkStart w:id="290" w:name="_Ref370287671"/>
      <w:bookmarkStart w:id="291" w:name="_Toc370738803"/>
      <w:r w:rsidRPr="00D00B56">
        <w:rPr>
          <w:b/>
        </w:rPr>
        <w:t xml:space="preserve">Figure </w:t>
      </w:r>
      <w:r w:rsidR="00D20FAE" w:rsidRPr="00D00B56">
        <w:rPr>
          <w:b/>
        </w:rPr>
        <w:fldChar w:fldCharType="begin"/>
      </w:r>
      <w:r w:rsidRPr="00D00B56">
        <w:rPr>
          <w:b/>
        </w:rPr>
        <w:instrText xml:space="preserve"> SEQ Figure \* ARABIC </w:instrText>
      </w:r>
      <w:r w:rsidR="00D20FAE" w:rsidRPr="00D00B56">
        <w:rPr>
          <w:b/>
        </w:rPr>
        <w:fldChar w:fldCharType="separate"/>
      </w:r>
      <w:r w:rsidR="00436595">
        <w:rPr>
          <w:b/>
          <w:noProof/>
        </w:rPr>
        <w:t>26</w:t>
      </w:r>
      <w:r w:rsidR="00D20FAE" w:rsidRPr="00D00B56">
        <w:rPr>
          <w:b/>
        </w:rPr>
        <w:fldChar w:fldCharType="end"/>
      </w:r>
      <w:bookmarkEnd w:id="290"/>
      <w:r w:rsidRPr="00D00B56">
        <w:t xml:space="preserve"> Distribution of larval and community fish monitoring sites and acoustic receiver sites in the mid-Murrumbidgee River and Old Man Creek.</w:t>
      </w:r>
      <w:bookmarkEnd w:id="291"/>
      <w:r w:rsidRPr="00D4471D">
        <w:t xml:space="preserve"> </w:t>
      </w:r>
    </w:p>
    <w:p w:rsidR="00D1153F" w:rsidRDefault="00D1153F" w:rsidP="00D00B56">
      <w:pPr>
        <w:sectPr w:rsidR="00D1153F" w:rsidSect="00B941A0">
          <w:pgSz w:w="16839" w:h="11907" w:code="9"/>
          <w:pgMar w:top="1440" w:right="1440" w:bottom="1440" w:left="1440" w:header="708" w:footer="708" w:gutter="0"/>
          <w:cols w:space="708"/>
          <w:docGrid w:linePitch="360"/>
        </w:sectPr>
      </w:pPr>
    </w:p>
    <w:p w:rsidR="00D00B56" w:rsidRPr="00D00B56" w:rsidRDefault="00D00B56" w:rsidP="00D00B56"/>
    <w:p w:rsidR="00C26BC6" w:rsidRDefault="00C26BC6" w:rsidP="00C26BC6">
      <w:r>
        <w:t xml:space="preserve">Movement data </w:t>
      </w:r>
      <w:r w:rsidR="001315A6">
        <w:t>were</w:t>
      </w:r>
      <w:r>
        <w:t xml:space="preserve"> downloaded from the acoustic array in January, April and July 2013. Prior to analyses, single detections were removed </w:t>
      </w:r>
      <w:r w:rsidR="00D20FAE">
        <w:fldChar w:fldCharType="begin"/>
      </w:r>
      <w:r w:rsidR="009E2C5C">
        <w:instrText xml:space="preserve"> ADDIN EN.CITE &lt;EndNote&gt;&lt;Cite&gt;&lt;Author&gt;Clements&lt;/Author&gt;&lt;Year&gt;2005&lt;/Year&gt;&lt;RecNum&gt;3459&lt;/RecNum&gt;&lt;DisplayText&gt;(Clements, Jepsen&lt;style face="italic"&gt; et al.&lt;/style&gt; 2005)&lt;/DisplayText&gt;&lt;record&gt;&lt;rec-number&gt;3459&lt;/rec-number&gt;&lt;foreign-keys&gt;&lt;key app="EN" db-id="vxxvsda2b05fxpeaw2dp552mtrd5trxdrf0s"&gt;3459&lt;/key&gt;&lt;/foreign-keys&gt;&lt;ref-type name="Journal Article"&gt;17&lt;/ref-type&gt;&lt;contributors&gt;&lt;authors&gt;&lt;author&gt;Clements, Shaun&lt;/author&gt;&lt;author&gt;Jepsen, David&lt;/author&gt;&lt;author&gt;Karnowski, Mark&lt;/author&gt;&lt;author&gt;Schreck, Carl B.&lt;/author&gt;&lt;/authors&gt;&lt;/contributors&gt;&lt;titles&gt;&lt;title&gt;Optimization of an Acoustic Telemetry Array for Detecting Transmitter-Implanted Fish&lt;/title&gt;&lt;secondary-title&gt;North American Journal of Fisheries Management&lt;/secondary-title&gt;&lt;/titles&gt;&lt;periodical&gt;&lt;full-title&gt;North American Journal of Fisheries Management&lt;/full-title&gt;&lt;/periodical&gt;&lt;pages&gt;429-436&lt;/pages&gt;&lt;volume&gt;25&lt;/volume&gt;&lt;number&gt;2&lt;/number&gt;&lt;dates&gt;&lt;year&gt;2005&lt;/year&gt;&lt;pub-dates&gt;&lt;date&gt;2005/05/01&lt;/date&gt;&lt;/pub-dates&gt;&lt;/dates&gt;&lt;publisher&gt;Taylor &amp;amp; Francis&lt;/publisher&gt;&lt;isbn&gt;0275-5947&lt;/isbn&gt;&lt;urls&gt;&lt;related-urls&gt;&lt;url&gt;http://dx.doi.org/10.1577/M03-224.1&lt;/url&gt;&lt;/related-urls&gt;&lt;/urls&gt;&lt;electronic-resource-num&gt;10.1577/m03-224.1&lt;/electronic-resource-num&gt;&lt;access-date&gt;2013/09/09&lt;/access-date&gt;&lt;/record&gt;&lt;/Cite&gt;&lt;/EndNote&gt;</w:instrText>
      </w:r>
      <w:r w:rsidR="00D20FAE">
        <w:fldChar w:fldCharType="separate"/>
      </w:r>
      <w:r w:rsidR="009E2C5C">
        <w:rPr>
          <w:noProof/>
        </w:rPr>
        <w:t>(</w:t>
      </w:r>
      <w:hyperlink w:anchor="_ENREF_26" w:tooltip="Clements, 2005 #3459" w:history="1">
        <w:r w:rsidR="006810E6">
          <w:rPr>
            <w:noProof/>
          </w:rPr>
          <w:t>Clements, Jepsen</w:t>
        </w:r>
        <w:r w:rsidR="006810E6" w:rsidRPr="009E2C5C">
          <w:rPr>
            <w:i/>
            <w:noProof/>
          </w:rPr>
          <w:t xml:space="preserve"> et al.</w:t>
        </w:r>
        <w:r w:rsidR="006810E6">
          <w:rPr>
            <w:noProof/>
          </w:rPr>
          <w:t xml:space="preserve"> 2005</w:t>
        </w:r>
      </w:hyperlink>
      <w:r w:rsidR="009E2C5C">
        <w:rPr>
          <w:noProof/>
        </w:rPr>
        <w:t>)</w:t>
      </w:r>
      <w:r w:rsidR="00D20FAE">
        <w:fldChar w:fldCharType="end"/>
      </w:r>
      <w:r>
        <w:t xml:space="preserve"> and the detection data were visualised using Eonfusion software (Myriax Software Pty Ltd) by reviewing fish track movement to identify and exclude false detections</w:t>
      </w:r>
      <w:r w:rsidR="001315A6">
        <w:t>. All remaining data were</w:t>
      </w:r>
      <w:r>
        <w:t xml:space="preserve"> plotted on a </w:t>
      </w:r>
      <w:r w:rsidR="001315A6">
        <w:t xml:space="preserve">spatial representation </w:t>
      </w:r>
      <w:r>
        <w:t xml:space="preserve">of the Murrumbidgee River to generate time series movement videos (see results sections for each species). Movement metrics were then generated on a daily basis to correlate with flow parameters (discharge ML/day) and water level (metres; </w:t>
      </w:r>
      <w:r w:rsidRPr="000A6C7F">
        <w:t>detailed data analysis methods in Appendix</w:t>
      </w:r>
      <w:r w:rsidR="000A6C7F">
        <w:t xml:space="preserve"> 2</w:t>
      </w:r>
      <w:r>
        <w:t xml:space="preserve">). </w:t>
      </w:r>
    </w:p>
    <w:p w:rsidR="00C26BC6" w:rsidRPr="003C08DF" w:rsidRDefault="00C26BC6" w:rsidP="00C26BC6">
      <w:r>
        <w:t xml:space="preserve">Displacement and activity metrics were used to assess fish movement patterns during the period of Commonwealth environmental water delivery. Displacement is a representation of the geographical distance and direction that a fish moved during the study period, whilst activity is </w:t>
      </w:r>
      <w:r w:rsidR="0065207A">
        <w:t xml:space="preserve">a </w:t>
      </w:r>
      <w:r>
        <w:t xml:space="preserve">measure of the amount of movement that occurred during that geographical displacement. For example, a fish may geographically move </w:t>
      </w:r>
      <w:r w:rsidR="001315A6">
        <w:t xml:space="preserve">10 km </w:t>
      </w:r>
      <w:r>
        <w:t xml:space="preserve">upstream in one day (displacement of </w:t>
      </w:r>
      <w:r w:rsidR="001315A6">
        <w:t>10 km). H</w:t>
      </w:r>
      <w:r>
        <w:t>owever</w:t>
      </w:r>
      <w:r w:rsidR="001315A6">
        <w:t>,</w:t>
      </w:r>
      <w:r>
        <w:t xml:space="preserve"> that same fish may have travelled up to </w:t>
      </w:r>
      <w:r w:rsidR="001315A6">
        <w:t xml:space="preserve">50 km </w:t>
      </w:r>
      <w:r>
        <w:t xml:space="preserve">as it swam back and forth between potential feeding grounds, </w:t>
      </w:r>
      <w:proofErr w:type="gramStart"/>
      <w:r>
        <w:t>or</w:t>
      </w:r>
      <w:proofErr w:type="gramEnd"/>
      <w:r>
        <w:t xml:space="preserve"> looking for a mate (activity). Therefore</w:t>
      </w:r>
      <w:r w:rsidR="001315A6">
        <w:t>,</w:t>
      </w:r>
      <w:r>
        <w:t xml:space="preserve"> displacement figures are compared with activity to get a view of the overall distances that fish move, but also the characteristics of those movement patterns.</w:t>
      </w:r>
    </w:p>
    <w:p w:rsidR="00C26BC6" w:rsidRPr="00C476EF" w:rsidRDefault="00D31D5F" w:rsidP="00C44F46">
      <w:pPr>
        <w:pStyle w:val="Heading2"/>
      </w:pPr>
      <w:bookmarkStart w:id="292" w:name="_Toc370299214"/>
      <w:bookmarkStart w:id="293" w:name="_Toc370738804"/>
      <w:r>
        <w:t xml:space="preserve"> </w:t>
      </w:r>
      <w:bookmarkStart w:id="294" w:name="_Toc378168557"/>
      <w:r w:rsidR="00716AE0">
        <w:t>Results</w:t>
      </w:r>
      <w:bookmarkEnd w:id="292"/>
      <w:bookmarkEnd w:id="293"/>
      <w:bookmarkEnd w:id="294"/>
    </w:p>
    <w:p w:rsidR="00C26BC6" w:rsidRDefault="00C26BC6" w:rsidP="00C26BC6">
      <w:r>
        <w:t xml:space="preserve">Fish movement data were </w:t>
      </w:r>
      <w:r w:rsidRPr="00C476EF">
        <w:t>collected for a 288 day period from 27</w:t>
      </w:r>
      <w:r w:rsidR="001315A6">
        <w:t xml:space="preserve"> September</w:t>
      </w:r>
      <w:r w:rsidRPr="00C476EF">
        <w:t xml:space="preserve"> 2012 to 12</w:t>
      </w:r>
      <w:r w:rsidR="001315A6">
        <w:t xml:space="preserve"> July</w:t>
      </w:r>
      <w:r w:rsidRPr="00C476EF">
        <w:t xml:space="preserve"> 2013. During this period, 24 acoustic </w:t>
      </w:r>
      <w:r>
        <w:t>tagged fish</w:t>
      </w:r>
      <w:r w:rsidRPr="00C476EF">
        <w:t xml:space="preserve"> were recorded within the study area </w:t>
      </w:r>
      <w:r>
        <w:t xml:space="preserve">and a </w:t>
      </w:r>
      <w:r w:rsidRPr="00C476EF">
        <w:t xml:space="preserve">total of 208,205 detections </w:t>
      </w:r>
      <w:r>
        <w:t xml:space="preserve">were downloaded from </w:t>
      </w:r>
      <w:r w:rsidRPr="00C476EF">
        <w:t>13</w:t>
      </w:r>
      <w:r>
        <w:t xml:space="preserve"> of the 20</w:t>
      </w:r>
      <w:r w:rsidRPr="00C476EF">
        <w:t xml:space="preserve"> acoustic receivers</w:t>
      </w:r>
      <w:r>
        <w:t>.</w:t>
      </w:r>
    </w:p>
    <w:p w:rsidR="00C26BC6" w:rsidRPr="00C476EF" w:rsidRDefault="00C26BC6" w:rsidP="00D00B56">
      <w:pPr>
        <w:pStyle w:val="Heading3"/>
      </w:pPr>
      <w:bookmarkStart w:id="295" w:name="_Toc370299215"/>
      <w:bookmarkStart w:id="296" w:name="_Toc370738805"/>
      <w:bookmarkStart w:id="297" w:name="_Toc378168558"/>
      <w:r w:rsidRPr="00C476EF">
        <w:t>Murray cod</w:t>
      </w:r>
      <w:bookmarkEnd w:id="295"/>
      <w:bookmarkEnd w:id="296"/>
      <w:bookmarkEnd w:id="297"/>
      <w:r w:rsidRPr="00C476EF">
        <w:t xml:space="preserve"> </w:t>
      </w:r>
    </w:p>
    <w:p w:rsidR="00C26BC6" w:rsidRDefault="00C26BC6" w:rsidP="00C26BC6">
      <w:r>
        <w:t>Out o</w:t>
      </w:r>
      <w:r w:rsidRPr="00C476EF">
        <w:t xml:space="preserve">f the 27 Murray cod tagged, 17 were detected during the study period, and one is known to have been removed from the study population by an angler. </w:t>
      </w:r>
      <w:r>
        <w:t>Murray cod movement was monitored between Berembed Weir and Yanco Weir, with the only movements by this species detected from the confluence of Old Man Creek and the Murrumbidgee River to five kilometres downstream of the Narrandera town boat ramp.</w:t>
      </w:r>
    </w:p>
    <w:p w:rsidR="00C26BC6" w:rsidRPr="0093630F" w:rsidRDefault="00C26BC6" w:rsidP="00C26BC6">
      <w:r>
        <w:t xml:space="preserve">Mean displacement of Murray cod is used as a measurement of specific spawning related movement, whereby a movement upstream or downstream followed by a period of sedentary behaviour (flat displacement line) is considered to be consistent with spawning related behaviour. </w:t>
      </w:r>
      <w:r w:rsidRPr="00C476EF">
        <w:t>The peak movement period (</w:t>
      </w:r>
      <w:r>
        <w:t>mean</w:t>
      </w:r>
      <w:r w:rsidRPr="00C476EF">
        <w:t xml:space="preserve"> displacement) for Murray cod was Se</w:t>
      </w:r>
      <w:r>
        <w:t xml:space="preserve">ptember to December 2012, which coincided with the delivery of Commonwealth environmental water and the Murray cod spawning season. </w:t>
      </w:r>
      <w:r w:rsidRPr="00C476EF">
        <w:t>Throughout the</w:t>
      </w:r>
      <w:r>
        <w:t xml:space="preserve"> period of Commonwealth environmental water delivery</w:t>
      </w:r>
      <w:r w:rsidRPr="00C476EF">
        <w:t xml:space="preserve">, Murray cod exhibited small, </w:t>
      </w:r>
      <w:r w:rsidRPr="00DE7FD8">
        <w:t>localised movements up to 2.5 kilometres in both upstream and downstream directions (</w:t>
      </w:r>
      <w:fldSimple w:instr=" REF _Ref367880456  \* MERGEFORMAT ">
        <w:r w:rsidR="00436595" w:rsidRPr="00436595">
          <w:t xml:space="preserve">Figure </w:t>
        </w:r>
        <w:r w:rsidR="00436595" w:rsidRPr="00436595">
          <w:rPr>
            <w:noProof/>
          </w:rPr>
          <w:t>27</w:t>
        </w:r>
      </w:fldSimple>
      <w:r w:rsidRPr="00DE7FD8">
        <w:t xml:space="preserve">). During this time, changes in movement direction (from upstream to downstream and from downstream to upstream) were associated with small peaks in flow and tended to </w:t>
      </w:r>
      <w:r w:rsidR="0065207A">
        <w:t>occur</w:t>
      </w:r>
      <w:r w:rsidR="0065207A" w:rsidRPr="00DE7FD8">
        <w:t xml:space="preserve"> </w:t>
      </w:r>
      <w:r w:rsidRPr="00DE7FD8">
        <w:t>directly after a change in discharge levels, suggesting that daily change in discharge may be a trigger for small scale movements for this species (</w:t>
      </w:r>
      <w:fldSimple w:instr=" REF _Ref367880456 \h  \* MERGEFORMAT ">
        <w:r w:rsidR="00436595" w:rsidRPr="00436595">
          <w:t xml:space="preserve">Figure </w:t>
        </w:r>
        <w:r w:rsidR="00436595" w:rsidRPr="00436595">
          <w:rPr>
            <w:noProof/>
          </w:rPr>
          <w:t>27</w:t>
        </w:r>
      </w:fldSimple>
      <w:r w:rsidRPr="00DE7FD8">
        <w:t>). These small scale movements during the spawning season may indicate that tagged fish were actively seeking mates and spawning. Following these localised</w:t>
      </w:r>
      <w:r>
        <w:t xml:space="preserve"> movements, fish underwent a period of sedentary behaviour (as indicated by ‘flat lines’ in black displacement line) i</w:t>
      </w:r>
      <w:r w:rsidR="001315A6">
        <w:t>ndicating that during this time</w:t>
      </w:r>
      <w:r>
        <w:t xml:space="preserve"> male fish may have been guarding the eggs and larvae in their nests post-spawning and female fish may have remained in the spawning location for an extended period.</w:t>
      </w:r>
      <w:r w:rsidR="00536572">
        <w:rPr>
          <w:noProof/>
          <w:lang w:eastAsia="en-AU"/>
        </w:rPr>
        <w:drawing>
          <wp:inline distT="0" distB="0" distL="0" distR="0">
            <wp:extent cx="6049142" cy="2788355"/>
            <wp:effectExtent l="19050" t="0" r="8758" b="0"/>
            <wp:docPr id="4" name="Picture 3"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20" cstate="print"/>
                    <a:stretch>
                      <a:fillRect/>
                    </a:stretch>
                  </pic:blipFill>
                  <pic:spPr>
                    <a:xfrm>
                      <a:off x="0" y="0"/>
                      <a:ext cx="6050596" cy="2789025"/>
                    </a:xfrm>
                    <a:prstGeom prst="rect">
                      <a:avLst/>
                    </a:prstGeom>
                  </pic:spPr>
                </pic:pic>
              </a:graphicData>
            </a:graphic>
          </wp:inline>
        </w:drawing>
      </w:r>
    </w:p>
    <w:p w:rsidR="00C26BC6" w:rsidRDefault="00C26BC6" w:rsidP="00C26BC6">
      <w:pPr>
        <w:pStyle w:val="Caption"/>
        <w:spacing w:line="276" w:lineRule="auto"/>
        <w:rPr>
          <w:rFonts w:ascii="Century Gothic" w:hAnsi="Century Gothic"/>
          <w:sz w:val="22"/>
          <w:szCs w:val="22"/>
        </w:rPr>
      </w:pPr>
      <w:bookmarkStart w:id="298" w:name="_Ref366159127"/>
    </w:p>
    <w:p w:rsidR="00C26BC6" w:rsidRPr="0093630F" w:rsidRDefault="00C26BC6" w:rsidP="00193122">
      <w:pPr>
        <w:pStyle w:val="Caption1"/>
      </w:pPr>
      <w:bookmarkStart w:id="299" w:name="_Ref367880456"/>
      <w:bookmarkStart w:id="300" w:name="_Toc370738806"/>
      <w:r w:rsidRPr="00D00B56">
        <w:rPr>
          <w:b/>
        </w:rPr>
        <w:t xml:space="preserve">Figure </w:t>
      </w:r>
      <w:r w:rsidR="00D20FAE" w:rsidRPr="00D00B56">
        <w:rPr>
          <w:b/>
        </w:rPr>
        <w:fldChar w:fldCharType="begin"/>
      </w:r>
      <w:r w:rsidRPr="00D00B56">
        <w:rPr>
          <w:b/>
        </w:rPr>
        <w:instrText xml:space="preserve"> SEQ Figure \* ARABIC </w:instrText>
      </w:r>
      <w:r w:rsidR="00D20FAE" w:rsidRPr="00D00B56">
        <w:rPr>
          <w:b/>
        </w:rPr>
        <w:fldChar w:fldCharType="separate"/>
      </w:r>
      <w:r w:rsidR="00436595">
        <w:rPr>
          <w:b/>
          <w:noProof/>
        </w:rPr>
        <w:t>27</w:t>
      </w:r>
      <w:r w:rsidR="00D20FAE" w:rsidRPr="00D00B56">
        <w:rPr>
          <w:b/>
        </w:rPr>
        <w:fldChar w:fldCharType="end"/>
      </w:r>
      <w:bookmarkEnd w:id="298"/>
      <w:bookmarkEnd w:id="299"/>
      <w:r w:rsidRPr="0093630F">
        <w:t xml:space="preserve"> Mean displacement (left axis, black) of Murray cod in relation to activity (left axis, grey) and discharge at Narrandera (</w:t>
      </w:r>
      <w:r>
        <w:t xml:space="preserve">ML/day; </w:t>
      </w:r>
      <w:r w:rsidRPr="0093630F">
        <w:t>blue</w:t>
      </w:r>
      <w:r>
        <w:t xml:space="preserve"> hydrograph</w:t>
      </w:r>
      <w:r w:rsidRPr="0093630F">
        <w:t>)</w:t>
      </w:r>
      <w:r>
        <w:t xml:space="preserve">. Data </w:t>
      </w:r>
      <w:r w:rsidR="001315A6">
        <w:t>are</w:t>
      </w:r>
      <w:r>
        <w:t xml:space="preserve"> based on</w:t>
      </w:r>
      <w:r w:rsidRPr="0093630F">
        <w:t xml:space="preserve"> 17 fish that were detected during the study period.  Upstream movement is positive and downstream movement is negative.</w:t>
      </w:r>
      <w:r w:rsidRPr="00A03210">
        <w:t xml:space="preserve"> </w:t>
      </w:r>
      <w:r w:rsidRPr="0093630F">
        <w:t xml:space="preserve">The shaded square represents the 2012 </w:t>
      </w:r>
      <w:r>
        <w:t xml:space="preserve">CEW </w:t>
      </w:r>
      <w:r w:rsidRPr="0093630F">
        <w:t xml:space="preserve">environmental </w:t>
      </w:r>
      <w:r>
        <w:t>fresh.</w:t>
      </w:r>
      <w:bookmarkEnd w:id="300"/>
    </w:p>
    <w:p w:rsidR="00C26BC6" w:rsidRDefault="00C26BC6" w:rsidP="00C26BC6"/>
    <w:p w:rsidR="00C26BC6" w:rsidRDefault="00C26BC6" w:rsidP="00C26BC6">
      <w:r>
        <w:t xml:space="preserve">Although mean displacement movement patterns offer an overall picture of the movement patterns and characteristics of the tagged Murray cod population </w:t>
      </w:r>
      <w:r w:rsidRPr="00DE7FD8">
        <w:t>before, during and after Commonwealth environmental water delivery, movement patterns of each tagged fish can be examined to identify individual fish that may have been exhibiting specific spawning related movement (</w:t>
      </w:r>
      <w:fldSimple w:instr=" REF _Ref366159312 \h  \* MERGEFORMAT ">
        <w:r w:rsidR="00436595" w:rsidRPr="00436595">
          <w:t xml:space="preserve">Figure </w:t>
        </w:r>
        <w:r w:rsidR="00436595" w:rsidRPr="00436595">
          <w:rPr>
            <w:noProof/>
          </w:rPr>
          <w:t>28</w:t>
        </w:r>
      </w:fldSimple>
      <w:r w:rsidRPr="00DE7FD8">
        <w:t>). The movement behaviours of four tagged Murray cod (one male and three females) were consistent with spawning related movement. All four fish exhibited small peaks in movement (both upstream and downstream), followed by periods of sedentary behaviour, where fish do not move for an extended period (ranging from approximately two weeks to one month; represented by a ‘flat line’ in movement line) (</w:t>
      </w:r>
      <w:fldSimple w:instr=" REF _Ref366159312 \h  \* MERGEFORMAT ">
        <w:r w:rsidR="00436595" w:rsidRPr="00436595">
          <w:t xml:space="preserve">Figure </w:t>
        </w:r>
        <w:r w:rsidR="00436595" w:rsidRPr="00436595">
          <w:rPr>
            <w:noProof/>
          </w:rPr>
          <w:t>28</w:t>
        </w:r>
      </w:fldSimple>
      <w:r w:rsidRPr="00DE7FD8">
        <w:t>). The timing of this movement pattern occurred from mid-September through to mid-October, making it plausible that these movements were spawning related. Other individuals of this species exhibited different movement patterns, with one tagged</w:t>
      </w:r>
      <w:r>
        <w:t xml:space="preserve"> fish making a rapid downstream movement in mid-December before returning to its starting location (light purple line), whereas other fish </w:t>
      </w:r>
      <w:r w:rsidRPr="00CD28FA">
        <w:t>remain</w:t>
      </w:r>
      <w:r>
        <w:t>ed</w:t>
      </w:r>
      <w:r w:rsidRPr="004E26D0">
        <w:t xml:space="preserve"> relatively</w:t>
      </w:r>
      <w:r w:rsidRPr="00CD28FA">
        <w:t xml:space="preserve"> sedentary throughout the period of Commonwealth environmental water delivery as well as for the remainder of the study period (indicated by</w:t>
      </w:r>
      <w:r>
        <w:t xml:space="preserve"> continuous</w:t>
      </w:r>
      <w:r w:rsidRPr="00CD28FA">
        <w:t xml:space="preserve"> ‘flat lines’</w:t>
      </w:r>
      <w:r>
        <w:t>; these fish were scanned continuously on one acoustic receiver</w:t>
      </w:r>
      <w:r w:rsidRPr="00CD28FA">
        <w:t>).</w:t>
      </w:r>
      <w:r>
        <w:t xml:space="preserve"> Interestingly, one Murray cod made a rapid upstream movement in early June 2013 in direct response to a sharp increase in discharge </w:t>
      </w:r>
      <w:r w:rsidR="0065207A">
        <w:t xml:space="preserve">of </w:t>
      </w:r>
      <w:r>
        <w:t>approximately 2,000 ML/day (dark purple line).</w:t>
      </w:r>
    </w:p>
    <w:p w:rsidR="00C26BC6" w:rsidRPr="0093630F" w:rsidRDefault="00C26BC6" w:rsidP="00C26BC6">
      <w:pPr>
        <w:spacing w:after="0"/>
      </w:pPr>
    </w:p>
    <w:p w:rsidR="00C26BC6" w:rsidRPr="0093630F" w:rsidRDefault="0087202F" w:rsidP="00C26BC6">
      <w:pPr>
        <w:keepNext/>
        <w:spacing w:after="0"/>
      </w:pPr>
      <w:r>
        <w:rPr>
          <w:noProof/>
          <w:lang w:eastAsia="en-AU"/>
        </w:rPr>
        <w:drawing>
          <wp:inline distT="0" distB="0" distL="0" distR="0">
            <wp:extent cx="6066790" cy="2787015"/>
            <wp:effectExtent l="0" t="0" r="0" b="0"/>
            <wp:docPr id="4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cstate="print"/>
                    <a:srcRect l="-3398" r="-2727" b="-3256"/>
                    <a:stretch>
                      <a:fillRect/>
                    </a:stretch>
                  </pic:blipFill>
                  <pic:spPr bwMode="auto">
                    <a:xfrm>
                      <a:off x="0" y="0"/>
                      <a:ext cx="6066790" cy="2787015"/>
                    </a:xfrm>
                    <a:prstGeom prst="rect">
                      <a:avLst/>
                    </a:prstGeom>
                    <a:noFill/>
                    <a:ln w="9525">
                      <a:noFill/>
                      <a:miter lim="800000"/>
                      <a:headEnd/>
                      <a:tailEnd/>
                    </a:ln>
                  </pic:spPr>
                </pic:pic>
              </a:graphicData>
            </a:graphic>
          </wp:inline>
        </w:drawing>
      </w:r>
    </w:p>
    <w:p w:rsidR="00C26BC6" w:rsidRPr="0093630F" w:rsidRDefault="00C26BC6" w:rsidP="00193122">
      <w:pPr>
        <w:pStyle w:val="Caption1"/>
      </w:pPr>
      <w:bookmarkStart w:id="301" w:name="_Ref366159312"/>
      <w:bookmarkStart w:id="302" w:name="_Toc370738807"/>
      <w:proofErr w:type="gramStart"/>
      <w:r w:rsidRPr="00AB11D3">
        <w:rPr>
          <w:b/>
        </w:rPr>
        <w:t xml:space="preserve">Figure </w:t>
      </w:r>
      <w:proofErr w:type="gramEnd"/>
      <w:r w:rsidR="00D20FAE" w:rsidRPr="00AB11D3">
        <w:rPr>
          <w:b/>
        </w:rPr>
        <w:fldChar w:fldCharType="begin"/>
      </w:r>
      <w:r w:rsidRPr="00AB11D3">
        <w:rPr>
          <w:b/>
        </w:rPr>
        <w:instrText xml:space="preserve"> SEQ Figure \* ARABIC </w:instrText>
      </w:r>
      <w:r w:rsidR="00D20FAE" w:rsidRPr="00AB11D3">
        <w:rPr>
          <w:b/>
        </w:rPr>
        <w:fldChar w:fldCharType="separate"/>
      </w:r>
      <w:r w:rsidR="00436595">
        <w:rPr>
          <w:b/>
          <w:noProof/>
        </w:rPr>
        <w:t>28</w:t>
      </w:r>
      <w:r w:rsidR="00D20FAE" w:rsidRPr="00AB11D3">
        <w:rPr>
          <w:b/>
        </w:rPr>
        <w:fldChar w:fldCharType="end"/>
      </w:r>
      <w:bookmarkEnd w:id="301"/>
      <w:proofErr w:type="gramStart"/>
      <w:r w:rsidRPr="00AB11D3">
        <w:rPr>
          <w:b/>
        </w:rPr>
        <w:t>.</w:t>
      </w:r>
      <w:proofErr w:type="gramEnd"/>
      <w:r w:rsidRPr="0093630F">
        <w:t xml:space="preserve"> Individual movement patterns of 17 Murray cod during the study period and discharge (ML/day) at Narrandera (blue</w:t>
      </w:r>
      <w:r>
        <w:t xml:space="preserve"> hydrograph</w:t>
      </w:r>
      <w:r w:rsidRPr="0093630F">
        <w:t xml:space="preserve">). </w:t>
      </w:r>
      <w:r>
        <w:t>Each coloured line represents one tagged Murray cod that was in the detection range of the acoustic receivers. Straight lines indicate detections for each individual fish, whereas white space indicates times when no fish were detected on each station. Station Numbers represent each acoustic receiver, with Station 6 situated 500 metres downstream of the confluence of Old Man Creek and the Murrumbidgee River and Station 18 situated one kilometre downstream of Yanco Weir.</w:t>
      </w:r>
      <w:r w:rsidRPr="0093630F">
        <w:t xml:space="preserve"> The shaded square represents the 2012 </w:t>
      </w:r>
      <w:r>
        <w:t xml:space="preserve">CEW </w:t>
      </w:r>
      <w:r w:rsidRPr="0093630F">
        <w:t xml:space="preserve">environmental </w:t>
      </w:r>
      <w:r>
        <w:t>fresh.</w:t>
      </w:r>
      <w:bookmarkEnd w:id="302"/>
    </w:p>
    <w:p w:rsidR="00C26BC6" w:rsidRDefault="00C26BC6" w:rsidP="00C26BC6"/>
    <w:p w:rsidR="00C26BC6" w:rsidRDefault="00C26BC6" w:rsidP="00D00B56">
      <w:pPr>
        <w:pStyle w:val="Heading3"/>
      </w:pPr>
      <w:bookmarkStart w:id="303" w:name="_Toc370299216"/>
      <w:bookmarkStart w:id="304" w:name="_Toc370738808"/>
      <w:bookmarkStart w:id="305" w:name="_Toc378168559"/>
      <w:r w:rsidRPr="0093630F">
        <w:t>Trout cod</w:t>
      </w:r>
      <w:bookmarkEnd w:id="303"/>
      <w:bookmarkEnd w:id="304"/>
      <w:bookmarkEnd w:id="305"/>
      <w:r w:rsidRPr="0093630F">
        <w:t xml:space="preserve"> </w:t>
      </w:r>
    </w:p>
    <w:p w:rsidR="00C26BC6" w:rsidRDefault="00C26BC6" w:rsidP="00C26BC6">
      <w:r w:rsidRPr="0093630F">
        <w:t xml:space="preserve">Five of the six trout cod tagged were detected during the study period. </w:t>
      </w:r>
      <w:r>
        <w:t>Tagged</w:t>
      </w:r>
      <w:r w:rsidR="001315A6">
        <w:t xml:space="preserve"> trout cod were moving within a ten kilometre range</w:t>
      </w:r>
      <w:r>
        <w:t>;</w:t>
      </w:r>
      <w:r w:rsidRPr="0093630F">
        <w:t xml:space="preserve"> </w:t>
      </w:r>
      <w:r>
        <w:t>from Buckingbong boat ramp down to approximately three kilometres upstream of Nar</w:t>
      </w:r>
      <w:r w:rsidR="001315A6">
        <w:t>randera boat ramp. This suggested</w:t>
      </w:r>
      <w:r>
        <w:t xml:space="preserve"> that tagged trout cod displayed a relatively small home range which was close to their original tagging location. Mean di</w:t>
      </w:r>
      <w:r w:rsidR="001315A6">
        <w:t>splacement of trout cod suggested</w:t>
      </w:r>
      <w:r>
        <w:t xml:space="preserve"> that the peak period of movement was within the period of Commonwealth environmental water </w:t>
      </w:r>
      <w:r w:rsidRPr="00CF571F">
        <w:t>delivery (</w:t>
      </w:r>
      <w:fldSimple w:instr=" REF _Ref367704816 \h  \* MERGEFORMAT ">
        <w:r w:rsidR="00436595" w:rsidRPr="00436595">
          <w:t xml:space="preserve">Figure </w:t>
        </w:r>
        <w:r w:rsidR="00436595" w:rsidRPr="00436595">
          <w:rPr>
            <w:noProof/>
          </w:rPr>
          <w:t>29</w:t>
        </w:r>
      </w:fldSimple>
      <w:r w:rsidRPr="00CF571F">
        <w:t>).</w:t>
      </w:r>
      <w:r>
        <w:t xml:space="preserve"> </w:t>
      </w:r>
      <w:r w:rsidRPr="0093630F">
        <w:t xml:space="preserve"> Trout cod exhibited downstream movement</w:t>
      </w:r>
      <w:r>
        <w:t xml:space="preserve"> </w:t>
      </w:r>
      <w:r w:rsidR="001315A6">
        <w:t xml:space="preserve">of </w:t>
      </w:r>
      <w:r>
        <w:t>up to 10 kilometres</w:t>
      </w:r>
      <w:r w:rsidRPr="0093630F">
        <w:t xml:space="preserve"> in association with small flow peaks during the study period</w:t>
      </w:r>
      <w:r w:rsidR="001315A6">
        <w:t>,</w:t>
      </w:r>
      <w:r>
        <w:t xml:space="preserve"> and a</w:t>
      </w:r>
      <w:r w:rsidRPr="0093630F">
        <w:t>ctivity levels</w:t>
      </w:r>
      <w:r>
        <w:t xml:space="preserve"> (grey line)</w:t>
      </w:r>
      <w:r w:rsidRPr="0093630F">
        <w:t xml:space="preserve"> were comparable to displacement levels</w:t>
      </w:r>
      <w:r>
        <w:t xml:space="preserve"> (black line)</w:t>
      </w:r>
      <w:r w:rsidRPr="0093630F">
        <w:t xml:space="preserve">, indicating that </w:t>
      </w:r>
      <w:r>
        <w:t>tagged fish</w:t>
      </w:r>
      <w:r w:rsidRPr="0093630F">
        <w:t xml:space="preserve"> made direct movements rather than swimming back and forth between receivers. Most downstream movements occurred directly after small peaks in discharge, with </w:t>
      </w:r>
      <w:r>
        <w:t xml:space="preserve">the largest movement made </w:t>
      </w:r>
      <w:r w:rsidRPr="0093630F">
        <w:t>after the smal</w:t>
      </w:r>
      <w:r>
        <w:t>l flow peak in late November</w:t>
      </w:r>
      <w:r w:rsidRPr="0093630F">
        <w:t>.</w:t>
      </w:r>
      <w:r>
        <w:t xml:space="preserve"> </w:t>
      </w:r>
      <w:bookmarkStart w:id="306" w:name="_Ref365358497"/>
    </w:p>
    <w:p w:rsidR="00C26BC6" w:rsidRDefault="00A33558" w:rsidP="001315A6">
      <w:pPr>
        <w:pStyle w:val="Caption"/>
        <w:keepNext/>
        <w:spacing w:line="276" w:lineRule="auto"/>
        <w:rPr>
          <w:rFonts w:ascii="Century Gothic" w:hAnsi="Century Gothic"/>
          <w:sz w:val="22"/>
          <w:szCs w:val="22"/>
        </w:rPr>
      </w:pPr>
      <w:r>
        <w:rPr>
          <w:rFonts w:ascii="Century Gothic" w:hAnsi="Century Gothic"/>
          <w:noProof/>
          <w:sz w:val="22"/>
          <w:szCs w:val="22"/>
          <w:lang w:eastAsia="en-AU"/>
        </w:rPr>
        <w:drawing>
          <wp:inline distT="0" distB="0" distL="0" distR="0">
            <wp:extent cx="5732145" cy="2642235"/>
            <wp:effectExtent l="19050" t="0" r="1905" b="0"/>
            <wp:docPr id="27" name="Picture 26" descr="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122" cstate="print"/>
                    <a:stretch>
                      <a:fillRect/>
                    </a:stretch>
                  </pic:blipFill>
                  <pic:spPr>
                    <a:xfrm>
                      <a:off x="0" y="0"/>
                      <a:ext cx="5732145" cy="2642235"/>
                    </a:xfrm>
                    <a:prstGeom prst="rect">
                      <a:avLst/>
                    </a:prstGeom>
                  </pic:spPr>
                </pic:pic>
              </a:graphicData>
            </a:graphic>
          </wp:inline>
        </w:drawing>
      </w:r>
    </w:p>
    <w:p w:rsidR="00C26BC6" w:rsidRDefault="00C26BC6" w:rsidP="00193122">
      <w:pPr>
        <w:pStyle w:val="Caption1"/>
      </w:pPr>
      <w:bookmarkStart w:id="307" w:name="_Ref367704816"/>
      <w:bookmarkStart w:id="308" w:name="_Toc370738809"/>
      <w:proofErr w:type="gramStart"/>
      <w:r w:rsidRPr="00AB11D3">
        <w:rPr>
          <w:b/>
        </w:rPr>
        <w:t xml:space="preserve">Figure </w:t>
      </w:r>
      <w:proofErr w:type="gramEnd"/>
      <w:r w:rsidR="00D20FAE" w:rsidRPr="00AB11D3">
        <w:rPr>
          <w:b/>
        </w:rPr>
        <w:fldChar w:fldCharType="begin"/>
      </w:r>
      <w:r w:rsidRPr="00AB11D3">
        <w:rPr>
          <w:b/>
        </w:rPr>
        <w:instrText xml:space="preserve"> SEQ Figure \* ARABIC </w:instrText>
      </w:r>
      <w:r w:rsidR="00D20FAE" w:rsidRPr="00AB11D3">
        <w:rPr>
          <w:b/>
        </w:rPr>
        <w:fldChar w:fldCharType="separate"/>
      </w:r>
      <w:r w:rsidR="00436595">
        <w:rPr>
          <w:b/>
          <w:noProof/>
        </w:rPr>
        <w:t>29</w:t>
      </w:r>
      <w:r w:rsidR="00D20FAE" w:rsidRPr="00AB11D3">
        <w:rPr>
          <w:b/>
        </w:rPr>
        <w:fldChar w:fldCharType="end"/>
      </w:r>
      <w:bookmarkEnd w:id="306"/>
      <w:bookmarkEnd w:id="307"/>
      <w:proofErr w:type="gramStart"/>
      <w:r w:rsidRPr="0093630F">
        <w:t>.</w:t>
      </w:r>
      <w:proofErr w:type="gramEnd"/>
      <w:r w:rsidRPr="0093630F">
        <w:t xml:space="preserve"> Mean displacement (left axis, black) of trout cod in relation to activity (right axis, grey) and discharge at Narrandera</w:t>
      </w:r>
      <w:r>
        <w:t xml:space="preserve"> </w:t>
      </w:r>
      <w:r w:rsidRPr="0093630F">
        <w:t>(ML/day</w:t>
      </w:r>
      <w:r>
        <w:t>; blue hydrograph</w:t>
      </w:r>
      <w:r w:rsidRPr="0093630F">
        <w:t>) based on five fish that were detected during the study period. Upstream movement is positive and downstream movement is negative.</w:t>
      </w:r>
      <w:r w:rsidRPr="00A03210">
        <w:t xml:space="preserve"> </w:t>
      </w:r>
      <w:r w:rsidRPr="0093630F">
        <w:t xml:space="preserve">The shaded square represents the 2012 </w:t>
      </w:r>
      <w:r>
        <w:t xml:space="preserve">CEW </w:t>
      </w:r>
      <w:r w:rsidRPr="0093630F">
        <w:t xml:space="preserve">environmental </w:t>
      </w:r>
      <w:r>
        <w:t>fresh.</w:t>
      </w:r>
      <w:bookmarkEnd w:id="308"/>
    </w:p>
    <w:p w:rsidR="001315A6" w:rsidRDefault="001315A6" w:rsidP="00C26BC6"/>
    <w:p w:rsidR="000748A3" w:rsidRDefault="00C26BC6" w:rsidP="00C26BC6">
      <w:r>
        <w:t>Individual trout cod movement patterns indicate</w:t>
      </w:r>
      <w:r w:rsidR="00191F3E">
        <w:t>d</w:t>
      </w:r>
      <w:r>
        <w:t xml:space="preserve"> that </w:t>
      </w:r>
      <w:r w:rsidRPr="00D00B56">
        <w:t>three females were active within the Commonwealth environmental watering period (</w:t>
      </w:r>
      <w:r w:rsidR="00191F3E">
        <w:t>Figure 30</w:t>
      </w:r>
      <w:r w:rsidRPr="00D00B56">
        <w:t>). Movement patterns of females suggest that they may have been looking for mates or suitable spawning habitat during the period of Commonwealth environmental</w:t>
      </w:r>
      <w:r>
        <w:t xml:space="preserve"> watering, as indicated by the sharp increases and decreases in movement lines (orange, purple and light blue). Two other trout cod were not detected during the period of environmental watering, but were detected December 2012 through to July 2013 (light green and dark green lines). Straight movement lines indicate that these individuals were being consistently detected on the same receiver, suggesting that these fish were exhibiting a small home range (swimming close by to one receiver on a daily basis and never travelling enough distance to be detected on the next closest receiver). This demonstrates that during this time (December 2012 through to July 2013) these two trout cod inhabited a home range of approximately four kilometres (the average distance between two acoustic receivers). A</w:t>
      </w:r>
      <w:r w:rsidRPr="00762EE0">
        <w:t xml:space="preserve">s this species </w:t>
      </w:r>
      <w:r>
        <w:t>has been</w:t>
      </w:r>
      <w:r w:rsidRPr="00762EE0">
        <w:t xml:space="preserve"> known to spawn from September onwards (dependent upon wate</w:t>
      </w:r>
      <w:r>
        <w:t>r temperature), tagged f</w:t>
      </w:r>
      <w:r w:rsidRPr="00762EE0">
        <w:t>ish may have exhibited</w:t>
      </w:r>
      <w:r>
        <w:t xml:space="preserve"> additional</w:t>
      </w:r>
      <w:r w:rsidRPr="00762EE0">
        <w:t xml:space="preserve"> movement patterns </w:t>
      </w:r>
      <w:r>
        <w:t xml:space="preserve">(potentially spawning-related) </w:t>
      </w:r>
      <w:r w:rsidRPr="00762EE0">
        <w:t>before the acoustic array was deployed in late September</w:t>
      </w:r>
      <w:r>
        <w:t xml:space="preserve"> 2012.</w:t>
      </w:r>
    </w:p>
    <w:p w:rsidR="001315A6" w:rsidRDefault="001315A6" w:rsidP="00C26BC6"/>
    <w:p w:rsidR="00D00B56" w:rsidRDefault="00D00B56" w:rsidP="00961A71">
      <w:pPr>
        <w:pStyle w:val="Caption1"/>
        <w:rPr>
          <w:noProof/>
          <w:sz w:val="22"/>
          <w:szCs w:val="22"/>
          <w:lang w:eastAsia="en-AU"/>
        </w:rPr>
      </w:pPr>
      <w:bookmarkStart w:id="309" w:name="_Toc370738810"/>
      <w:bookmarkStart w:id="310" w:name="_Ref366672217"/>
      <w:bookmarkStart w:id="311" w:name="_Ref366672194"/>
      <w:bookmarkEnd w:id="309"/>
    </w:p>
    <w:p w:rsidR="00A33558" w:rsidRDefault="00A33558" w:rsidP="00961A71">
      <w:pPr>
        <w:pStyle w:val="Caption1"/>
        <w:rPr>
          <w:rStyle w:val="SubtitleChar"/>
          <w:rFonts w:eastAsia="Calibri"/>
          <w:b/>
        </w:rPr>
      </w:pPr>
      <w:bookmarkStart w:id="312" w:name="_Toc370738811"/>
      <w:r>
        <w:rPr>
          <w:rFonts w:eastAsia="Calibri"/>
          <w:b/>
          <w:noProof/>
          <w:lang w:eastAsia="en-AU"/>
        </w:rPr>
        <w:drawing>
          <wp:inline distT="0" distB="0" distL="0" distR="0">
            <wp:extent cx="5732145" cy="2642235"/>
            <wp:effectExtent l="19050" t="0" r="1905" b="0"/>
            <wp:docPr id="90" name="Picture 89" descr="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3.png"/>
                    <pic:cNvPicPr/>
                  </pic:nvPicPr>
                  <pic:blipFill>
                    <a:blip r:embed="rId123" cstate="print"/>
                    <a:stretch>
                      <a:fillRect/>
                    </a:stretch>
                  </pic:blipFill>
                  <pic:spPr>
                    <a:xfrm>
                      <a:off x="0" y="0"/>
                      <a:ext cx="5732145" cy="2642235"/>
                    </a:xfrm>
                    <a:prstGeom prst="rect">
                      <a:avLst/>
                    </a:prstGeom>
                  </pic:spPr>
                </pic:pic>
              </a:graphicData>
            </a:graphic>
          </wp:inline>
        </w:drawing>
      </w:r>
    </w:p>
    <w:p w:rsidR="00C26BC6" w:rsidRPr="0067609C" w:rsidRDefault="00191F3E" w:rsidP="00961A71">
      <w:pPr>
        <w:pStyle w:val="Caption1"/>
        <w:rPr>
          <w:noProof/>
          <w:sz w:val="22"/>
          <w:szCs w:val="22"/>
          <w:lang w:eastAsia="en-AU"/>
        </w:rPr>
      </w:pPr>
      <w:proofErr w:type="gramStart"/>
      <w:r>
        <w:rPr>
          <w:rStyle w:val="SubtitleChar"/>
          <w:rFonts w:eastAsia="Calibri"/>
          <w:b/>
        </w:rPr>
        <w:t xml:space="preserve">Figure </w:t>
      </w:r>
      <w:proofErr w:type="gramEnd"/>
      <w:r w:rsidR="00D20FAE" w:rsidRPr="00961A71">
        <w:rPr>
          <w:rStyle w:val="SubtitleChar"/>
          <w:rFonts w:eastAsia="Calibri"/>
          <w:b/>
        </w:rPr>
        <w:fldChar w:fldCharType="begin"/>
      </w:r>
      <w:r w:rsidR="00C26BC6" w:rsidRPr="00961A71">
        <w:rPr>
          <w:rStyle w:val="SubtitleChar"/>
          <w:rFonts w:eastAsia="Calibri"/>
          <w:b/>
        </w:rPr>
        <w:instrText xml:space="preserve"> SEQ Figure \* ARABIC </w:instrText>
      </w:r>
      <w:r w:rsidR="00D20FAE" w:rsidRPr="00961A71">
        <w:rPr>
          <w:rStyle w:val="SubtitleChar"/>
          <w:rFonts w:eastAsia="Calibri"/>
          <w:b/>
        </w:rPr>
        <w:fldChar w:fldCharType="separate"/>
      </w:r>
      <w:r w:rsidR="00436595">
        <w:rPr>
          <w:rStyle w:val="SubtitleChar"/>
          <w:rFonts w:eastAsia="Calibri"/>
          <w:b/>
          <w:noProof/>
        </w:rPr>
        <w:t>30</w:t>
      </w:r>
      <w:r w:rsidR="00D20FAE" w:rsidRPr="00961A71">
        <w:rPr>
          <w:rStyle w:val="SubtitleChar"/>
          <w:rFonts w:eastAsia="Calibri"/>
          <w:b/>
        </w:rPr>
        <w:fldChar w:fldCharType="end"/>
      </w:r>
      <w:bookmarkEnd w:id="310"/>
      <w:proofErr w:type="gramStart"/>
      <w:r w:rsidR="00C26BC6" w:rsidRPr="00961A71">
        <w:rPr>
          <w:rStyle w:val="SubtitleChar"/>
          <w:rFonts w:eastAsia="Calibri"/>
          <w:b/>
        </w:rPr>
        <w:t>.</w:t>
      </w:r>
      <w:proofErr w:type="gramEnd"/>
      <w:r w:rsidR="00C26BC6" w:rsidRPr="00961A71">
        <w:rPr>
          <w:rStyle w:val="SubtitleChar"/>
          <w:rFonts w:eastAsia="Calibri"/>
          <w:b/>
        </w:rPr>
        <w:t xml:space="preserve"> </w:t>
      </w:r>
      <w:r w:rsidR="00C26BC6" w:rsidRPr="00961A71">
        <w:rPr>
          <w:rFonts w:eastAsia="Calibri"/>
        </w:rPr>
        <w:t>Individual movement patterns of six trout cod during the study period and discharge at Narrandera (ML/day; blue hydrograph). Each coloured line represents one tagged trout cod that was in the detection range of the acoustic receivers. Straight lines indicate detections for each individual fish, whereas white space indicates times when no fish were detected on each station. Station Numbers represent each acoustic receiver, with Station 6 situated 500 metres downstream of the confluence of Old Man Creek and the Murrumbidgee River and Station 18 is situated one kilometre downstream of Yanco Weir. The shaded square represents the 2012 CEW environmental fresh.</w:t>
      </w:r>
      <w:bookmarkEnd w:id="311"/>
      <w:bookmarkEnd w:id="312"/>
    </w:p>
    <w:p w:rsidR="00C26BC6" w:rsidRDefault="00C26BC6" w:rsidP="00C26BC6">
      <w:pPr>
        <w:rPr>
          <w:i/>
        </w:rPr>
      </w:pPr>
    </w:p>
    <w:p w:rsidR="00C26BC6" w:rsidRDefault="00C26BC6" w:rsidP="00D00B56">
      <w:pPr>
        <w:pStyle w:val="Heading3"/>
      </w:pPr>
      <w:bookmarkStart w:id="313" w:name="_Toc370299217"/>
      <w:bookmarkStart w:id="314" w:name="_Toc370738812"/>
      <w:bookmarkStart w:id="315" w:name="_Toc378168560"/>
      <w:r w:rsidRPr="0093630F">
        <w:t>Silver perch</w:t>
      </w:r>
      <w:bookmarkEnd w:id="313"/>
      <w:bookmarkEnd w:id="314"/>
      <w:bookmarkEnd w:id="315"/>
      <w:r w:rsidRPr="0093630F">
        <w:t xml:space="preserve"> </w:t>
      </w:r>
    </w:p>
    <w:p w:rsidR="000748A3" w:rsidRDefault="00C26BC6" w:rsidP="00C26BC6">
      <w:r>
        <w:t>R</w:t>
      </w:r>
      <w:r w:rsidRPr="0093630F">
        <w:t>ecords of silver perch movement were</w:t>
      </w:r>
      <w:r w:rsidR="00191F3E">
        <w:t xml:space="preserve"> over a much larger geographic</w:t>
      </w:r>
      <w:r>
        <w:t xml:space="preserve"> distance compared to Murray cod and trout cod. Mean displacement and mean activity calculations were not made for this species given only two individuals were detected and there was no overlap in their </w:t>
      </w:r>
      <w:r w:rsidRPr="00D00B56">
        <w:t>movements (</w:t>
      </w:r>
      <w:fldSimple w:instr=" REF _Ref367450657 \h  \* MERGEFORMAT ">
        <w:r w:rsidR="00436595" w:rsidRPr="00436595">
          <w:t xml:space="preserve">Figure </w:t>
        </w:r>
        <w:r w:rsidR="00436595" w:rsidRPr="00436595">
          <w:rPr>
            <w:noProof/>
          </w:rPr>
          <w:t>31</w:t>
        </w:r>
      </w:fldSimple>
      <w:r w:rsidRPr="00D00B56">
        <w:t>).</w:t>
      </w:r>
      <w:r>
        <w:t xml:space="preserve"> One individual undertook rapid upstream and downstream movements that were associated with small changes in discharge within the Commonwealth environmental watering period (green line). This silver perch is believed to have left the study area, travelling downstream of Yanco Weir and was then detected upstream of Yanco Weir. High flows provided during the Commonwealth environmental water period facilitated movement of this silver perch over the weir in order to migrate upstream. Future high flows may enable this fish to re-enter the study reach and be tracked prior to tag expiration. A similar movement pattern is seen for the silver perch detected outside of the Commonwealth environmental watering period, with rapid large scale movements associated with very small peaks in discharge (orange line). However, this silver perch also remained sedentary for a period of approximately one month, which may indicate that this fish was feeding or found suitable habitat to ‘rest’ after making large scale movements. </w:t>
      </w:r>
    </w:p>
    <w:p w:rsidR="00C26BC6" w:rsidRPr="000C3CE9" w:rsidRDefault="00C26BC6" w:rsidP="00C26BC6"/>
    <w:p w:rsidR="00C26BC6" w:rsidRDefault="00A33558" w:rsidP="00C26BC6">
      <w:pPr>
        <w:pStyle w:val="Caption"/>
        <w:rPr>
          <w:rFonts w:ascii="Century Gothic" w:hAnsi="Century Gothic"/>
          <w:sz w:val="22"/>
          <w:szCs w:val="22"/>
        </w:rPr>
      </w:pPr>
      <w:bookmarkStart w:id="316" w:name="_Ref366672467"/>
      <w:r>
        <w:rPr>
          <w:rFonts w:ascii="Century Gothic" w:hAnsi="Century Gothic"/>
          <w:noProof/>
          <w:sz w:val="22"/>
          <w:szCs w:val="22"/>
          <w:lang w:eastAsia="en-AU"/>
        </w:rPr>
        <w:drawing>
          <wp:inline distT="0" distB="0" distL="0" distR="0">
            <wp:extent cx="5732145" cy="2641600"/>
            <wp:effectExtent l="0" t="0" r="0" b="0"/>
            <wp:docPr id="100" name="Picture 99" descr="Pic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4.png"/>
                    <pic:cNvPicPr/>
                  </pic:nvPicPr>
                  <pic:blipFill>
                    <a:blip r:embed="rId124" cstate="print"/>
                    <a:stretch>
                      <a:fillRect/>
                    </a:stretch>
                  </pic:blipFill>
                  <pic:spPr>
                    <a:xfrm>
                      <a:off x="0" y="0"/>
                      <a:ext cx="5732145" cy="2641600"/>
                    </a:xfrm>
                    <a:prstGeom prst="rect">
                      <a:avLst/>
                    </a:prstGeom>
                  </pic:spPr>
                </pic:pic>
              </a:graphicData>
            </a:graphic>
          </wp:inline>
        </w:drawing>
      </w:r>
    </w:p>
    <w:p w:rsidR="00C26BC6" w:rsidRDefault="00C26BC6" w:rsidP="000748A3">
      <w:pPr>
        <w:pStyle w:val="Caption1"/>
      </w:pPr>
      <w:bookmarkStart w:id="317" w:name="_Ref367450657"/>
      <w:bookmarkStart w:id="318" w:name="_Toc370738813"/>
      <w:proofErr w:type="gramStart"/>
      <w:r w:rsidRPr="00961A71">
        <w:rPr>
          <w:b/>
        </w:rPr>
        <w:t xml:space="preserve">Figure </w:t>
      </w:r>
      <w:proofErr w:type="gramEnd"/>
      <w:r w:rsidR="00D20FAE" w:rsidRPr="00961A71">
        <w:rPr>
          <w:b/>
        </w:rPr>
        <w:fldChar w:fldCharType="begin"/>
      </w:r>
      <w:r w:rsidRPr="00961A71">
        <w:rPr>
          <w:b/>
        </w:rPr>
        <w:instrText xml:space="preserve"> SEQ Figure \* ARABIC </w:instrText>
      </w:r>
      <w:r w:rsidR="00D20FAE" w:rsidRPr="00961A71">
        <w:rPr>
          <w:b/>
        </w:rPr>
        <w:fldChar w:fldCharType="separate"/>
      </w:r>
      <w:r w:rsidR="00436595">
        <w:rPr>
          <w:b/>
          <w:noProof/>
        </w:rPr>
        <w:t>31</w:t>
      </w:r>
      <w:r w:rsidR="00D20FAE" w:rsidRPr="00961A71">
        <w:rPr>
          <w:b/>
        </w:rPr>
        <w:fldChar w:fldCharType="end"/>
      </w:r>
      <w:bookmarkEnd w:id="316"/>
      <w:bookmarkEnd w:id="317"/>
      <w:proofErr w:type="gramStart"/>
      <w:r w:rsidRPr="0067609C">
        <w:t>.</w:t>
      </w:r>
      <w:proofErr w:type="gramEnd"/>
      <w:r w:rsidRPr="0067609C">
        <w:t xml:space="preserve"> Individual movement patterns of</w:t>
      </w:r>
      <w:r>
        <w:t xml:space="preserve"> two</w:t>
      </w:r>
      <w:r w:rsidRPr="0067609C">
        <w:t xml:space="preserve"> silver perch</w:t>
      </w:r>
      <w:r>
        <w:t xml:space="preserve"> </w:t>
      </w:r>
      <w:r w:rsidRPr="0067609C">
        <w:t>during the study period and discharge at Narrandera (ML/day; blue hydrograph).</w:t>
      </w:r>
      <w:r>
        <w:t xml:space="preserve"> Each coloured line represents one tagged silver perch that was in the detection range of the acoustic receivers. Straight lines indicate detections for each individual fish, whereas white space indicates times when no fish were detected on each station. Station Numbers represent each acoustic receiver, with Station 6 situated 500 metres downstream of the confluence of Old Man Creek and the Murrumbidgee River and Station 18 is situated one kilometre downstream of Yanco Weir. The shaded square represents the 2012 CEW environmental fresh.</w:t>
      </w:r>
      <w:bookmarkEnd w:id="318"/>
    </w:p>
    <w:p w:rsidR="00C26BC6" w:rsidRDefault="00C26BC6" w:rsidP="00C26BC6">
      <w:pPr>
        <w:rPr>
          <w:i/>
        </w:rPr>
      </w:pPr>
    </w:p>
    <w:p w:rsidR="00C26BC6" w:rsidRPr="0093630F" w:rsidRDefault="00C26BC6" w:rsidP="00D00B56">
      <w:pPr>
        <w:pStyle w:val="Heading3"/>
      </w:pPr>
      <w:bookmarkStart w:id="319" w:name="_Toc370299218"/>
      <w:bookmarkStart w:id="320" w:name="_Toc370738814"/>
      <w:bookmarkStart w:id="321" w:name="_Toc378168561"/>
      <w:r w:rsidRPr="0093630F">
        <w:t>Golden perch</w:t>
      </w:r>
      <w:bookmarkEnd w:id="319"/>
      <w:bookmarkEnd w:id="320"/>
      <w:bookmarkEnd w:id="321"/>
    </w:p>
    <w:p w:rsidR="00C26BC6" w:rsidRPr="0093630F" w:rsidRDefault="00C26BC6" w:rsidP="00C26BC6">
      <w:r w:rsidRPr="0093630F">
        <w:t>Five golden perch</w:t>
      </w:r>
      <w:r>
        <w:t xml:space="preserve"> (two females, three of unknown sex)</w:t>
      </w:r>
      <w:r w:rsidRPr="0093630F">
        <w:t xml:space="preserve"> were implanted with acoustic tags on 10</w:t>
      </w:r>
      <w:r w:rsidR="00191F3E">
        <w:t xml:space="preserve"> September</w:t>
      </w:r>
      <w:r w:rsidRPr="0093630F">
        <w:t xml:space="preserve"> 2012</w:t>
      </w:r>
      <w:r>
        <w:t>,</w:t>
      </w:r>
      <w:r w:rsidRPr="0093630F">
        <w:t xml:space="preserve"> ranging from 374 mm (798 g) to 470 mm (1.52 kg). No detection data was recorded for any golden perch during the study period. </w:t>
      </w:r>
    </w:p>
    <w:p w:rsidR="00C26BC6" w:rsidRPr="006D66F3" w:rsidRDefault="000748A3" w:rsidP="00C26BC6">
      <w:r>
        <w:br w:type="page"/>
      </w:r>
    </w:p>
    <w:p w:rsidR="00C26BC6" w:rsidRDefault="00850FD5" w:rsidP="00C44F46">
      <w:pPr>
        <w:pStyle w:val="Heading2"/>
      </w:pPr>
      <w:bookmarkStart w:id="322" w:name="_Toc370299219"/>
      <w:bookmarkStart w:id="323" w:name="_Toc370738815"/>
      <w:r>
        <w:t xml:space="preserve"> </w:t>
      </w:r>
      <w:bookmarkStart w:id="324" w:name="_Toc378168562"/>
      <w:r w:rsidR="00716AE0" w:rsidRPr="00CD12FD">
        <w:t>Discussion</w:t>
      </w:r>
      <w:bookmarkEnd w:id="322"/>
      <w:bookmarkEnd w:id="323"/>
      <w:bookmarkEnd w:id="324"/>
    </w:p>
    <w:p w:rsidR="00C26BC6" w:rsidRDefault="00C26BC6" w:rsidP="00C26BC6">
      <w:r>
        <w:t>The movement pattern observed for Murray cod suggested that some individuals were</w:t>
      </w:r>
      <w:r w:rsidRPr="0093630F">
        <w:t xml:space="preserve"> leaving their home range to seek a mate, spawn</w:t>
      </w:r>
      <w:r>
        <w:t xml:space="preserve"> </w:t>
      </w:r>
      <w:r w:rsidRPr="0093630F">
        <w:t xml:space="preserve">and then </w:t>
      </w:r>
      <w:r w:rsidR="00191F3E">
        <w:t>nest</w:t>
      </w:r>
      <w:r w:rsidRPr="0093630F">
        <w:t xml:space="preserve"> </w:t>
      </w:r>
      <w:r>
        <w:t xml:space="preserve">for </w:t>
      </w:r>
      <w:r w:rsidRPr="0093630F">
        <w:t>a period of time (males</w:t>
      </w:r>
      <w:r>
        <w:t xml:space="preserve">). Interestingly, female Murray cod also exhibited movement patterns consistent with this, suggesting that females may be remaining at spawning locations after spawning, potentially looking for another mate or feeding. The presence of some individuals that did not undertake similar movements does not necessarily contradict this and may simply indicate that these individuals did not spawn. A study of hatchery Murray cod demonstrated that over a three year period, less than half of all broodfish spawned </w:t>
      </w:r>
      <w:r w:rsidR="00D20FAE">
        <w:fldChar w:fldCharType="begin"/>
      </w:r>
      <w:r w:rsidR="006171E9">
        <w:instrText xml:space="preserve"> ADDIN EN.CITE &lt;EndNote&gt;&lt;Cite&gt;&lt;Author&gt;Rourke&lt;/Author&gt;&lt;Year&gt;2009&lt;/Year&gt;&lt;RecNum&gt;3439&lt;/RecNum&gt;&lt;DisplayText&gt;(Rourke, McPartlan&lt;style face="italic"&gt; et al.&lt;/style&gt; 2009)&lt;/DisplayText&gt;&lt;record&gt;&lt;rec-number&gt;3439&lt;/rec-number&gt;&lt;foreign-keys&gt;&lt;key app="EN" db-id="vxxvsda2b05fxpeaw2dp552mtrd5trxdrf0s"&gt;3439&lt;/key&gt;&lt;/foreign-keys&gt;&lt;ref-type name="Journal Article"&gt;17&lt;/ref-type&gt;&lt;contributors&gt;&lt;authors&gt;&lt;author&gt;Rourke, M. L.&lt;/author&gt;&lt;author&gt;McPartlan, H. C.&lt;/author&gt;&lt;author&gt;Ingram, B. A.&lt;/author&gt;&lt;author&gt;Taylor, A. C.&lt;/author&gt;&lt;/authors&gt;&lt;/contributors&gt;&lt;titles&gt;&lt;title&gt;Polygamy and low effective population size in a captive Murray cod (Maccullochella peelii peelii) population: genetic implications for wild restocking programs&lt;/title&gt;&lt;secondary-title&gt;Marine and Freshwater Research&lt;/secondary-title&gt;&lt;/titles&gt;&lt;periodical&gt;&lt;full-title&gt;Marine and Freshwater Research&lt;/full-title&gt;&lt;/periodical&gt;&lt;pages&gt;873-883&lt;/pages&gt;&lt;volume&gt;60&lt;/volume&gt;&lt;number&gt;8&lt;/number&gt;&lt;keywords&gt;&lt;keyword&gt;microsatellite, parentage analysis, stocking.&lt;/keyword&gt;&lt;/keywords&gt;&lt;dates&gt;&lt;year&gt;2009&lt;/year&gt;&lt;/dates&gt;&lt;urls&gt;&lt;related-urls&gt;&lt;url&gt;http://www.publish.csiro.au/paper/MF08218&lt;/url&gt;&lt;/related-urls&gt;&lt;/urls&gt;&lt;electronic-resource-num&gt;http://dx.doi.org/10.1071/MF08218&lt;/electronic-resource-num&gt;&lt;/record&gt;&lt;/Cite&gt;&lt;/EndNote&gt;</w:instrText>
      </w:r>
      <w:r w:rsidR="00D20FAE">
        <w:fldChar w:fldCharType="separate"/>
      </w:r>
      <w:r w:rsidR="006171E9">
        <w:rPr>
          <w:noProof/>
        </w:rPr>
        <w:t>(</w:t>
      </w:r>
      <w:hyperlink w:anchor="_ENREF_88" w:tooltip="Rourke, 2009 #3439" w:history="1">
        <w:r w:rsidR="006810E6">
          <w:rPr>
            <w:noProof/>
          </w:rPr>
          <w:t>Rourke, McPartlan</w:t>
        </w:r>
        <w:r w:rsidR="006810E6" w:rsidRPr="006171E9">
          <w:rPr>
            <w:i/>
            <w:noProof/>
          </w:rPr>
          <w:t xml:space="preserve"> et al.</w:t>
        </w:r>
        <w:r w:rsidR="006810E6">
          <w:rPr>
            <w:noProof/>
          </w:rPr>
          <w:t xml:space="preserve"> 2009</w:t>
        </w:r>
      </w:hyperlink>
      <w:r w:rsidR="006171E9">
        <w:rPr>
          <w:noProof/>
        </w:rPr>
        <w:t>)</w:t>
      </w:r>
      <w:r w:rsidR="00D20FAE">
        <w:fldChar w:fldCharType="end"/>
      </w:r>
      <w:r w:rsidR="00DE7FD8">
        <w:t xml:space="preserve">. </w:t>
      </w:r>
      <w:r>
        <w:t xml:space="preserve"> Therefore, it is possible that wild fish do not spawn every year, which could account for the lack of migration by some individuals. It is likely that those fish that did move were undertaking spawning migrations given that drifting cod larvae were sampled within the study reach (Narrandera) in mid-November, ap</w:t>
      </w:r>
      <w:r w:rsidRPr="00D00B56">
        <w:t>proximately two weeks to one month after these movement patterns were exhibited</w:t>
      </w:r>
      <w:r w:rsidR="0032320D" w:rsidRPr="00D00B56">
        <w:t xml:space="preserve"> </w:t>
      </w:r>
      <w:r w:rsidRPr="00D00B56">
        <w:t xml:space="preserve">(refer </w:t>
      </w:r>
      <w:r w:rsidR="00D00B56" w:rsidRPr="00D00B56">
        <w:t xml:space="preserve">section </w:t>
      </w:r>
      <w:fldSimple w:instr=" REF _Ref370370312 \r ">
        <w:r w:rsidR="00436595">
          <w:t>13</w:t>
        </w:r>
      </w:fldSimple>
      <w:r w:rsidR="00D00B56" w:rsidRPr="00D00B56">
        <w:t xml:space="preserve"> </w:t>
      </w:r>
      <w:r w:rsidRPr="00D00B56">
        <w:t>spawning and recruitment). This indicates that Commonwealth environmental water delivered to support the recruitment of this iconic species provided suitable environmental conditions during the Murray cod spawning season</w:t>
      </w:r>
      <w:r>
        <w:t xml:space="preserve"> to encourage nesting and spawning.</w:t>
      </w:r>
    </w:p>
    <w:p w:rsidR="00C26BC6" w:rsidRDefault="00C26BC6" w:rsidP="00C26BC6">
      <w:r>
        <w:t xml:space="preserve">Movement patterns of trout cod suggest that females were making localised movements during the period of Commonwealth environmental water delivery. The trout cod spawning season can begin as early as September </w:t>
      </w:r>
      <w:r w:rsidR="00D20FAE">
        <w:fldChar w:fldCharType="begin"/>
      </w:r>
      <w:r w:rsidR="009E2C5C">
        <w:instrText xml:space="preserve"> ADDIN EN.CITE &lt;EndNote&gt;&lt;Cite&gt;&lt;Author&gt;Cadwallader&lt;/Author&gt;&lt;Year&gt;1977&lt;/Year&gt;&lt;RecNum&gt;3460&lt;/RecNum&gt;&lt;DisplayText&gt;(Cadwallader 1977)&lt;/DisplayText&gt;&lt;record&gt;&lt;rec-number&gt;3460&lt;/rec-number&gt;&lt;foreign-keys&gt;&lt;key app="EN" db-id="vxxvsda2b05fxpeaw2dp552mtrd5trxdrf0s"&gt;3460&lt;/key&gt;&lt;/foreign-keys&gt;&lt;ref-type name="Book"&gt;6&lt;/ref-type&gt;&lt;contributors&gt;&lt;authors&gt;&lt;author&gt;Cadwallader, Philip L&lt;/author&gt;&lt;/authors&gt;&lt;/contributors&gt;&lt;titles&gt;&lt;title&gt;JO Langtry&amp;apos;s 1949-50 Murray River investigations&lt;/title&gt;&lt;/titles&gt;&lt;dates&gt;&lt;year&gt;1977&lt;/year&gt;&lt;/dates&gt;&lt;publisher&gt;Fisheries and Wildlife Division, Victoria&lt;/publisher&gt;&lt;isbn&gt;0724118454&lt;/isbn&gt;&lt;urls&gt;&lt;/urls&gt;&lt;/record&gt;&lt;/Cite&gt;&lt;/EndNote&gt;</w:instrText>
      </w:r>
      <w:r w:rsidR="00D20FAE">
        <w:fldChar w:fldCharType="separate"/>
      </w:r>
      <w:r w:rsidR="009E2C5C">
        <w:rPr>
          <w:noProof/>
        </w:rPr>
        <w:t>(</w:t>
      </w:r>
      <w:hyperlink w:anchor="_ENREF_22" w:tooltip="Cadwallader, 1977 #3460" w:history="1">
        <w:r w:rsidR="006810E6">
          <w:rPr>
            <w:noProof/>
          </w:rPr>
          <w:t>Cadwallader 1977</w:t>
        </w:r>
      </w:hyperlink>
      <w:r w:rsidR="009E2C5C">
        <w:rPr>
          <w:noProof/>
        </w:rPr>
        <w:t>)</w:t>
      </w:r>
      <w:r w:rsidR="00D20FAE">
        <w:fldChar w:fldCharType="end"/>
      </w:r>
      <w:r>
        <w:t xml:space="preserve"> and has also been found to overlap with the Murray cod spawning season in mid-October to November </w:t>
      </w:r>
      <w:r w:rsidR="00D20FAE">
        <w:fldChar w:fldCharType="begin"/>
      </w:r>
      <w:r w:rsidR="006171E9">
        <w:instrText xml:space="preserve"> ADDIN EN.CITE &lt;EndNote&gt;&lt;Cite&gt;&lt;Author&gt;Koehn&lt;/Author&gt;&lt;Year&gt;2006&lt;/Year&gt;&lt;RecNum&gt;3288&lt;/RecNum&gt;&lt;DisplayText&gt;(Koehn and Harrington 2006)&lt;/DisplayText&gt;&lt;record&gt;&lt;rec-number&gt;3288&lt;/rec-number&gt;&lt;foreign-keys&gt;&lt;key app="EN" db-id="vxxvsda2b05fxpeaw2dp552mtrd5trxdrf0s"&gt;3288&lt;/key&gt;&lt;/foreign-keys&gt;&lt;ref-type name="Journal Article"&gt;17&lt;/ref-type&gt;&lt;contributors&gt;&lt;authors&gt;&lt;author&gt;Koehn, John D.&lt;/author&gt;&lt;author&gt;Harrington, D. J.&lt;/author&gt;&lt;/authors&gt;&lt;/contributors&gt;&lt;titles&gt;&lt;title&gt;Environmental conditions and timing for the spawning of Murray cod (Maccullochella peelii peelii) and the endangered trout cod (M. macquariensis) in southeastern Australian rivers&lt;/title&gt;&lt;secondary-title&gt;River Research and Applications&lt;/secondary-title&gt;&lt;/titles&gt;&lt;periodical&gt;&lt;full-title&gt;River Research and Applications&lt;/full-title&gt;&lt;/periodical&gt;&lt;pages&gt;327-342&lt;/pages&gt;&lt;volume&gt;22&lt;/volume&gt;&lt;number&gt;3&lt;/number&gt;&lt;keywords&gt;&lt;keyword&gt;spawning&lt;/keyword&gt;&lt;keyword&gt;larvae&lt;/keyword&gt;&lt;keyword&gt;larval drift&lt;/keyword&gt;&lt;keyword&gt;recruitment&lt;/keyword&gt;&lt;keyword&gt;Maccullochella&lt;/keyword&gt;&lt;keyword&gt;river regulation&lt;/keyword&gt;&lt;keyword&gt;flows&lt;/keyword&gt;&lt;/keywords&gt;&lt;dates&gt;&lt;year&gt;2006&lt;/year&gt;&lt;/dates&gt;&lt;publisher&gt;John Wiley &amp;amp; Sons, Ltd.&lt;/publisher&gt;&lt;isbn&gt;1535-1467&lt;/isbn&gt;&lt;urls&gt;&lt;related-urls&gt;&lt;url&gt;http://dx.doi.org/10.1002/rra.897&lt;/url&gt;&lt;/related-urls&gt;&lt;/urls&gt;&lt;electronic-resource-num&gt;10.1002/rra.897&lt;/electronic-resource-num&gt;&lt;/record&gt;&lt;/Cite&gt;&lt;/EndNote&gt;</w:instrText>
      </w:r>
      <w:r w:rsidR="00D20FAE">
        <w:fldChar w:fldCharType="separate"/>
      </w:r>
      <w:r w:rsidR="006171E9">
        <w:rPr>
          <w:noProof/>
        </w:rPr>
        <w:t>(</w:t>
      </w:r>
      <w:hyperlink w:anchor="_ENREF_66" w:tooltip="Koehn, 2006 #3288" w:history="1">
        <w:r w:rsidR="006810E6">
          <w:rPr>
            <w:noProof/>
          </w:rPr>
          <w:t>Koehn and Harrington 2006</w:t>
        </w:r>
      </w:hyperlink>
      <w:r w:rsidR="006171E9">
        <w:rPr>
          <w:noProof/>
        </w:rPr>
        <w:t>)</w:t>
      </w:r>
      <w:r w:rsidR="00D20FAE">
        <w:fldChar w:fldCharType="end"/>
      </w:r>
      <w:r>
        <w:t>. Therefore</w:t>
      </w:r>
      <w:r w:rsidR="004F427B">
        <w:t>,</w:t>
      </w:r>
      <w:r>
        <w:t xml:space="preserve"> female trout cod movement patterns may be consistent with fish actively seeking a mate, but there is also the possibility tha</w:t>
      </w:r>
      <w:r w:rsidR="004F427B">
        <w:t>t these movements are not true</w:t>
      </w:r>
      <w:r>
        <w:t xml:space="preserve"> spawning related movements as spawning may have occurred earlier in September, before the fish were tagged. Further continuous monitoring using this acoustic array will determine whether the peak movement period for this s</w:t>
      </w:r>
      <w:r w:rsidR="004F427B">
        <w:t>pecies is in fact from October to</w:t>
      </w:r>
      <w:r>
        <w:t xml:space="preserve"> November, or whether there are much larger movements made by both females and males in September. </w:t>
      </w:r>
    </w:p>
    <w:p w:rsidR="00C26BC6" w:rsidRDefault="00C26BC6" w:rsidP="00C26BC6">
      <w:r>
        <w:t xml:space="preserve">Silver perch are known to make long-distance spawning migrations </w:t>
      </w:r>
      <w:r w:rsidR="00D20FAE">
        <w:fldChar w:fldCharType="begin"/>
      </w:r>
      <w:r w:rsidR="009E2C5C">
        <w:instrText xml:space="preserve"> ADDIN EN.CITE &lt;EndNote&gt;&lt;Cite&gt;&lt;Author&gt;Reynolds&lt;/Author&gt;&lt;Year&gt;1983&lt;/Year&gt;&lt;RecNum&gt;3456&lt;/RecNum&gt;&lt;DisplayText&gt;(Reynolds 1983)&lt;/DisplayText&gt;&lt;record&gt;&lt;rec-number&gt;3456&lt;/rec-number&gt;&lt;foreign-keys&gt;&lt;key app="EN" db-id="vxxvsda2b05fxpeaw2dp552mtrd5trxdrf0s"&gt;3456&lt;/key&gt;&lt;/foreign-keys&gt;&lt;ref-type name="Journal Article"&gt;17&lt;/ref-type&gt;&lt;contributors&gt;&lt;authors&gt;&lt;author&gt;Reynolds, LF&lt;/author&gt;&lt;/authors&gt;&lt;/contributors&gt;&lt;titles&gt;&lt;title&gt;Migration patterns of five fish species in the Murray-Darling River system&lt;/title&gt;&lt;secondary-title&gt;Marine and Freshwater Research&lt;/secondary-title&gt;&lt;/titles&gt;&lt;periodical&gt;&lt;full-title&gt;Marine and Freshwater Research&lt;/full-title&gt;&lt;/periodical&gt;&lt;pages&gt;857-871&lt;/pages&gt;&lt;volume&gt;34&lt;/volume&gt;&lt;number&gt;6&lt;/number&gt;&lt;dates&gt;&lt;year&gt;1983&lt;/year&gt;&lt;/dates&gt;&lt;urls&gt;&lt;related-urls&gt;&lt;url&gt;http://www.publish.csiro.au/paper/MF9830857&lt;/url&gt;&lt;/related-urls&gt;&lt;/urls&gt;&lt;electronic-resource-num&gt;http://dx.doi.org/10.1071/MF9830857&lt;/electronic-resource-num&gt;&lt;/record&gt;&lt;/Cite&gt;&lt;/EndNote&gt;</w:instrText>
      </w:r>
      <w:r w:rsidR="00D20FAE">
        <w:fldChar w:fldCharType="separate"/>
      </w:r>
      <w:r w:rsidR="009E2C5C">
        <w:rPr>
          <w:noProof/>
        </w:rPr>
        <w:t>(</w:t>
      </w:r>
      <w:hyperlink w:anchor="_ENREF_83" w:tooltip="Reynolds, 1983 #3456" w:history="1">
        <w:r w:rsidR="006810E6">
          <w:rPr>
            <w:noProof/>
          </w:rPr>
          <w:t>Reynolds 1983</w:t>
        </w:r>
      </w:hyperlink>
      <w:r w:rsidR="009E2C5C">
        <w:rPr>
          <w:noProof/>
        </w:rPr>
        <w:t>)</w:t>
      </w:r>
      <w:r w:rsidR="00D20FAE">
        <w:fldChar w:fldCharType="end"/>
      </w:r>
      <w:r>
        <w:t xml:space="preserve">. However, most weirs in the Murrumbidgee River lack fishways and are a major barrier to movement by this species during periods of low flow. The Commonwealth environmental water delivered during 2012 was sufficient to submerge Yanco weir and thus facilitated the movement of one of the tagged silver perch upstream over this weir. Since then, this fish has travelled downstream of the weir and will be unable to travel upstream until flows facilitate a high enough water level for movement. Silver perch have been known to make spawning migrations, whereby they move both upstream and downstream in equal distances </w:t>
      </w:r>
      <w:r w:rsidR="00D20FAE">
        <w:fldChar w:fldCharType="begin"/>
      </w:r>
      <w:r w:rsidR="009E2C5C">
        <w:instrText xml:space="preserve"> ADDIN EN.CITE &lt;EndNote&gt;&lt;Cite&gt;&lt;Author&gt;Reynolds&lt;/Author&gt;&lt;Year&gt;1983&lt;/Year&gt;&lt;RecNum&gt;3456&lt;/RecNum&gt;&lt;DisplayText&gt;(Reynolds 1983)&lt;/DisplayText&gt;&lt;record&gt;&lt;rec-number&gt;3456&lt;/rec-number&gt;&lt;foreign-keys&gt;&lt;key app="EN" db-id="vxxvsda2b05fxpeaw2dp552mtrd5trxdrf0s"&gt;3456&lt;/key&gt;&lt;/foreign-keys&gt;&lt;ref-type name="Journal Article"&gt;17&lt;/ref-type&gt;&lt;contributors&gt;&lt;authors&gt;&lt;author&gt;Reynolds, LF&lt;/author&gt;&lt;/authors&gt;&lt;/contributors&gt;&lt;titles&gt;&lt;title&gt;Migration patterns of five fish species in the Murray-Darling River system&lt;/title&gt;&lt;secondary-title&gt;Marine and Freshwater Research&lt;/secondary-title&gt;&lt;/titles&gt;&lt;periodical&gt;&lt;full-title&gt;Marine and Freshwater Research&lt;/full-title&gt;&lt;/periodical&gt;&lt;pages&gt;857-871&lt;/pages&gt;&lt;volume&gt;34&lt;/volume&gt;&lt;number&gt;6&lt;/number&gt;&lt;dates&gt;&lt;year&gt;1983&lt;/year&gt;&lt;/dates&gt;&lt;urls&gt;&lt;related-urls&gt;&lt;url&gt;http://www.publish.csiro.au/paper/MF9830857&lt;/url&gt;&lt;/related-urls&gt;&lt;/urls&gt;&lt;electronic-resource-num&gt;http://dx.doi.org/10.1071/MF9830857&lt;/electronic-resource-num&gt;&lt;/record&gt;&lt;/Cite&gt;&lt;/EndNote&gt;</w:instrText>
      </w:r>
      <w:r w:rsidR="00D20FAE">
        <w:fldChar w:fldCharType="separate"/>
      </w:r>
      <w:r w:rsidR="009E2C5C">
        <w:rPr>
          <w:noProof/>
        </w:rPr>
        <w:t>(</w:t>
      </w:r>
      <w:hyperlink w:anchor="_ENREF_83" w:tooltip="Reynolds, 1983 #3456" w:history="1">
        <w:r w:rsidR="006810E6">
          <w:rPr>
            <w:noProof/>
          </w:rPr>
          <w:t>Reynolds 1983</w:t>
        </w:r>
      </w:hyperlink>
      <w:r w:rsidR="009E2C5C">
        <w:rPr>
          <w:noProof/>
        </w:rPr>
        <w:t>)</w:t>
      </w:r>
      <w:r w:rsidR="00D20FAE">
        <w:fldChar w:fldCharType="end"/>
      </w:r>
      <w:r>
        <w:t>. High water levels facilitated by Commonwealth environmental water delivery has enabled the upstream migration of this silver perch, and future high flows should allow this fish to complete further spawning migrations above barriers within the Murrumbidgee system.</w:t>
      </w:r>
    </w:p>
    <w:p w:rsidR="00C26BC6" w:rsidRDefault="00C26BC6" w:rsidP="00C26BC6">
      <w:r>
        <w:t xml:space="preserve">No golden perch were detected during the study period. </w:t>
      </w:r>
      <w:r w:rsidRPr="0093630F">
        <w:t>Given the</w:t>
      </w:r>
      <w:r>
        <w:t>se</w:t>
      </w:r>
      <w:r w:rsidRPr="0093630F">
        <w:t xml:space="preserve"> fish were tagged prior to the deployment of the acoustic array, it is possible the fish moved out of the detection area via Old Man Creek or Yanco Creek, or by moving downstream beyond the acoustic array, and </w:t>
      </w:r>
      <w:r w:rsidR="00883D44">
        <w:t>are</w:t>
      </w:r>
      <w:r w:rsidRPr="0093630F">
        <w:t xml:space="preserve"> yet to return. Alternatively, fish may have died or have been removed from the river by anglers.</w:t>
      </w:r>
      <w:r>
        <w:t xml:space="preserve"> </w:t>
      </w:r>
      <w:r w:rsidRPr="0093630F">
        <w:t>This species is capabl</w:t>
      </w:r>
      <w:r>
        <w:t xml:space="preserve">e of long migrations </w:t>
      </w:r>
      <w:r w:rsidR="00D20FAE">
        <w:fldChar w:fldCharType="begin">
          <w:fldData xml:space="preserve">PEVuZE5vdGU+PENpdGU+PEF1dGhvcj5SZXlub2xkczwvQXV0aG9yPjxZZWFyPjE5ODM8L1llYXI+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</w:fldData>
        </w:fldChar>
      </w:r>
      <w:r w:rsidR="009E2C5C">
        <w:instrText xml:space="preserve"> ADDIN EN.CITE </w:instrText>
      </w:r>
      <w:r w:rsidR="00D20FAE">
        <w:fldChar w:fldCharType="begin">
          <w:fldData xml:space="preserve">PEVuZE5vdGU+PENpdGU+PEF1dGhvcj5SZXlub2xkczwvQXV0aG9yPjxZZWFyPjE5ODM8L1llYXI+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</w:fldData>
        </w:fldChar>
      </w:r>
      <w:r w:rsidR="009E2C5C">
        <w:instrText xml:space="preserve"> ADDIN EN.CITE.DATA </w:instrText>
      </w:r>
      <w:r w:rsidR="00D20FAE">
        <w:fldChar w:fldCharType="end"/>
      </w:r>
      <w:r w:rsidR="00D20FAE">
        <w:fldChar w:fldCharType="separate"/>
      </w:r>
      <w:r w:rsidR="009E2C5C">
        <w:rPr>
          <w:noProof/>
        </w:rPr>
        <w:t>(</w:t>
      </w:r>
      <w:hyperlink w:anchor="_ENREF_83" w:tooltip="Reynolds, 1983 #3456" w:history="1">
        <w:r w:rsidR="006810E6">
          <w:rPr>
            <w:noProof/>
          </w:rPr>
          <w:t>Reynolds 1983</w:t>
        </w:r>
      </w:hyperlink>
      <w:r w:rsidR="009E2C5C">
        <w:rPr>
          <w:noProof/>
        </w:rPr>
        <w:t xml:space="preserve">, </w:t>
      </w:r>
      <w:hyperlink w:anchor="_ENREF_76" w:tooltip="O'Connor, 2005 #3461" w:history="1">
        <w:r w:rsidR="006810E6">
          <w:rPr>
            <w:noProof/>
          </w:rPr>
          <w:t>O'Connor, O'Mahony</w:t>
        </w:r>
        <w:r w:rsidR="006810E6" w:rsidRPr="009E2C5C">
          <w:rPr>
            <w:i/>
            <w:noProof/>
          </w:rPr>
          <w:t xml:space="preserve"> et al.</w:t>
        </w:r>
        <w:r w:rsidR="006810E6">
          <w:rPr>
            <w:noProof/>
          </w:rPr>
          <w:t xml:space="preserve"> 2005</w:t>
        </w:r>
      </w:hyperlink>
      <w:r w:rsidR="009E2C5C">
        <w:rPr>
          <w:noProof/>
        </w:rPr>
        <w:t>)</w:t>
      </w:r>
      <w:r w:rsidR="00D20FAE">
        <w:fldChar w:fldCharType="end"/>
      </w:r>
      <w:r w:rsidRPr="0093630F">
        <w:t xml:space="preserve"> and it is more likely that all the individuals left the study area soon after tagging. If the fish make a return migration to the study reach, they will be</w:t>
      </w:r>
      <w:r>
        <w:t xml:space="preserve"> detected by the acoustic array.</w:t>
      </w:r>
    </w:p>
    <w:p w:rsidR="00C26BC6" w:rsidRDefault="00C26BC6" w:rsidP="00C26BC6">
      <w:r>
        <w:t xml:space="preserve">Overall, flows delivered with the aim of providing suitable environmental conditions to allow for large-bodied fish to successfully spawn and recruit </w:t>
      </w:r>
      <w:r w:rsidR="00883D44">
        <w:t>coincided with</w:t>
      </w:r>
      <w:r>
        <w:t xml:space="preserve"> behaviour consistent with spawning related movement by some Murray cod. As drifting cod larvae were detected within the study area in mid-November, this indicates that this species successfully spawned during the period of Commonwealth environmental water delivery. Monitoring of large-bodied native fish movement in the Murrumbidgee River into the future will provide additional information on movements associated with differing flow regimes, as well as the long term benefits of Commonwealth environmental water delivery</w:t>
      </w:r>
      <w:r w:rsidR="004F427B">
        <w:t>.</w:t>
      </w:r>
    </w:p>
    <w:p w:rsidR="00CF571F" w:rsidRDefault="00CF571F">
      <w:pPr>
        <w:spacing w:after="0" w:line="240" w:lineRule="auto"/>
        <w:jc w:val="left"/>
      </w:pPr>
      <w:r>
        <w:br w:type="page"/>
      </w:r>
    </w:p>
    <w:tbl>
      <w:tblPr>
        <w:tblStyle w:val="TableGrid"/>
        <w:tblW w:w="0" w:type="auto"/>
        <w:tblLook w:val="04A0"/>
      </w:tblPr>
      <w:tblGrid>
        <w:gridCol w:w="8613"/>
      </w:tblGrid>
      <w:tr w:rsidR="00942A21" w:rsidRPr="002156AA" w:rsidTr="002156AA">
        <w:trPr>
          <w:cnfStyle w:val="100000000000"/>
        </w:trPr>
        <w:tc>
          <w:tcPr>
            <w:tcW w:w="8613" w:type="dxa"/>
          </w:tcPr>
          <w:p w:rsidR="00942A21" w:rsidRPr="007A084D" w:rsidRDefault="00505588" w:rsidP="007A084D">
            <w:pPr>
              <w:pStyle w:val="Title"/>
            </w:pPr>
            <w:r w:rsidRPr="00505588">
              <w:br w:type="page"/>
            </w:r>
            <w:bookmarkStart w:id="325" w:name="_Toc370738816"/>
            <w:r w:rsidRPr="00505588">
              <w:t>Fish spawning and recruitment</w:t>
            </w:r>
            <w:bookmarkEnd w:id="325"/>
          </w:p>
          <w:p w:rsidR="00E1766B" w:rsidRDefault="0087202F">
            <w:pPr>
              <w:pStyle w:val="NoSpacing"/>
              <w:jc w:val="center"/>
              <w:rPr>
                <w:sz w:val="22"/>
              </w:rPr>
            </w:pPr>
            <w:r w:rsidRPr="002156AA">
              <w:rPr>
                <w:noProof/>
                <w:lang w:eastAsia="en-AU"/>
              </w:rPr>
              <w:drawing>
                <wp:inline distT="0" distB="0" distL="0" distR="0">
                  <wp:extent cx="3094990" cy="2171700"/>
                  <wp:effectExtent l="1905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srcRect/>
                          <a:stretch>
                            <a:fillRect/>
                          </a:stretch>
                        </pic:blipFill>
                        <pic:spPr bwMode="auto">
                          <a:xfrm>
                            <a:off x="0" y="0"/>
                            <a:ext cx="3094990" cy="2171700"/>
                          </a:xfrm>
                          <a:prstGeom prst="rect">
                            <a:avLst/>
                          </a:prstGeom>
                          <a:noFill/>
                          <a:ln w="9525">
                            <a:noFill/>
                            <a:miter lim="800000"/>
                            <a:headEnd/>
                            <a:tailEnd/>
                          </a:ln>
                        </pic:spPr>
                      </pic:pic>
                    </a:graphicData>
                  </a:graphic>
                </wp:inline>
              </w:drawing>
            </w:r>
          </w:p>
          <w:p w:rsidR="00942A21" w:rsidRPr="002156AA" w:rsidRDefault="00942A21" w:rsidP="003A45F4">
            <w:pPr>
              <w:pStyle w:val="NoSpacing"/>
              <w:spacing w:line="360" w:lineRule="auto"/>
            </w:pPr>
          </w:p>
          <w:p w:rsidR="00942A21" w:rsidRPr="002156AA" w:rsidRDefault="00505588" w:rsidP="003A45F4">
            <w:pPr>
              <w:pStyle w:val="NoSpacing"/>
              <w:spacing w:line="360" w:lineRule="auto"/>
              <w:rPr>
                <w:szCs w:val="20"/>
              </w:rPr>
            </w:pPr>
            <w:r w:rsidRPr="00505588">
              <w:rPr>
                <w:szCs w:val="20"/>
              </w:rPr>
              <w:t xml:space="preserve">Flow plays an important role in the life-cycle of native fish from the larval to the adult </w:t>
            </w:r>
            <w:r w:rsidR="003A3273" w:rsidRPr="00776E10">
              <w:rPr>
                <w:szCs w:val="20"/>
              </w:rPr>
              <w:t xml:space="preserve">stage </w:t>
            </w:r>
            <w:r w:rsidR="00D20FAE">
              <w:rPr>
                <w:szCs w:val="20"/>
              </w:rPr>
              <w:fldChar w:fldCharType="begin">
                <w:fldData xml:space="preserve">PEVuZE5vdGU+PENpdGU+PEF1dGhvcj5IdW1waHJpZXM8L0F1dGhvcj48WWVhcj4xOTk5PC9ZZWFy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</w:fldData>
              </w:fldChar>
            </w:r>
            <w:r w:rsidR="006171E9">
              <w:rPr>
                <w:szCs w:val="20"/>
              </w:rPr>
              <w:instrText xml:space="preserve"> ADDIN EN.CITE </w:instrText>
            </w:r>
            <w:r w:rsidR="00D20FAE">
              <w:rPr>
                <w:szCs w:val="20"/>
              </w:rPr>
              <w:fldChar w:fldCharType="begin">
                <w:fldData xml:space="preserve">PEVuZE5vdGU+PENpdGU+PEF1dGhvcj5IdW1waHJpZXM8L0F1dGhvcj48WWVhcj4xOTk5PC9ZZWFy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</w:fldData>
              </w:fldChar>
            </w:r>
            <w:r w:rsidR="006171E9">
              <w:rPr>
                <w:szCs w:val="20"/>
              </w:rPr>
              <w:instrText xml:space="preserve"> ADDIN EN.CITE.DATA </w:instrText>
            </w:r>
            <w:r w:rsidR="00D20FAE">
              <w:rPr>
                <w:szCs w:val="20"/>
              </w:rPr>
            </w:r>
            <w:r w:rsidR="00D20FAE">
              <w:rPr>
                <w:szCs w:val="20"/>
              </w:rPr>
              <w:fldChar w:fldCharType="end"/>
            </w:r>
            <w:r w:rsidR="00D20FAE">
              <w:rPr>
                <w:szCs w:val="20"/>
              </w:rPr>
            </w:r>
            <w:r w:rsidR="00D20FAE">
              <w:rPr>
                <w:szCs w:val="20"/>
              </w:rPr>
              <w:fldChar w:fldCharType="separate"/>
            </w:r>
            <w:r w:rsidR="006171E9">
              <w:rPr>
                <w:noProof/>
                <w:szCs w:val="20"/>
              </w:rPr>
              <w:t>(</w:t>
            </w:r>
            <w:hyperlink w:anchor="_ENREF_41" w:tooltip="Humphries, 1999 #3171" w:history="1">
              <w:r w:rsidR="006810E6">
                <w:rPr>
                  <w:noProof/>
                  <w:szCs w:val="20"/>
                </w:rPr>
                <w:t>Humphries, King</w:t>
              </w:r>
              <w:r w:rsidR="006810E6" w:rsidRPr="006171E9">
                <w:rPr>
                  <w:i/>
                  <w:noProof/>
                  <w:szCs w:val="20"/>
                </w:rPr>
                <w:t xml:space="preserve"> et al.</w:t>
              </w:r>
              <w:r w:rsidR="006810E6">
                <w:rPr>
                  <w:noProof/>
                  <w:szCs w:val="20"/>
                </w:rPr>
                <w:t xml:space="preserve"> 1999</w:t>
              </w:r>
            </w:hyperlink>
            <w:r w:rsidR="006171E9">
              <w:rPr>
                <w:noProof/>
                <w:szCs w:val="20"/>
              </w:rPr>
              <w:t xml:space="preserve">, </w:t>
            </w:r>
            <w:hyperlink w:anchor="_ENREF_42" w:tooltip="Humphries, 2002 #2834" w:history="1">
              <w:r w:rsidR="006810E6">
                <w:rPr>
                  <w:noProof/>
                  <w:szCs w:val="20"/>
                </w:rPr>
                <w:t>Humphries, Serafinia</w:t>
              </w:r>
              <w:r w:rsidR="006810E6" w:rsidRPr="006171E9">
                <w:rPr>
                  <w:i/>
                  <w:noProof/>
                  <w:szCs w:val="20"/>
                </w:rPr>
                <w:t xml:space="preserve"> et al.</w:t>
              </w:r>
              <w:r w:rsidR="006810E6">
                <w:rPr>
                  <w:noProof/>
                  <w:szCs w:val="20"/>
                </w:rPr>
                <w:t xml:space="preserve"> 2002</w:t>
              </w:r>
            </w:hyperlink>
            <w:r w:rsidR="006171E9">
              <w:rPr>
                <w:noProof/>
                <w:szCs w:val="20"/>
              </w:rPr>
              <w:t xml:space="preserve">, </w:t>
            </w:r>
            <w:hyperlink w:anchor="_ENREF_52" w:tooltip="King, 2003 #3172" w:history="1">
              <w:r w:rsidR="006810E6">
                <w:rPr>
                  <w:noProof/>
                  <w:szCs w:val="20"/>
                </w:rPr>
                <w:t>King, Humphries</w:t>
              </w:r>
              <w:r w:rsidR="006810E6" w:rsidRPr="006171E9">
                <w:rPr>
                  <w:i/>
                  <w:noProof/>
                  <w:szCs w:val="20"/>
                </w:rPr>
                <w:t xml:space="preserve"> et al.</w:t>
              </w:r>
              <w:r w:rsidR="006810E6">
                <w:rPr>
                  <w:noProof/>
                  <w:szCs w:val="20"/>
                </w:rPr>
                <w:t xml:space="preserve"> 2003</w:t>
              </w:r>
            </w:hyperlink>
            <w:r w:rsidR="006171E9">
              <w:rPr>
                <w:noProof/>
                <w:szCs w:val="20"/>
              </w:rPr>
              <w:t>)</w:t>
            </w:r>
            <w:r w:rsidR="00D20FAE">
              <w:rPr>
                <w:szCs w:val="20"/>
              </w:rPr>
              <w:fldChar w:fldCharType="end"/>
            </w:r>
            <w:r w:rsidRPr="00505588">
              <w:rPr>
                <w:i/>
                <w:iCs/>
                <w:szCs w:val="20"/>
              </w:rPr>
              <w:t>.</w:t>
            </w:r>
            <w:r w:rsidRPr="00505588">
              <w:rPr>
                <w:i/>
                <w:iCs/>
              </w:rPr>
              <w:t xml:space="preserve"> </w:t>
            </w:r>
            <w:r w:rsidRPr="00505588">
              <w:rPr>
                <w:szCs w:val="20"/>
              </w:rPr>
              <w:t xml:space="preserve">Commonwealth </w:t>
            </w:r>
            <w:r w:rsidR="00340961">
              <w:rPr>
                <w:szCs w:val="20"/>
              </w:rPr>
              <w:t>e</w:t>
            </w:r>
            <w:r w:rsidRPr="00505588">
              <w:rPr>
                <w:szCs w:val="20"/>
              </w:rPr>
              <w:t xml:space="preserve">nvironmental </w:t>
            </w:r>
            <w:r w:rsidR="00340961">
              <w:rPr>
                <w:szCs w:val="20"/>
              </w:rPr>
              <w:t>w</w:t>
            </w:r>
            <w:r w:rsidRPr="00505588">
              <w:rPr>
                <w:szCs w:val="20"/>
              </w:rPr>
              <w:t xml:space="preserve">atering in the Murrumbidgee River targeted the spawning and recruitment of Murray cod by inundating spawning habitat for a prolonged period. </w:t>
            </w:r>
            <w:r w:rsidRPr="00505588">
              <w:rPr>
                <w:b/>
                <w:i/>
                <w:szCs w:val="20"/>
              </w:rPr>
              <w:t>The key objectives of the Commonwealth environmental watering action were to support breeding and recruitment of native fish and support the habitat requirements of native fish.</w:t>
            </w:r>
            <w:r w:rsidRPr="00505588">
              <w:rPr>
                <w:szCs w:val="20"/>
              </w:rPr>
              <w:t xml:space="preserve"> From September to December 2012</w:t>
            </w:r>
            <w:r w:rsidR="004F427B">
              <w:rPr>
                <w:szCs w:val="20"/>
              </w:rPr>
              <w:t>,</w:t>
            </w:r>
            <w:r w:rsidRPr="00505588">
              <w:rPr>
                <w:szCs w:val="20"/>
              </w:rPr>
              <w:t xml:space="preserve"> larval fish communities were surveyed weekly in the Murrumbidgee River and </w:t>
            </w:r>
            <w:r w:rsidR="00340961">
              <w:rPr>
                <w:szCs w:val="20"/>
              </w:rPr>
              <w:t xml:space="preserve">a control site on </w:t>
            </w:r>
            <w:r w:rsidRPr="00505588">
              <w:rPr>
                <w:szCs w:val="20"/>
              </w:rPr>
              <w:t>Old Man Creek to assess fish spawning responses to environmental watering.</w:t>
            </w:r>
          </w:p>
          <w:p w:rsidR="00942A21" w:rsidRPr="00FA33D8" w:rsidRDefault="00505588" w:rsidP="003A45F4">
            <w:pPr>
              <w:pStyle w:val="NoSpacing"/>
              <w:spacing w:line="360" w:lineRule="auto"/>
              <w:rPr>
                <w:b/>
                <w:szCs w:val="20"/>
              </w:rPr>
            </w:pPr>
            <w:r w:rsidRPr="00FA33D8">
              <w:rPr>
                <w:b/>
                <w:szCs w:val="20"/>
              </w:rPr>
              <w:t>Key outcomes</w:t>
            </w:r>
          </w:p>
          <w:p w:rsidR="00942A21" w:rsidRDefault="00505588" w:rsidP="00CB4CE5">
            <w:pPr>
              <w:pStyle w:val="NoSpacing"/>
              <w:numPr>
                <w:ilvl w:val="0"/>
                <w:numId w:val="20"/>
              </w:numPr>
              <w:spacing w:line="360" w:lineRule="auto"/>
              <w:rPr>
                <w:b/>
                <w:szCs w:val="20"/>
              </w:rPr>
            </w:pPr>
            <w:r w:rsidRPr="00505588">
              <w:rPr>
                <w:szCs w:val="20"/>
              </w:rPr>
              <w:t>519 cod larvae (</w:t>
            </w:r>
            <w:r w:rsidRPr="00505588">
              <w:rPr>
                <w:i/>
                <w:szCs w:val="20"/>
              </w:rPr>
              <w:t xml:space="preserve">Maccullochella </w:t>
            </w:r>
            <w:r w:rsidRPr="00505588">
              <w:rPr>
                <w:szCs w:val="20"/>
              </w:rPr>
              <w:t xml:space="preserve">spp.) were captured, </w:t>
            </w:r>
            <w:r w:rsidR="00CB4CE5">
              <w:rPr>
                <w:szCs w:val="20"/>
              </w:rPr>
              <w:t xml:space="preserve">with </w:t>
            </w:r>
            <w:r w:rsidRPr="00505588">
              <w:rPr>
                <w:b/>
                <w:szCs w:val="20"/>
              </w:rPr>
              <w:t>a peak in abundance coinciding with the Commonwealth environmental water delivery period</w:t>
            </w:r>
            <w:r w:rsidR="004F427B">
              <w:rPr>
                <w:b/>
                <w:szCs w:val="20"/>
              </w:rPr>
              <w:t>.</w:t>
            </w:r>
            <w:r w:rsidRPr="00505588">
              <w:rPr>
                <w:b/>
                <w:szCs w:val="20"/>
              </w:rPr>
              <w:t xml:space="preserve"> </w:t>
            </w:r>
          </w:p>
          <w:p w:rsidR="008655D6" w:rsidRPr="008655D6" w:rsidRDefault="008655D6" w:rsidP="00CB4CE5">
            <w:pPr>
              <w:pStyle w:val="NoSpacing"/>
              <w:numPr>
                <w:ilvl w:val="0"/>
                <w:numId w:val="20"/>
              </w:numPr>
              <w:spacing w:line="360" w:lineRule="auto"/>
              <w:rPr>
                <w:szCs w:val="20"/>
              </w:rPr>
            </w:pPr>
            <w:r>
              <w:t>Ten</w:t>
            </w:r>
            <w:r w:rsidRPr="00734C7D">
              <w:t xml:space="preserve"> </w:t>
            </w:r>
            <w:r>
              <w:t xml:space="preserve">young-of-year </w:t>
            </w:r>
            <w:r w:rsidRPr="00734C7D">
              <w:t xml:space="preserve">fish </w:t>
            </w:r>
            <w:r>
              <w:t>were collected</w:t>
            </w:r>
            <w:r w:rsidRPr="00734C7D">
              <w:t xml:space="preserve"> including three Murray cod, two golden perch, two redfin perch and one carp</w:t>
            </w:r>
            <w:r>
              <w:t xml:space="preserve">. </w:t>
            </w:r>
          </w:p>
          <w:p w:rsidR="00942A21" w:rsidRPr="008655D6" w:rsidRDefault="00505588" w:rsidP="00CB4CE5">
            <w:pPr>
              <w:pStyle w:val="NoSpacing"/>
              <w:numPr>
                <w:ilvl w:val="0"/>
                <w:numId w:val="20"/>
              </w:numPr>
              <w:spacing w:line="360" w:lineRule="auto"/>
              <w:rPr>
                <w:szCs w:val="20"/>
              </w:rPr>
            </w:pPr>
            <w:r w:rsidRPr="008655D6">
              <w:rPr>
                <w:szCs w:val="20"/>
              </w:rPr>
              <w:t xml:space="preserve">The abundance of drifting cod larvae was positively related to temperature, </w:t>
            </w:r>
            <w:r w:rsidR="00340961" w:rsidRPr="008655D6">
              <w:rPr>
                <w:szCs w:val="20"/>
              </w:rPr>
              <w:t xml:space="preserve">microinvertebrate </w:t>
            </w:r>
            <w:r w:rsidRPr="008655D6">
              <w:rPr>
                <w:szCs w:val="20"/>
              </w:rPr>
              <w:t>abundance and turbidity.</w:t>
            </w:r>
          </w:p>
          <w:p w:rsidR="00942A21" w:rsidRPr="002156AA" w:rsidRDefault="00505588" w:rsidP="00CB4CE5">
            <w:pPr>
              <w:pStyle w:val="NoSpacing"/>
              <w:numPr>
                <w:ilvl w:val="0"/>
                <w:numId w:val="20"/>
              </w:numPr>
              <w:spacing w:line="360" w:lineRule="auto"/>
              <w:rPr>
                <w:szCs w:val="20"/>
              </w:rPr>
            </w:pPr>
            <w:r w:rsidRPr="00505588">
              <w:rPr>
                <w:szCs w:val="20"/>
              </w:rPr>
              <w:t>River blackfish (</w:t>
            </w:r>
            <w:r w:rsidRPr="00505588">
              <w:rPr>
                <w:i/>
                <w:szCs w:val="20"/>
              </w:rPr>
              <w:t>Gadopsis marmoratus</w:t>
            </w:r>
            <w:r w:rsidRPr="00505588">
              <w:rPr>
                <w:szCs w:val="20"/>
              </w:rPr>
              <w:t>), Australian smelt (</w:t>
            </w:r>
            <w:r w:rsidRPr="00505588">
              <w:rPr>
                <w:i/>
                <w:szCs w:val="20"/>
              </w:rPr>
              <w:t>Retropinna semoni</w:t>
            </w:r>
            <w:r w:rsidRPr="00505588">
              <w:rPr>
                <w:szCs w:val="20"/>
              </w:rPr>
              <w:t>) and carp gudgeon (</w:t>
            </w:r>
            <w:r w:rsidRPr="00505588">
              <w:rPr>
                <w:i/>
                <w:szCs w:val="20"/>
              </w:rPr>
              <w:t xml:space="preserve">Hypseleotris </w:t>
            </w:r>
            <w:r w:rsidRPr="00505588">
              <w:rPr>
                <w:szCs w:val="20"/>
              </w:rPr>
              <w:t>spp.) larvae were also collected during the sampling period in small numbers, as well as juvenile carp gudgeon and juvenile Australian smelt</w:t>
            </w:r>
            <w:r w:rsidR="00CB4CE5">
              <w:rPr>
                <w:szCs w:val="20"/>
              </w:rPr>
              <w:t>. Very few exotic fish larvae were collected.</w:t>
            </w:r>
          </w:p>
        </w:tc>
      </w:tr>
    </w:tbl>
    <w:p w:rsidR="00942A21" w:rsidRDefault="00942A21" w:rsidP="00CF571F">
      <w:pPr>
        <w:pStyle w:val="Heading1"/>
      </w:pPr>
      <w:bookmarkStart w:id="326" w:name="_Ref370284969"/>
      <w:bookmarkStart w:id="327" w:name="_Toc370299220"/>
      <w:bookmarkStart w:id="328" w:name="_Toc370738817"/>
      <w:bookmarkStart w:id="329" w:name="_Toc378168563"/>
      <w:r w:rsidRPr="00223D16">
        <w:t>Support breeding and recruitment of native fish</w:t>
      </w:r>
      <w:bookmarkEnd w:id="326"/>
      <w:bookmarkEnd w:id="327"/>
      <w:bookmarkEnd w:id="328"/>
      <w:bookmarkEnd w:id="329"/>
    </w:p>
    <w:p w:rsidR="00942A21" w:rsidRDefault="00942A21" w:rsidP="00942A21">
      <w:r w:rsidRPr="00A329CE">
        <w:t xml:space="preserve">The successful spawning and recruitment of native freshwater fish species is highly dependent on environmental conditions that </w:t>
      </w:r>
      <w:r>
        <w:t>promote</w:t>
      </w:r>
      <w:r w:rsidRPr="00A329CE">
        <w:t xml:space="preserve"> growth and survival </w:t>
      </w:r>
      <w:r w:rsidR="00D20FAE">
        <w:fldChar w:fldCharType="begin"/>
      </w:r>
      <w:r w:rsidR="009E2C5C">
        <w:instrText xml:space="preserve"> ADDIN EN.CITE &lt;EndNote&gt;&lt;Cite&gt;&lt;Author&gt;Rolls&lt;/Author&gt;&lt;Year&gt;2013&lt;/Year&gt;&lt;RecNum&gt;3465&lt;/RecNum&gt;&lt;DisplayText&gt;(Rolls, Growns&lt;style face="italic"&gt; et al.&lt;/style&gt; 2013)&lt;/DisplayText&gt;&lt;record&gt;&lt;rec-number&gt;3465&lt;/rec-number&gt;&lt;foreign-keys&gt;&lt;key app="EN" db-id="vxxvsda2b05fxpeaw2dp552mtrd5trxdrf0s"&gt;3465&lt;/key&gt;&lt;/foreign-keys&gt;&lt;ref-type name="Journal Article"&gt;17&lt;/ref-type&gt;&lt;contributors&gt;&lt;authors&gt;&lt;author&gt;Rolls, Robert J.&lt;/author&gt;&lt;author&gt;Growns, Ivor O.&lt;/author&gt;&lt;author&gt;Khan, Tariq A.&lt;/author&gt;&lt;author&gt;Wilson, G. Glenn&lt;/author&gt;&lt;author&gt;Ellison, Tanya L.&lt;/author&gt;&lt;author&gt;Prior, Andrea&lt;/author&gt;&lt;author&gt;Waring, Caroline C.&lt;/author&gt;&lt;/authors&gt;&lt;/contributors&gt;&lt;titles&gt;&lt;title&gt;Fish recruitment in rivers with modified discharge depends on the interacting effects of flow and thermal regimes&lt;/title&gt;&lt;secondary-title&gt;Freshwater Biology&lt;/secondary-title&gt;&lt;/titles&gt;&lt;periodical&gt;&lt;full-title&gt;Freshwater Biology&lt;/full-title&gt;&lt;/periodical&gt;&lt;pages&gt;1804-1819&lt;/pages&gt;&lt;volume&gt;58&lt;/volume&gt;&lt;number&gt;9&lt;/number&gt;&lt;keywords&gt;&lt;keyword&gt;environmental flow&lt;/keyword&gt;&lt;keyword&gt;flow regime&lt;/keyword&gt;&lt;keyword&gt;food web&lt;/keyword&gt;&lt;keyword&gt;recruitment&lt;/keyword&gt;&lt;keyword&gt;thermal regime&lt;/keyword&gt;&lt;/keywords&gt;&lt;dates&gt;&lt;year&gt;2013&lt;/year&gt;&lt;/dates&gt;&lt;isbn&gt;1365-2427&lt;/isbn&gt;&lt;urls&gt;&lt;related-urls&gt;&lt;url&gt;http://dx.doi.org/10.1111/fwb.12169&lt;/url&gt;&lt;/related-urls&gt;&lt;/urls&gt;&lt;electronic-resource-num&gt;10.1111/fwb.12169&lt;/electronic-resource-num&gt;&lt;/record&gt;&lt;/Cite&gt;&lt;/EndNote&gt;</w:instrText>
      </w:r>
      <w:r w:rsidR="00D20FAE">
        <w:fldChar w:fldCharType="separate"/>
      </w:r>
      <w:r w:rsidR="009E2C5C">
        <w:rPr>
          <w:noProof/>
        </w:rPr>
        <w:t>(</w:t>
      </w:r>
      <w:hyperlink w:anchor="_ENREF_87" w:tooltip="Rolls, 2013 #3465" w:history="1">
        <w:r w:rsidR="006810E6">
          <w:rPr>
            <w:noProof/>
          </w:rPr>
          <w:t>Rolls, Growns</w:t>
        </w:r>
        <w:r w:rsidR="006810E6" w:rsidRPr="009E2C5C">
          <w:rPr>
            <w:i/>
            <w:noProof/>
          </w:rPr>
          <w:t xml:space="preserve"> et al.</w:t>
        </w:r>
        <w:r w:rsidR="006810E6">
          <w:rPr>
            <w:noProof/>
          </w:rPr>
          <w:t xml:space="preserve"> 2013</w:t>
        </w:r>
      </w:hyperlink>
      <w:r w:rsidR="009E2C5C">
        <w:rPr>
          <w:noProof/>
        </w:rPr>
        <w:t>)</w:t>
      </w:r>
      <w:r w:rsidR="00D20FAE">
        <w:fldChar w:fldCharType="end"/>
      </w:r>
      <w:r w:rsidRPr="00A329CE">
        <w:t xml:space="preserve">. </w:t>
      </w:r>
      <w:r>
        <w:t>Important</w:t>
      </w:r>
      <w:r w:rsidRPr="00A329CE">
        <w:t xml:space="preserve"> environmental factors that influence spawning and recruitment</w:t>
      </w:r>
      <w:r w:rsidR="007D2459">
        <w:t xml:space="preserve"> include</w:t>
      </w:r>
      <w:r w:rsidRPr="00A329CE">
        <w:t xml:space="preserve"> food availability at critical larval stages </w:t>
      </w:r>
      <w:r w:rsidR="00D20FAE">
        <w:fldChar w:fldCharType="begin"/>
      </w:r>
      <w:r w:rsidR="009E2C5C">
        <w:instrText xml:space="preserve"> ADDIN EN.CITE &lt;EndNote&gt;&lt;Cite&gt;&lt;Author&gt;Cushing&lt;/Author&gt;&lt;Year&gt;1990&lt;/Year&gt;&lt;RecNum&gt;3466&lt;/RecNum&gt;&lt;DisplayText&gt;(Cushing 1990)&lt;/DisplayText&gt;&lt;record&gt;&lt;rec-number&gt;3466&lt;/rec-number&gt;&lt;foreign-keys&gt;&lt;key app="EN" db-id="vxxvsda2b05fxpeaw2dp552mtrd5trxdrf0s"&gt;3466&lt;/key&gt;&lt;/foreign-keys&gt;&lt;ref-type name="Book Section"&gt;5&lt;/ref-type&gt;&lt;contributors&gt;&lt;authors&gt;&lt;author&gt;Cushing, D. H.&lt;/author&gt;&lt;/authors&gt;&lt;secondary-authors&gt;&lt;author&gt;J. H. S. Blaxter&lt;/author&gt;&lt;author&gt;A. J. Southward&lt;/author&gt;&lt;/secondary-authors&gt;&lt;/contributors&gt;&lt;titles&gt;&lt;title&gt;Plankton Production and Year-class Strength in Fish Populations: an Update of the Match/Mismatch Hypothesis&lt;/title&gt;&lt;secondary-title&gt;Advances in Marine Biology&lt;/secondary-title&gt;&lt;/titles&gt;&lt;pages&gt;249-293&lt;/pages&gt;&lt;volume&gt;Volume 26&lt;/volume&gt;&lt;dates&gt;&lt;year&gt;1990&lt;/year&gt;&lt;/dates&gt;&lt;publisher&gt;Academic Press&lt;/publisher&gt;&lt;isbn&gt;0065-2881&lt;/isbn&gt;&lt;urls&gt;&lt;related-urls&gt;&lt;url&gt;http://www.sciencedirect.com/science/article/pii/S0065288108602023&lt;/url&gt;&lt;/related-urls&gt;&lt;/urls&gt;&lt;electronic-resource-num&gt;http://dx.doi.org/10.1016/S0065-2881(08)60202-3&lt;/electronic-resource-num&gt;&lt;/record&gt;&lt;/Cite&gt;&lt;/EndNote&gt;</w:instrText>
      </w:r>
      <w:r w:rsidR="00D20FAE">
        <w:fldChar w:fldCharType="separate"/>
      </w:r>
      <w:r w:rsidR="009E2C5C">
        <w:rPr>
          <w:noProof/>
        </w:rPr>
        <w:t>(</w:t>
      </w:r>
      <w:hyperlink w:anchor="_ENREF_28" w:tooltip="Cushing, 1990 #3466" w:history="1">
        <w:r w:rsidR="006810E6">
          <w:rPr>
            <w:noProof/>
          </w:rPr>
          <w:t>Cushing 1990</w:t>
        </w:r>
      </w:hyperlink>
      <w:r w:rsidR="009E2C5C">
        <w:rPr>
          <w:noProof/>
        </w:rPr>
        <w:t>)</w:t>
      </w:r>
      <w:r w:rsidR="00D20FAE">
        <w:fldChar w:fldCharType="end"/>
      </w:r>
      <w:r>
        <w:t xml:space="preserve">, suitability of habitat </w:t>
      </w:r>
      <w:r w:rsidR="00D20FAE">
        <w:fldChar w:fldCharType="begin"/>
      </w:r>
      <w:r w:rsidR="009E2C5C">
        <w:instrText xml:space="preserve"> ADDIN EN.CITE &lt;EndNote&gt;&lt;Cite&gt;&lt;Author&gt;Copp&lt;/Author&gt;&lt;Year&gt;1992&lt;/Year&gt;&lt;RecNum&gt;3467&lt;/RecNum&gt;&lt;DisplayText&gt;(Copp 1992)&lt;/DisplayText&gt;&lt;record&gt;&lt;rec-number&gt;3467&lt;/rec-number&gt;&lt;foreign-keys&gt;&lt;key app="EN" db-id="vxxvsda2b05fxpeaw2dp552mtrd5trxdrf0s"&gt;3467&lt;/key&gt;&lt;/foreign-keys&gt;&lt;ref-type name="Journal Article"&gt;17&lt;/ref-type&gt;&lt;contributors&gt;&lt;authors&gt;&lt;author&gt;Copp, GordonH&lt;/author&gt;&lt;/authors&gt;&lt;/contributors&gt;&lt;titles&gt;&lt;title&gt;Comparative microhabitat use of cyprinid larvae and juveniles in a lotic floodplain channel&lt;/title&gt;&lt;secondary-title&gt;Environmental Biology of Fishes&lt;/secondary-title&gt;&lt;alt-title&gt;Environ Biol Fish&lt;/alt-title&gt;&lt;/titles&gt;&lt;periodical&gt;&lt;full-title&gt;Environmental Biology of Fishes&lt;/full-title&gt;&lt;/periodical&gt;&lt;pages&gt;181-193&lt;/pages&gt;&lt;volume&gt;33&lt;/volume&gt;&lt;number&gt;1-2&lt;/number&gt;&lt;keywords&gt;&lt;keyword&gt;Pisces&lt;/keyword&gt;&lt;keyword&gt;Cyprinidae&lt;/keyword&gt;&lt;keyword&gt;Correspondence analysis&lt;/keyword&gt;&lt;keyword&gt;Electrofishing&lt;/keyword&gt;&lt;keyword&gt;Point abundance sampling&lt;/keyword&gt;&lt;keyword&gt;Upper Rhône River&lt;/keyword&gt;&lt;keyword&gt;Early life history&lt;/keyword&gt;&lt;keyword&gt;Electivity index&lt;/keyword&gt;&lt;keyword&gt;Predation&lt;/keyword&gt;&lt;keyword&gt;Resource partitioning&lt;/keyword&gt;&lt;/keywords&gt;&lt;dates&gt;&lt;year&gt;1992&lt;/year&gt;&lt;pub-dates&gt;&lt;date&gt;1992/01/01&lt;/date&gt;&lt;/pub-dates&gt;&lt;/dates&gt;&lt;publisher&gt;Kluwer Academic Publishers&lt;/publisher&gt;&lt;isbn&gt;0378-1909&lt;/isbn&gt;&lt;urls&gt;&lt;related-urls&gt;&lt;url&gt;http://dx.doi.org/10.1007/BF00002563&lt;/url&gt;&lt;/related-urls&gt;&lt;/urls&gt;&lt;electronic-resource-num&gt;10.1007/bf00002563&lt;/electronic-resource-num&gt;&lt;language&gt;English&lt;/language&gt;&lt;/record&gt;&lt;/Cite&gt;&lt;/EndNote&gt;</w:instrText>
      </w:r>
      <w:r w:rsidR="00D20FAE">
        <w:fldChar w:fldCharType="separate"/>
      </w:r>
      <w:r w:rsidR="009E2C5C">
        <w:rPr>
          <w:noProof/>
        </w:rPr>
        <w:t>(</w:t>
      </w:r>
      <w:hyperlink w:anchor="_ENREF_27" w:tooltip="Copp, 1992 #3467" w:history="1">
        <w:r w:rsidR="006810E6">
          <w:rPr>
            <w:noProof/>
          </w:rPr>
          <w:t>Copp 1992</w:t>
        </w:r>
      </w:hyperlink>
      <w:r w:rsidR="009E2C5C">
        <w:rPr>
          <w:noProof/>
        </w:rPr>
        <w:t>)</w:t>
      </w:r>
      <w:r w:rsidR="00D20FAE">
        <w:fldChar w:fldCharType="end"/>
      </w:r>
      <w:r w:rsidR="00213920">
        <w:t>, predation</w:t>
      </w:r>
      <w:r w:rsidRPr="00A329CE">
        <w:t xml:space="preserve"> </w:t>
      </w:r>
      <w:r w:rsidR="00D20FAE">
        <w:fldChar w:fldCharType="begin"/>
      </w:r>
      <w:r w:rsidR="009E2C5C">
        <w:instrText xml:space="preserve"> ADDIN EN.CITE &lt;EndNote&gt;&lt;Cite&gt;&lt;Author&gt;Copp&lt;/Author&gt;&lt;Year&gt;1992&lt;/Year&gt;&lt;RecNum&gt;3467&lt;/RecNum&gt;&lt;DisplayText&gt;(Copp 1992)&lt;/DisplayText&gt;&lt;record&gt;&lt;rec-number&gt;3467&lt;/rec-number&gt;&lt;foreign-keys&gt;&lt;key app="EN" db-id="vxxvsda2b05fxpeaw2dp552mtrd5trxdrf0s"&gt;3467&lt;/key&gt;&lt;/foreign-keys&gt;&lt;ref-type name="Journal Article"&gt;17&lt;/ref-type&gt;&lt;contributors&gt;&lt;authors&gt;&lt;author&gt;Copp, GordonH&lt;/author&gt;&lt;/authors&gt;&lt;/contributors&gt;&lt;titles&gt;&lt;title&gt;Comparative microhabitat use of cyprinid larvae and juveniles in a lotic floodplain channel&lt;/title&gt;&lt;secondary-title&gt;Environmental Biology of Fishes&lt;/secondary-title&gt;&lt;alt-title&gt;Environ Biol Fish&lt;/alt-title&gt;&lt;/titles&gt;&lt;periodical&gt;&lt;full-title&gt;Environmental Biology of Fishes&lt;/full-title&gt;&lt;/periodical&gt;&lt;pages&gt;181-193&lt;/pages&gt;&lt;volume&gt;33&lt;/volume&gt;&lt;number&gt;1-2&lt;/number&gt;&lt;keywords&gt;&lt;keyword&gt;Pisces&lt;/keyword&gt;&lt;keyword&gt;Cyprinidae&lt;/keyword&gt;&lt;keyword&gt;Correspondence analysis&lt;/keyword&gt;&lt;keyword&gt;Electrofishing&lt;/keyword&gt;&lt;keyword&gt;Point abundance sampling&lt;/keyword&gt;&lt;keyword&gt;Upper Rhône River&lt;/keyword&gt;&lt;keyword&gt;Early life history&lt;/keyword&gt;&lt;keyword&gt;Electivity index&lt;/keyword&gt;&lt;keyword&gt;Predation&lt;/keyword&gt;&lt;keyword&gt;Resource partitioning&lt;/keyword&gt;&lt;/keywords&gt;&lt;dates&gt;&lt;year&gt;1992&lt;/year&gt;&lt;pub-dates&gt;&lt;date&gt;1992/01/01&lt;/date&gt;&lt;/pub-dates&gt;&lt;/dates&gt;&lt;publisher&gt;Kluwer Academic Publishers&lt;/publisher&gt;&lt;isbn&gt;0378-1909&lt;/isbn&gt;&lt;urls&gt;&lt;related-urls&gt;&lt;url&gt;http://dx.doi.org/10.1007/BF00002563&lt;/url&gt;&lt;/related-urls&gt;&lt;/urls&gt;&lt;electronic-resource-num&gt;10.1007/bf00002563&lt;/electronic-resource-num&gt;&lt;language&gt;English&lt;/language&gt;&lt;/record&gt;&lt;/Cite&gt;&lt;/EndNote&gt;</w:instrText>
      </w:r>
      <w:r w:rsidR="00D20FAE">
        <w:fldChar w:fldCharType="separate"/>
      </w:r>
      <w:r w:rsidR="009E2C5C">
        <w:rPr>
          <w:noProof/>
        </w:rPr>
        <w:t>(</w:t>
      </w:r>
      <w:hyperlink w:anchor="_ENREF_27" w:tooltip="Copp, 1992 #3467" w:history="1">
        <w:r w:rsidR="006810E6">
          <w:rPr>
            <w:noProof/>
          </w:rPr>
          <w:t>Copp 1992</w:t>
        </w:r>
      </w:hyperlink>
      <w:r w:rsidR="009E2C5C">
        <w:rPr>
          <w:noProof/>
        </w:rPr>
        <w:t>)</w:t>
      </w:r>
      <w:r w:rsidR="00D20FAE">
        <w:fldChar w:fldCharType="end"/>
      </w:r>
      <w:r w:rsidRPr="00A329CE">
        <w:t xml:space="preserve">, </w:t>
      </w:r>
      <w:r w:rsidR="00CB4CE5">
        <w:t>water temperature</w:t>
      </w:r>
      <w:r w:rsidRPr="00A329CE">
        <w:t xml:space="preserve"> </w:t>
      </w:r>
      <w:r w:rsidR="00D20FAE">
        <w:fldChar w:fldCharType="begin"/>
      </w:r>
      <w:r w:rsidR="009E2C5C">
        <w:instrText xml:space="preserve"> ADDIN EN.CITE &lt;EndNote&gt;&lt;Cite&gt;&lt;Author&gt;Rolls&lt;/Author&gt;&lt;Year&gt;2013&lt;/Year&gt;&lt;RecNum&gt;3465&lt;/RecNum&gt;&lt;DisplayText&gt;(Rolls, Growns&lt;style face="italic"&gt; et al.&lt;/style&gt; 2013)&lt;/DisplayText&gt;&lt;record&gt;&lt;rec-number&gt;3465&lt;/rec-number&gt;&lt;foreign-keys&gt;&lt;key app="EN" db-id="vxxvsda2b05fxpeaw2dp552mtrd5trxdrf0s"&gt;3465&lt;/key&gt;&lt;/foreign-keys&gt;&lt;ref-type name="Journal Article"&gt;17&lt;/ref-type&gt;&lt;contributors&gt;&lt;authors&gt;&lt;author&gt;Rolls, Robert J.&lt;/author&gt;&lt;author&gt;Growns, Ivor O.&lt;/author&gt;&lt;author&gt;Khan, Tariq A.&lt;/author&gt;&lt;author&gt;Wilson, G. Glenn&lt;/author&gt;&lt;author&gt;Ellison, Tanya L.&lt;/author&gt;&lt;author&gt;Prior, Andrea&lt;/author&gt;&lt;author&gt;Waring, Caroline C.&lt;/author&gt;&lt;/authors&gt;&lt;/contributors&gt;&lt;titles&gt;&lt;title&gt;Fish recruitment in rivers with modified discharge depends on the interacting effects of flow and thermal regimes&lt;/title&gt;&lt;secondary-title&gt;Freshwater Biology&lt;/secondary-title&gt;&lt;/titles&gt;&lt;periodical&gt;&lt;full-title&gt;Freshwater Biology&lt;/full-title&gt;&lt;/periodical&gt;&lt;pages&gt;1804-1819&lt;/pages&gt;&lt;volume&gt;58&lt;/volume&gt;&lt;number&gt;9&lt;/number&gt;&lt;keywords&gt;&lt;keyword&gt;environmental flow&lt;/keyword&gt;&lt;keyword&gt;flow regime&lt;/keyword&gt;&lt;keyword&gt;food web&lt;/keyword&gt;&lt;keyword&gt;recruitment&lt;/keyword&gt;&lt;keyword&gt;thermal regime&lt;/keyword&gt;&lt;/keywords&gt;&lt;dates&gt;&lt;year&gt;2013&lt;/year&gt;&lt;/dates&gt;&lt;isbn&gt;1365-2427&lt;/isbn&gt;&lt;urls&gt;&lt;related-urls&gt;&lt;url&gt;http://dx.doi.org/10.1111/fwb.12169&lt;/url&gt;&lt;/related-urls&gt;&lt;/urls&gt;&lt;electronic-resource-num&gt;10.1111/fwb.12169&lt;/electronic-resource-num&gt;&lt;/record&gt;&lt;/Cite&gt;&lt;/EndNote&gt;</w:instrText>
      </w:r>
      <w:r w:rsidR="00D20FAE">
        <w:fldChar w:fldCharType="separate"/>
      </w:r>
      <w:r w:rsidR="009E2C5C">
        <w:rPr>
          <w:noProof/>
        </w:rPr>
        <w:t>(</w:t>
      </w:r>
      <w:hyperlink w:anchor="_ENREF_87" w:tooltip="Rolls, 2013 #3465" w:history="1">
        <w:r w:rsidR="006810E6">
          <w:rPr>
            <w:noProof/>
          </w:rPr>
          <w:t>Rolls, Growns</w:t>
        </w:r>
        <w:r w:rsidR="006810E6" w:rsidRPr="009E2C5C">
          <w:rPr>
            <w:i/>
            <w:noProof/>
          </w:rPr>
          <w:t xml:space="preserve"> et al.</w:t>
        </w:r>
        <w:r w:rsidR="006810E6">
          <w:rPr>
            <w:noProof/>
          </w:rPr>
          <w:t xml:space="preserve"> 2013</w:t>
        </w:r>
      </w:hyperlink>
      <w:r w:rsidR="009E2C5C">
        <w:rPr>
          <w:noProof/>
        </w:rPr>
        <w:t>)</w:t>
      </w:r>
      <w:r w:rsidR="00D20FAE">
        <w:fldChar w:fldCharType="end"/>
      </w:r>
      <w:r w:rsidRPr="00A329CE">
        <w:t xml:space="preserve"> and flow variability </w:t>
      </w:r>
      <w:r w:rsidR="00D20FAE">
        <w:fldChar w:fldCharType="begin"/>
      </w:r>
      <w:r w:rsidR="006171E9">
        <w:instrText xml:space="preserve"> ADDIN EN.CITE &lt;EndNote&gt;&lt;Cite&gt;&lt;Author&gt;King&lt;/Author&gt;&lt;Year&gt;2009&lt;/Year&gt;&lt;RecNum&gt;2949&lt;/RecNum&gt;&lt;DisplayText&gt;(King, Tonkin&lt;style face="italic"&gt; et al.&lt;/style&gt; 2009)&lt;/DisplayText&gt;&lt;record&gt;&lt;rec-number&gt;2949&lt;/rec-number&gt;&lt;foreign-keys&gt;&lt;key app="EN" db-id="vxxvsda2b05fxpeaw2dp552mtrd5trxdrf0s"&gt;2949&lt;/key&gt;&lt;/foreign-keys&gt;&lt;ref-type name="Journal Article"&gt;17&lt;/ref-type&gt;&lt;contributors&gt;&lt;authors&gt;&lt;author&gt;A.J. King&lt;/author&gt;&lt;author&gt;Z. Tonkin&lt;/author&gt;&lt;author&gt;J. Mahoney&lt;/author&gt;&lt;/authors&gt;&lt;/contributors&gt;&lt;auth-address&gt;Department of Sustainability and Environment, Freshwater Ecology, Arthur Rylah Institute for Environmental Research, PO Box 137, Heidelberg, Vic. 3084, Australia&lt;/auth-address&gt;&lt;titles&gt;&lt;title&gt;Environmental flow enhances native fish spawning and recruitment in the Murray River, Australia&lt;/title&gt;&lt;secondary-title&gt;River Research and Applications&lt;/secondary-title&gt;&lt;/titles&gt;&lt;periodical&gt;&lt;full-title&gt;River Research and Applications&lt;/full-title&gt;&lt;/periodical&gt;&lt;pages&gt;1205-1218&lt;/pages&gt;&lt;volume&gt;25&lt;/volume&gt;&lt;number&gt;10&lt;/number&gt;&lt;dates&gt;&lt;year&gt;2009&lt;/year&gt;&lt;/dates&gt;&lt;isbn&gt;1535-1467&lt;/isbn&gt;&lt;urls&gt;&lt;related-urls&gt;&lt;url&gt;http://dx.doi.org/10.1002/rra.1209&lt;/url&gt;&lt;/related-urls&gt;&lt;/urls&gt;&lt;/record&gt;&lt;/Cite&gt;&lt;/EndNote&gt;</w:instrText>
      </w:r>
      <w:r w:rsidR="00D20FAE">
        <w:fldChar w:fldCharType="separate"/>
      </w:r>
      <w:r w:rsidR="006171E9">
        <w:rPr>
          <w:noProof/>
        </w:rPr>
        <w:t>(</w:t>
      </w:r>
      <w:hyperlink w:anchor="_ENREF_53" w:tooltip="King, 2009 #3301" w:history="1">
        <w:r w:rsidR="006810E6">
          <w:rPr>
            <w:noProof/>
          </w:rPr>
          <w:t>King, Tonkin</w:t>
        </w:r>
        <w:r w:rsidR="006810E6" w:rsidRPr="006171E9">
          <w:rPr>
            <w:i/>
            <w:noProof/>
          </w:rPr>
          <w:t xml:space="preserve"> et al.</w:t>
        </w:r>
        <w:r w:rsidR="006810E6">
          <w:rPr>
            <w:noProof/>
          </w:rPr>
          <w:t xml:space="preserve"> 2009</w:t>
        </w:r>
      </w:hyperlink>
      <w:r w:rsidR="006171E9">
        <w:rPr>
          <w:noProof/>
        </w:rPr>
        <w:t>)</w:t>
      </w:r>
      <w:r w:rsidR="00D20FAE">
        <w:fldChar w:fldCharType="end"/>
      </w:r>
      <w:r w:rsidRPr="00A329CE">
        <w:t xml:space="preserve">. </w:t>
      </w:r>
      <w:r>
        <w:t>For example, changing</w:t>
      </w:r>
      <w:r w:rsidRPr="00A329CE">
        <w:t xml:space="preserve"> flow variability </w:t>
      </w:r>
      <w:r>
        <w:t xml:space="preserve">towards </w:t>
      </w:r>
      <w:r w:rsidR="00213920">
        <w:t>a natural</w:t>
      </w:r>
      <w:r w:rsidRPr="00A329CE">
        <w:t xml:space="preserve"> flow regime direct</w:t>
      </w:r>
      <w:r>
        <w:t>ly</w:t>
      </w:r>
      <w:r w:rsidRPr="00A329CE">
        <w:t xml:space="preserve"> influence</w:t>
      </w:r>
      <w:r>
        <w:t>s</w:t>
      </w:r>
      <w:r w:rsidRPr="00A329CE">
        <w:t xml:space="preserve"> the survival of eggs and larvae </w:t>
      </w:r>
      <w:r w:rsidR="00D20FAE">
        <w:fldChar w:fldCharType="begin"/>
      </w:r>
      <w:r w:rsidR="006171E9">
        <w:instrText xml:space="preserve"> ADDIN EN.CITE &lt;EndNote&gt;&lt;Cite&gt;&lt;Author&gt;King&lt;/Author&gt;&lt;Year&gt;2009&lt;/Year&gt;&lt;RecNum&gt;3301&lt;/RecNum&gt;&lt;DisplayText&gt;(King, Tonkin&lt;style face="italic"&gt; et al.&lt;/style&gt; 2009)&lt;/DisplayText&gt;&lt;record&gt;&lt;rec-number&gt;3301&lt;/rec-number&gt;&lt;foreign-keys&gt;&lt;key app="EN" db-id="vxxvsda2b05fxpeaw2dp552mtrd5trxdrf0s"&gt;3301&lt;/key&gt;&lt;/foreign-keys&gt;&lt;ref-type name="Journal Article"&gt;17&lt;/ref-type&gt;&lt;contributors&gt;&lt;authors&gt;&lt;author&gt;King, A. J.&lt;/author&gt;&lt;author&gt;Tonkin, Z.&lt;/author&gt;&lt;author&gt;Mahoney, J.&lt;/author&gt;&lt;/authors&gt;&lt;/contributors&gt;&lt;titles&gt;&lt;title&gt;Environmental flow enhances native fish spawning and recruitment in the Murray River, Australia&lt;/title&gt;&lt;secondary-title&gt;River Research and Applications&lt;/secondary-title&gt;&lt;/titles&gt;&lt;periodical&gt;&lt;full-title&gt;River Research and Applications&lt;/full-title&gt;&lt;/periodical&gt;&lt;pages&gt;1205-1218&lt;/pages&gt;&lt;volume&gt;25&lt;/volume&gt;&lt;number&gt;10&lt;/number&gt;&lt;keywords&gt;&lt;keyword&gt;fish larvae&lt;/keyword&gt;&lt;keyword&gt;river regulation&lt;/keyword&gt;&lt;keyword&gt;flooding&lt;/keyword&gt;&lt;keyword&gt;managed flood&lt;/keyword&gt;&lt;keyword&gt;Barmah-Millewa Forest&lt;/keyword&gt;&lt;/keywords&gt;&lt;dates&gt;&lt;year&gt;2009&lt;/year&gt;&lt;/dates&gt;&lt;publisher&gt;John Wiley &amp;amp; Sons, Ltd.&lt;/publisher&gt;&lt;isbn&gt;1535-1467&lt;/isbn&gt;&lt;urls&gt;&lt;related-urls&gt;&lt;url&gt;http://dx.doi.org/10.1002/rra.1209&lt;/url&gt;&lt;/related-urls&gt;&lt;/urls&gt;&lt;electronic-resource-num&gt;10.1002/rra.1209&lt;/electronic-resource-num&gt;&lt;/record&gt;&lt;/Cite&gt;&lt;/EndNote&gt;</w:instrText>
      </w:r>
      <w:r w:rsidR="00D20FAE">
        <w:fldChar w:fldCharType="separate"/>
      </w:r>
      <w:r w:rsidR="006171E9">
        <w:rPr>
          <w:noProof/>
        </w:rPr>
        <w:t>(</w:t>
      </w:r>
      <w:hyperlink w:anchor="_ENREF_53" w:tooltip="King, 2009 #3301" w:history="1">
        <w:r w:rsidR="006810E6">
          <w:rPr>
            <w:noProof/>
          </w:rPr>
          <w:t>King, Tonkin</w:t>
        </w:r>
        <w:r w:rsidR="006810E6" w:rsidRPr="006171E9">
          <w:rPr>
            <w:i/>
            <w:noProof/>
          </w:rPr>
          <w:t xml:space="preserve"> et al.</w:t>
        </w:r>
        <w:r w:rsidR="006810E6">
          <w:rPr>
            <w:noProof/>
          </w:rPr>
          <w:t xml:space="preserve"> 2009</w:t>
        </w:r>
      </w:hyperlink>
      <w:r w:rsidR="006171E9">
        <w:rPr>
          <w:noProof/>
        </w:rPr>
        <w:t>)</w:t>
      </w:r>
      <w:r w:rsidR="00D20FAE">
        <w:fldChar w:fldCharType="end"/>
      </w:r>
      <w:r w:rsidRPr="00A329CE">
        <w:t>. Flow play</w:t>
      </w:r>
      <w:r w:rsidR="00340961">
        <w:t>s</w:t>
      </w:r>
      <w:r w:rsidRPr="00A329CE">
        <w:t xml:space="preserve"> an important role in the life-cycle of native fish from the larval to the adult stage, where water may inundate habitat needed for reproduction, or stimulate in-stream migration</w:t>
      </w:r>
      <w:r>
        <w:t xml:space="preserve"> to spawning habitat to find a mate and establish nest sites (</w:t>
      </w:r>
      <w:r w:rsidR="00340961">
        <w:t xml:space="preserve">i.e. </w:t>
      </w:r>
      <w:r>
        <w:t>Murray cod)</w:t>
      </w:r>
      <w:r w:rsidRPr="00A329CE">
        <w:t xml:space="preserve"> </w:t>
      </w:r>
      <w:r w:rsidR="00D20FAE">
        <w:fldChar w:fldCharType="begin">
          <w:fldData xml:space="preserve">PEVuZE5vdGU+PENpdGU+PEF1dGhvcj5IdW1waHJpZXM8L0F1dGhvcj48WWVhcj4xOTk5PC9ZZWFy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ZT48L3BlcmlvZGljYWw+PHBhZ2VzPjc3My03ODY8L3BhZ2VzPjx2b2x1bWU+NjA8L3ZvbHVtZT48
bnVtYmVyPjc8L251bWJlcj48ZGF0ZXM+PHllYXI+MjAwMzwveWVhcj48L2RhdGVzPjx1cmxzPjxy
ZWxhdGVkLXVybHM+PHVybD5odHRwOi8vd3d3Lm5yY3Jlc2VhcmNocHJlc3MuY29tL2RvaS9hYnMv
MTAuMTEzOS9mMDMtMDU3PC91cmw+PC9yZWxhdGVkLXVybHM+PC91cmxzPjxlbGVjdHJvbmljLXJl
c291cmNlLW51bT5kb2k6MTAuMTEzOS9mMDMtMDU3PC9lbGVjdHJvbmljLXJlc291cmNlLW51bT48
L3JlY29yZD48L0NpdGU+PC9FbmROb3RlPn==
</w:fldData>
        </w:fldChar>
      </w:r>
      <w:r w:rsidR="006171E9">
        <w:instrText xml:space="preserve"> ADDIN EN.CITE </w:instrText>
      </w:r>
      <w:r w:rsidR="00D20FAE">
        <w:fldChar w:fldCharType="begin">
          <w:fldData xml:space="preserve">PEVuZE5vdGU+PENpdGU+PEF1dGhvcj5IdW1waHJpZXM8L0F1dGhvcj48WWVhcj4xOTk5PC9ZZWFy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ZT48L3BlcmlvZGljYWw+PHBhZ2VzPjc3My03ODY8L3BhZ2VzPjx2b2x1bWU+NjA8L3ZvbHVtZT48
bnVtYmVyPjc8L251bWJlcj48ZGF0ZXM+PHllYXI+MjAwMzwveWVhcj48L2RhdGVzPjx1cmxzPjxy
ZWxhdGVkLXVybHM+PHVybD5odHRwOi8vd3d3Lm5yY3Jlc2VhcmNocHJlc3MuY29tL2RvaS9hYnMv
MTAuMTEzOS9mMDMtMDU3PC91cmw+PC9yZWxhdGVkLXVybHM+PC91cmxzPjxlbGVjdHJvbmljLXJl
c291cmNlLW51bT5kb2k6MTAuMTEzOS9mMDMtMDU3PC9lbGVjdHJvbmljLXJlc291cmNlLW51bT48
L3JlY29yZD48L0NpdGU+PC9FbmROb3RlPn==
</w:fldData>
        </w:fldChar>
      </w:r>
      <w:r w:rsidR="006171E9">
        <w:instrText xml:space="preserve"> ADDIN EN.CITE.DATA </w:instrText>
      </w:r>
      <w:r w:rsidR="00D20FAE">
        <w:fldChar w:fldCharType="end"/>
      </w:r>
      <w:r w:rsidR="00D20FAE">
        <w:fldChar w:fldCharType="separate"/>
      </w:r>
      <w:r w:rsidR="006171E9">
        <w:rPr>
          <w:noProof/>
        </w:rPr>
        <w:t>(</w:t>
      </w:r>
      <w:hyperlink w:anchor="_ENREF_41" w:tooltip="Humphries, 1999 #3171" w:history="1">
        <w:r w:rsidR="006810E6">
          <w:rPr>
            <w:noProof/>
          </w:rPr>
          <w:t>Humphries, King</w:t>
        </w:r>
        <w:r w:rsidR="006810E6" w:rsidRPr="006171E9">
          <w:rPr>
            <w:i/>
            <w:noProof/>
          </w:rPr>
          <w:t xml:space="preserve"> et al.</w:t>
        </w:r>
        <w:r w:rsidR="006810E6">
          <w:rPr>
            <w:noProof/>
          </w:rPr>
          <w:t xml:space="preserve"> 1999</w:t>
        </w:r>
      </w:hyperlink>
      <w:r w:rsidR="006171E9">
        <w:rPr>
          <w:noProof/>
        </w:rPr>
        <w:t xml:space="preserve">, </w:t>
      </w:r>
      <w:hyperlink w:anchor="_ENREF_52" w:tooltip="King, 2003 #3172" w:history="1">
        <w:r w:rsidR="006810E6">
          <w:rPr>
            <w:noProof/>
          </w:rPr>
          <w:t>King, Humphries</w:t>
        </w:r>
        <w:r w:rsidR="006810E6" w:rsidRPr="006171E9">
          <w:rPr>
            <w:i/>
            <w:noProof/>
          </w:rPr>
          <w:t xml:space="preserve"> et al.</w:t>
        </w:r>
        <w:r w:rsidR="006810E6">
          <w:rPr>
            <w:noProof/>
          </w:rPr>
          <w:t xml:space="preserve"> 2003</w:t>
        </w:r>
      </w:hyperlink>
      <w:r w:rsidR="006171E9">
        <w:rPr>
          <w:noProof/>
        </w:rPr>
        <w:t>)</w:t>
      </w:r>
      <w:r w:rsidR="00D20FAE">
        <w:fldChar w:fldCharType="end"/>
      </w:r>
      <w:r w:rsidRPr="00A329CE">
        <w:t xml:space="preserve">. </w:t>
      </w:r>
    </w:p>
    <w:p w:rsidR="00CB4CE5" w:rsidRDefault="00505588" w:rsidP="00CB4CE5">
      <w:pPr>
        <w:pStyle w:val="BodyText1"/>
      </w:pPr>
      <w:r w:rsidRPr="00505588">
        <w:t xml:space="preserve">Increased flow may inundate river or wetland habitat needed for reproduction, while also releasing nutrients and increasing productivity of microinvertebrates, a key prey item for the first feed of all species of native fish </w:t>
      </w:r>
      <w:r w:rsidR="00D20FAE">
        <w:rPr>
          <w:rFonts w:eastAsia="Calibri"/>
        </w:rPr>
        <w:fldChar w:fldCharType="begin"/>
      </w:r>
      <w:r w:rsidR="009E2C5C">
        <w:rPr>
          <w:rFonts w:eastAsia="Calibri"/>
        </w:rPr>
        <w:instrText xml:space="preserve"> ADDIN EN.CITE &lt;EndNote&gt;&lt;Cite&gt;&lt;Author&gt;Devries&lt;/Author&gt;&lt;Year&gt;1998&lt;/Year&gt;&lt;RecNum&gt;3468&lt;/RecNum&gt;&lt;DisplayText&gt;(Devries, Stein&lt;style face="italic"&gt; et al.&lt;/style&gt; 1998)&lt;/DisplayText&gt;&lt;record&gt;&lt;rec-number&gt;3468&lt;/rec-number&gt;&lt;foreign-keys&gt;&lt;key app="EN" db-id="vxxvsda2b05fxpeaw2dp552mtrd5trxdrf0s"&gt;3468&lt;/key&gt;&lt;/foreign-keys&gt;&lt;ref-type name="Journal Article"&gt;17&lt;/ref-type&gt;&lt;contributors&gt;&lt;authors&gt;&lt;author&gt;Devries, D. R.&lt;/author&gt;&lt;author&gt;Stein, R. A.&lt;/author&gt;&lt;author&gt;Bremigan, M. T.&lt;/author&gt;&lt;/authors&gt;&lt;/contributors&gt;&lt;titles&gt;&lt;title&gt;Prey selection by larval fishes as influenced by available zooplankton and gap limitation&lt;/title&gt;&lt;secondary-title&gt;Transactions of the American Fisheries Society&lt;/secondary-title&gt;&lt;/titles&gt;&lt;periodical&gt;&lt;full-title&gt;Transactions of the American Fisheries Society&lt;/full-title&gt;&lt;/periodical&gt;&lt;pages&gt;1040-1050&lt;/pages&gt;&lt;volume&gt;127&lt;/volume&gt;&lt;number&gt;6&lt;/number&gt;&lt;dates&gt;&lt;year&gt;1998&lt;/year&gt;&lt;/dates&gt;&lt;urls&gt;&lt;/urls&gt;&lt;/record&gt;&lt;/Cite&gt;&lt;/EndNote&gt;</w:instrText>
      </w:r>
      <w:r w:rsidR="00D20FAE">
        <w:rPr>
          <w:rFonts w:eastAsia="Calibri"/>
        </w:rPr>
        <w:fldChar w:fldCharType="separate"/>
      </w:r>
      <w:r w:rsidR="009E2C5C">
        <w:rPr>
          <w:rFonts w:eastAsia="Calibri"/>
          <w:noProof/>
        </w:rPr>
        <w:t>(</w:t>
      </w:r>
      <w:hyperlink w:anchor="_ENREF_30" w:tooltip="Devries, 1998 #3468" w:history="1">
        <w:r w:rsidR="006810E6">
          <w:rPr>
            <w:rFonts w:eastAsia="Calibri"/>
            <w:noProof/>
          </w:rPr>
          <w:t>Devries, Stein</w:t>
        </w:r>
        <w:r w:rsidR="006810E6" w:rsidRPr="009E2C5C">
          <w:rPr>
            <w:rFonts w:eastAsia="Calibri"/>
            <w:i/>
            <w:noProof/>
          </w:rPr>
          <w:t xml:space="preserve"> et al.</w:t>
        </w:r>
        <w:r w:rsidR="006810E6">
          <w:rPr>
            <w:rFonts w:eastAsia="Calibri"/>
            <w:noProof/>
          </w:rPr>
          <w:t xml:space="preserve"> 1998</w:t>
        </w:r>
      </w:hyperlink>
      <w:r w:rsidR="009E2C5C">
        <w:rPr>
          <w:rFonts w:eastAsia="Calibri"/>
          <w:noProof/>
        </w:rPr>
        <w:t>)</w:t>
      </w:r>
      <w:r w:rsidR="00D20FAE">
        <w:rPr>
          <w:rFonts w:eastAsia="Calibri"/>
        </w:rPr>
        <w:fldChar w:fldCharType="end"/>
      </w:r>
      <w:r w:rsidRPr="00505588">
        <w:t>. Spawning occurs over a defined period; trout cod generally spawn between the start and end of September</w:t>
      </w:r>
      <w:r w:rsidR="00213920">
        <w:t>,</w:t>
      </w:r>
      <w:r w:rsidRPr="00505588">
        <w:t xml:space="preserve"> and Murray cod usually spawn between mid-October and late-November </w:t>
      </w:r>
      <w:r w:rsidR="00D20FAE">
        <w:rPr>
          <w:rFonts w:eastAsia="Calibri"/>
        </w:rPr>
        <w:fldChar w:fldCharType="begin"/>
      </w:r>
      <w:r w:rsidR="006171E9">
        <w:rPr>
          <w:rFonts w:eastAsia="Calibri"/>
        </w:rPr>
        <w:instrText xml:space="preserve"> ADDIN EN.CITE &lt;EndNote&gt;&lt;Cite&gt;&lt;Author&gt;Humphries&lt;/Author&gt;&lt;Year&gt;2005&lt;/Year&gt;&lt;RecNum&gt;3296&lt;/RecNum&gt;&lt;DisplayText&gt;(Humphries 2005)&lt;/DisplayText&gt;&lt;record&gt;&lt;rec-number&gt;3296&lt;/rec-number&gt;&lt;foreign-keys&gt;&lt;key app="EN" db-id="vxxvsda2b05fxpeaw2dp552mtrd5trxdrf0s"&gt;3296&lt;/key&gt;&lt;/foreign-keys&gt;&lt;ref-type name="Journal Article"&gt;17&lt;/ref-type&gt;&lt;contributors&gt;&lt;authors&gt;&lt;author&gt;Humphries, P.&lt;/author&gt;&lt;/authors&gt;&lt;/contributors&gt;&lt;titles&gt;&lt;title&gt;&lt;style face="normal" font="default" size="100%"&gt;Spawning time and early life history of Murray cod, &lt;/style&gt;&lt;style face="italic" font="default" size="100%"&gt;Maccullochella peelii&lt;/style&gt;&lt;style face="normal" font="default" size="100%"&gt; (Mitchell) in an Australian river&lt;/style&gt;&lt;/title&gt;&lt;secondary-title&gt;Environmental Biology of Fishes&lt;/secondary-title&gt;&lt;/titles&gt;&lt;periodical&gt;&lt;full-title&gt;Environmental Biology of Fishes&lt;/full-title&gt;&lt;/periodical&gt;&lt;pages&gt;393-407&lt;/pages&gt;&lt;volume&gt;72&lt;/volume&gt;&lt;dates&gt;&lt;year&gt;2005&lt;/year&gt;&lt;/dates&gt;&lt;urls&gt;&lt;/urls&gt;&lt;/record&gt;&lt;/Cite&gt;&lt;/EndNote&gt;</w:instrText>
      </w:r>
      <w:r w:rsidR="00D20FAE">
        <w:rPr>
          <w:rFonts w:eastAsia="Calibri"/>
        </w:rPr>
        <w:fldChar w:fldCharType="separate"/>
      </w:r>
      <w:r w:rsidR="006171E9">
        <w:rPr>
          <w:rFonts w:eastAsia="Calibri"/>
          <w:noProof/>
        </w:rPr>
        <w:t>(</w:t>
      </w:r>
      <w:hyperlink w:anchor="_ENREF_40" w:tooltip="Humphries, 2005 #3296" w:history="1">
        <w:r w:rsidR="006810E6">
          <w:rPr>
            <w:rFonts w:eastAsia="Calibri"/>
            <w:noProof/>
          </w:rPr>
          <w:t>Humphries 2005</w:t>
        </w:r>
      </w:hyperlink>
      <w:r w:rsidR="006171E9">
        <w:rPr>
          <w:rFonts w:eastAsia="Calibri"/>
          <w:noProof/>
        </w:rPr>
        <w:t>)</w:t>
      </w:r>
      <w:r w:rsidR="00D20FAE">
        <w:rPr>
          <w:rFonts w:eastAsia="Calibri"/>
        </w:rPr>
        <w:fldChar w:fldCharType="end"/>
      </w:r>
      <w:r w:rsidRPr="00505588">
        <w:t xml:space="preserve">. The nesting cycle takes 10-14 days, after which the eggs are deposited and subsequently take approximately seven days to hatch, with larvae remaining in the nest for another seven days </w:t>
      </w:r>
      <w:r w:rsidR="00D20FAE">
        <w:rPr>
          <w:rFonts w:eastAsia="Calibri"/>
        </w:rPr>
        <w:fldChar w:fldCharType="begin"/>
      </w:r>
      <w:r w:rsidR="006171E9">
        <w:rPr>
          <w:rFonts w:eastAsia="Calibri"/>
        </w:rPr>
        <w:instrText xml:space="preserve"> ADDIN EN.CITE &lt;EndNote&gt;&lt;Cite&gt;&lt;Author&gt;Rowland&lt;/Author&gt;&lt;Year&gt;1983&lt;/Year&gt;&lt;RecNum&gt;3297&lt;/RecNum&gt;&lt;DisplayText&gt;(Rowland 1983)&lt;/DisplayText&gt;&lt;record&gt;&lt;rec-number&gt;3297&lt;/rec-number&gt;&lt;foreign-keys&gt;&lt;key app="EN" db-id="vxxvsda2b05fxpeaw2dp552mtrd5trxdrf0s"&gt;3297&lt;/key&gt;&lt;/foreign-keys&gt;&lt;ref-type name="Journal Article"&gt;17&lt;/ref-type&gt;&lt;contributors&gt;&lt;authors&gt;&lt;author&gt;Rowland, S. J. &lt;/author&gt;&lt;/authors&gt;&lt;/contributors&gt;&lt;titles&gt;&lt;title&gt;&lt;style face="normal" font="default" size="100%"&gt;Spawning of the Australian freshwater fish Murray cod, &lt;/style&gt;&lt;style face="italic" font="default" size="100%"&gt;Maccullochella peeli&lt;/style&gt;&lt;style face="normal" font="default" size="100%"&gt; (Mitchell), in earthen ponds&lt;/style&gt;&lt;/title&gt;&lt;secondary-title&gt;Journal of Fish Biology&lt;/secondary-title&gt;&lt;/titles&gt;&lt;periodical&gt;&lt;full-title&gt;Journal of Fish Biology&lt;/full-title&gt;&lt;/periodical&gt;&lt;pages&gt;525-534.&lt;/pages&gt;&lt;volume&gt;23&lt;/volume&gt;&lt;dates&gt;&lt;year&gt;1983&lt;/year&gt;&lt;/dates&gt;&lt;urls&gt;&lt;/urls&gt;&lt;/record&gt;&lt;/Cite&gt;&lt;/EndNote&gt;</w:instrText>
      </w:r>
      <w:r w:rsidR="00D20FAE">
        <w:rPr>
          <w:rFonts w:eastAsia="Calibri"/>
        </w:rPr>
        <w:fldChar w:fldCharType="separate"/>
      </w:r>
      <w:r w:rsidR="006171E9">
        <w:rPr>
          <w:rFonts w:eastAsia="Calibri"/>
          <w:noProof/>
        </w:rPr>
        <w:t>(</w:t>
      </w:r>
      <w:hyperlink w:anchor="_ENREF_89" w:tooltip="Rowland, 1983 #3297" w:history="1">
        <w:r w:rsidR="006810E6">
          <w:rPr>
            <w:rFonts w:eastAsia="Calibri"/>
            <w:noProof/>
          </w:rPr>
          <w:t>Rowland 1983</w:t>
        </w:r>
      </w:hyperlink>
      <w:r w:rsidR="006171E9">
        <w:rPr>
          <w:rFonts w:eastAsia="Calibri"/>
          <w:noProof/>
        </w:rPr>
        <w:t>)</w:t>
      </w:r>
      <w:r w:rsidR="00D20FAE">
        <w:rPr>
          <w:rFonts w:eastAsia="Calibri"/>
        </w:rPr>
        <w:fldChar w:fldCharType="end"/>
      </w:r>
    </w:p>
    <w:p w:rsidR="00942A21" w:rsidRDefault="00213920" w:rsidP="00942A21">
      <w:r>
        <w:t xml:space="preserve">An </w:t>
      </w:r>
      <w:r w:rsidR="00942A21" w:rsidRPr="00A329CE">
        <w:t>objective of the 2012</w:t>
      </w:r>
      <w:r w:rsidR="00CB4CE5">
        <w:t>-13</w:t>
      </w:r>
      <w:r w:rsidR="00942A21" w:rsidRPr="00A329CE">
        <w:t xml:space="preserve"> </w:t>
      </w:r>
      <w:r w:rsidR="00CB4CE5">
        <w:t xml:space="preserve">Commonwealth environmental watering action in the </w:t>
      </w:r>
      <w:r w:rsidR="00942A21" w:rsidRPr="00A329CE">
        <w:t>Murrumbidgee River was to provide spawning outcomes for large-bodied fish, including Murray cod (</w:t>
      </w:r>
      <w:r w:rsidR="00942A21" w:rsidRPr="00A329CE">
        <w:rPr>
          <w:i/>
        </w:rPr>
        <w:t>Maccullochella peelii</w:t>
      </w:r>
      <w:r w:rsidR="00942A21" w:rsidRPr="00A329CE">
        <w:t>) and trout cod (</w:t>
      </w:r>
      <w:r w:rsidR="00942A21" w:rsidRPr="00A329CE">
        <w:rPr>
          <w:i/>
        </w:rPr>
        <w:t>Maccullochella macquariensis</w:t>
      </w:r>
      <w:r w:rsidR="00942A21" w:rsidRPr="008662A0">
        <w:t xml:space="preserve">). These species are long-lived, annual spawners that are highly mobile and exhibit parental care of eggs and larvae </w:t>
      </w:r>
      <w:r w:rsidR="00D20FAE">
        <w:fldChar w:fldCharType="begin">
          <w:fldData xml:space="preserve">PEVuZE5vdGU+PENpdGU+PEF1dGhvcj5IdW1waHJpZXM8L0F1dGhvcj48WWVhcj4xOTk5PC9ZZWFy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</w:fldData>
        </w:fldChar>
      </w:r>
      <w:r w:rsidR="006171E9">
        <w:instrText xml:space="preserve"> ADDIN EN.CITE </w:instrText>
      </w:r>
      <w:r w:rsidR="00D20FAE">
        <w:fldChar w:fldCharType="begin">
          <w:fldData xml:space="preserve">PEVuZE5vdGU+PENpdGU+PEF1dGhvcj5IdW1waHJpZXM8L0F1dGhvcj48WWVhcj4xOTk5PC9ZZWFy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</w:fldData>
        </w:fldChar>
      </w:r>
      <w:r w:rsidR="006171E9">
        <w:instrText xml:space="preserve"> ADDIN EN.CITE.DATA </w:instrText>
      </w:r>
      <w:r w:rsidR="00D20FAE">
        <w:fldChar w:fldCharType="end"/>
      </w:r>
      <w:r w:rsidR="00D20FAE">
        <w:fldChar w:fldCharType="separate"/>
      </w:r>
      <w:r w:rsidR="006171E9">
        <w:rPr>
          <w:noProof/>
        </w:rPr>
        <w:t>(</w:t>
      </w:r>
      <w:hyperlink w:anchor="_ENREF_5" w:tooltip="Anderson, 1992 #2699" w:history="1">
        <w:r w:rsidR="006810E6">
          <w:rPr>
            <w:noProof/>
          </w:rPr>
          <w:t>Anderson, Morison</w:t>
        </w:r>
        <w:r w:rsidR="006810E6" w:rsidRPr="006171E9">
          <w:rPr>
            <w:i/>
            <w:noProof/>
          </w:rPr>
          <w:t xml:space="preserve"> et al.</w:t>
        </w:r>
        <w:r w:rsidR="006810E6">
          <w:rPr>
            <w:noProof/>
          </w:rPr>
          <w:t xml:space="preserve"> 1992</w:t>
        </w:r>
      </w:hyperlink>
      <w:r w:rsidR="006171E9">
        <w:rPr>
          <w:noProof/>
        </w:rPr>
        <w:t xml:space="preserve">, </w:t>
      </w:r>
      <w:hyperlink w:anchor="_ENREF_41" w:tooltip="Humphries, 1999 #3171" w:history="1">
        <w:r w:rsidR="006810E6">
          <w:rPr>
            <w:noProof/>
          </w:rPr>
          <w:t>Humphries, King</w:t>
        </w:r>
        <w:r w:rsidR="006810E6" w:rsidRPr="006171E9">
          <w:rPr>
            <w:i/>
            <w:noProof/>
          </w:rPr>
          <w:t xml:space="preserve"> et al.</w:t>
        </w:r>
        <w:r w:rsidR="006810E6">
          <w:rPr>
            <w:noProof/>
          </w:rPr>
          <w:t xml:space="preserve"> 1999</w:t>
        </w:r>
      </w:hyperlink>
      <w:r w:rsidR="006171E9">
        <w:rPr>
          <w:noProof/>
        </w:rPr>
        <w:t>)</w:t>
      </w:r>
      <w:r w:rsidR="00D20FAE">
        <w:fldChar w:fldCharType="end"/>
      </w:r>
      <w:r w:rsidR="00942A21" w:rsidRPr="00A329CE">
        <w:t xml:space="preserve">. Adult fish move and spawn in response to increasing temperatures and photoperiod </w:t>
      </w:r>
      <w:r w:rsidR="00D20FAE">
        <w:fldChar w:fldCharType="begin">
          <w:fldData xml:space="preserve">PEVuZE5vdGU+PENpdGU+PEF1dGhvcj5IdW1waHJpZXM8L0F1dGhvcj48WWVhcj4yMDA1PC9ZZWFy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</w:fldData>
        </w:fldChar>
      </w:r>
      <w:r w:rsidR="006171E9">
        <w:instrText xml:space="preserve"> ADDIN EN.CITE </w:instrText>
      </w:r>
      <w:r w:rsidR="00D20FAE">
        <w:fldChar w:fldCharType="begin">
          <w:fldData xml:space="preserve">PEVuZE5vdGU+PENpdGU+PEF1dGhvcj5IdW1waHJpZXM8L0F1dGhvcj48WWVhcj4yMDA1PC9ZZWFy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</w:fldData>
        </w:fldChar>
      </w:r>
      <w:r w:rsidR="006171E9">
        <w:instrText xml:space="preserve"> ADDIN EN.CITE.DATA </w:instrText>
      </w:r>
      <w:r w:rsidR="00D20FAE">
        <w:fldChar w:fldCharType="end"/>
      </w:r>
      <w:r w:rsidR="00D20FAE">
        <w:fldChar w:fldCharType="separate"/>
      </w:r>
      <w:r w:rsidR="006171E9">
        <w:rPr>
          <w:noProof/>
        </w:rPr>
        <w:t>(</w:t>
      </w:r>
      <w:hyperlink w:anchor="_ENREF_89" w:tooltip="Rowland, 1983 #3297" w:history="1">
        <w:r w:rsidR="006810E6">
          <w:rPr>
            <w:noProof/>
          </w:rPr>
          <w:t>Rowland 1983</w:t>
        </w:r>
      </w:hyperlink>
      <w:r w:rsidR="006171E9">
        <w:rPr>
          <w:noProof/>
        </w:rPr>
        <w:t xml:space="preserve">, </w:t>
      </w:r>
      <w:hyperlink w:anchor="_ENREF_40" w:tooltip="Humphries, 2005 #3296" w:history="1">
        <w:r w:rsidR="006810E6">
          <w:rPr>
            <w:noProof/>
          </w:rPr>
          <w:t>Humphries 2005</w:t>
        </w:r>
      </w:hyperlink>
      <w:r w:rsidR="006171E9">
        <w:rPr>
          <w:noProof/>
        </w:rPr>
        <w:t xml:space="preserve">, </w:t>
      </w:r>
      <w:hyperlink w:anchor="_ENREF_66" w:tooltip="Koehn, 2006 #3288" w:history="1">
        <w:r w:rsidR="006810E6">
          <w:rPr>
            <w:noProof/>
          </w:rPr>
          <w:t>Koehn and Harrington 2006</w:t>
        </w:r>
      </w:hyperlink>
      <w:r w:rsidR="006171E9">
        <w:rPr>
          <w:noProof/>
        </w:rPr>
        <w:t xml:space="preserve">, </w:t>
      </w:r>
      <w:hyperlink w:anchor="_ENREF_53" w:tooltip="King, 2009 #3301" w:history="1">
        <w:r w:rsidR="006810E6">
          <w:rPr>
            <w:noProof/>
          </w:rPr>
          <w:t>King, Tonkin</w:t>
        </w:r>
        <w:r w:rsidR="006810E6" w:rsidRPr="006171E9">
          <w:rPr>
            <w:i/>
            <w:noProof/>
          </w:rPr>
          <w:t xml:space="preserve"> et al.</w:t>
        </w:r>
        <w:r w:rsidR="006810E6">
          <w:rPr>
            <w:noProof/>
          </w:rPr>
          <w:t xml:space="preserve"> 2009</w:t>
        </w:r>
      </w:hyperlink>
      <w:r w:rsidR="006171E9">
        <w:rPr>
          <w:noProof/>
        </w:rPr>
        <w:t>)</w:t>
      </w:r>
      <w:r w:rsidR="00D20FAE">
        <w:fldChar w:fldCharType="end"/>
      </w:r>
      <w:r w:rsidR="00942A21" w:rsidRPr="00A329CE">
        <w:t xml:space="preserve">. However, appropriate flows are essential to inundate spawning habitats, with water covering nests for at least one </w:t>
      </w:r>
      <w:r w:rsidR="009E2C5C" w:rsidRPr="00A329CE">
        <w:t xml:space="preserve">month. </w:t>
      </w:r>
      <w:r w:rsidR="00942A21" w:rsidRPr="00A329CE">
        <w:t xml:space="preserve">We </w:t>
      </w:r>
      <w:r>
        <w:t xml:space="preserve">hypothesised </w:t>
      </w:r>
      <w:r w:rsidR="00942A21" w:rsidRPr="00A329CE">
        <w:t>that increased flows</w:t>
      </w:r>
      <w:r w:rsidR="00942A21">
        <w:t xml:space="preserve"> delivered within the known spawning season</w:t>
      </w:r>
      <w:r w:rsidR="00942A21" w:rsidRPr="00A329CE">
        <w:t xml:space="preserve"> will boost the cohort size of successful recruits (due to spawning habitat being inundated for a longer period of time), beyond </w:t>
      </w:r>
      <w:r>
        <w:t xml:space="preserve">what </w:t>
      </w:r>
      <w:r w:rsidR="00942A21" w:rsidRPr="00A329CE">
        <w:t>is observed in a year with average flows</w:t>
      </w:r>
      <w:r w:rsidR="00942A21">
        <w:t xml:space="preserve"> </w:t>
      </w:r>
      <w:r w:rsidR="00D20FAE">
        <w:fldChar w:fldCharType="begin"/>
      </w:r>
      <w:r w:rsidR="006171E9">
        <w:instrText xml:space="preserve"> ADDIN EN.CITE &lt;EndNote&gt;&lt;Cite&gt;&lt;Author&gt;King&lt;/Author&gt;&lt;Year&gt;2009&lt;/Year&gt;&lt;RecNum&gt;2949&lt;/RecNum&gt;&lt;DisplayText&gt;(King, Tonkin&lt;style face="italic"&gt; et al.&lt;/style&gt; 2009)&lt;/DisplayText&gt;&lt;record&gt;&lt;rec-number&gt;2949&lt;/rec-number&gt;&lt;foreign-keys&gt;&lt;key app="EN" db-id="vxxvsda2b05fxpeaw2dp552mtrd5trxdrf0s"&gt;2949&lt;/key&gt;&lt;/foreign-keys&gt;&lt;ref-type name="Journal Article"&gt;17&lt;/ref-type&gt;&lt;contributors&gt;&lt;authors&gt;&lt;author&gt;A.J. King&lt;/author&gt;&lt;author&gt;Z. Tonkin&lt;/author&gt;&lt;author&gt;J. Mahoney&lt;/author&gt;&lt;/authors&gt;&lt;/contributors&gt;&lt;auth-address&gt;Department of Sustainability and Environment, Freshwater Ecology, Arthur Rylah Institute for Environmental Research, PO Box 137, Heidelberg, Vic. 3084, Australia&lt;/auth-address&gt;&lt;titles&gt;&lt;title&gt;Environmental flow enhances native fish spawning and recruitment in the Murray River, Australia&lt;/title&gt;&lt;secondary-title&gt;River Research and Applications&lt;/secondary-title&gt;&lt;/titles&gt;&lt;periodical&gt;&lt;full-title&gt;River Research and Applications&lt;/full-title&gt;&lt;/periodical&gt;&lt;pages&gt;1205-1218&lt;/pages&gt;&lt;volume&gt;25&lt;/volume&gt;&lt;number&gt;10&lt;/number&gt;&lt;dates&gt;&lt;year&gt;2009&lt;/year&gt;&lt;/dates&gt;&lt;isbn&gt;1535-1467&lt;/isbn&gt;&lt;urls&gt;&lt;related-urls&gt;&lt;url&gt;http://dx.doi.org/10.1002/rra.1209&lt;/url&gt;&lt;/related-urls&gt;&lt;/urls&gt;&lt;/record&gt;&lt;/Cite&gt;&lt;/EndNote&gt;</w:instrText>
      </w:r>
      <w:r w:rsidR="00D20FAE">
        <w:fldChar w:fldCharType="separate"/>
      </w:r>
      <w:r w:rsidR="006171E9">
        <w:rPr>
          <w:noProof/>
        </w:rPr>
        <w:t>(</w:t>
      </w:r>
      <w:hyperlink w:anchor="_ENREF_53" w:tooltip="King, 2009 #3301" w:history="1">
        <w:r w:rsidR="006810E6">
          <w:rPr>
            <w:noProof/>
          </w:rPr>
          <w:t>King, Tonkin</w:t>
        </w:r>
        <w:r w:rsidR="006810E6" w:rsidRPr="006171E9">
          <w:rPr>
            <w:i/>
            <w:noProof/>
          </w:rPr>
          <w:t xml:space="preserve"> et al.</w:t>
        </w:r>
        <w:r w:rsidR="006810E6">
          <w:rPr>
            <w:noProof/>
          </w:rPr>
          <w:t xml:space="preserve"> 2009</w:t>
        </w:r>
      </w:hyperlink>
      <w:r w:rsidR="006171E9">
        <w:rPr>
          <w:noProof/>
        </w:rPr>
        <w:t>)</w:t>
      </w:r>
      <w:r w:rsidR="00D20FAE">
        <w:fldChar w:fldCharType="end"/>
      </w:r>
      <w:r w:rsidR="00942A21" w:rsidRPr="00A329CE">
        <w:t>. This will occur as increased water levels mobilise nutrients, drive primary productivity and increase ava</w:t>
      </w:r>
      <w:r>
        <w:t>ilability of microinvertebrates</w:t>
      </w:r>
      <w:r w:rsidR="00942A21" w:rsidRPr="00A329CE">
        <w:t xml:space="preserve"> </w:t>
      </w:r>
      <w:r w:rsidR="00D20FAE">
        <w:fldChar w:fldCharType="begin"/>
      </w:r>
      <w:r w:rsidR="009E2C5C">
        <w:instrText xml:space="preserve"> ADDIN EN.CITE &lt;EndNote&gt;&lt;Cite&gt;&lt;Author&gt;Devries&lt;/Author&gt;&lt;Year&gt;1998&lt;/Year&gt;&lt;RecNum&gt;3468&lt;/RecNum&gt;&lt;DisplayText&gt;(Devries, Stein&lt;style face="italic"&gt; et al.&lt;/style&gt; 1998)&lt;/DisplayText&gt;&lt;record&gt;&lt;rec-number&gt;3468&lt;/rec-number&gt;&lt;foreign-keys&gt;&lt;key app="EN" db-id="vxxvsda2b05fxpeaw2dp552mtrd5trxdrf0s"&gt;3468&lt;/key&gt;&lt;/foreign-keys&gt;&lt;ref-type name="Journal Article"&gt;17&lt;/ref-type&gt;&lt;contributors&gt;&lt;authors&gt;&lt;author&gt;Devries, D. R.&lt;/author&gt;&lt;author&gt;Stein, R. A.&lt;/author&gt;&lt;author&gt;Bremigan, M. T.&lt;/author&gt;&lt;/authors&gt;&lt;/contributors&gt;&lt;titles&gt;&lt;title&gt;Prey selection by larval fishes as influenced by available zooplankton and gap limitation&lt;/title&gt;&lt;secondary-title&gt;Transactions of the American Fisheries Society&lt;/secondary-title&gt;&lt;/titles&gt;&lt;periodical&gt;&lt;full-title&gt;Transactions of the American Fisheries Society&lt;/full-title&gt;&lt;/periodical&gt;&lt;pages&gt;1040-1050&lt;/pages&gt;&lt;volume&gt;127&lt;/volume&gt;&lt;number&gt;6&lt;/number&gt;&lt;dates&gt;&lt;year&gt;1998&lt;/year&gt;&lt;/dates&gt;&lt;urls&gt;&lt;/urls&gt;&lt;/record&gt;&lt;/Cite&gt;&lt;/EndNote&gt;</w:instrText>
      </w:r>
      <w:r w:rsidR="00D20FAE">
        <w:fldChar w:fldCharType="separate"/>
      </w:r>
      <w:r w:rsidR="009E2C5C">
        <w:rPr>
          <w:noProof/>
        </w:rPr>
        <w:t>(</w:t>
      </w:r>
      <w:hyperlink w:anchor="_ENREF_30" w:tooltip="Devries, 1998 #3468" w:history="1">
        <w:r w:rsidR="006810E6">
          <w:rPr>
            <w:noProof/>
          </w:rPr>
          <w:t>Devries, Stein</w:t>
        </w:r>
        <w:r w:rsidR="006810E6" w:rsidRPr="009E2C5C">
          <w:rPr>
            <w:i/>
            <w:noProof/>
          </w:rPr>
          <w:t xml:space="preserve"> et al.</w:t>
        </w:r>
        <w:r w:rsidR="006810E6">
          <w:rPr>
            <w:noProof/>
          </w:rPr>
          <w:t xml:space="preserve"> 1998</w:t>
        </w:r>
      </w:hyperlink>
      <w:r w:rsidR="009E2C5C">
        <w:rPr>
          <w:noProof/>
        </w:rPr>
        <w:t>)</w:t>
      </w:r>
      <w:r w:rsidR="00D20FAE">
        <w:fldChar w:fldCharType="end"/>
      </w:r>
      <w:r w:rsidR="00942A21" w:rsidRPr="00A329CE">
        <w:t>.</w:t>
      </w:r>
    </w:p>
    <w:p w:rsidR="00942A21" w:rsidRDefault="00942A21" w:rsidP="00942A21">
      <w:r w:rsidRPr="00A329CE">
        <w:t>In 2012</w:t>
      </w:r>
      <w:r w:rsidR="00DC11D3">
        <w:t>-13</w:t>
      </w:r>
      <w:r w:rsidRPr="00A329CE">
        <w:t>, the trigger to commence the Commonwealth watering action was a rise in water temperature to values critical for spawning for these species (typically 15-16°C for trout cod and 17-18°C for Murray cod</w:t>
      </w:r>
      <w:r>
        <w:t xml:space="preserve"> </w:t>
      </w:r>
      <w:r w:rsidR="00D20FAE">
        <w:fldChar w:fldCharType="begin"/>
      </w:r>
      <w:r w:rsidR="006171E9">
        <w:instrText xml:space="preserve"> ADDIN EN.CITE &lt;EndNote&gt;&lt;Cite&gt;&lt;Author&gt;Humphries&lt;/Author&gt;&lt;Year&gt;2005&lt;/Year&gt;&lt;RecNum&gt;3296&lt;/RecNum&gt;&lt;DisplayText&gt;(Humphries 2005)&lt;/DisplayText&gt;&lt;record&gt;&lt;rec-number&gt;3296&lt;/rec-number&gt;&lt;foreign-keys&gt;&lt;key app="EN" db-id="vxxvsda2b05fxpeaw2dp552mtrd5trxdrf0s"&gt;3296&lt;/key&gt;&lt;/foreign-keys&gt;&lt;ref-type name="Journal Article"&gt;17&lt;/ref-type&gt;&lt;contributors&gt;&lt;authors&gt;&lt;author&gt;Humphries, P.&lt;/author&gt;&lt;/authors&gt;&lt;/contributors&gt;&lt;titles&gt;&lt;title&gt;&lt;style face="normal" font="default" size="100%"&gt;Spawning time and early life history of Murray cod, &lt;/style&gt;&lt;style face="italic" font="default" size="100%"&gt;Maccullochella peelii&lt;/style&gt;&lt;style face="normal" font="default" size="100%"&gt; (Mitchell) in an Australian river&lt;/style&gt;&lt;/title&gt;&lt;secondary-title&gt;Environmental Biology of Fishes&lt;/secondary-title&gt;&lt;/titles&gt;&lt;periodical&gt;&lt;full-title&gt;Environmental Biology of Fishes&lt;/full-title&gt;&lt;/periodical&gt;&lt;pages&gt;393-407&lt;/pages&gt;&lt;volume&gt;72&lt;/volume&gt;&lt;dates&gt;&lt;year&gt;2005&lt;/year&gt;&lt;/dates&gt;&lt;urls&gt;&lt;/urls&gt;&lt;/record&gt;&lt;/Cite&gt;&lt;/EndNote&gt;</w:instrText>
      </w:r>
      <w:r w:rsidR="00D20FAE">
        <w:fldChar w:fldCharType="separate"/>
      </w:r>
      <w:r w:rsidR="006171E9">
        <w:rPr>
          <w:noProof/>
        </w:rPr>
        <w:t>(</w:t>
      </w:r>
      <w:hyperlink w:anchor="_ENREF_40" w:tooltip="Humphries, 2005 #3296" w:history="1">
        <w:r w:rsidR="006810E6">
          <w:rPr>
            <w:noProof/>
          </w:rPr>
          <w:t>Humphries 2005</w:t>
        </w:r>
      </w:hyperlink>
      <w:r w:rsidR="006171E9">
        <w:rPr>
          <w:noProof/>
        </w:rPr>
        <w:t>)</w:t>
      </w:r>
      <w:r w:rsidR="00D20FAE">
        <w:fldChar w:fldCharType="end"/>
      </w:r>
      <w:r w:rsidRPr="00A329CE">
        <w:t>. Water was initially delivered to rapidly inundate potential spawning habitat, whilst also stimulating a movement response in adult fish</w:t>
      </w:r>
      <w:r w:rsidR="003A45F4">
        <w:t xml:space="preserve"> </w:t>
      </w:r>
      <w:r w:rsidR="004462E5">
        <w:t>(see</w:t>
      </w:r>
      <w:r w:rsidR="003A45F4">
        <w:t xml:space="preserve"> previous section)</w:t>
      </w:r>
      <w:r w:rsidRPr="00A329CE">
        <w:t xml:space="preserve">. Water levels were then maintained long enough for adults to locate </w:t>
      </w:r>
      <w:proofErr w:type="gramStart"/>
      <w:r w:rsidR="008655D6" w:rsidRPr="00A329CE">
        <w:t>mates</w:t>
      </w:r>
      <w:r w:rsidR="008655D6">
        <w:t>,</w:t>
      </w:r>
      <w:proofErr w:type="gramEnd"/>
      <w:r w:rsidRPr="00A329CE">
        <w:t xml:space="preserve"> construct nests (large-bodied fish only) and spawn. Nests must remain inundated until eggs hatch, as a drop in water level will likely damage eggs or result in nest abandonment by adults </w:t>
      </w:r>
      <w:r w:rsidR="00D20FAE">
        <w:fldChar w:fldCharType="begin"/>
      </w:r>
      <w:r w:rsidR="009E2C5C">
        <w:instrText xml:space="preserve"> ADDIN EN.CITE &lt;EndNote&gt;&lt;Cite&gt;&lt;Author&gt;Butler&lt;/Author&gt;&lt;Year&gt;2009&lt;/Year&gt;&lt;RecNum&gt;3458&lt;/RecNum&gt;&lt;DisplayText&gt;(Butler, Mackay&lt;style face="italic"&gt; et al.&lt;/style&gt; 2009)&lt;/DisplayText&gt;&lt;record&gt;&lt;rec-number&gt;3458&lt;/rec-number&gt;&lt;foreign-keys&gt;&lt;key app="EN" db-id="vxxvsda2b05fxpeaw2dp552mtrd5trxdrf0s"&gt;3458&lt;/key&gt;&lt;/foreign-keys&gt;&lt;ref-type name="Journal Article"&gt;17&lt;/ref-type&gt;&lt;contributors&gt;&lt;authors&gt;&lt;author&gt;Butler, G. L.&lt;/author&gt;&lt;author&gt;Mackay, B.&lt;/author&gt;&lt;author&gt;Rowland, S. J.&lt;/author&gt;&lt;author&gt;Pease, B. C.&lt;/author&gt;&lt;/authors&gt;&lt;/contributors&gt;&lt;titles&gt;&lt;title&gt;Retention of intra-peritoneal transmitters and post-operative recovery of four Australian native fish species&lt;/title&gt;&lt;secondary-title&gt;Marine and Freshwater Research&lt;/secondary-title&gt;&lt;/titles&gt;&lt;periodical&gt;&lt;full-title&gt;Marine and Freshwater Research&lt;/full-title&gt;&lt;/periodical&gt;&lt;pages&gt;361-370&lt;/pages&gt;&lt;volume&gt;60&lt;/volume&gt;&lt;number&gt;4&lt;/number&gt;&lt;keywords&gt;&lt;keyword&gt;acoustic transmitters, PIT tags, radio transmitters, suture material.&lt;/keyword&gt;&lt;/keywords&gt;&lt;dates&gt;&lt;year&gt;2009&lt;/year&gt;&lt;/dates&gt;&lt;urls&gt;&lt;related-urls&gt;&lt;url&gt;http://www.publish.csiro.au/paper/MF08147&lt;/url&gt;&lt;/related-urls&gt;&lt;/urls&gt;&lt;electronic-resource-num&gt;http://dx.doi.org/10.1071/MF08147&lt;/electronic-resource-num&gt;&lt;/record&gt;&lt;/Cite&gt;&lt;/EndNote&gt;</w:instrText>
      </w:r>
      <w:r w:rsidR="00D20FAE">
        <w:fldChar w:fldCharType="separate"/>
      </w:r>
      <w:r w:rsidR="009E2C5C">
        <w:rPr>
          <w:noProof/>
        </w:rPr>
        <w:t>(</w:t>
      </w:r>
      <w:hyperlink w:anchor="_ENREF_21" w:tooltip="Butler, 2009 #3458" w:history="1">
        <w:r w:rsidR="006810E6">
          <w:rPr>
            <w:noProof/>
          </w:rPr>
          <w:t>Butler, Mackay</w:t>
        </w:r>
        <w:r w:rsidR="006810E6" w:rsidRPr="009E2C5C">
          <w:rPr>
            <w:i/>
            <w:noProof/>
          </w:rPr>
          <w:t xml:space="preserve"> et al.</w:t>
        </w:r>
        <w:r w:rsidR="006810E6">
          <w:rPr>
            <w:noProof/>
          </w:rPr>
          <w:t xml:space="preserve"> 2009</w:t>
        </w:r>
      </w:hyperlink>
      <w:r w:rsidR="009E2C5C">
        <w:rPr>
          <w:noProof/>
        </w:rPr>
        <w:t>)</w:t>
      </w:r>
      <w:r w:rsidR="00D20FAE">
        <w:fldChar w:fldCharType="end"/>
      </w:r>
      <w:r w:rsidRPr="00A329CE">
        <w:t>. The water period lasted from early September until late December to cover the reproductive nesting period for Murray cod and trout cod</w:t>
      </w:r>
      <w:r w:rsidRPr="008662A0">
        <w:t xml:space="preserve">. </w:t>
      </w:r>
    </w:p>
    <w:p w:rsidR="00942A21" w:rsidRPr="00734C7D" w:rsidRDefault="00FA33D8" w:rsidP="00C44F46">
      <w:pPr>
        <w:pStyle w:val="Heading2"/>
      </w:pPr>
      <w:bookmarkStart w:id="330" w:name="_Toc370299221"/>
      <w:r>
        <w:t xml:space="preserve"> </w:t>
      </w:r>
      <w:bookmarkStart w:id="331" w:name="_Toc370738818"/>
      <w:bookmarkStart w:id="332" w:name="_Toc378168564"/>
      <w:r w:rsidR="00942A21" w:rsidRPr="00734C7D">
        <w:t>Methods</w:t>
      </w:r>
      <w:bookmarkEnd w:id="330"/>
      <w:bookmarkEnd w:id="331"/>
      <w:bookmarkEnd w:id="332"/>
    </w:p>
    <w:p w:rsidR="00942A21" w:rsidRPr="00D00B56" w:rsidRDefault="00942A21" w:rsidP="00D00B56">
      <w:pPr>
        <w:pStyle w:val="Heading3"/>
      </w:pPr>
      <w:bookmarkStart w:id="333" w:name="_Toc370299222"/>
      <w:bookmarkStart w:id="334" w:name="_Toc370738819"/>
      <w:bookmarkStart w:id="335" w:name="_Toc378168565"/>
      <w:r w:rsidRPr="00D00B56">
        <w:t>Collection of larvae and eggs</w:t>
      </w:r>
      <w:bookmarkEnd w:id="333"/>
      <w:bookmarkEnd w:id="334"/>
      <w:bookmarkEnd w:id="335"/>
    </w:p>
    <w:p w:rsidR="00942A21" w:rsidRDefault="00942A21" w:rsidP="00942A21">
      <w:r w:rsidRPr="00734C7D">
        <w:t xml:space="preserve">Weekly monitoring for the presence of larvae and eggs was conducted at three sites in the Murrumbidgee River and one site in Old Man Creek (a reference site that did not receive </w:t>
      </w:r>
      <w:r>
        <w:t>environmental water</w:t>
      </w:r>
      <w:r w:rsidRPr="00734C7D">
        <w:t xml:space="preserve">) from 10 September to 21 December 2012. </w:t>
      </w:r>
      <w:r>
        <w:t>D</w:t>
      </w:r>
      <w:r w:rsidRPr="00734C7D">
        <w:t>rift nets were used to capture larvae in their drift phase (immediately after leaving the nest at approximately seven days old) and light traps were used to capture larvae that were actively foraging for food in shallow areas of the river</w:t>
      </w:r>
      <w:r>
        <w:t xml:space="preserve"> (approximately 15 days old or older)</w:t>
      </w:r>
      <w:r w:rsidRPr="00734C7D">
        <w:t>. Larval drift net sampling intensity was determined using an occupancy probability detection model based upon data previously collected in the Murrumbidgee River. Twelve drift nets were set at each sampling site for two nights per week</w:t>
      </w:r>
      <w:r w:rsidR="00213920">
        <w:t>,</w:t>
      </w:r>
      <w:r w:rsidRPr="00734C7D">
        <w:t xml:space="preserve"> and eight light traps were set</w:t>
      </w:r>
      <w:r>
        <w:t xml:space="preserve"> at each sampling site</w:t>
      </w:r>
      <w:r w:rsidRPr="00734C7D">
        <w:t xml:space="preserve"> for one night per </w:t>
      </w:r>
      <w:r w:rsidRPr="00D1498C">
        <w:t>week</w:t>
      </w:r>
      <w:r w:rsidR="00B7715F">
        <w:t>.</w:t>
      </w:r>
    </w:p>
    <w:p w:rsidR="00942A21" w:rsidRPr="00D00B56" w:rsidRDefault="00942A21" w:rsidP="00D00B56">
      <w:pPr>
        <w:pStyle w:val="Heading3"/>
      </w:pPr>
      <w:bookmarkStart w:id="336" w:name="_Toc370299223"/>
      <w:bookmarkStart w:id="337" w:name="_Toc370738820"/>
      <w:bookmarkStart w:id="338" w:name="_Toc378168566"/>
      <w:r w:rsidRPr="00D00B56">
        <w:t>Collection of Young of Year fish</w:t>
      </w:r>
      <w:bookmarkEnd w:id="336"/>
      <w:bookmarkEnd w:id="337"/>
      <w:bookmarkEnd w:id="338"/>
    </w:p>
    <w:p w:rsidR="00942A21" w:rsidRDefault="00942A21" w:rsidP="00942A21">
      <w:r w:rsidRPr="00734C7D">
        <w:t xml:space="preserve">Fish community sampling was done in May/June 2013 to target </w:t>
      </w:r>
      <w:r w:rsidR="00592568">
        <w:t xml:space="preserve">the </w:t>
      </w:r>
      <w:r w:rsidR="00213920">
        <w:t>young of y</w:t>
      </w:r>
      <w:r w:rsidR="00592568" w:rsidRPr="00734C7D">
        <w:t xml:space="preserve">ear (YOY) </w:t>
      </w:r>
      <w:r w:rsidR="00592568">
        <w:t xml:space="preserve">of </w:t>
      </w:r>
      <w:r>
        <w:t>large-bodied native fish</w:t>
      </w:r>
      <w:r w:rsidRPr="00734C7D">
        <w:t xml:space="preserve"> that may have been spawned in association with the delivery of environmental flows in October-December 2012. These YOY Murray cod would be large enough (</w:t>
      </w:r>
      <w:r w:rsidR="00213920">
        <w:t xml:space="preserve">more than </w:t>
      </w:r>
      <w:r w:rsidRPr="00734C7D">
        <w:t>60</w:t>
      </w:r>
      <w:r w:rsidR="00213920">
        <w:t> </w:t>
      </w:r>
      <w:r w:rsidRPr="00734C7D">
        <w:t xml:space="preserve">mm) to be efficiently captured using electrofishing, whilst also young enough to be aged </w:t>
      </w:r>
      <w:r w:rsidR="00213920">
        <w:t xml:space="preserve">to within an accuracy of one day </w:t>
      </w:r>
      <w:r w:rsidRPr="00734C7D">
        <w:t xml:space="preserve">(less than 180 days old). Due to the unexpected low catches of YOY fish captured by electrofishing, additional fyke netting (using small and large fyke nets) was conducted at eight sites in the mid-Murrumbidgee to specifically target native YOY fish. </w:t>
      </w:r>
    </w:p>
    <w:p w:rsidR="00942A21" w:rsidRDefault="00942A21" w:rsidP="00D00B56">
      <w:pPr>
        <w:pStyle w:val="Heading3"/>
      </w:pPr>
      <w:bookmarkStart w:id="339" w:name="_Toc370299224"/>
      <w:bookmarkStart w:id="340" w:name="_Toc370738821"/>
      <w:bookmarkStart w:id="341" w:name="_Toc378168567"/>
      <w:r w:rsidRPr="00734C7D">
        <w:t>Age estimation and back-dated spawning times</w:t>
      </w:r>
      <w:bookmarkEnd w:id="339"/>
      <w:bookmarkEnd w:id="340"/>
      <w:bookmarkEnd w:id="341"/>
    </w:p>
    <w:p w:rsidR="00942A21" w:rsidRDefault="00213920" w:rsidP="00942A21">
      <w:r>
        <w:t>Age estimation of young of y</w:t>
      </w:r>
      <w:r w:rsidR="00942A21" w:rsidRPr="00734C7D">
        <w:t xml:space="preserve">ear fish and a sub-sample of larval cod were conducted by Fish Ageing Services Pty Ltd, Queenscliff. In total, 229 </w:t>
      </w:r>
      <w:r>
        <w:t>larval cod were sent to be aged. H</w:t>
      </w:r>
      <w:r w:rsidR="00942A21" w:rsidRPr="00734C7D">
        <w:t>owever</w:t>
      </w:r>
      <w:r>
        <w:t>,</w:t>
      </w:r>
      <w:r w:rsidR="00942A21" w:rsidRPr="00734C7D">
        <w:t xml:space="preserve"> due to considerable damage to the larvae within the drift nets, only 132 were able to be daily aged. </w:t>
      </w:r>
      <w:r w:rsidR="00942A21">
        <w:t>These included a</w:t>
      </w:r>
      <w:r w:rsidR="00942A21" w:rsidRPr="00734C7D">
        <w:t xml:space="preserve"> total of 84 larvae from Euroley Bridge, 40 larvae from Narrandera, </w:t>
      </w:r>
      <w:r w:rsidR="00942A21">
        <w:t>four</w:t>
      </w:r>
      <w:r w:rsidR="00942A21" w:rsidRPr="00734C7D">
        <w:t xml:space="preserve"> larvae from Berry Jerry and </w:t>
      </w:r>
      <w:r w:rsidR="00942A21">
        <w:t>six</w:t>
      </w:r>
      <w:r w:rsidR="00942A21" w:rsidRPr="00734C7D">
        <w:t xml:space="preserve"> larvae from Old Man Creek.  Daily age</w:t>
      </w:r>
      <w:r w:rsidR="00942A21">
        <w:t>s are used to</w:t>
      </w:r>
      <w:r>
        <w:t xml:space="preserve"> back-calculate</w:t>
      </w:r>
      <w:r w:rsidR="00942A21" w:rsidRPr="00734C7D">
        <w:t xml:space="preserve"> spawning dates to determine</w:t>
      </w:r>
      <w:r w:rsidR="00942A21">
        <w:t xml:space="preserve"> if</w:t>
      </w:r>
      <w:r w:rsidR="00942A21" w:rsidRPr="00734C7D">
        <w:t xml:space="preserve"> spawning occurred during </w:t>
      </w:r>
      <w:r w:rsidR="00942A21">
        <w:t>the period of Commonwealth environmental water delivery.</w:t>
      </w:r>
      <w:r w:rsidR="00942A21" w:rsidRPr="00734C7D">
        <w:t xml:space="preserve"> </w:t>
      </w:r>
    </w:p>
    <w:p w:rsidR="00942A21" w:rsidRPr="00050AE0" w:rsidRDefault="00942A21" w:rsidP="00D00B56">
      <w:pPr>
        <w:pStyle w:val="Heading3"/>
      </w:pPr>
      <w:bookmarkStart w:id="342" w:name="_Toc370299225"/>
      <w:bookmarkStart w:id="343" w:name="_Toc370738822"/>
      <w:bookmarkStart w:id="344" w:name="_Toc378168568"/>
      <w:r w:rsidRPr="00050AE0">
        <w:t>Data analysis</w:t>
      </w:r>
      <w:bookmarkEnd w:id="342"/>
      <w:bookmarkEnd w:id="343"/>
      <w:bookmarkEnd w:id="344"/>
    </w:p>
    <w:p w:rsidR="00942A21" w:rsidRDefault="00942A21" w:rsidP="00942A21">
      <w:r>
        <w:t xml:space="preserve">Statistical analyses were </w:t>
      </w:r>
      <w:r w:rsidRPr="00875689">
        <w:t xml:space="preserve">focused </w:t>
      </w:r>
      <w:r>
        <w:t>o</w:t>
      </w:r>
      <w:r w:rsidRPr="004C1AE6">
        <w:t xml:space="preserve">n </w:t>
      </w:r>
      <w:r w:rsidR="00213920">
        <w:t>catch per unit e</w:t>
      </w:r>
      <w:r>
        <w:t>ffort (CPUE</w:t>
      </w:r>
      <w:r w:rsidR="00592568">
        <w:t>)</w:t>
      </w:r>
      <w:r>
        <w:t xml:space="preserve">; </w:t>
      </w:r>
      <w:r w:rsidR="00592568">
        <w:t xml:space="preserve">standardised to </w:t>
      </w:r>
      <w:r w:rsidR="00592568" w:rsidRPr="004C1AE6">
        <w:rPr>
          <w:i/>
        </w:rPr>
        <w:t xml:space="preserve">Maccullochella </w:t>
      </w:r>
      <w:r w:rsidR="00592568" w:rsidRPr="004C1AE6">
        <w:t>spp.</w:t>
      </w:r>
      <w:r w:rsidR="00592568">
        <w:t xml:space="preserve"> larvae</w:t>
      </w:r>
      <w:r w:rsidR="00592568" w:rsidRPr="004C1AE6">
        <w:t xml:space="preserve"> captured </w:t>
      </w:r>
      <w:r w:rsidR="00592568">
        <w:t xml:space="preserve">per </w:t>
      </w:r>
      <w:r>
        <w:t xml:space="preserve">megalitre of </w:t>
      </w:r>
      <w:r w:rsidR="00592568">
        <w:t xml:space="preserve">water flowing through </w:t>
      </w:r>
      <w:r>
        <w:t>larval</w:t>
      </w:r>
      <w:r w:rsidRPr="004C1AE6">
        <w:t xml:space="preserve"> drift nets</w:t>
      </w:r>
      <w:r>
        <w:t>. Few cod larv</w:t>
      </w:r>
      <w:r w:rsidR="00213920">
        <w:t>ae were captured in light traps. T</w:t>
      </w:r>
      <w:r>
        <w:t>herefore</w:t>
      </w:r>
      <w:r w:rsidR="00213920">
        <w:t>,</w:t>
      </w:r>
      <w:r>
        <w:t xml:space="preserve"> they were omitted from the analysis</w:t>
      </w:r>
      <w:r w:rsidR="00213920">
        <w:t>. C</w:t>
      </w:r>
      <w:r>
        <w:t xml:space="preserve">apture rates of </w:t>
      </w:r>
      <w:r w:rsidRPr="004C1AE6">
        <w:t xml:space="preserve">other species </w:t>
      </w:r>
      <w:r>
        <w:t>were too low for statistical analysis</w:t>
      </w:r>
      <w:r w:rsidRPr="004C1AE6">
        <w:t xml:space="preserve">. </w:t>
      </w:r>
      <w:r>
        <w:t>The number (CPUE) of drifting cod larvae collected on each sampling night (two sampling nights per week per site) were combined for each sampling week for statistical analysis.</w:t>
      </w:r>
    </w:p>
    <w:p w:rsidR="00942A21" w:rsidRPr="002A7014" w:rsidRDefault="00942A21" w:rsidP="002A7014">
      <w:pPr>
        <w:rPr>
          <w:i/>
        </w:rPr>
      </w:pPr>
      <w:r w:rsidRPr="002A7014">
        <w:rPr>
          <w:i/>
        </w:rPr>
        <w:t>Change point analysis</w:t>
      </w:r>
    </w:p>
    <w:p w:rsidR="00942A21" w:rsidRDefault="00942A21" w:rsidP="00942A21">
      <w:r>
        <w:t>To pinpoint the timing of spawning, relative to season and flow, w</w:t>
      </w:r>
      <w:r w:rsidRPr="00734C7D">
        <w:t xml:space="preserve">e examined changes in </w:t>
      </w:r>
      <w:r>
        <w:t xml:space="preserve">the abundance of </w:t>
      </w:r>
      <w:r>
        <w:rPr>
          <w:iCs/>
        </w:rPr>
        <w:t>cod larvae</w:t>
      </w:r>
      <w:r w:rsidRPr="00734C7D">
        <w:t xml:space="preserve"> over time (weeks) by estimating the point at which mean </w:t>
      </w:r>
      <w:r>
        <w:t>abundance</w:t>
      </w:r>
      <w:r w:rsidRPr="00734C7D">
        <w:t xml:space="preserve"> significantly changed. We did this by calculating the optimal positioning of a mean change point using the change</w:t>
      </w:r>
      <w:r>
        <w:t xml:space="preserve"> </w:t>
      </w:r>
      <w:r w:rsidRPr="00734C7D">
        <w:t xml:space="preserve">point package </w:t>
      </w:r>
      <w:r w:rsidR="00D20FAE">
        <w:fldChar w:fldCharType="begin"/>
      </w:r>
      <w:r w:rsidR="009E2C5C">
        <w:instrText xml:space="preserve"> ADDIN EN.CITE &lt;EndNote&gt;&lt;Cite&gt;&lt;Author&gt;Killick&lt;/Author&gt;&lt;Year&gt;2010&lt;/Year&gt;&lt;RecNum&gt;3469&lt;/RecNum&gt;&lt;DisplayText&gt;(Killick and Eckley 2010)&lt;/DisplayText&gt;&lt;record&gt;&lt;rec-number&gt;3469&lt;/rec-number&gt;&lt;foreign-keys&gt;&lt;key app="EN" db-id="vxxvsda2b05fxpeaw2dp552mtrd5trxdrf0s"&gt;3469&lt;/key&gt;&lt;/foreign-keys&gt;&lt;ref-type name="Journal Article"&gt;17&lt;/ref-type&gt;&lt;contributors&gt;&lt;authors&gt;&lt;author&gt;Killick, R. &lt;/author&gt;&lt;author&gt;Eckley, I. A.&lt;/author&gt;&lt;/authors&gt;&lt;/contributors&gt;&lt;titles&gt;&lt;title&gt;Changepoint: Analysis of Changepoint Models. R package version 1.0.&lt;/title&gt;&lt;/titles&gt;&lt;dates&gt;&lt;year&gt;2010&lt;/year&gt;&lt;/dates&gt;&lt;urls&gt;&lt;/urls&gt;&lt;/record&gt;&lt;/Cite&gt;&lt;/EndNote&gt;</w:instrText>
      </w:r>
      <w:r w:rsidR="00D20FAE">
        <w:fldChar w:fldCharType="separate"/>
      </w:r>
      <w:r w:rsidR="009E2C5C">
        <w:rPr>
          <w:noProof/>
        </w:rPr>
        <w:t>(</w:t>
      </w:r>
      <w:hyperlink w:anchor="_ENREF_49" w:tooltip="Killick, 2010 #3469" w:history="1">
        <w:r w:rsidR="006810E6">
          <w:rPr>
            <w:noProof/>
          </w:rPr>
          <w:t>Killick and Eckley 2010</w:t>
        </w:r>
      </w:hyperlink>
      <w:r w:rsidR="009E2C5C">
        <w:rPr>
          <w:noProof/>
        </w:rPr>
        <w:t>)</w:t>
      </w:r>
      <w:r w:rsidR="00D20FAE">
        <w:fldChar w:fldCharType="end"/>
      </w:r>
      <w:r w:rsidRPr="00734C7D">
        <w:t>, available within R software(R Development Core Team, 2012)</w:t>
      </w:r>
      <w:r>
        <w:t>.</w:t>
      </w:r>
    </w:p>
    <w:p w:rsidR="00942A21" w:rsidRPr="00FA33D8" w:rsidRDefault="00942A21" w:rsidP="00D00B56">
      <w:pPr>
        <w:pStyle w:val="BodyText1"/>
      </w:pPr>
      <w:r w:rsidRPr="00734C7D">
        <w:t>We took a robust approach by fitting a Bayesian Poisson change</w:t>
      </w:r>
      <w:r w:rsidR="00592568">
        <w:t xml:space="preserve"> </w:t>
      </w:r>
      <w:r w:rsidRPr="00734C7D">
        <w:t xml:space="preserve">point model to Mac-CPUE. We tested whether the time series data collected for </w:t>
      </w:r>
      <w:r>
        <w:t>larval cod abundance</w:t>
      </w:r>
      <w:r w:rsidRPr="00734C7D">
        <w:t xml:space="preserve"> can be stratified to multiple regimes or states. Our main quantities of interest in the chang</w:t>
      </w:r>
      <w:r>
        <w:t xml:space="preserve">e </w:t>
      </w:r>
      <w:r w:rsidRPr="00734C7D">
        <w:t>point analysis were the number, the timing, and the magnitude of regime changes. Sites were divided based on the presence of environmental water action. Specifically, the three</w:t>
      </w:r>
      <w:r>
        <w:t xml:space="preserve"> Murrumbidgee River</w:t>
      </w:r>
      <w:r w:rsidRPr="00734C7D">
        <w:t xml:space="preserve"> sites of Berry Jerry, Euroley Bridge, and Narrandera</w:t>
      </w:r>
      <w:r w:rsidRPr="00734C7D" w:rsidDel="00E73F7D">
        <w:t xml:space="preserve"> </w:t>
      </w:r>
      <w:r>
        <w:t>w</w:t>
      </w:r>
      <w:r w:rsidRPr="00734C7D">
        <w:t>ere grouped and compared to</w:t>
      </w:r>
      <w:r>
        <w:t xml:space="preserve"> the single</w:t>
      </w:r>
      <w:r w:rsidRPr="00734C7D">
        <w:t xml:space="preserve"> Old Man Creek</w:t>
      </w:r>
      <w:r>
        <w:t xml:space="preserve"> site. </w:t>
      </w:r>
      <w:r w:rsidRPr="00734C7D">
        <w:t xml:space="preserve">For this analysis we relied on the MCMCpack package </w:t>
      </w:r>
      <w:r w:rsidR="00D20FAE">
        <w:fldChar w:fldCharType="begin"/>
      </w:r>
      <w:r w:rsidR="006171E9">
        <w:instrText xml:space="preserve"> ADDIN EN.CITE &lt;EndNote&gt;&lt;Cite&gt;&lt;Author&gt;Lourival&lt;/Author&gt;&lt;Year&gt;2011&lt;/Year&gt;&lt;RecNum&gt;3228&lt;/RecNum&gt;&lt;DisplayText&gt;(Lourival, Drechsler&lt;style face="italic"&gt; et al.&lt;/style&gt; 2011)&lt;/DisplayText&gt;&lt;record&gt;&lt;rec-number&gt;3228&lt;/rec-number&gt;&lt;foreign-keys&gt;&lt;key app="EN" db-id="vxxvsda2b05fxpeaw2dp552mtrd5trxdrf0s"&gt;3228&lt;/key&gt;&lt;/foreign-keys&gt;&lt;ref-type name="Journal Article"&gt;17&lt;/ref-type&gt;&lt;contributors&gt;&lt;authors&gt;&lt;author&gt;Lourival, Reinaldo&lt;/author&gt;&lt;author&gt;Drechsler, Martin&lt;/author&gt;&lt;author&gt;Watts, Matthew E.&lt;/author&gt;&lt;author&gt;Game, Edward T.&lt;/author&gt;&lt;author&gt;Possingham, Hugh P.&lt;/author&gt;&lt;/authors&gt;&lt;/contributors&gt;&lt;titles&gt;&lt;title&gt;Planning for reserve adequacy in dynamic landscapes; maximizing future representation of vegetation communities under flood disturbance in the Pantanal wetland&lt;/title&gt;&lt;secondary-title&gt;Diversity and Distributions&lt;/secondary-title&gt;&lt;/titles&gt;&lt;pages&gt;297-310&lt;/pages&gt;&lt;volume&gt;17&lt;/volume&gt;&lt;number&gt;2&lt;/number&gt;&lt;keywords&gt;&lt;keyword&gt;Conservation planning&lt;/keyword&gt;&lt;keyword&gt;flood dynamics&lt;/keyword&gt;&lt;keyword&gt;Marxan&lt;/keyword&gt;&lt;keyword&gt;probabilistic model&lt;/keyword&gt;&lt;keyword&gt;succession&lt;/keyword&gt;&lt;keyword&gt;wetland&lt;/keyword&gt;&lt;/keywords&gt;&lt;dates&gt;&lt;year&gt;2011&lt;/year&gt;&lt;/dates&gt;&lt;publisher&gt;Blackwell Publishing Ltd&lt;/publisher&gt;&lt;isbn&gt;1472-4642&lt;/isbn&gt;&lt;urls&gt;&lt;related-urls&gt;&lt;url&gt;http://dx.doi.org/10.1111/j.1472-4642.2010.00722.x&lt;/url&gt;&lt;/related-urls&gt;&lt;/urls&gt;&lt;electronic-resource-num&gt;10.1111/j.1472-4642.2010.00722.x&lt;/electronic-resource-num&gt;&lt;/record&gt;&lt;/Cite&gt;&lt;/EndNote&gt;</w:instrText>
      </w:r>
      <w:r w:rsidR="00D20FAE">
        <w:fldChar w:fldCharType="separate"/>
      </w:r>
      <w:r w:rsidR="006171E9">
        <w:rPr>
          <w:noProof/>
        </w:rPr>
        <w:t>(</w:t>
      </w:r>
      <w:hyperlink w:anchor="_ENREF_69" w:tooltip="Lourival, 2011 #3228" w:history="1">
        <w:r w:rsidR="006810E6">
          <w:rPr>
            <w:noProof/>
          </w:rPr>
          <w:t>Lourival, Drechsler</w:t>
        </w:r>
        <w:r w:rsidR="006810E6" w:rsidRPr="006171E9">
          <w:rPr>
            <w:i/>
            <w:noProof/>
          </w:rPr>
          <w:t xml:space="preserve"> et al.</w:t>
        </w:r>
        <w:r w:rsidR="006810E6">
          <w:rPr>
            <w:noProof/>
          </w:rPr>
          <w:t xml:space="preserve"> 2011</w:t>
        </w:r>
      </w:hyperlink>
      <w:r w:rsidR="006171E9">
        <w:rPr>
          <w:noProof/>
        </w:rPr>
        <w:t>)</w:t>
      </w:r>
      <w:r w:rsidR="00D20FAE">
        <w:fldChar w:fldCharType="end"/>
      </w:r>
      <w:r w:rsidRPr="00734C7D">
        <w:t xml:space="preserve">, available within R software(R Development Core Team, 2012). </w:t>
      </w:r>
      <w:r>
        <w:t xml:space="preserve">Details are shown in </w:t>
      </w:r>
      <w:r w:rsidRPr="00FA33D8">
        <w:t xml:space="preserve">the </w:t>
      </w:r>
      <w:fldSimple w:instr=" REF _Ref370369970 ">
        <w:r w:rsidR="00436595">
          <w:t>A</w:t>
        </w:r>
        <w:r w:rsidR="00436595" w:rsidRPr="00734C7D">
          <w:t>ppendix</w:t>
        </w:r>
        <w:r w:rsidR="00436595" w:rsidRPr="00C909C4">
          <w:t xml:space="preserve"> </w:t>
        </w:r>
        <w:r w:rsidR="00436595">
          <w:t>1 Data analysis</w:t>
        </w:r>
      </w:fldSimple>
      <w:r w:rsidRPr="00FA33D8">
        <w:t>.</w:t>
      </w:r>
    </w:p>
    <w:p w:rsidR="00942A21" w:rsidRPr="00FA33D8" w:rsidRDefault="00942A21" w:rsidP="00D00B56">
      <w:pPr>
        <w:pStyle w:val="BodyText1"/>
      </w:pPr>
      <w:r w:rsidRPr="00FA33D8">
        <w:t xml:space="preserve">We examined the effects of multiple water indices on larval cod abundances across the four sites. As this involved a large number of indices that are likely correlated, we initially followed a variable reduction approach for the nutrients and chlorophyll. We carried out this analysis using the nFactors package </w:t>
      </w:r>
      <w:r w:rsidR="00D20FAE">
        <w:fldChar w:fldCharType="begin"/>
      </w:r>
      <w:r w:rsidR="009E2C5C">
        <w:instrText xml:space="preserve"> ADDIN EN.CITE &lt;EndNote&gt;&lt;Cite&gt;&lt;Author&gt;Raiche&lt;/Author&gt;&lt;Year&gt;2010&lt;/Year&gt;&lt;RecNum&gt;3471&lt;/RecNum&gt;&lt;DisplayText&gt;(Raiche and Magis 2010)&lt;/DisplayText&gt;&lt;record&gt;&lt;rec-number&gt;3471&lt;/rec-number&gt;&lt;foreign-keys&gt;&lt;key app="EN" db-id="vxxvsda2b05fxpeaw2dp552mtrd5trxdrf0s"&gt;3471&lt;/key&gt;&lt;/foreign-keys&gt;&lt;ref-type name="Journal Article"&gt;17&lt;/ref-type&gt;&lt;contributors&gt;&lt;authors&gt;&lt;author&gt;Raiche, G.&lt;/author&gt;&lt;author&gt;Magis, D. &lt;/author&gt;&lt;/authors&gt;&lt;/contributors&gt;&lt;titles&gt;&lt;title&gt;nFactors: Parallel analysis and non graphical solutions to the Cattell’s scree test. R package Version 2.3.1&lt;/title&gt;&lt;/titles&gt;&lt;dates&gt;&lt;year&gt;2010&lt;/year&gt;&lt;/dates&gt;&lt;urls&gt;&lt;/urls&gt;&lt;/record&gt;&lt;/Cite&gt;&lt;/EndNote&gt;</w:instrText>
      </w:r>
      <w:r w:rsidR="00D20FAE">
        <w:fldChar w:fldCharType="separate"/>
      </w:r>
      <w:r w:rsidR="009E2C5C">
        <w:rPr>
          <w:noProof/>
        </w:rPr>
        <w:t>(</w:t>
      </w:r>
      <w:hyperlink w:anchor="_ENREF_80" w:tooltip="Raiche, 2010 #3471" w:history="1">
        <w:r w:rsidR="006810E6">
          <w:rPr>
            <w:noProof/>
          </w:rPr>
          <w:t>Raiche and Magis 2010</w:t>
        </w:r>
      </w:hyperlink>
      <w:r w:rsidR="009E2C5C">
        <w:rPr>
          <w:noProof/>
        </w:rPr>
        <w:t>)</w:t>
      </w:r>
      <w:r w:rsidR="00D20FAE">
        <w:fldChar w:fldCharType="end"/>
      </w:r>
      <w:r w:rsidRPr="00FA33D8">
        <w:t xml:space="preserve">, available within R software(R Development Core Team, 2012). Factor analysis of nutrient data indicated that these can be represented well using a single factor explaining 93% and 91% of the variance in Old Man Creek and the </w:t>
      </w:r>
      <w:r w:rsidR="00592568">
        <w:t>three Murrumbidgee River</w:t>
      </w:r>
      <w:r w:rsidR="00592568" w:rsidRPr="00FA33D8">
        <w:t xml:space="preserve"> </w:t>
      </w:r>
      <w:r w:rsidR="009E2C5C">
        <w:t>sites, respectively</w:t>
      </w:r>
      <w:r w:rsidRPr="00FA33D8">
        <w:t xml:space="preserve">. </w:t>
      </w:r>
    </w:p>
    <w:p w:rsidR="00942A21" w:rsidRDefault="00942A21" w:rsidP="00D00B56">
      <w:pPr>
        <w:pStyle w:val="BodyText1"/>
      </w:pPr>
      <w:r w:rsidRPr="00FA33D8">
        <w:t xml:space="preserve">We developed Generalized Linear </w:t>
      </w:r>
      <w:r w:rsidR="00BB413B" w:rsidRPr="00FA33D8">
        <w:t xml:space="preserve">Regression </w:t>
      </w:r>
      <w:r w:rsidRPr="00FA33D8">
        <w:t>Models for larval cod abundance response in relation to</w:t>
      </w:r>
      <w:r w:rsidR="0048092B" w:rsidRPr="00FA33D8">
        <w:t xml:space="preserve"> nine</w:t>
      </w:r>
      <w:r w:rsidRPr="00FA33D8">
        <w:t xml:space="preserve"> predictor variables</w:t>
      </w:r>
      <w:r w:rsidR="0048092B" w:rsidRPr="00FA33D8">
        <w:t>: nutrients and carbon, chlorophyll a</w:t>
      </w:r>
      <w:r w:rsidR="00592568">
        <w:t>,</w:t>
      </w:r>
      <w:r w:rsidR="0048092B" w:rsidRPr="00FA33D8">
        <w:t xml:space="preserve"> microcrustacea</w:t>
      </w:r>
      <w:r w:rsidR="00592568">
        <w:t>n density,</w:t>
      </w:r>
      <w:r w:rsidR="0048092B" w:rsidRPr="00FA33D8">
        <w:t xml:space="preserve"> turbidity, nutrient component 1 (from variable reduction)</w:t>
      </w:r>
      <w:r w:rsidR="00592568">
        <w:t xml:space="preserve"> and</w:t>
      </w:r>
      <w:r w:rsidR="0048092B" w:rsidRPr="00FA33D8">
        <w:t xml:space="preserve"> Chlorophyll component 1 (from variable reduction).</w:t>
      </w:r>
      <w:r w:rsidR="00BB413B" w:rsidRPr="00FA33D8">
        <w:t xml:space="preserve"> </w:t>
      </w:r>
      <w:r w:rsidRPr="00FA33D8">
        <w:t xml:space="preserve">The flow </w:t>
      </w:r>
      <w:r w:rsidR="00592568">
        <w:t xml:space="preserve">and physical </w:t>
      </w:r>
      <w:r w:rsidRPr="00FA33D8">
        <w:t>parameters that were used in the analysis were discharge (ML/day), water level (metres), and water temperature (</w:t>
      </w:r>
      <w:r w:rsidRPr="00FA33D8">
        <w:rPr>
          <w:rFonts w:cs="Calibri"/>
        </w:rPr>
        <w:t>°</w:t>
      </w:r>
      <w:r w:rsidRPr="00FA33D8">
        <w:t xml:space="preserve">C). </w:t>
      </w:r>
      <w:r w:rsidR="00BB413B" w:rsidRPr="00FA33D8">
        <w:t xml:space="preserve">Sites were included as a discrete fixed term in the model. </w:t>
      </w:r>
      <w:r w:rsidRPr="00FA33D8">
        <w:t>These values were acquired from the NSW Live Rivers database (accessed Monday 5</w:t>
      </w:r>
      <w:r w:rsidRPr="00FA33D8">
        <w:rPr>
          <w:vertAlign w:val="superscript"/>
        </w:rPr>
        <w:t>th</w:t>
      </w:r>
      <w:r w:rsidRPr="00FA33D8">
        <w:t xml:space="preserve"> August, 2012). Details on the Generalised Linear Model and model selection process are shown in the Appendix</w:t>
      </w:r>
      <w:r w:rsidR="00592568">
        <w:t xml:space="preserve"> </w:t>
      </w:r>
      <w:r w:rsidR="00FA33D8" w:rsidRPr="00FA33D8">
        <w:t>1</w:t>
      </w:r>
      <w:r w:rsidRPr="00FA33D8">
        <w:t>.</w:t>
      </w:r>
      <w:r>
        <w:t xml:space="preserve"> The model selection process generated a table showing the significance of relationships of the key selected variables with larval cod abundance as well as graphs showing the direction of these relationships. </w:t>
      </w:r>
    </w:p>
    <w:p w:rsidR="006E6B43" w:rsidRDefault="006E6B43" w:rsidP="00942A21"/>
    <w:p w:rsidR="00942A21" w:rsidRPr="00734C7D" w:rsidRDefault="000C7745" w:rsidP="00C44F46">
      <w:pPr>
        <w:pStyle w:val="Heading2"/>
      </w:pPr>
      <w:bookmarkStart w:id="345" w:name="_Toc370299226"/>
      <w:r>
        <w:t xml:space="preserve"> </w:t>
      </w:r>
      <w:bookmarkStart w:id="346" w:name="_Toc370738823"/>
      <w:bookmarkStart w:id="347" w:name="_Toc378168569"/>
      <w:r w:rsidR="00942A21">
        <w:t>Results</w:t>
      </w:r>
      <w:bookmarkEnd w:id="345"/>
      <w:bookmarkEnd w:id="346"/>
      <w:bookmarkEnd w:id="347"/>
    </w:p>
    <w:p w:rsidR="00942A21" w:rsidRDefault="00942A21" w:rsidP="000C7745">
      <w:pPr>
        <w:pStyle w:val="Heading3"/>
      </w:pPr>
      <w:bookmarkStart w:id="348" w:name="_Toc370299227"/>
      <w:bookmarkStart w:id="349" w:name="_Toc370738824"/>
      <w:bookmarkStart w:id="350" w:name="_Toc378168570"/>
      <w:r w:rsidRPr="00734C7D">
        <w:t>Occurrence and abundance of larvae</w:t>
      </w:r>
      <w:bookmarkEnd w:id="348"/>
      <w:bookmarkEnd w:id="349"/>
      <w:bookmarkEnd w:id="350"/>
      <w:r w:rsidRPr="00734C7D">
        <w:t xml:space="preserve"> </w:t>
      </w:r>
    </w:p>
    <w:p w:rsidR="00942A21" w:rsidRPr="00DC3E2E" w:rsidRDefault="00942A21" w:rsidP="00942A21">
      <w:r>
        <w:t>A total of 583 larvae, 100 juveniles/adults and 239 drifting eggs were captured during the 15 weeks of larval sampling from 10</w:t>
      </w:r>
      <w:r w:rsidRPr="00DC3E2E">
        <w:rPr>
          <w:vertAlign w:val="superscript"/>
        </w:rPr>
        <w:t xml:space="preserve"> </w:t>
      </w:r>
      <w:r>
        <w:t>September 2012 to 21 December 2012 in the three Murrumbidgee River sites (Berry Jerry, Narrandera and Euroley Bridge) and one Old Man Creek site</w:t>
      </w:r>
      <w:r w:rsidR="00FA33D8">
        <w:t xml:space="preserve">. </w:t>
      </w:r>
      <w:r>
        <w:t>Five native species (larvae and juveniles/adults) and one alien species (adults only) were captured (</w:t>
      </w:r>
      <w:r w:rsidR="00D20FAE">
        <w:fldChar w:fldCharType="begin"/>
      </w:r>
      <w:r w:rsidR="002A7014">
        <w:instrText xml:space="preserve"> REF _Ref368553223 \h </w:instrText>
      </w:r>
      <w:r w:rsidR="00D20FAE">
        <w:fldChar w:fldCharType="separate"/>
      </w:r>
      <w:r w:rsidR="00436595">
        <w:t xml:space="preserve">Figure </w:t>
      </w:r>
      <w:r w:rsidR="00436595">
        <w:rPr>
          <w:noProof/>
        </w:rPr>
        <w:t>32</w:t>
      </w:r>
      <w:r w:rsidR="00D20FAE">
        <w:fldChar w:fldCharType="end"/>
      </w:r>
      <w:r>
        <w:t>). Larval cod (</w:t>
      </w:r>
      <w:r>
        <w:rPr>
          <w:i/>
        </w:rPr>
        <w:t xml:space="preserve">Maccullochella </w:t>
      </w:r>
      <w:r>
        <w:t>spp.) were the most abundant species captured, with higher abundances in larval drift nets compared to light traps (</w:t>
      </w:r>
      <w:r w:rsidR="00D20FAE">
        <w:fldChar w:fldCharType="begin"/>
      </w:r>
      <w:r w:rsidR="002A7014">
        <w:instrText xml:space="preserve"> REF _Ref368553223 \h </w:instrText>
      </w:r>
      <w:r w:rsidR="00D20FAE">
        <w:fldChar w:fldCharType="separate"/>
      </w:r>
      <w:r w:rsidR="00436595">
        <w:t xml:space="preserve">Figure </w:t>
      </w:r>
      <w:r w:rsidR="00436595">
        <w:rPr>
          <w:noProof/>
        </w:rPr>
        <w:t>32</w:t>
      </w:r>
      <w:r w:rsidR="00D20FAE">
        <w:fldChar w:fldCharType="end"/>
      </w:r>
      <w:proofErr w:type="gramStart"/>
      <w:r>
        <w:t>a and</w:t>
      </w:r>
      <w:proofErr w:type="gramEnd"/>
      <w:r>
        <w:t xml:space="preserve"> b). However, light traps captured a wider range of species, including river blackfish, larval carp gudgeon and larval Australian smelt (</w:t>
      </w:r>
      <w:r w:rsidR="00D20FAE">
        <w:fldChar w:fldCharType="begin"/>
      </w:r>
      <w:r w:rsidR="002A7014">
        <w:instrText xml:space="preserve"> REF _Ref368553223 \h </w:instrText>
      </w:r>
      <w:r w:rsidR="00D20FAE">
        <w:fldChar w:fldCharType="separate"/>
      </w:r>
      <w:r w:rsidR="00436595">
        <w:t xml:space="preserve">Figure </w:t>
      </w:r>
      <w:r w:rsidR="00436595">
        <w:rPr>
          <w:noProof/>
        </w:rPr>
        <w:t>32</w:t>
      </w:r>
      <w:r w:rsidR="00D20FAE">
        <w:fldChar w:fldCharType="end"/>
      </w:r>
      <w:r w:rsidR="002A7014">
        <w:t>b</w:t>
      </w:r>
      <w:r>
        <w:t>). Two river blackfish wer</w:t>
      </w:r>
      <w:r w:rsidR="006E6B43">
        <w:t>e captured at Berry Jerry on</w:t>
      </w:r>
      <w:r>
        <w:t xml:space="preserve"> 9 November, aged 36 and 39 days, indicating they were spawne</w:t>
      </w:r>
      <w:r w:rsidR="004A7685">
        <w:t>d in the last week of September 2012.</w:t>
      </w:r>
      <w:r>
        <w:t xml:space="preserve"> Daily ageing of cod larvae suggest that larvae were spawned during Commonwealth environmental water delivery (which also coincided with their spawning season) (</w:t>
      </w:r>
      <w:fldSimple w:instr=" REF _Ref367104612 \h  \* MERGEFORMAT ">
        <w:r w:rsidR="00436595" w:rsidRPr="00436595">
          <w:t xml:space="preserve">Figure </w:t>
        </w:r>
        <w:r w:rsidR="00436595" w:rsidRPr="00436595">
          <w:rPr>
            <w:noProof/>
          </w:rPr>
          <w:t>33</w:t>
        </w:r>
      </w:fldSimple>
      <w:r w:rsidRPr="00EF6BC1">
        <w:t>).</w:t>
      </w:r>
      <w:r>
        <w:t xml:space="preserve"> </w:t>
      </w:r>
      <w:r w:rsidRPr="00734C7D">
        <w:t xml:space="preserve">Calculations based upon daily ages </w:t>
      </w:r>
      <w:r>
        <w:t>indicate</w:t>
      </w:r>
      <w:r w:rsidR="006E6B43">
        <w:t>d</w:t>
      </w:r>
      <w:r w:rsidRPr="00734C7D">
        <w:t xml:space="preserve"> that spawning occurred from mid-October through to early December</w:t>
      </w:r>
      <w:r>
        <w:t>.</w:t>
      </w:r>
    </w:p>
    <w:p w:rsidR="00942A21" w:rsidRDefault="00B35FF8" w:rsidP="006E6B43">
      <w:pPr>
        <w:keepNext/>
      </w:pPr>
      <w:r>
        <w:t>(a)</w:t>
      </w:r>
      <w:r w:rsidR="0087202F">
        <w:rPr>
          <w:noProof/>
          <w:lang w:eastAsia="en-AU"/>
        </w:rPr>
        <w:drawing>
          <wp:inline distT="0" distB="0" distL="0" distR="0">
            <wp:extent cx="5619750" cy="2371725"/>
            <wp:effectExtent l="0" t="0" r="0" b="0"/>
            <wp:docPr id="4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B35FF8" w:rsidRDefault="00B35FF8" w:rsidP="006E6B43">
      <w:pPr>
        <w:keepNext/>
      </w:pPr>
    </w:p>
    <w:p w:rsidR="00B35FF8" w:rsidRDefault="00B35FF8" w:rsidP="006E6B43">
      <w:pPr>
        <w:keepNext/>
      </w:pPr>
      <w:r>
        <w:t>(b)</w:t>
      </w:r>
    </w:p>
    <w:p w:rsidR="00942A21" w:rsidRDefault="0087202F" w:rsidP="006E6B43">
      <w:pPr>
        <w:keepNext/>
      </w:pPr>
      <w:r>
        <w:rPr>
          <w:noProof/>
          <w:lang w:eastAsia="en-AU"/>
        </w:rPr>
        <w:drawing>
          <wp:inline distT="0" distB="0" distL="0" distR="0">
            <wp:extent cx="5276850" cy="2524125"/>
            <wp:effectExtent l="0" t="0" r="0" b="0"/>
            <wp:docPr id="50" name="Chart 29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rsidR="00942A21" w:rsidRDefault="002A7014" w:rsidP="002A7014">
      <w:pPr>
        <w:pStyle w:val="Caption"/>
      </w:pPr>
      <w:bookmarkStart w:id="351" w:name="_Ref368553223"/>
      <w:r>
        <w:t xml:space="preserve">Figure </w:t>
      </w:r>
      <w:r w:rsidR="00D20FAE">
        <w:fldChar w:fldCharType="begin"/>
      </w:r>
      <w:r>
        <w:instrText xml:space="preserve"> SEQ Figure \* ARABIC </w:instrText>
      </w:r>
      <w:r w:rsidR="00D20FAE">
        <w:fldChar w:fldCharType="separate"/>
      </w:r>
      <w:r w:rsidR="00436595">
        <w:rPr>
          <w:noProof/>
        </w:rPr>
        <w:t>32</w:t>
      </w:r>
      <w:r w:rsidR="00D20FAE">
        <w:fldChar w:fldCharType="end"/>
      </w:r>
      <w:bookmarkEnd w:id="351"/>
      <w:r>
        <w:t xml:space="preserve"> </w:t>
      </w:r>
      <w:r w:rsidR="00942A21" w:rsidRPr="002A7014">
        <w:rPr>
          <w:rStyle w:val="SubtitleChar"/>
          <w:rFonts w:eastAsia="Calibri"/>
          <w:b w:val="0"/>
        </w:rPr>
        <w:t>Fish abundance at larval survey sites in (a) larval drift nets (catch per unit effort to one megalitre) and (b) light traps (catch per unit effort to one trap hour).</w:t>
      </w:r>
    </w:p>
    <w:p w:rsidR="00942A21" w:rsidRPr="00734C7D" w:rsidRDefault="00942A21" w:rsidP="00942A21">
      <w:pPr>
        <w:sectPr w:rsidR="00942A21" w:rsidRPr="00734C7D" w:rsidSect="00B941A0">
          <w:pgSz w:w="11907" w:h="16839" w:code="9"/>
          <w:pgMar w:top="1440" w:right="1440" w:bottom="1440" w:left="1440" w:header="708" w:footer="708" w:gutter="0"/>
          <w:cols w:space="708"/>
          <w:docGrid w:linePitch="360"/>
        </w:sectPr>
      </w:pPr>
    </w:p>
    <w:p w:rsidR="00942A21" w:rsidRDefault="0072653E" w:rsidP="006E6B43">
      <w:pPr>
        <w:keepNext/>
      </w:pPr>
      <w:r w:rsidRPr="0072653E">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B35FF8">
        <w:rPr>
          <w:noProof/>
          <w:lang w:eastAsia="en-AU"/>
        </w:rPr>
        <w:drawing>
          <wp:inline distT="0" distB="0" distL="0" distR="0">
            <wp:extent cx="5524500" cy="4276725"/>
            <wp:effectExtent l="19050" t="0" r="0" b="0"/>
            <wp:docPr id="13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8" cstate="print"/>
                    <a:srcRect/>
                    <a:stretch>
                      <a:fillRect/>
                    </a:stretch>
                  </pic:blipFill>
                  <pic:spPr bwMode="auto">
                    <a:xfrm>
                      <a:off x="0" y="0"/>
                      <a:ext cx="5524500" cy="4276725"/>
                    </a:xfrm>
                    <a:prstGeom prst="rect">
                      <a:avLst/>
                    </a:prstGeom>
                    <a:noFill/>
                    <a:ln w="9525">
                      <a:noFill/>
                      <a:miter lim="800000"/>
                      <a:headEnd/>
                      <a:tailEnd/>
                    </a:ln>
                  </pic:spPr>
                </pic:pic>
              </a:graphicData>
            </a:graphic>
          </wp:inline>
        </w:drawing>
      </w:r>
    </w:p>
    <w:p w:rsidR="00942A21" w:rsidRDefault="00942A21" w:rsidP="00EF6BC1">
      <w:pPr>
        <w:pStyle w:val="Caption1"/>
      </w:pPr>
      <w:bookmarkStart w:id="352" w:name="_Ref367104612"/>
      <w:bookmarkStart w:id="353" w:name="_Toc370738825"/>
      <w:proofErr w:type="gramStart"/>
      <w:r w:rsidRPr="00EF6BC1">
        <w:rPr>
          <w:b/>
        </w:rPr>
        <w:t xml:space="preserve">Figure </w:t>
      </w:r>
      <w:proofErr w:type="gramEnd"/>
      <w:r w:rsidR="00D20FAE" w:rsidRPr="00EF6BC1">
        <w:rPr>
          <w:b/>
        </w:rPr>
        <w:fldChar w:fldCharType="begin"/>
      </w:r>
      <w:r w:rsidRPr="00EF6BC1">
        <w:rPr>
          <w:b/>
        </w:rPr>
        <w:instrText xml:space="preserve"> SEQ Figure \* ARABIC </w:instrText>
      </w:r>
      <w:r w:rsidR="00D20FAE" w:rsidRPr="00EF6BC1">
        <w:rPr>
          <w:b/>
        </w:rPr>
        <w:fldChar w:fldCharType="separate"/>
      </w:r>
      <w:r w:rsidR="00436595">
        <w:rPr>
          <w:b/>
          <w:noProof/>
        </w:rPr>
        <w:t>33</w:t>
      </w:r>
      <w:r w:rsidR="00D20FAE" w:rsidRPr="00EF6BC1">
        <w:rPr>
          <w:b/>
        </w:rPr>
        <w:fldChar w:fldCharType="end"/>
      </w:r>
      <w:bookmarkEnd w:id="352"/>
      <w:proofErr w:type="gramStart"/>
      <w:r w:rsidRPr="00EF6BC1">
        <w:rPr>
          <w:b/>
        </w:rPr>
        <w:t>.</w:t>
      </w:r>
      <w:proofErr w:type="gramEnd"/>
      <w:r w:rsidRPr="00734C7D">
        <w:t xml:space="preserve"> </w:t>
      </w:r>
      <w:bookmarkStart w:id="354" w:name="_Ref367109686"/>
      <w:r w:rsidRPr="00734C7D">
        <w:t xml:space="preserve">(a) Discharge (ML/day) at Narrandera (blue line) and Old Man Creek at Kywong (green line) gauges during larval sampling period and (b) Catch per unit effort (to one megalitre) of Maccullochella spp. larvae captured in drift nets (bubbles) and back-calculated spawning dates of Maccullochella spp. larvae that were able to be </w:t>
      </w:r>
      <w:bookmarkEnd w:id="354"/>
      <w:r>
        <w:t>daily aged.</w:t>
      </w:r>
      <w:bookmarkEnd w:id="353"/>
    </w:p>
    <w:p w:rsidR="006E6B43" w:rsidRDefault="006E6B43" w:rsidP="00D00B56">
      <w:pPr>
        <w:pStyle w:val="Heading3"/>
      </w:pPr>
      <w:bookmarkStart w:id="355" w:name="_Toc370299228"/>
      <w:bookmarkStart w:id="356" w:name="_Toc370738826"/>
    </w:p>
    <w:p w:rsidR="00942A21" w:rsidRDefault="00942A21" w:rsidP="00D00B56">
      <w:pPr>
        <w:pStyle w:val="Heading3"/>
      </w:pPr>
      <w:bookmarkStart w:id="357" w:name="_Toc378168571"/>
      <w:r>
        <w:t>Timing of larval cod drift</w:t>
      </w:r>
      <w:bookmarkEnd w:id="355"/>
      <w:bookmarkEnd w:id="356"/>
      <w:bookmarkEnd w:id="357"/>
    </w:p>
    <w:p w:rsidR="00E1766B" w:rsidRDefault="00942A21">
      <w:pPr>
        <w:pStyle w:val="BodyText1"/>
        <w:rPr>
          <w:rFonts w:ascii="Times New Roman" w:hAnsi="Times New Roman"/>
          <w:sz w:val="24"/>
          <w:szCs w:val="24"/>
          <w:lang w:eastAsia="en-AU"/>
        </w:rPr>
      </w:pPr>
      <w:r w:rsidRPr="00734C7D">
        <w:t xml:space="preserve">Significant changes in </w:t>
      </w:r>
      <w:r>
        <w:t>larval cod abundance</w:t>
      </w:r>
      <w:r w:rsidRPr="00734C7D">
        <w:t xml:space="preserve"> occurred between </w:t>
      </w:r>
      <w:r w:rsidR="006E6B43">
        <w:t>12 and 19</w:t>
      </w:r>
      <w:r w:rsidRPr="00734C7D">
        <w:t xml:space="preserve"> November 2012 </w:t>
      </w:r>
      <w:r>
        <w:t>at</w:t>
      </w:r>
      <w:r w:rsidRPr="00734C7D">
        <w:t xml:space="preserve"> the four survey sites (</w:t>
      </w:r>
      <w:fldSimple w:instr=" REF _Ref368553454 \h  \* MERGEFORMAT ">
        <w:r w:rsidR="00436595" w:rsidRPr="00436595">
          <w:t xml:space="preserve">Figure </w:t>
        </w:r>
        <w:r w:rsidR="00436595" w:rsidRPr="00436595">
          <w:rPr>
            <w:noProof/>
          </w:rPr>
          <w:t>34</w:t>
        </w:r>
      </w:fldSimple>
      <w:r>
        <w:t>)</w:t>
      </w:r>
      <w:r w:rsidRPr="00734C7D">
        <w:t xml:space="preserve">. The strongest increase in mean </w:t>
      </w:r>
      <w:r>
        <w:t>larval cod abundance</w:t>
      </w:r>
      <w:r w:rsidRPr="00734C7D">
        <w:t xml:space="preserve"> was noted in Euroley Bridge and Narrandera</w:t>
      </w:r>
      <w:r w:rsidR="00E611A6">
        <w:t>. Considering the three Murrumbidgee River sites (Berry jerry, Euroley and Narrandera</w:t>
      </w:r>
      <w:r w:rsidR="00135EC6">
        <w:t>) the</w:t>
      </w:r>
      <w:r w:rsidR="00E611A6">
        <w:t xml:space="preserve"> change point analysis indicate</w:t>
      </w:r>
      <w:r w:rsidR="006E6B43">
        <w:t>d</w:t>
      </w:r>
      <w:r w:rsidR="00E611A6">
        <w:t xml:space="preserve"> </w:t>
      </w:r>
      <w:r w:rsidR="00135EC6">
        <w:t>that the</w:t>
      </w:r>
      <w:r w:rsidR="00E611A6">
        <w:t xml:space="preserve"> strongest shift in larval cod abundance </w:t>
      </w:r>
      <w:r w:rsidR="00135EC6">
        <w:t>occurred in</w:t>
      </w:r>
      <w:r w:rsidR="00E611A6">
        <w:t xml:space="preserve"> week 10 (</w:t>
      </w:r>
      <w:r w:rsidR="00E611A6" w:rsidRPr="008F3DCB">
        <w:t>12/11/2012</w:t>
      </w:r>
      <w:r w:rsidR="00E611A6">
        <w:t xml:space="preserve">) </w:t>
      </w:r>
      <w:r w:rsidR="006E6B43">
        <w:t>with</w:t>
      </w:r>
      <w:r w:rsidR="00E611A6">
        <w:t xml:space="preserve"> an additional shift in week 15 (</w:t>
      </w:r>
      <w:r w:rsidR="00E611A6" w:rsidRPr="008F3DCB">
        <w:t>17/12/2012</w:t>
      </w:r>
      <w:r w:rsidR="00E611A6">
        <w:t>)</w:t>
      </w:r>
      <w:r w:rsidR="00D00B56">
        <w:t xml:space="preserve">. </w:t>
      </w:r>
      <w:r w:rsidR="00135EC6">
        <w:t xml:space="preserve">Similar timing of </w:t>
      </w:r>
      <w:r w:rsidR="00AA12B3">
        <w:t>spawning</w:t>
      </w:r>
      <w:r w:rsidR="00135EC6">
        <w:t xml:space="preserve"> occurred in Old Man Creek,</w:t>
      </w:r>
      <w:r w:rsidR="00AA12B3">
        <w:t xml:space="preserve"> although the abundance of larval cod was much lower than at the Murrumbidgee River sites.</w:t>
      </w:r>
      <w:r w:rsidRPr="00734C7D">
        <w:t xml:space="preserve"> </w:t>
      </w:r>
    </w:p>
    <w:p w:rsidR="000F40B6" w:rsidRDefault="000F40B6" w:rsidP="000F40B6">
      <w:pPr>
        <w:autoSpaceDE w:val="0"/>
        <w:autoSpaceDN w:val="0"/>
        <w:adjustRightInd w:val="0"/>
        <w:spacing w:after="0" w:line="240" w:lineRule="auto"/>
        <w:jc w:val="left"/>
        <w:rPr>
          <w:rFonts w:ascii="Times New Roman" w:hAnsi="Times New Roman"/>
          <w:sz w:val="24"/>
          <w:szCs w:val="24"/>
          <w:lang w:eastAsia="en-AU"/>
        </w:rPr>
      </w:pPr>
    </w:p>
    <w:p w:rsidR="000F40B6" w:rsidRDefault="000F40B6" w:rsidP="000F40B6">
      <w:pPr>
        <w:autoSpaceDE w:val="0"/>
        <w:autoSpaceDN w:val="0"/>
        <w:adjustRightInd w:val="0"/>
        <w:spacing w:after="0" w:line="400" w:lineRule="atLeast"/>
        <w:jc w:val="left"/>
        <w:rPr>
          <w:rFonts w:ascii="Times New Roman" w:hAnsi="Times New Roman"/>
          <w:sz w:val="24"/>
          <w:szCs w:val="24"/>
          <w:lang w:eastAsia="en-AU"/>
        </w:rPr>
      </w:pPr>
    </w:p>
    <w:p w:rsidR="00942A21" w:rsidRPr="00734C7D" w:rsidRDefault="00E1766B" w:rsidP="006E6B43">
      <w:pPr>
        <w:keepNext/>
      </w:pPr>
      <w:r>
        <w:rPr>
          <w:rFonts w:ascii="Times New Roman" w:hAnsi="Times New Roman"/>
          <w:noProof/>
          <w:sz w:val="24"/>
          <w:szCs w:val="24"/>
          <w:lang w:eastAsia="en-AU"/>
        </w:rPr>
        <w:drawing>
          <wp:inline distT="0" distB="0" distL="0" distR="0">
            <wp:extent cx="5731510" cy="4582415"/>
            <wp:effectExtent l="19050" t="0" r="2540" b="0"/>
            <wp:docPr id="1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9" cstate="print"/>
                    <a:srcRect/>
                    <a:stretch>
                      <a:fillRect/>
                    </a:stretch>
                  </pic:blipFill>
                  <pic:spPr bwMode="auto">
                    <a:xfrm>
                      <a:off x="0" y="0"/>
                      <a:ext cx="5731510" cy="4582415"/>
                    </a:xfrm>
                    <a:prstGeom prst="rect">
                      <a:avLst/>
                    </a:prstGeom>
                    <a:noFill/>
                    <a:ln w="9525">
                      <a:noFill/>
                      <a:miter lim="800000"/>
                      <a:headEnd/>
                      <a:tailEnd/>
                    </a:ln>
                  </pic:spPr>
                </pic:pic>
              </a:graphicData>
            </a:graphic>
          </wp:inline>
        </w:drawing>
      </w:r>
    </w:p>
    <w:p w:rsidR="00942A21" w:rsidRPr="00D00B56" w:rsidRDefault="00942A21" w:rsidP="00D00B56">
      <w:pPr>
        <w:pStyle w:val="Caption1"/>
        <w:rPr>
          <w:rStyle w:val="SubtitleChar"/>
          <w:rFonts w:eastAsia="Calibri"/>
          <w:b/>
        </w:rPr>
      </w:pPr>
      <w:bookmarkStart w:id="358" w:name="_Ref368553454"/>
      <w:bookmarkStart w:id="359" w:name="_Toc370738827"/>
      <w:r w:rsidRPr="00D00B56">
        <w:rPr>
          <w:b/>
        </w:rPr>
        <w:t xml:space="preserve">Figure </w:t>
      </w:r>
      <w:r w:rsidR="00D20FAE" w:rsidRPr="00D00B56">
        <w:rPr>
          <w:b/>
        </w:rPr>
        <w:fldChar w:fldCharType="begin"/>
      </w:r>
      <w:r w:rsidRPr="00D00B56">
        <w:rPr>
          <w:b/>
        </w:rPr>
        <w:instrText xml:space="preserve"> SEQ Figure \* ARABIC </w:instrText>
      </w:r>
      <w:r w:rsidR="00D20FAE" w:rsidRPr="00D00B56">
        <w:rPr>
          <w:b/>
        </w:rPr>
        <w:fldChar w:fldCharType="separate"/>
      </w:r>
      <w:r w:rsidR="00436595">
        <w:rPr>
          <w:b/>
          <w:noProof/>
        </w:rPr>
        <w:t>34</w:t>
      </w:r>
      <w:r w:rsidR="00D20FAE" w:rsidRPr="00D00B56">
        <w:rPr>
          <w:b/>
        </w:rPr>
        <w:fldChar w:fldCharType="end"/>
      </w:r>
      <w:bookmarkEnd w:id="358"/>
      <w:r w:rsidR="000F40B6">
        <w:t xml:space="preserve"> </w:t>
      </w:r>
      <w:r w:rsidR="00D00B56">
        <w:t>Larval</w:t>
      </w:r>
      <w:r w:rsidR="000F40B6">
        <w:t xml:space="preserve"> cod </w:t>
      </w:r>
      <w:r w:rsidR="008222EE" w:rsidRPr="00D00B56">
        <w:t>(Maccullochella</w:t>
      </w:r>
      <w:r w:rsidRPr="00D00B56">
        <w:rPr>
          <w:rStyle w:val="SubtitleChar"/>
          <w:rFonts w:eastAsia="Calibri"/>
        </w:rPr>
        <w:t xml:space="preserve"> spp</w:t>
      </w:r>
      <w:proofErr w:type="gramStart"/>
      <w:r w:rsidR="000F40B6" w:rsidRPr="00D00B56">
        <w:rPr>
          <w:rStyle w:val="SubtitleChar"/>
          <w:rFonts w:eastAsia="Calibri"/>
        </w:rPr>
        <w:t xml:space="preserve">) </w:t>
      </w:r>
      <w:r w:rsidRPr="00D00B56">
        <w:rPr>
          <w:rStyle w:val="SubtitleChar"/>
          <w:rFonts w:eastAsia="Calibri"/>
        </w:rPr>
        <w:t xml:space="preserve"> CPUE</w:t>
      </w:r>
      <w:proofErr w:type="gramEnd"/>
      <w:r w:rsidRPr="00D00B56">
        <w:rPr>
          <w:rStyle w:val="SubtitleChar"/>
          <w:rFonts w:eastAsia="Calibri"/>
        </w:rPr>
        <w:t xml:space="preserve"> during the survey period and the identified change point.</w:t>
      </w:r>
      <w:bookmarkEnd w:id="359"/>
      <w:r w:rsidRPr="00D00B56">
        <w:rPr>
          <w:rStyle w:val="SubtitleChar"/>
          <w:rFonts w:eastAsia="Calibri"/>
          <w:b/>
        </w:rPr>
        <w:t xml:space="preserve"> </w:t>
      </w:r>
    </w:p>
    <w:p w:rsidR="000F40B6" w:rsidRDefault="000F40B6" w:rsidP="000F40B6">
      <w:pPr>
        <w:autoSpaceDE w:val="0"/>
        <w:autoSpaceDN w:val="0"/>
        <w:adjustRightInd w:val="0"/>
        <w:spacing w:after="0" w:line="240" w:lineRule="auto"/>
        <w:jc w:val="left"/>
      </w:pPr>
    </w:p>
    <w:p w:rsidR="006E6B43" w:rsidRDefault="006E6B43" w:rsidP="000F40B6">
      <w:pPr>
        <w:autoSpaceDE w:val="0"/>
        <w:autoSpaceDN w:val="0"/>
        <w:adjustRightInd w:val="0"/>
        <w:spacing w:after="0" w:line="240" w:lineRule="auto"/>
        <w:jc w:val="left"/>
        <w:rPr>
          <w:rFonts w:ascii="Times New Roman" w:hAnsi="Times New Roman"/>
          <w:sz w:val="24"/>
          <w:szCs w:val="24"/>
          <w:lang w:eastAsia="en-AU"/>
        </w:rPr>
      </w:pPr>
    </w:p>
    <w:p w:rsidR="00942A21" w:rsidRPr="00354C26" w:rsidRDefault="00942A21" w:rsidP="00D00B56">
      <w:pPr>
        <w:pStyle w:val="Heading3"/>
      </w:pPr>
      <w:bookmarkStart w:id="360" w:name="_Toc370299229"/>
      <w:bookmarkStart w:id="361" w:name="_Toc370738828"/>
      <w:bookmarkStart w:id="362" w:name="_Toc378168572"/>
      <w:r>
        <w:t>Relationships between larval cod abundance</w:t>
      </w:r>
      <w:r w:rsidR="00766DF0">
        <w:t>, flow and other</w:t>
      </w:r>
      <w:r>
        <w:t xml:space="preserve"> co-variates</w:t>
      </w:r>
      <w:bookmarkEnd w:id="360"/>
      <w:bookmarkEnd w:id="361"/>
      <w:bookmarkEnd w:id="362"/>
    </w:p>
    <w:p w:rsidR="00942A21" w:rsidRDefault="00883D44" w:rsidP="00942A21">
      <w:r>
        <w:t xml:space="preserve">As described in the data analysis section (page 110) </w:t>
      </w:r>
      <w:r w:rsidR="00766DF0">
        <w:t xml:space="preserve">Generalised Linear </w:t>
      </w:r>
      <w:r w:rsidR="00AA12B3">
        <w:t>R</w:t>
      </w:r>
      <w:r w:rsidR="00766DF0">
        <w:t xml:space="preserve">egression </w:t>
      </w:r>
      <w:r w:rsidR="00AA12B3">
        <w:t xml:space="preserve">Models </w:t>
      </w:r>
      <w:r w:rsidR="006E6B43">
        <w:t>were employed to identify the best</w:t>
      </w:r>
      <w:r w:rsidR="00766DF0">
        <w:t xml:space="preserve"> set of </w:t>
      </w:r>
      <w:r w:rsidR="0035655F">
        <w:t>variables</w:t>
      </w:r>
      <w:r w:rsidR="00623136">
        <w:t xml:space="preserve"> that could explain differences in larval cod abundances</w:t>
      </w:r>
      <w:r w:rsidR="0035655F">
        <w:t xml:space="preserve">. All possible combinations of variables were considered and from these two </w:t>
      </w:r>
      <w:r w:rsidR="006E6B43">
        <w:t xml:space="preserve">most parsimonious combinations </w:t>
      </w:r>
      <w:r w:rsidR="0035655F">
        <w:t xml:space="preserve">were </w:t>
      </w:r>
      <w:r w:rsidR="00942A21">
        <w:t xml:space="preserve">identified </w:t>
      </w:r>
      <w:r w:rsidR="006E6B43">
        <w:t xml:space="preserve">by their </w:t>
      </w:r>
      <w:r w:rsidR="0035655F">
        <w:t>high</w:t>
      </w:r>
      <w:r w:rsidR="00942A21">
        <w:t xml:space="preserve"> AICc </w:t>
      </w:r>
      <w:r w:rsidR="006E6B43">
        <w:t>values (</w:t>
      </w:r>
      <w:r w:rsidR="008656E3">
        <w:t>a method of ranking models based on how well they explain the change in abundance relative to the n</w:t>
      </w:r>
      <w:r w:rsidR="006E6B43">
        <w:t>umber of explanatory variables)</w:t>
      </w:r>
      <w:r w:rsidR="00942A21">
        <w:t xml:space="preserve">. Both models included </w:t>
      </w:r>
      <w:r w:rsidR="00424C6F">
        <w:t>e</w:t>
      </w:r>
      <w:r w:rsidR="00766DF0">
        <w:t>lectrical conductivity</w:t>
      </w:r>
      <w:r w:rsidR="00942A21">
        <w:t xml:space="preserve">, </w:t>
      </w:r>
      <w:r w:rsidR="002917CC">
        <w:t xml:space="preserve">water </w:t>
      </w:r>
      <w:r w:rsidR="00942A21">
        <w:t>temperature, turbidity</w:t>
      </w:r>
      <w:r w:rsidR="00766DF0">
        <w:t xml:space="preserve"> and</w:t>
      </w:r>
      <w:r w:rsidR="00942A21">
        <w:t xml:space="preserve"> nutrient</w:t>
      </w:r>
      <w:r w:rsidR="00766DF0">
        <w:t>s (</w:t>
      </w:r>
      <w:r w:rsidR="00942A21">
        <w:t>component1</w:t>
      </w:r>
      <w:r w:rsidR="00766DF0">
        <w:t>)</w:t>
      </w:r>
      <w:r w:rsidR="002917CC">
        <w:t>, river</w:t>
      </w:r>
      <w:r w:rsidR="0035655F">
        <w:t xml:space="preserve"> height</w:t>
      </w:r>
      <w:r w:rsidR="00942A21">
        <w:t>,</w:t>
      </w:r>
      <w:r w:rsidR="002917CC">
        <w:t xml:space="preserve"> microcrustacea </w:t>
      </w:r>
      <w:r w:rsidR="00424C6F">
        <w:t>density</w:t>
      </w:r>
      <w:r w:rsidR="00942A21">
        <w:t xml:space="preserve">, and </w:t>
      </w:r>
      <w:r w:rsidR="002917CC">
        <w:t xml:space="preserve">location (of the </w:t>
      </w:r>
      <w:r w:rsidR="0035655F">
        <w:t>monitoring sites)</w:t>
      </w:r>
      <w:r w:rsidR="006E6B43">
        <w:t>;</w:t>
      </w:r>
      <w:r w:rsidR="0035655F">
        <w:t xml:space="preserve"> </w:t>
      </w:r>
      <w:r w:rsidR="00766DF0">
        <w:t xml:space="preserve">the second model also included </w:t>
      </w:r>
      <w:r w:rsidR="00942A21">
        <w:t>chlorophyll</w:t>
      </w:r>
      <w:r w:rsidR="002917CC">
        <w:t xml:space="preserve"> a</w:t>
      </w:r>
      <w:r w:rsidR="00942A21">
        <w:t xml:space="preserve">. The </w:t>
      </w:r>
      <w:r w:rsidR="006E6B43">
        <w:t xml:space="preserve">most </w:t>
      </w:r>
      <w:r w:rsidR="00942A21">
        <w:t xml:space="preserve">parsimonious model (i.e., </w:t>
      </w:r>
      <w:r w:rsidR="00766DF0">
        <w:t xml:space="preserve">the model with the </w:t>
      </w:r>
      <w:r w:rsidR="00942A21">
        <w:t>least number of predictor</w:t>
      </w:r>
      <w:r w:rsidR="00732A7A">
        <w:t xml:space="preserve"> </w:t>
      </w:r>
      <w:r w:rsidR="00A21F97">
        <w:t>variables</w:t>
      </w:r>
      <w:r w:rsidR="00942A21">
        <w:t xml:space="preserve">) was highly significant, </w:t>
      </w:r>
      <w:r w:rsidR="00942A21" w:rsidRPr="009F632F">
        <w:t>explain</w:t>
      </w:r>
      <w:r w:rsidR="00942A21">
        <w:t>ing 80</w:t>
      </w:r>
      <w:r w:rsidR="00942A21" w:rsidRPr="009F632F">
        <w:t xml:space="preserve">% of the </w:t>
      </w:r>
      <w:r w:rsidR="00942A21">
        <w:t>observed</w:t>
      </w:r>
      <w:r w:rsidR="0035655F">
        <w:t xml:space="preserve"> difference in</w:t>
      </w:r>
      <w:r w:rsidR="00942A21">
        <w:t xml:space="preserve"> cod larval </w:t>
      </w:r>
      <w:r w:rsidR="002917CC" w:rsidRPr="00604303">
        <w:t>abundance (</w:t>
      </w:r>
      <w:fldSimple w:instr=" REF _Ref370288275  \* MERGEFORMAT ">
        <w:r w:rsidR="00436595" w:rsidRPr="00436595">
          <w:t xml:space="preserve">Table </w:t>
        </w:r>
        <w:r w:rsidR="00436595" w:rsidRPr="00436595">
          <w:rPr>
            <w:noProof/>
          </w:rPr>
          <w:t>8</w:t>
        </w:r>
      </w:fldSimple>
      <w:r w:rsidR="002917CC" w:rsidRPr="00604303">
        <w:t>)</w:t>
      </w:r>
      <w:r w:rsidR="00766DF0" w:rsidRPr="00604303">
        <w:t>.</w:t>
      </w:r>
      <w:r w:rsidR="00766DF0">
        <w:t xml:space="preserve"> </w:t>
      </w:r>
      <w:r w:rsidR="00942A21">
        <w:t xml:space="preserve">Multiple comparisons (using </w:t>
      </w:r>
      <w:r w:rsidR="00942A21" w:rsidRPr="00EC2598">
        <w:t>Tukey Contrasts</w:t>
      </w:r>
      <w:r w:rsidR="006E6B43">
        <w:t>) indicated</w:t>
      </w:r>
      <w:r w:rsidR="00942A21">
        <w:t xml:space="preserve"> </w:t>
      </w:r>
      <w:r w:rsidR="0035655F">
        <w:t>there were significant differences in larval cod abundance between</w:t>
      </w:r>
      <w:r w:rsidR="00942A21">
        <w:t xml:space="preserve"> the three Murrumbidgee River sites (</w:t>
      </w:r>
      <w:r w:rsidR="00942A21" w:rsidRPr="00F54888">
        <w:t xml:space="preserve">Berry Jerry, </w:t>
      </w:r>
      <w:r w:rsidR="006E6B43">
        <w:t xml:space="preserve">Narrandera and Euroley Bridge, </w:t>
      </w:r>
      <w:r w:rsidR="002917CC">
        <w:t xml:space="preserve">which </w:t>
      </w:r>
      <w:r w:rsidR="0035655F">
        <w:t>received Commonwealth environmental water)</w:t>
      </w:r>
      <w:r w:rsidR="00942A21">
        <w:t xml:space="preserve"> and Old Man Creek</w:t>
      </w:r>
      <w:r w:rsidR="0035655F">
        <w:t xml:space="preserve"> (</w:t>
      </w:r>
      <w:r w:rsidR="006E6B43">
        <w:t xml:space="preserve">the </w:t>
      </w:r>
      <w:r w:rsidR="0035655F">
        <w:t>cont</w:t>
      </w:r>
      <w:r w:rsidR="002917CC">
        <w:t xml:space="preserve">rol site </w:t>
      </w:r>
      <w:r w:rsidR="006E6B43">
        <w:t xml:space="preserve">that </w:t>
      </w:r>
      <w:r w:rsidR="002917CC">
        <w:t>did not receive C</w:t>
      </w:r>
      <w:r w:rsidR="0035655F">
        <w:t>ommonwealth environmental water)</w:t>
      </w:r>
      <w:r w:rsidR="0079093D">
        <w:t xml:space="preserve">. </w:t>
      </w:r>
      <w:r w:rsidR="006E6B43">
        <w:t>The categorical variable, s</w:t>
      </w:r>
      <w:r w:rsidR="0079093D">
        <w:t>ite</w:t>
      </w:r>
      <w:r w:rsidR="006E6B43">
        <w:t>,</w:t>
      </w:r>
      <w:r w:rsidR="0079093D">
        <w:t xml:space="preserve"> had a very strong effect on larval cod ab</w:t>
      </w:r>
      <w:r w:rsidR="00C93271">
        <w:t xml:space="preserve">undances </w:t>
      </w:r>
      <w:r w:rsidR="0079093D">
        <w:t>with</w:t>
      </w:r>
      <w:r w:rsidR="00C93271">
        <w:t xml:space="preserve"> particular reaches producing more larval cod than others.</w:t>
      </w:r>
      <w:r w:rsidR="0079093D">
        <w:t xml:space="preserve"> Importantly, temperature, turbidity and </w:t>
      </w:r>
      <w:r w:rsidR="002917CC">
        <w:t>microcrustacea abundance</w:t>
      </w:r>
      <w:r w:rsidR="0079093D">
        <w:t xml:space="preserve"> had a positive effect on </w:t>
      </w:r>
      <w:r w:rsidR="00263729">
        <w:t>cod</w:t>
      </w:r>
      <w:r w:rsidR="0079093D">
        <w:t xml:space="preserve"> larval </w:t>
      </w:r>
      <w:r w:rsidR="0079093D" w:rsidRPr="00604303">
        <w:t>abundance</w:t>
      </w:r>
      <w:r w:rsidR="006B2938" w:rsidRPr="00604303">
        <w:t xml:space="preserve"> (</w:t>
      </w:r>
      <w:fldSimple w:instr=" REF _Ref370289984  \* MERGEFORMAT ">
        <w:r w:rsidR="00436595" w:rsidRPr="00436595">
          <w:t xml:space="preserve">Figure </w:t>
        </w:r>
        <w:r w:rsidR="00436595" w:rsidRPr="00436595">
          <w:rPr>
            <w:noProof/>
          </w:rPr>
          <w:t>35</w:t>
        </w:r>
      </w:fldSimple>
      <w:r w:rsidR="006B2938" w:rsidRPr="00604303">
        <w:t>)</w:t>
      </w:r>
      <w:r w:rsidR="0079093D" w:rsidRPr="00604303">
        <w:t>. However</w:t>
      </w:r>
      <w:r w:rsidR="006E6B43">
        <w:t>,</w:t>
      </w:r>
      <w:r w:rsidR="0079093D">
        <w:t xml:space="preserve"> </w:t>
      </w:r>
      <w:r w:rsidR="002917CC">
        <w:t>r</w:t>
      </w:r>
      <w:r w:rsidR="0079093D">
        <w:t>iver height, electrical conductivity</w:t>
      </w:r>
      <w:r w:rsidR="00942A21">
        <w:t>, and nutrients had a negative effect</w:t>
      </w:r>
      <w:r w:rsidR="00C93271">
        <w:t xml:space="preserve"> on larval cod abundance. It should be noted that there were very large confidence intervals around the variable </w:t>
      </w:r>
      <w:r w:rsidR="002917CC">
        <w:t>r</w:t>
      </w:r>
      <w:r w:rsidR="00C93271">
        <w:t xml:space="preserve">iver </w:t>
      </w:r>
      <w:r w:rsidR="002917CC">
        <w:t>h</w:t>
      </w:r>
      <w:r w:rsidR="00846AFB">
        <w:t>eights</w:t>
      </w:r>
      <w:r w:rsidR="00263729">
        <w:t>.</w:t>
      </w:r>
      <w:r w:rsidR="00846AFB">
        <w:t xml:space="preserve"> </w:t>
      </w:r>
    </w:p>
    <w:p w:rsidR="00CF571F" w:rsidRDefault="00CF571F" w:rsidP="00CF571F"/>
    <w:p w:rsidR="00CF571F" w:rsidRDefault="00CF571F" w:rsidP="002917CC">
      <w:pPr>
        <w:pStyle w:val="Heading3"/>
      </w:pPr>
      <w:bookmarkStart w:id="363" w:name="_Toc370299230"/>
      <w:bookmarkStart w:id="364" w:name="_Toc370738829"/>
      <w:bookmarkStart w:id="365" w:name="_Toc378168573"/>
      <w:r w:rsidRPr="00734C7D">
        <w:t>Young-of-year fish</w:t>
      </w:r>
      <w:bookmarkEnd w:id="363"/>
      <w:bookmarkEnd w:id="364"/>
      <w:bookmarkEnd w:id="365"/>
    </w:p>
    <w:p w:rsidR="00CF571F" w:rsidRDefault="00CF571F" w:rsidP="00CF571F">
      <w:r w:rsidRPr="00734C7D">
        <w:t>Fish community electrofishing and additional targeted fyke netting resulted in a total of 10 YOY fish captured, including three Murray cod, two golden perch, two redfin perch and one carp</w:t>
      </w:r>
      <w:r w:rsidR="00FA33D8">
        <w:t xml:space="preserve">. </w:t>
      </w:r>
      <w:r w:rsidRPr="00734C7D">
        <w:t xml:space="preserve">Daily aging indicated that only one of the Murray cod captured was a YOY (80 mm long), with a spawning date in late January. This gives an indication that the spawning for this species was ongoing through to January (past the larval sampling period for 2012/13) in Old Man Creek where the fish was captured. Two individual YOY Golden perch were captured, one of which was calcein marked, indicating it was from a stocked population. </w:t>
      </w:r>
    </w:p>
    <w:p w:rsidR="00263729" w:rsidRDefault="00263729" w:rsidP="001F750B">
      <w:pPr>
        <w:pStyle w:val="Caption"/>
        <w:keepNext/>
      </w:pPr>
    </w:p>
    <w:p w:rsidR="001F750B" w:rsidRDefault="001F750B" w:rsidP="0045056E">
      <w:pPr>
        <w:pStyle w:val="Caption1"/>
        <w:keepNext/>
      </w:pPr>
      <w:bookmarkStart w:id="366" w:name="_Ref370288275"/>
      <w:bookmarkStart w:id="367" w:name="_Toc370738830"/>
      <w:r w:rsidRPr="0066371D">
        <w:rPr>
          <w:b/>
        </w:rPr>
        <w:t xml:space="preserve">Table </w:t>
      </w:r>
      <w:r w:rsidR="00D20FAE" w:rsidRPr="0066371D">
        <w:rPr>
          <w:b/>
        </w:rPr>
        <w:fldChar w:fldCharType="begin"/>
      </w:r>
      <w:r w:rsidRPr="0066371D">
        <w:rPr>
          <w:b/>
        </w:rPr>
        <w:instrText xml:space="preserve"> SEQ Table \* ARABIC </w:instrText>
      </w:r>
      <w:r w:rsidR="00D20FAE" w:rsidRPr="0066371D">
        <w:rPr>
          <w:b/>
        </w:rPr>
        <w:fldChar w:fldCharType="separate"/>
      </w:r>
      <w:r w:rsidR="00436595">
        <w:rPr>
          <w:b/>
          <w:noProof/>
        </w:rPr>
        <w:t>8</w:t>
      </w:r>
      <w:r w:rsidR="00D20FAE" w:rsidRPr="0066371D">
        <w:rPr>
          <w:b/>
        </w:rPr>
        <w:fldChar w:fldCharType="end"/>
      </w:r>
      <w:bookmarkEnd w:id="366"/>
      <w:r w:rsidRPr="00EC2598">
        <w:t xml:space="preserve"> </w:t>
      </w:r>
      <w:r>
        <w:t>Model-averaged coefficients</w:t>
      </w:r>
      <w:bookmarkEnd w:id="367"/>
    </w:p>
    <w:tbl>
      <w:tblPr>
        <w:tblStyle w:val="TableGrid"/>
        <w:tblW w:w="8444" w:type="dxa"/>
        <w:tblLook w:val="04A0"/>
      </w:tblPr>
      <w:tblGrid>
        <w:gridCol w:w="1813"/>
        <w:gridCol w:w="1586"/>
        <w:gridCol w:w="1031"/>
        <w:gridCol w:w="960"/>
        <w:gridCol w:w="1076"/>
        <w:gridCol w:w="960"/>
        <w:gridCol w:w="1018"/>
      </w:tblGrid>
      <w:tr w:rsidR="001F750B" w:rsidRPr="001F750B" w:rsidTr="002917CC">
        <w:trPr>
          <w:cnfStyle w:val="100000000000"/>
          <w:trHeight w:val="300"/>
        </w:trPr>
        <w:tc>
          <w:tcPr>
            <w:tcW w:w="1813" w:type="dxa"/>
            <w:noWrap/>
            <w:hideMark/>
          </w:tcPr>
          <w:p w:rsidR="001F750B" w:rsidRPr="001F750B" w:rsidRDefault="001F750B" w:rsidP="0045056E">
            <w:pPr>
              <w:pStyle w:val="Tabletext"/>
              <w:keepNext/>
              <w:rPr>
                <w:b/>
                <w:lang w:bidi="he-IL"/>
              </w:rPr>
            </w:pPr>
            <w:r w:rsidRPr="001F750B">
              <w:rPr>
                <w:b/>
                <w:lang w:bidi="he-IL"/>
              </w:rPr>
              <w:t>Variable</w:t>
            </w:r>
          </w:p>
        </w:tc>
        <w:tc>
          <w:tcPr>
            <w:tcW w:w="1586" w:type="dxa"/>
          </w:tcPr>
          <w:p w:rsidR="001F750B" w:rsidRPr="001F750B" w:rsidRDefault="001F750B" w:rsidP="0045056E">
            <w:pPr>
              <w:pStyle w:val="Tabletext"/>
              <w:keepNext/>
              <w:rPr>
                <w:b/>
                <w:lang w:bidi="he-IL"/>
              </w:rPr>
            </w:pPr>
            <w:r w:rsidRPr="001F750B">
              <w:rPr>
                <w:b/>
                <w:lang w:bidi="he-IL"/>
              </w:rPr>
              <w:t>Code</w:t>
            </w:r>
          </w:p>
        </w:tc>
        <w:tc>
          <w:tcPr>
            <w:tcW w:w="1031" w:type="dxa"/>
            <w:noWrap/>
            <w:hideMark/>
          </w:tcPr>
          <w:p w:rsidR="001F750B" w:rsidRPr="001F750B" w:rsidRDefault="001F750B" w:rsidP="0045056E">
            <w:pPr>
              <w:pStyle w:val="Tabletext"/>
              <w:keepNext/>
              <w:rPr>
                <w:b/>
                <w:lang w:bidi="he-IL"/>
              </w:rPr>
            </w:pPr>
            <w:r w:rsidRPr="001F750B">
              <w:rPr>
                <w:b/>
                <w:lang w:bidi="he-IL"/>
              </w:rPr>
              <w:t>Estimate</w:t>
            </w:r>
          </w:p>
        </w:tc>
        <w:tc>
          <w:tcPr>
            <w:tcW w:w="960" w:type="dxa"/>
            <w:noWrap/>
            <w:hideMark/>
          </w:tcPr>
          <w:p w:rsidR="001F750B" w:rsidRPr="001F750B" w:rsidRDefault="001F750B" w:rsidP="0045056E">
            <w:pPr>
              <w:pStyle w:val="Tabletext"/>
              <w:keepNext/>
              <w:rPr>
                <w:b/>
                <w:lang w:bidi="he-IL"/>
              </w:rPr>
            </w:pPr>
            <w:r w:rsidRPr="001F750B">
              <w:rPr>
                <w:b/>
                <w:lang w:bidi="he-IL"/>
              </w:rPr>
              <w:t>Std. Error</w:t>
            </w:r>
          </w:p>
        </w:tc>
        <w:tc>
          <w:tcPr>
            <w:tcW w:w="1076" w:type="dxa"/>
            <w:noWrap/>
            <w:hideMark/>
          </w:tcPr>
          <w:p w:rsidR="001F750B" w:rsidRPr="001F750B" w:rsidRDefault="001F750B" w:rsidP="0045056E">
            <w:pPr>
              <w:pStyle w:val="Tabletext"/>
              <w:keepNext/>
              <w:rPr>
                <w:b/>
                <w:lang w:bidi="he-IL"/>
              </w:rPr>
            </w:pPr>
            <w:r w:rsidRPr="001F750B">
              <w:rPr>
                <w:b/>
                <w:lang w:bidi="he-IL"/>
              </w:rPr>
              <w:t>Adjusted SE</w:t>
            </w:r>
          </w:p>
        </w:tc>
        <w:tc>
          <w:tcPr>
            <w:tcW w:w="960" w:type="dxa"/>
            <w:noWrap/>
            <w:hideMark/>
          </w:tcPr>
          <w:p w:rsidR="001F750B" w:rsidRPr="001F750B" w:rsidRDefault="001F750B" w:rsidP="0045056E">
            <w:pPr>
              <w:pStyle w:val="Tabletext"/>
              <w:keepNext/>
              <w:rPr>
                <w:b/>
                <w:lang w:bidi="he-IL"/>
              </w:rPr>
            </w:pPr>
            <w:r w:rsidRPr="001F750B">
              <w:rPr>
                <w:b/>
                <w:lang w:bidi="he-IL"/>
              </w:rPr>
              <w:t>z value</w:t>
            </w:r>
          </w:p>
        </w:tc>
        <w:tc>
          <w:tcPr>
            <w:tcW w:w="1018" w:type="dxa"/>
            <w:noWrap/>
            <w:hideMark/>
          </w:tcPr>
          <w:p w:rsidR="001F750B" w:rsidRPr="001F750B" w:rsidRDefault="001F750B" w:rsidP="0045056E">
            <w:pPr>
              <w:pStyle w:val="Tabletext"/>
              <w:keepNext/>
              <w:rPr>
                <w:b/>
                <w:lang w:bidi="he-IL"/>
              </w:rPr>
            </w:pPr>
            <w:r w:rsidRPr="001F750B">
              <w:rPr>
                <w:b/>
                <w:lang w:bidi="he-IL"/>
              </w:rPr>
              <w:t>Pr(&gt;|z|)</w:t>
            </w:r>
          </w:p>
        </w:tc>
      </w:tr>
      <w:tr w:rsidR="001F750B" w:rsidRPr="00B41E35" w:rsidTr="002917CC">
        <w:trPr>
          <w:trHeight w:val="300"/>
        </w:trPr>
        <w:tc>
          <w:tcPr>
            <w:tcW w:w="1813" w:type="dxa"/>
            <w:noWrap/>
            <w:hideMark/>
          </w:tcPr>
          <w:p w:rsidR="001F750B" w:rsidRPr="00942A21" w:rsidRDefault="001F750B" w:rsidP="0045056E">
            <w:pPr>
              <w:pStyle w:val="Tabletext"/>
              <w:keepNext/>
              <w:rPr>
                <w:lang w:bidi="he-IL"/>
              </w:rPr>
            </w:pPr>
            <w:r w:rsidRPr="00942A21">
              <w:rPr>
                <w:lang w:bidi="he-IL"/>
              </w:rPr>
              <w:t>(Intercept)</w:t>
            </w:r>
          </w:p>
        </w:tc>
        <w:tc>
          <w:tcPr>
            <w:tcW w:w="1586" w:type="dxa"/>
          </w:tcPr>
          <w:p w:rsidR="001F750B" w:rsidRPr="00942A21" w:rsidRDefault="001F750B" w:rsidP="0045056E">
            <w:pPr>
              <w:pStyle w:val="Tabletext"/>
              <w:keepNext/>
              <w:rPr>
                <w:lang w:bidi="he-IL"/>
              </w:rPr>
            </w:pPr>
          </w:p>
        </w:tc>
        <w:tc>
          <w:tcPr>
            <w:tcW w:w="1031" w:type="dxa"/>
            <w:noWrap/>
            <w:hideMark/>
          </w:tcPr>
          <w:p w:rsidR="001F750B" w:rsidRPr="00942A21" w:rsidRDefault="001F750B" w:rsidP="0045056E">
            <w:pPr>
              <w:pStyle w:val="Tabletext"/>
              <w:keepNext/>
              <w:rPr>
                <w:lang w:bidi="he-IL"/>
              </w:rPr>
            </w:pPr>
            <w:r w:rsidRPr="00942A21">
              <w:rPr>
                <w:lang w:bidi="he-IL"/>
              </w:rPr>
              <w:t>-5.85</w:t>
            </w:r>
          </w:p>
        </w:tc>
        <w:tc>
          <w:tcPr>
            <w:tcW w:w="960" w:type="dxa"/>
            <w:noWrap/>
            <w:hideMark/>
          </w:tcPr>
          <w:p w:rsidR="001F750B" w:rsidRPr="00942A21" w:rsidRDefault="001F750B" w:rsidP="0045056E">
            <w:pPr>
              <w:pStyle w:val="Tabletext"/>
              <w:keepNext/>
              <w:rPr>
                <w:lang w:bidi="he-IL"/>
              </w:rPr>
            </w:pPr>
            <w:r w:rsidRPr="00942A21">
              <w:rPr>
                <w:lang w:bidi="he-IL"/>
              </w:rPr>
              <w:t>2.68</w:t>
            </w:r>
          </w:p>
        </w:tc>
        <w:tc>
          <w:tcPr>
            <w:tcW w:w="1076" w:type="dxa"/>
            <w:noWrap/>
            <w:hideMark/>
          </w:tcPr>
          <w:p w:rsidR="001F750B" w:rsidRPr="00942A21" w:rsidRDefault="001F750B" w:rsidP="0045056E">
            <w:pPr>
              <w:pStyle w:val="Tabletext"/>
              <w:keepNext/>
              <w:rPr>
                <w:lang w:bidi="he-IL"/>
              </w:rPr>
            </w:pPr>
            <w:r w:rsidRPr="00942A21">
              <w:rPr>
                <w:lang w:bidi="he-IL"/>
              </w:rPr>
              <w:t>2.78</w:t>
            </w:r>
          </w:p>
        </w:tc>
        <w:tc>
          <w:tcPr>
            <w:tcW w:w="960" w:type="dxa"/>
            <w:noWrap/>
            <w:hideMark/>
          </w:tcPr>
          <w:p w:rsidR="001F750B" w:rsidRPr="00942A21" w:rsidRDefault="001F750B" w:rsidP="0045056E">
            <w:pPr>
              <w:pStyle w:val="Tabletext"/>
              <w:keepNext/>
              <w:rPr>
                <w:lang w:bidi="he-IL"/>
              </w:rPr>
            </w:pPr>
            <w:r w:rsidRPr="00942A21">
              <w:rPr>
                <w:lang w:bidi="he-IL"/>
              </w:rPr>
              <w:t>2.11</w:t>
            </w:r>
          </w:p>
        </w:tc>
        <w:tc>
          <w:tcPr>
            <w:tcW w:w="1018" w:type="dxa"/>
            <w:noWrap/>
            <w:hideMark/>
          </w:tcPr>
          <w:p w:rsidR="001F750B" w:rsidRPr="00942A21" w:rsidRDefault="001F750B" w:rsidP="0045056E">
            <w:pPr>
              <w:pStyle w:val="Tabletext"/>
              <w:keepNext/>
              <w:rPr>
                <w:lang w:bidi="he-IL"/>
              </w:rPr>
            </w:pPr>
            <w:r w:rsidRPr="00942A21">
              <w:rPr>
                <w:lang w:bidi="he-IL"/>
              </w:rPr>
              <w:t>0.04</w:t>
            </w:r>
          </w:p>
        </w:tc>
      </w:tr>
      <w:tr w:rsidR="001F750B" w:rsidRPr="00B41E35" w:rsidTr="002917CC">
        <w:trPr>
          <w:trHeight w:val="300"/>
        </w:trPr>
        <w:tc>
          <w:tcPr>
            <w:tcW w:w="1813" w:type="dxa"/>
            <w:noWrap/>
            <w:hideMark/>
          </w:tcPr>
          <w:p w:rsidR="001F750B" w:rsidRPr="00942A21" w:rsidRDefault="001F750B" w:rsidP="0045056E">
            <w:pPr>
              <w:pStyle w:val="Tabletext"/>
              <w:keepNext/>
              <w:rPr>
                <w:lang w:bidi="he-IL"/>
              </w:rPr>
            </w:pPr>
            <w:r>
              <w:rPr>
                <w:lang w:bidi="he-IL"/>
              </w:rPr>
              <w:t xml:space="preserve">Electrical conductivity </w:t>
            </w:r>
          </w:p>
        </w:tc>
        <w:tc>
          <w:tcPr>
            <w:tcW w:w="1586" w:type="dxa"/>
          </w:tcPr>
          <w:p w:rsidR="001F750B" w:rsidRPr="008F4CA9" w:rsidRDefault="001F750B" w:rsidP="0045056E">
            <w:pPr>
              <w:pStyle w:val="Tabletext"/>
              <w:keepNext/>
              <w:rPr>
                <w:lang w:bidi="he-IL"/>
              </w:rPr>
            </w:pPr>
            <w:r w:rsidRPr="008F4CA9">
              <w:rPr>
                <w:lang w:bidi="he-IL"/>
              </w:rPr>
              <w:t>HOR_EC</w:t>
            </w:r>
          </w:p>
        </w:tc>
        <w:tc>
          <w:tcPr>
            <w:tcW w:w="1031" w:type="dxa"/>
            <w:noWrap/>
            <w:hideMark/>
          </w:tcPr>
          <w:p w:rsidR="001F750B" w:rsidRPr="00942A21" w:rsidRDefault="001F750B" w:rsidP="0045056E">
            <w:pPr>
              <w:pStyle w:val="Tabletext"/>
              <w:keepNext/>
              <w:rPr>
                <w:lang w:bidi="he-IL"/>
              </w:rPr>
            </w:pPr>
            <w:r w:rsidRPr="00942A21">
              <w:rPr>
                <w:lang w:bidi="he-IL"/>
              </w:rPr>
              <w:t>-93.18</w:t>
            </w:r>
          </w:p>
        </w:tc>
        <w:tc>
          <w:tcPr>
            <w:tcW w:w="960" w:type="dxa"/>
            <w:noWrap/>
            <w:hideMark/>
          </w:tcPr>
          <w:p w:rsidR="001F750B" w:rsidRPr="00942A21" w:rsidRDefault="001F750B" w:rsidP="0045056E">
            <w:pPr>
              <w:pStyle w:val="Tabletext"/>
              <w:keepNext/>
              <w:rPr>
                <w:lang w:bidi="he-IL"/>
              </w:rPr>
            </w:pPr>
            <w:r w:rsidRPr="00942A21">
              <w:rPr>
                <w:lang w:bidi="he-IL"/>
              </w:rPr>
              <w:t>10.31</w:t>
            </w:r>
          </w:p>
        </w:tc>
        <w:tc>
          <w:tcPr>
            <w:tcW w:w="1076" w:type="dxa"/>
            <w:noWrap/>
            <w:hideMark/>
          </w:tcPr>
          <w:p w:rsidR="001F750B" w:rsidRPr="00942A21" w:rsidRDefault="001F750B" w:rsidP="0045056E">
            <w:pPr>
              <w:pStyle w:val="Tabletext"/>
              <w:keepNext/>
              <w:rPr>
                <w:lang w:bidi="he-IL"/>
              </w:rPr>
            </w:pPr>
            <w:r w:rsidRPr="00942A21">
              <w:rPr>
                <w:lang w:bidi="he-IL"/>
              </w:rPr>
              <w:t>10.70</w:t>
            </w:r>
          </w:p>
        </w:tc>
        <w:tc>
          <w:tcPr>
            <w:tcW w:w="960" w:type="dxa"/>
            <w:noWrap/>
            <w:hideMark/>
          </w:tcPr>
          <w:p w:rsidR="001F750B" w:rsidRPr="00942A21" w:rsidRDefault="001F750B" w:rsidP="0045056E">
            <w:pPr>
              <w:pStyle w:val="Tabletext"/>
              <w:keepNext/>
              <w:rPr>
                <w:lang w:bidi="he-IL"/>
              </w:rPr>
            </w:pPr>
            <w:r w:rsidRPr="00942A21">
              <w:rPr>
                <w:lang w:bidi="he-IL"/>
              </w:rPr>
              <w:t>8.71</w:t>
            </w:r>
          </w:p>
        </w:tc>
        <w:tc>
          <w:tcPr>
            <w:tcW w:w="1018" w:type="dxa"/>
            <w:noWrap/>
            <w:hideMark/>
          </w:tcPr>
          <w:p w:rsidR="001F750B" w:rsidRPr="00942A21" w:rsidRDefault="001F750B" w:rsidP="0045056E">
            <w:pPr>
              <w:pStyle w:val="Tabletext"/>
              <w:keepNext/>
              <w:rPr>
                <w:lang w:bidi="he-IL"/>
              </w:rPr>
            </w:pPr>
            <w:r w:rsidRPr="00942A21">
              <w:rPr>
                <w:lang w:bidi="he-IL"/>
              </w:rPr>
              <w:t>&lt;0.001</w:t>
            </w:r>
          </w:p>
        </w:tc>
      </w:tr>
      <w:tr w:rsidR="001F750B" w:rsidRPr="00B41E35" w:rsidTr="002917CC">
        <w:trPr>
          <w:trHeight w:val="300"/>
        </w:trPr>
        <w:tc>
          <w:tcPr>
            <w:tcW w:w="1813" w:type="dxa"/>
            <w:noWrap/>
            <w:hideMark/>
          </w:tcPr>
          <w:p w:rsidR="001F750B" w:rsidRPr="00942A21" w:rsidRDefault="001F750B" w:rsidP="0045056E">
            <w:pPr>
              <w:pStyle w:val="Tabletext"/>
              <w:keepNext/>
              <w:rPr>
                <w:lang w:bidi="he-IL"/>
              </w:rPr>
            </w:pPr>
            <w:r>
              <w:rPr>
                <w:lang w:bidi="he-IL"/>
              </w:rPr>
              <w:t>Water temperature</w:t>
            </w:r>
          </w:p>
        </w:tc>
        <w:tc>
          <w:tcPr>
            <w:tcW w:w="1586" w:type="dxa"/>
          </w:tcPr>
          <w:p w:rsidR="001F750B" w:rsidRPr="008F4CA9" w:rsidRDefault="001F750B" w:rsidP="0045056E">
            <w:pPr>
              <w:pStyle w:val="Tabletext"/>
              <w:keepNext/>
              <w:rPr>
                <w:lang w:bidi="he-IL"/>
              </w:rPr>
            </w:pPr>
            <w:r w:rsidRPr="008F4CA9">
              <w:rPr>
                <w:lang w:bidi="he-IL"/>
              </w:rPr>
              <w:t>HOR_temp</w:t>
            </w:r>
          </w:p>
        </w:tc>
        <w:tc>
          <w:tcPr>
            <w:tcW w:w="1031" w:type="dxa"/>
            <w:noWrap/>
            <w:hideMark/>
          </w:tcPr>
          <w:p w:rsidR="001F750B" w:rsidRPr="00942A21" w:rsidRDefault="001F750B" w:rsidP="0045056E">
            <w:pPr>
              <w:pStyle w:val="Tabletext"/>
              <w:keepNext/>
              <w:rPr>
                <w:lang w:bidi="he-IL"/>
              </w:rPr>
            </w:pPr>
            <w:r w:rsidRPr="00942A21">
              <w:rPr>
                <w:lang w:bidi="he-IL"/>
              </w:rPr>
              <w:t>0.87</w:t>
            </w:r>
          </w:p>
        </w:tc>
        <w:tc>
          <w:tcPr>
            <w:tcW w:w="960" w:type="dxa"/>
            <w:noWrap/>
            <w:hideMark/>
          </w:tcPr>
          <w:p w:rsidR="001F750B" w:rsidRPr="00942A21" w:rsidRDefault="001F750B" w:rsidP="0045056E">
            <w:pPr>
              <w:pStyle w:val="Tabletext"/>
              <w:keepNext/>
              <w:rPr>
                <w:lang w:bidi="he-IL"/>
              </w:rPr>
            </w:pPr>
            <w:r w:rsidRPr="00942A21">
              <w:rPr>
                <w:lang w:bidi="he-IL"/>
              </w:rPr>
              <w:t>0.10</w:t>
            </w:r>
          </w:p>
        </w:tc>
        <w:tc>
          <w:tcPr>
            <w:tcW w:w="1076" w:type="dxa"/>
            <w:noWrap/>
            <w:hideMark/>
          </w:tcPr>
          <w:p w:rsidR="001F750B" w:rsidRPr="00942A21" w:rsidRDefault="001F750B" w:rsidP="0045056E">
            <w:pPr>
              <w:pStyle w:val="Tabletext"/>
              <w:keepNext/>
              <w:rPr>
                <w:lang w:bidi="he-IL"/>
              </w:rPr>
            </w:pPr>
            <w:r w:rsidRPr="00942A21">
              <w:rPr>
                <w:lang w:bidi="he-IL"/>
              </w:rPr>
              <w:t>0.11</w:t>
            </w:r>
          </w:p>
        </w:tc>
        <w:tc>
          <w:tcPr>
            <w:tcW w:w="960" w:type="dxa"/>
            <w:noWrap/>
            <w:hideMark/>
          </w:tcPr>
          <w:p w:rsidR="001F750B" w:rsidRPr="00942A21" w:rsidRDefault="001F750B" w:rsidP="0045056E">
            <w:pPr>
              <w:pStyle w:val="Tabletext"/>
              <w:keepNext/>
              <w:rPr>
                <w:lang w:bidi="he-IL"/>
              </w:rPr>
            </w:pPr>
            <w:r w:rsidRPr="00942A21">
              <w:rPr>
                <w:lang w:bidi="he-IL"/>
              </w:rPr>
              <w:t>8.11</w:t>
            </w:r>
          </w:p>
        </w:tc>
        <w:tc>
          <w:tcPr>
            <w:tcW w:w="1018" w:type="dxa"/>
            <w:noWrap/>
            <w:hideMark/>
          </w:tcPr>
          <w:p w:rsidR="001F750B" w:rsidRPr="00942A21" w:rsidRDefault="001F750B" w:rsidP="0045056E">
            <w:pPr>
              <w:pStyle w:val="Tabletext"/>
              <w:keepNext/>
              <w:rPr>
                <w:lang w:bidi="he-IL"/>
              </w:rPr>
            </w:pPr>
            <w:r w:rsidRPr="00942A21">
              <w:rPr>
                <w:lang w:bidi="he-IL"/>
              </w:rPr>
              <w:t>&lt;0.001</w:t>
            </w:r>
          </w:p>
        </w:tc>
      </w:tr>
      <w:tr w:rsidR="001F750B" w:rsidRPr="00B41E35" w:rsidTr="002917CC">
        <w:trPr>
          <w:trHeight w:val="300"/>
        </w:trPr>
        <w:tc>
          <w:tcPr>
            <w:tcW w:w="1813" w:type="dxa"/>
            <w:noWrap/>
            <w:hideMark/>
          </w:tcPr>
          <w:p w:rsidR="001F750B" w:rsidRPr="00942A21" w:rsidRDefault="001F750B" w:rsidP="0045056E">
            <w:pPr>
              <w:pStyle w:val="Tabletext"/>
              <w:keepNext/>
              <w:rPr>
                <w:lang w:bidi="he-IL"/>
              </w:rPr>
            </w:pPr>
            <w:r>
              <w:rPr>
                <w:lang w:bidi="he-IL"/>
              </w:rPr>
              <w:t>Turbidity</w:t>
            </w:r>
          </w:p>
        </w:tc>
        <w:tc>
          <w:tcPr>
            <w:tcW w:w="1586" w:type="dxa"/>
          </w:tcPr>
          <w:p w:rsidR="001F750B" w:rsidRPr="008F4CA9" w:rsidRDefault="001F750B" w:rsidP="0045056E">
            <w:pPr>
              <w:pStyle w:val="Tabletext"/>
              <w:keepNext/>
              <w:rPr>
                <w:lang w:bidi="he-IL"/>
              </w:rPr>
            </w:pPr>
            <w:r w:rsidRPr="008F4CA9">
              <w:rPr>
                <w:lang w:bidi="he-IL"/>
              </w:rPr>
              <w:t>HOR_Turb</w:t>
            </w:r>
          </w:p>
        </w:tc>
        <w:tc>
          <w:tcPr>
            <w:tcW w:w="1031" w:type="dxa"/>
            <w:noWrap/>
            <w:hideMark/>
          </w:tcPr>
          <w:p w:rsidR="001F750B" w:rsidRPr="00942A21" w:rsidRDefault="001F750B" w:rsidP="0045056E">
            <w:pPr>
              <w:pStyle w:val="Tabletext"/>
              <w:keepNext/>
              <w:rPr>
                <w:lang w:bidi="he-IL"/>
              </w:rPr>
            </w:pPr>
            <w:r w:rsidRPr="00942A21">
              <w:rPr>
                <w:lang w:bidi="he-IL"/>
              </w:rPr>
              <w:t>0.07</w:t>
            </w:r>
          </w:p>
        </w:tc>
        <w:tc>
          <w:tcPr>
            <w:tcW w:w="960" w:type="dxa"/>
            <w:noWrap/>
            <w:hideMark/>
          </w:tcPr>
          <w:p w:rsidR="001F750B" w:rsidRPr="00942A21" w:rsidRDefault="001F750B" w:rsidP="0045056E">
            <w:pPr>
              <w:pStyle w:val="Tabletext"/>
              <w:keepNext/>
              <w:rPr>
                <w:lang w:bidi="he-IL"/>
              </w:rPr>
            </w:pPr>
            <w:r w:rsidRPr="00942A21">
              <w:rPr>
                <w:lang w:bidi="he-IL"/>
              </w:rPr>
              <w:t>0.01</w:t>
            </w:r>
          </w:p>
        </w:tc>
        <w:tc>
          <w:tcPr>
            <w:tcW w:w="1076" w:type="dxa"/>
            <w:noWrap/>
            <w:hideMark/>
          </w:tcPr>
          <w:p w:rsidR="001F750B" w:rsidRPr="00942A21" w:rsidRDefault="001F750B" w:rsidP="0045056E">
            <w:pPr>
              <w:pStyle w:val="Tabletext"/>
              <w:keepNext/>
              <w:rPr>
                <w:lang w:bidi="he-IL"/>
              </w:rPr>
            </w:pPr>
            <w:r w:rsidRPr="00942A21">
              <w:rPr>
                <w:lang w:bidi="he-IL"/>
              </w:rPr>
              <w:t>0.01</w:t>
            </w:r>
          </w:p>
        </w:tc>
        <w:tc>
          <w:tcPr>
            <w:tcW w:w="960" w:type="dxa"/>
            <w:noWrap/>
            <w:hideMark/>
          </w:tcPr>
          <w:p w:rsidR="001F750B" w:rsidRPr="00942A21" w:rsidRDefault="001F750B" w:rsidP="0045056E">
            <w:pPr>
              <w:pStyle w:val="Tabletext"/>
              <w:keepNext/>
              <w:rPr>
                <w:lang w:bidi="he-IL"/>
              </w:rPr>
            </w:pPr>
            <w:r w:rsidRPr="00942A21">
              <w:rPr>
                <w:lang w:bidi="he-IL"/>
              </w:rPr>
              <w:t>9.05</w:t>
            </w:r>
          </w:p>
        </w:tc>
        <w:tc>
          <w:tcPr>
            <w:tcW w:w="1018" w:type="dxa"/>
            <w:noWrap/>
            <w:hideMark/>
          </w:tcPr>
          <w:p w:rsidR="001F750B" w:rsidRPr="00942A21" w:rsidRDefault="001F750B" w:rsidP="0045056E">
            <w:pPr>
              <w:pStyle w:val="Tabletext"/>
              <w:keepNext/>
              <w:rPr>
                <w:lang w:bidi="he-IL"/>
              </w:rPr>
            </w:pPr>
            <w:r w:rsidRPr="00942A21">
              <w:rPr>
                <w:lang w:bidi="he-IL"/>
              </w:rPr>
              <w:t>&lt;0.001</w:t>
            </w:r>
          </w:p>
        </w:tc>
      </w:tr>
      <w:tr w:rsidR="001F750B" w:rsidRPr="00B41E35" w:rsidTr="002917CC">
        <w:trPr>
          <w:trHeight w:val="300"/>
        </w:trPr>
        <w:tc>
          <w:tcPr>
            <w:tcW w:w="1813" w:type="dxa"/>
            <w:noWrap/>
            <w:hideMark/>
          </w:tcPr>
          <w:p w:rsidR="001F750B" w:rsidRPr="00942A21" w:rsidRDefault="001F750B" w:rsidP="0045056E">
            <w:pPr>
              <w:pStyle w:val="Tabletext"/>
              <w:keepNext/>
              <w:rPr>
                <w:lang w:bidi="he-IL"/>
              </w:rPr>
            </w:pPr>
            <w:r w:rsidRPr="00942A21">
              <w:rPr>
                <w:lang w:bidi="he-IL"/>
              </w:rPr>
              <w:t>Nut</w:t>
            </w:r>
            <w:r>
              <w:rPr>
                <w:lang w:bidi="he-IL"/>
              </w:rPr>
              <w:t>rient</w:t>
            </w:r>
            <w:r w:rsidRPr="00942A21">
              <w:rPr>
                <w:lang w:bidi="he-IL"/>
              </w:rPr>
              <w:t>.Comp.1</w:t>
            </w:r>
          </w:p>
        </w:tc>
        <w:tc>
          <w:tcPr>
            <w:tcW w:w="1586" w:type="dxa"/>
          </w:tcPr>
          <w:p w:rsidR="001F750B" w:rsidRPr="008F4CA9" w:rsidRDefault="001F750B" w:rsidP="0045056E">
            <w:pPr>
              <w:pStyle w:val="Tabletext"/>
              <w:keepNext/>
              <w:rPr>
                <w:lang w:bidi="he-IL"/>
              </w:rPr>
            </w:pPr>
            <w:r w:rsidRPr="008F4CA9">
              <w:rPr>
                <w:lang w:bidi="he-IL"/>
              </w:rPr>
              <w:t>Nut.Comp.1</w:t>
            </w:r>
          </w:p>
        </w:tc>
        <w:tc>
          <w:tcPr>
            <w:tcW w:w="1031" w:type="dxa"/>
            <w:noWrap/>
            <w:hideMark/>
          </w:tcPr>
          <w:p w:rsidR="001F750B" w:rsidRPr="00942A21" w:rsidRDefault="001F750B" w:rsidP="0045056E">
            <w:pPr>
              <w:pStyle w:val="Tabletext"/>
              <w:keepNext/>
              <w:rPr>
                <w:lang w:bidi="he-IL"/>
              </w:rPr>
            </w:pPr>
            <w:r w:rsidRPr="00942A21">
              <w:rPr>
                <w:lang w:bidi="he-IL"/>
              </w:rPr>
              <w:t>-0.23</w:t>
            </w:r>
          </w:p>
        </w:tc>
        <w:tc>
          <w:tcPr>
            <w:tcW w:w="960" w:type="dxa"/>
            <w:noWrap/>
            <w:hideMark/>
          </w:tcPr>
          <w:p w:rsidR="001F750B" w:rsidRPr="00942A21" w:rsidRDefault="001F750B" w:rsidP="0045056E">
            <w:pPr>
              <w:pStyle w:val="Tabletext"/>
              <w:keepNext/>
              <w:rPr>
                <w:lang w:bidi="he-IL"/>
              </w:rPr>
            </w:pPr>
            <w:r w:rsidRPr="00942A21">
              <w:rPr>
                <w:lang w:bidi="he-IL"/>
              </w:rPr>
              <w:t>0.04</w:t>
            </w:r>
          </w:p>
        </w:tc>
        <w:tc>
          <w:tcPr>
            <w:tcW w:w="1076" w:type="dxa"/>
            <w:noWrap/>
            <w:hideMark/>
          </w:tcPr>
          <w:p w:rsidR="001F750B" w:rsidRPr="00942A21" w:rsidRDefault="001F750B" w:rsidP="0045056E">
            <w:pPr>
              <w:pStyle w:val="Tabletext"/>
              <w:keepNext/>
              <w:rPr>
                <w:lang w:bidi="he-IL"/>
              </w:rPr>
            </w:pPr>
            <w:r w:rsidRPr="00942A21">
              <w:rPr>
                <w:lang w:bidi="he-IL"/>
              </w:rPr>
              <w:t>0.04</w:t>
            </w:r>
          </w:p>
        </w:tc>
        <w:tc>
          <w:tcPr>
            <w:tcW w:w="960" w:type="dxa"/>
            <w:noWrap/>
            <w:hideMark/>
          </w:tcPr>
          <w:p w:rsidR="001F750B" w:rsidRPr="00942A21" w:rsidRDefault="001F750B" w:rsidP="0045056E">
            <w:pPr>
              <w:pStyle w:val="Tabletext"/>
              <w:keepNext/>
              <w:rPr>
                <w:lang w:bidi="he-IL"/>
              </w:rPr>
            </w:pPr>
            <w:r w:rsidRPr="00942A21">
              <w:rPr>
                <w:lang w:bidi="he-IL"/>
              </w:rPr>
              <w:t>5.50</w:t>
            </w:r>
          </w:p>
        </w:tc>
        <w:tc>
          <w:tcPr>
            <w:tcW w:w="1018" w:type="dxa"/>
            <w:noWrap/>
            <w:hideMark/>
          </w:tcPr>
          <w:p w:rsidR="001F750B" w:rsidRPr="00942A21" w:rsidRDefault="001F750B" w:rsidP="0045056E">
            <w:pPr>
              <w:pStyle w:val="Tabletext"/>
              <w:keepNext/>
              <w:rPr>
                <w:lang w:bidi="he-IL"/>
              </w:rPr>
            </w:pPr>
            <w:r w:rsidRPr="00942A21">
              <w:rPr>
                <w:lang w:bidi="he-IL"/>
              </w:rPr>
              <w:t>&lt;0.001</w:t>
            </w:r>
          </w:p>
        </w:tc>
      </w:tr>
      <w:tr w:rsidR="001F750B" w:rsidRPr="00B41E35" w:rsidTr="002917CC">
        <w:trPr>
          <w:trHeight w:val="300"/>
        </w:trPr>
        <w:tc>
          <w:tcPr>
            <w:tcW w:w="1813" w:type="dxa"/>
            <w:noWrap/>
            <w:hideMark/>
          </w:tcPr>
          <w:p w:rsidR="001F750B" w:rsidRPr="00942A21" w:rsidRDefault="001F750B" w:rsidP="0045056E">
            <w:pPr>
              <w:pStyle w:val="Tabletext"/>
              <w:keepNext/>
              <w:rPr>
                <w:lang w:bidi="he-IL"/>
              </w:rPr>
            </w:pPr>
            <w:r w:rsidRPr="00942A21">
              <w:rPr>
                <w:lang w:bidi="he-IL"/>
              </w:rPr>
              <w:t>Berry</w:t>
            </w:r>
            <w:r>
              <w:rPr>
                <w:lang w:bidi="he-IL"/>
              </w:rPr>
              <w:t xml:space="preserve"> </w:t>
            </w:r>
            <w:r w:rsidRPr="00942A21">
              <w:rPr>
                <w:lang w:bidi="he-IL"/>
              </w:rPr>
              <w:t>Jerry</w:t>
            </w:r>
          </w:p>
        </w:tc>
        <w:tc>
          <w:tcPr>
            <w:tcW w:w="1586" w:type="dxa"/>
          </w:tcPr>
          <w:p w:rsidR="001F750B" w:rsidRPr="008F4CA9" w:rsidRDefault="001F750B" w:rsidP="0045056E">
            <w:pPr>
              <w:pStyle w:val="Tabletext"/>
              <w:keepNext/>
              <w:rPr>
                <w:lang w:bidi="he-IL"/>
              </w:rPr>
            </w:pPr>
            <w:r w:rsidRPr="00690FFE">
              <w:rPr>
                <w:lang w:bidi="he-IL"/>
              </w:rPr>
              <w:t>Berry.Jerry</w:t>
            </w:r>
          </w:p>
        </w:tc>
        <w:tc>
          <w:tcPr>
            <w:tcW w:w="1031" w:type="dxa"/>
            <w:noWrap/>
            <w:hideMark/>
          </w:tcPr>
          <w:p w:rsidR="001F750B" w:rsidRPr="00942A21" w:rsidRDefault="001F750B" w:rsidP="0045056E">
            <w:pPr>
              <w:pStyle w:val="Tabletext"/>
              <w:keepNext/>
              <w:rPr>
                <w:lang w:bidi="he-IL"/>
              </w:rPr>
            </w:pPr>
            <w:r w:rsidRPr="00942A21">
              <w:rPr>
                <w:lang w:bidi="he-IL"/>
              </w:rPr>
              <w:t>2.97</w:t>
            </w:r>
          </w:p>
        </w:tc>
        <w:tc>
          <w:tcPr>
            <w:tcW w:w="960" w:type="dxa"/>
            <w:noWrap/>
            <w:hideMark/>
          </w:tcPr>
          <w:p w:rsidR="001F750B" w:rsidRPr="00942A21" w:rsidRDefault="001F750B" w:rsidP="0045056E">
            <w:pPr>
              <w:pStyle w:val="Tabletext"/>
              <w:keepNext/>
              <w:rPr>
                <w:lang w:bidi="he-IL"/>
              </w:rPr>
            </w:pPr>
            <w:r w:rsidRPr="00942A21">
              <w:rPr>
                <w:lang w:bidi="he-IL"/>
              </w:rPr>
              <w:t>0.58</w:t>
            </w:r>
          </w:p>
        </w:tc>
        <w:tc>
          <w:tcPr>
            <w:tcW w:w="1076" w:type="dxa"/>
            <w:noWrap/>
            <w:hideMark/>
          </w:tcPr>
          <w:p w:rsidR="001F750B" w:rsidRPr="00942A21" w:rsidRDefault="001F750B" w:rsidP="0045056E">
            <w:pPr>
              <w:pStyle w:val="Tabletext"/>
              <w:keepNext/>
              <w:rPr>
                <w:lang w:bidi="he-IL"/>
              </w:rPr>
            </w:pPr>
            <w:r w:rsidRPr="00942A21">
              <w:rPr>
                <w:lang w:bidi="he-IL"/>
              </w:rPr>
              <w:t>0.60</w:t>
            </w:r>
          </w:p>
        </w:tc>
        <w:tc>
          <w:tcPr>
            <w:tcW w:w="960" w:type="dxa"/>
            <w:noWrap/>
            <w:hideMark/>
          </w:tcPr>
          <w:p w:rsidR="001F750B" w:rsidRPr="00942A21" w:rsidRDefault="001F750B" w:rsidP="0045056E">
            <w:pPr>
              <w:pStyle w:val="Tabletext"/>
              <w:keepNext/>
              <w:rPr>
                <w:lang w:bidi="he-IL"/>
              </w:rPr>
            </w:pPr>
            <w:r w:rsidRPr="00942A21">
              <w:rPr>
                <w:lang w:bidi="he-IL"/>
              </w:rPr>
              <w:t>4.94</w:t>
            </w:r>
          </w:p>
        </w:tc>
        <w:tc>
          <w:tcPr>
            <w:tcW w:w="1018" w:type="dxa"/>
            <w:noWrap/>
            <w:hideMark/>
          </w:tcPr>
          <w:p w:rsidR="001F750B" w:rsidRPr="00942A21" w:rsidRDefault="001F750B" w:rsidP="0045056E">
            <w:pPr>
              <w:pStyle w:val="Tabletext"/>
              <w:keepNext/>
              <w:rPr>
                <w:lang w:bidi="he-IL"/>
              </w:rPr>
            </w:pPr>
            <w:r w:rsidRPr="00942A21">
              <w:rPr>
                <w:lang w:bidi="he-IL"/>
              </w:rPr>
              <w:t>&lt;0.001</w:t>
            </w:r>
          </w:p>
        </w:tc>
      </w:tr>
      <w:tr w:rsidR="001F750B" w:rsidRPr="00B41E35" w:rsidTr="002917CC">
        <w:trPr>
          <w:trHeight w:val="300"/>
        </w:trPr>
        <w:tc>
          <w:tcPr>
            <w:tcW w:w="1813" w:type="dxa"/>
            <w:noWrap/>
            <w:hideMark/>
          </w:tcPr>
          <w:p w:rsidR="001F750B" w:rsidRPr="00942A21" w:rsidRDefault="001F750B" w:rsidP="0045056E">
            <w:pPr>
              <w:pStyle w:val="Tabletext"/>
              <w:keepNext/>
              <w:rPr>
                <w:lang w:bidi="he-IL"/>
              </w:rPr>
            </w:pPr>
            <w:r>
              <w:rPr>
                <w:lang w:bidi="he-IL"/>
              </w:rPr>
              <w:t xml:space="preserve">Euroley </w:t>
            </w:r>
            <w:r w:rsidRPr="00942A21">
              <w:rPr>
                <w:lang w:bidi="he-IL"/>
              </w:rPr>
              <w:t>Bridge</w:t>
            </w:r>
          </w:p>
        </w:tc>
        <w:tc>
          <w:tcPr>
            <w:tcW w:w="1586" w:type="dxa"/>
          </w:tcPr>
          <w:p w:rsidR="001F750B" w:rsidRDefault="001F750B" w:rsidP="0045056E">
            <w:pPr>
              <w:pStyle w:val="Tabletext"/>
              <w:keepNext/>
              <w:rPr>
                <w:lang w:bidi="he-IL"/>
              </w:rPr>
            </w:pPr>
            <w:r w:rsidRPr="00690FFE">
              <w:rPr>
                <w:lang w:bidi="he-IL"/>
              </w:rPr>
              <w:t>Euroley.Bridge</w:t>
            </w:r>
          </w:p>
        </w:tc>
        <w:tc>
          <w:tcPr>
            <w:tcW w:w="1031" w:type="dxa"/>
            <w:noWrap/>
            <w:hideMark/>
          </w:tcPr>
          <w:p w:rsidR="001F750B" w:rsidRPr="00942A21" w:rsidRDefault="001F750B" w:rsidP="0045056E">
            <w:pPr>
              <w:pStyle w:val="Tabletext"/>
              <w:keepNext/>
              <w:rPr>
                <w:lang w:bidi="he-IL"/>
              </w:rPr>
            </w:pPr>
            <w:r w:rsidRPr="00942A21">
              <w:rPr>
                <w:lang w:bidi="he-IL"/>
              </w:rPr>
              <w:t>3.53</w:t>
            </w:r>
          </w:p>
        </w:tc>
        <w:tc>
          <w:tcPr>
            <w:tcW w:w="960" w:type="dxa"/>
            <w:noWrap/>
            <w:hideMark/>
          </w:tcPr>
          <w:p w:rsidR="001F750B" w:rsidRPr="00942A21" w:rsidRDefault="001F750B" w:rsidP="0045056E">
            <w:pPr>
              <w:pStyle w:val="Tabletext"/>
              <w:keepNext/>
              <w:rPr>
                <w:lang w:bidi="he-IL"/>
              </w:rPr>
            </w:pPr>
            <w:r w:rsidRPr="00942A21">
              <w:rPr>
                <w:lang w:bidi="he-IL"/>
              </w:rPr>
              <w:t>0.62</w:t>
            </w:r>
          </w:p>
        </w:tc>
        <w:tc>
          <w:tcPr>
            <w:tcW w:w="1076" w:type="dxa"/>
            <w:noWrap/>
            <w:hideMark/>
          </w:tcPr>
          <w:p w:rsidR="001F750B" w:rsidRPr="00942A21" w:rsidRDefault="001F750B" w:rsidP="0045056E">
            <w:pPr>
              <w:pStyle w:val="Tabletext"/>
              <w:keepNext/>
              <w:rPr>
                <w:lang w:bidi="he-IL"/>
              </w:rPr>
            </w:pPr>
            <w:r w:rsidRPr="00942A21">
              <w:rPr>
                <w:lang w:bidi="he-IL"/>
              </w:rPr>
              <w:t>0.65</w:t>
            </w:r>
          </w:p>
        </w:tc>
        <w:tc>
          <w:tcPr>
            <w:tcW w:w="960" w:type="dxa"/>
            <w:noWrap/>
            <w:hideMark/>
          </w:tcPr>
          <w:p w:rsidR="001F750B" w:rsidRPr="00942A21" w:rsidRDefault="001F750B" w:rsidP="0045056E">
            <w:pPr>
              <w:pStyle w:val="Tabletext"/>
              <w:keepNext/>
              <w:rPr>
                <w:lang w:bidi="he-IL"/>
              </w:rPr>
            </w:pPr>
            <w:r w:rsidRPr="00942A21">
              <w:rPr>
                <w:lang w:bidi="he-IL"/>
              </w:rPr>
              <w:t>5.47</w:t>
            </w:r>
          </w:p>
        </w:tc>
        <w:tc>
          <w:tcPr>
            <w:tcW w:w="1018" w:type="dxa"/>
            <w:noWrap/>
            <w:hideMark/>
          </w:tcPr>
          <w:p w:rsidR="001F750B" w:rsidRPr="00942A21" w:rsidRDefault="001F750B" w:rsidP="0045056E">
            <w:pPr>
              <w:pStyle w:val="Tabletext"/>
              <w:keepNext/>
              <w:rPr>
                <w:lang w:bidi="he-IL"/>
              </w:rPr>
            </w:pPr>
            <w:r w:rsidRPr="00942A21">
              <w:rPr>
                <w:lang w:bidi="he-IL"/>
              </w:rPr>
              <w:t>&lt;0.001</w:t>
            </w:r>
          </w:p>
        </w:tc>
      </w:tr>
      <w:tr w:rsidR="001F750B" w:rsidRPr="00B41E35" w:rsidTr="002917CC">
        <w:trPr>
          <w:trHeight w:val="300"/>
        </w:trPr>
        <w:tc>
          <w:tcPr>
            <w:tcW w:w="1813" w:type="dxa"/>
            <w:noWrap/>
            <w:hideMark/>
          </w:tcPr>
          <w:p w:rsidR="001F750B" w:rsidRPr="00942A21" w:rsidRDefault="001F750B" w:rsidP="0045056E">
            <w:pPr>
              <w:pStyle w:val="Tabletext"/>
              <w:keepNext/>
              <w:rPr>
                <w:lang w:bidi="he-IL"/>
              </w:rPr>
            </w:pPr>
            <w:r w:rsidRPr="00942A21">
              <w:rPr>
                <w:lang w:bidi="he-IL"/>
              </w:rPr>
              <w:t>Narrandera</w:t>
            </w:r>
          </w:p>
        </w:tc>
        <w:tc>
          <w:tcPr>
            <w:tcW w:w="1586" w:type="dxa"/>
          </w:tcPr>
          <w:p w:rsidR="001F750B" w:rsidRDefault="001F750B" w:rsidP="0045056E">
            <w:pPr>
              <w:pStyle w:val="Tabletext"/>
              <w:keepNext/>
              <w:rPr>
                <w:lang w:bidi="he-IL"/>
              </w:rPr>
            </w:pPr>
            <w:r w:rsidRPr="00690FFE">
              <w:rPr>
                <w:lang w:bidi="he-IL"/>
              </w:rPr>
              <w:t>Narrandera</w:t>
            </w:r>
          </w:p>
        </w:tc>
        <w:tc>
          <w:tcPr>
            <w:tcW w:w="1031" w:type="dxa"/>
            <w:noWrap/>
            <w:hideMark/>
          </w:tcPr>
          <w:p w:rsidR="001F750B" w:rsidRPr="00942A21" w:rsidRDefault="001F750B" w:rsidP="0045056E">
            <w:pPr>
              <w:pStyle w:val="Tabletext"/>
              <w:keepNext/>
              <w:rPr>
                <w:lang w:bidi="he-IL"/>
              </w:rPr>
            </w:pPr>
            <w:r w:rsidRPr="00942A21">
              <w:rPr>
                <w:lang w:bidi="he-IL"/>
              </w:rPr>
              <w:t>4.91</w:t>
            </w:r>
          </w:p>
        </w:tc>
        <w:tc>
          <w:tcPr>
            <w:tcW w:w="960" w:type="dxa"/>
            <w:noWrap/>
            <w:hideMark/>
          </w:tcPr>
          <w:p w:rsidR="001F750B" w:rsidRPr="00942A21" w:rsidRDefault="001F750B" w:rsidP="0045056E">
            <w:pPr>
              <w:pStyle w:val="Tabletext"/>
              <w:keepNext/>
              <w:rPr>
                <w:lang w:bidi="he-IL"/>
              </w:rPr>
            </w:pPr>
            <w:r w:rsidRPr="00942A21">
              <w:rPr>
                <w:lang w:bidi="he-IL"/>
              </w:rPr>
              <w:t>0.86</w:t>
            </w:r>
          </w:p>
        </w:tc>
        <w:tc>
          <w:tcPr>
            <w:tcW w:w="1076" w:type="dxa"/>
            <w:noWrap/>
            <w:hideMark/>
          </w:tcPr>
          <w:p w:rsidR="001F750B" w:rsidRPr="00942A21" w:rsidRDefault="001F750B" w:rsidP="0045056E">
            <w:pPr>
              <w:pStyle w:val="Tabletext"/>
              <w:keepNext/>
              <w:rPr>
                <w:lang w:bidi="he-IL"/>
              </w:rPr>
            </w:pPr>
            <w:r w:rsidRPr="00942A21">
              <w:rPr>
                <w:lang w:bidi="he-IL"/>
              </w:rPr>
              <w:t>0.89</w:t>
            </w:r>
          </w:p>
        </w:tc>
        <w:tc>
          <w:tcPr>
            <w:tcW w:w="960" w:type="dxa"/>
            <w:noWrap/>
            <w:hideMark/>
          </w:tcPr>
          <w:p w:rsidR="001F750B" w:rsidRPr="00942A21" w:rsidRDefault="001F750B" w:rsidP="0045056E">
            <w:pPr>
              <w:pStyle w:val="Tabletext"/>
              <w:keepNext/>
              <w:rPr>
                <w:lang w:bidi="he-IL"/>
              </w:rPr>
            </w:pPr>
            <w:r w:rsidRPr="00942A21">
              <w:rPr>
                <w:lang w:bidi="he-IL"/>
              </w:rPr>
              <w:t>5.50</w:t>
            </w:r>
          </w:p>
        </w:tc>
        <w:tc>
          <w:tcPr>
            <w:tcW w:w="1018" w:type="dxa"/>
            <w:noWrap/>
            <w:hideMark/>
          </w:tcPr>
          <w:p w:rsidR="001F750B" w:rsidRPr="00942A21" w:rsidRDefault="001F750B" w:rsidP="0045056E">
            <w:pPr>
              <w:pStyle w:val="Tabletext"/>
              <w:keepNext/>
              <w:rPr>
                <w:lang w:bidi="he-IL"/>
              </w:rPr>
            </w:pPr>
            <w:r w:rsidRPr="00942A21">
              <w:rPr>
                <w:lang w:bidi="he-IL"/>
              </w:rPr>
              <w:t>&lt;0.001</w:t>
            </w:r>
          </w:p>
        </w:tc>
      </w:tr>
      <w:tr w:rsidR="001F750B" w:rsidRPr="00B41E35" w:rsidTr="002917CC">
        <w:trPr>
          <w:trHeight w:val="300"/>
        </w:trPr>
        <w:tc>
          <w:tcPr>
            <w:tcW w:w="1813" w:type="dxa"/>
            <w:noWrap/>
            <w:hideMark/>
          </w:tcPr>
          <w:p w:rsidR="001F750B" w:rsidRPr="00942A21" w:rsidRDefault="001F750B" w:rsidP="0045056E">
            <w:pPr>
              <w:pStyle w:val="Tabletext"/>
              <w:keepNext/>
              <w:rPr>
                <w:lang w:bidi="he-IL"/>
              </w:rPr>
            </w:pPr>
            <w:r>
              <w:rPr>
                <w:lang w:bidi="he-IL"/>
              </w:rPr>
              <w:t>River height</w:t>
            </w:r>
            <w:r w:rsidR="008435D3">
              <w:rPr>
                <w:lang w:bidi="he-IL"/>
              </w:rPr>
              <w:t xml:space="preserve"> (m)</w:t>
            </w:r>
          </w:p>
        </w:tc>
        <w:tc>
          <w:tcPr>
            <w:tcW w:w="1586" w:type="dxa"/>
          </w:tcPr>
          <w:p w:rsidR="001F750B" w:rsidRDefault="001F750B" w:rsidP="0045056E">
            <w:pPr>
              <w:pStyle w:val="Tabletext"/>
              <w:keepNext/>
              <w:rPr>
                <w:lang w:bidi="he-IL"/>
              </w:rPr>
            </w:pPr>
            <w:r w:rsidRPr="008F4CA9">
              <w:rPr>
                <w:lang w:bidi="he-IL"/>
              </w:rPr>
              <w:t>Water.level</w:t>
            </w:r>
          </w:p>
        </w:tc>
        <w:tc>
          <w:tcPr>
            <w:tcW w:w="1031" w:type="dxa"/>
            <w:noWrap/>
            <w:hideMark/>
          </w:tcPr>
          <w:p w:rsidR="001F750B" w:rsidRPr="00942A21" w:rsidRDefault="001F750B" w:rsidP="0045056E">
            <w:pPr>
              <w:pStyle w:val="Tabletext"/>
              <w:keepNext/>
              <w:rPr>
                <w:lang w:bidi="he-IL"/>
              </w:rPr>
            </w:pPr>
            <w:r w:rsidRPr="00942A21">
              <w:rPr>
                <w:lang w:bidi="he-IL"/>
              </w:rPr>
              <w:t>-2.05</w:t>
            </w:r>
          </w:p>
        </w:tc>
        <w:tc>
          <w:tcPr>
            <w:tcW w:w="960" w:type="dxa"/>
            <w:noWrap/>
            <w:hideMark/>
          </w:tcPr>
          <w:p w:rsidR="001F750B" w:rsidRPr="00942A21" w:rsidRDefault="001F750B" w:rsidP="0045056E">
            <w:pPr>
              <w:pStyle w:val="Tabletext"/>
              <w:keepNext/>
              <w:rPr>
                <w:lang w:bidi="he-IL"/>
              </w:rPr>
            </w:pPr>
            <w:r w:rsidRPr="00942A21">
              <w:rPr>
                <w:lang w:bidi="he-IL"/>
              </w:rPr>
              <w:t>0.39</w:t>
            </w:r>
          </w:p>
        </w:tc>
        <w:tc>
          <w:tcPr>
            <w:tcW w:w="1076" w:type="dxa"/>
            <w:noWrap/>
            <w:hideMark/>
          </w:tcPr>
          <w:p w:rsidR="001F750B" w:rsidRPr="00942A21" w:rsidRDefault="001F750B" w:rsidP="0045056E">
            <w:pPr>
              <w:pStyle w:val="Tabletext"/>
              <w:keepNext/>
              <w:rPr>
                <w:lang w:bidi="he-IL"/>
              </w:rPr>
            </w:pPr>
            <w:r w:rsidRPr="00942A21">
              <w:rPr>
                <w:lang w:bidi="he-IL"/>
              </w:rPr>
              <w:t>0.40</w:t>
            </w:r>
          </w:p>
        </w:tc>
        <w:tc>
          <w:tcPr>
            <w:tcW w:w="960" w:type="dxa"/>
            <w:noWrap/>
            <w:hideMark/>
          </w:tcPr>
          <w:p w:rsidR="001F750B" w:rsidRPr="00942A21" w:rsidRDefault="001F750B" w:rsidP="0045056E">
            <w:pPr>
              <w:pStyle w:val="Tabletext"/>
              <w:keepNext/>
              <w:rPr>
                <w:lang w:bidi="he-IL"/>
              </w:rPr>
            </w:pPr>
            <w:r w:rsidRPr="00942A21">
              <w:rPr>
                <w:lang w:bidi="he-IL"/>
              </w:rPr>
              <w:t>5.08</w:t>
            </w:r>
          </w:p>
        </w:tc>
        <w:tc>
          <w:tcPr>
            <w:tcW w:w="1018" w:type="dxa"/>
            <w:noWrap/>
            <w:hideMark/>
          </w:tcPr>
          <w:p w:rsidR="001F750B" w:rsidRPr="00942A21" w:rsidRDefault="001F750B" w:rsidP="0045056E">
            <w:pPr>
              <w:pStyle w:val="Tabletext"/>
              <w:keepNext/>
              <w:rPr>
                <w:lang w:bidi="he-IL"/>
              </w:rPr>
            </w:pPr>
            <w:r w:rsidRPr="00942A21">
              <w:rPr>
                <w:lang w:bidi="he-IL"/>
              </w:rPr>
              <w:t>&lt;0.001</w:t>
            </w:r>
          </w:p>
        </w:tc>
      </w:tr>
      <w:tr w:rsidR="001F750B" w:rsidRPr="00B41E35" w:rsidTr="002917CC">
        <w:trPr>
          <w:trHeight w:val="300"/>
        </w:trPr>
        <w:tc>
          <w:tcPr>
            <w:tcW w:w="1813" w:type="dxa"/>
            <w:noWrap/>
            <w:hideMark/>
          </w:tcPr>
          <w:p w:rsidR="001F750B" w:rsidRPr="00942A21" w:rsidRDefault="008435D3" w:rsidP="0045056E">
            <w:pPr>
              <w:pStyle w:val="Tabletext"/>
              <w:keepNext/>
              <w:rPr>
                <w:lang w:bidi="he-IL"/>
              </w:rPr>
            </w:pPr>
            <w:r>
              <w:rPr>
                <w:lang w:bidi="he-IL"/>
              </w:rPr>
              <w:t xml:space="preserve">Microcrustacea </w:t>
            </w:r>
            <w:r w:rsidR="001F750B">
              <w:rPr>
                <w:lang w:bidi="he-IL"/>
              </w:rPr>
              <w:t>abundance</w:t>
            </w:r>
          </w:p>
        </w:tc>
        <w:tc>
          <w:tcPr>
            <w:tcW w:w="1586" w:type="dxa"/>
          </w:tcPr>
          <w:p w:rsidR="001F750B" w:rsidRDefault="001F750B" w:rsidP="0045056E">
            <w:pPr>
              <w:pStyle w:val="Tabletext"/>
              <w:keepNext/>
              <w:rPr>
                <w:lang w:bidi="he-IL"/>
              </w:rPr>
            </w:pPr>
            <w:r>
              <w:rPr>
                <w:lang w:bidi="he-IL"/>
              </w:rPr>
              <w:t>Zoops</w:t>
            </w:r>
          </w:p>
        </w:tc>
        <w:tc>
          <w:tcPr>
            <w:tcW w:w="1031" w:type="dxa"/>
            <w:noWrap/>
            <w:hideMark/>
          </w:tcPr>
          <w:p w:rsidR="001F750B" w:rsidRPr="00942A21" w:rsidRDefault="001F750B" w:rsidP="0045056E">
            <w:pPr>
              <w:pStyle w:val="Tabletext"/>
              <w:keepNext/>
              <w:rPr>
                <w:lang w:bidi="he-IL"/>
              </w:rPr>
            </w:pPr>
            <w:r w:rsidRPr="00942A21">
              <w:rPr>
                <w:lang w:bidi="he-IL"/>
              </w:rPr>
              <w:t>0.14</w:t>
            </w:r>
          </w:p>
        </w:tc>
        <w:tc>
          <w:tcPr>
            <w:tcW w:w="960" w:type="dxa"/>
            <w:noWrap/>
            <w:hideMark/>
          </w:tcPr>
          <w:p w:rsidR="001F750B" w:rsidRPr="00942A21" w:rsidRDefault="001F750B" w:rsidP="0045056E">
            <w:pPr>
              <w:pStyle w:val="Tabletext"/>
              <w:keepNext/>
              <w:rPr>
                <w:lang w:bidi="he-IL"/>
              </w:rPr>
            </w:pPr>
            <w:r w:rsidRPr="00942A21">
              <w:rPr>
                <w:lang w:bidi="he-IL"/>
              </w:rPr>
              <w:t>0.04</w:t>
            </w:r>
          </w:p>
        </w:tc>
        <w:tc>
          <w:tcPr>
            <w:tcW w:w="1076" w:type="dxa"/>
            <w:noWrap/>
            <w:hideMark/>
          </w:tcPr>
          <w:p w:rsidR="001F750B" w:rsidRPr="00942A21" w:rsidRDefault="001F750B" w:rsidP="0045056E">
            <w:pPr>
              <w:pStyle w:val="Tabletext"/>
              <w:keepNext/>
              <w:rPr>
                <w:lang w:bidi="he-IL"/>
              </w:rPr>
            </w:pPr>
            <w:r w:rsidRPr="00942A21">
              <w:rPr>
                <w:lang w:bidi="he-IL"/>
              </w:rPr>
              <w:t>0.04</w:t>
            </w:r>
          </w:p>
        </w:tc>
        <w:tc>
          <w:tcPr>
            <w:tcW w:w="960" w:type="dxa"/>
            <w:noWrap/>
            <w:hideMark/>
          </w:tcPr>
          <w:p w:rsidR="001F750B" w:rsidRPr="00942A21" w:rsidRDefault="001F750B" w:rsidP="0045056E">
            <w:pPr>
              <w:pStyle w:val="Tabletext"/>
              <w:keepNext/>
              <w:rPr>
                <w:lang w:bidi="he-IL"/>
              </w:rPr>
            </w:pPr>
            <w:r w:rsidRPr="00942A21">
              <w:rPr>
                <w:lang w:bidi="he-IL"/>
              </w:rPr>
              <w:t>3.69</w:t>
            </w:r>
          </w:p>
        </w:tc>
        <w:tc>
          <w:tcPr>
            <w:tcW w:w="1018" w:type="dxa"/>
            <w:noWrap/>
            <w:hideMark/>
          </w:tcPr>
          <w:p w:rsidR="001F750B" w:rsidRPr="00942A21" w:rsidRDefault="001F750B" w:rsidP="0045056E">
            <w:pPr>
              <w:pStyle w:val="Tabletext"/>
              <w:keepNext/>
              <w:rPr>
                <w:lang w:bidi="he-IL"/>
              </w:rPr>
            </w:pPr>
            <w:r w:rsidRPr="00942A21">
              <w:rPr>
                <w:lang w:bidi="he-IL"/>
              </w:rPr>
              <w:t>&lt;0.001</w:t>
            </w:r>
          </w:p>
        </w:tc>
      </w:tr>
    </w:tbl>
    <w:p w:rsidR="00942A21" w:rsidRDefault="00942A21" w:rsidP="00942A21"/>
    <w:p w:rsidR="00942A21" w:rsidRDefault="00942A21" w:rsidP="00942A21"/>
    <w:p w:rsidR="00942A21" w:rsidRDefault="0087202F" w:rsidP="00942A21">
      <w:pPr>
        <w:keepNext/>
      </w:pPr>
      <w:r>
        <w:rPr>
          <w:noProof/>
          <w:lang w:eastAsia="en-AU"/>
        </w:rPr>
        <w:drawing>
          <wp:inline distT="0" distB="0" distL="0" distR="0">
            <wp:extent cx="5782156" cy="4238625"/>
            <wp:effectExtent l="19050" t="0" r="9044" b="0"/>
            <wp:docPr id="5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cstate="print"/>
                    <a:srcRect/>
                    <a:stretch>
                      <a:fillRect/>
                    </a:stretch>
                  </pic:blipFill>
                  <pic:spPr bwMode="auto">
                    <a:xfrm>
                      <a:off x="0" y="0"/>
                      <a:ext cx="5788307" cy="4243134"/>
                    </a:xfrm>
                    <a:prstGeom prst="rect">
                      <a:avLst/>
                    </a:prstGeom>
                    <a:noFill/>
                    <a:ln w="9525">
                      <a:noFill/>
                      <a:miter lim="800000"/>
                      <a:headEnd/>
                      <a:tailEnd/>
                    </a:ln>
                  </pic:spPr>
                </pic:pic>
              </a:graphicData>
            </a:graphic>
          </wp:inline>
        </w:drawing>
      </w:r>
    </w:p>
    <w:p w:rsidR="00942A21" w:rsidRDefault="00942A21" w:rsidP="0066371D">
      <w:pPr>
        <w:pStyle w:val="Caption1"/>
      </w:pPr>
      <w:bookmarkStart w:id="368" w:name="_Ref370289984"/>
      <w:bookmarkStart w:id="369" w:name="_Toc370738831"/>
      <w:r w:rsidRPr="0066371D">
        <w:rPr>
          <w:b/>
        </w:rPr>
        <w:t xml:space="preserve">Figure </w:t>
      </w:r>
      <w:r w:rsidR="00D20FAE" w:rsidRPr="0066371D">
        <w:rPr>
          <w:b/>
        </w:rPr>
        <w:fldChar w:fldCharType="begin"/>
      </w:r>
      <w:r w:rsidRPr="0066371D">
        <w:rPr>
          <w:b/>
        </w:rPr>
        <w:instrText xml:space="preserve"> SEQ Figure \* ARABIC </w:instrText>
      </w:r>
      <w:r w:rsidR="00D20FAE" w:rsidRPr="0066371D">
        <w:rPr>
          <w:b/>
        </w:rPr>
        <w:fldChar w:fldCharType="separate"/>
      </w:r>
      <w:r w:rsidR="00436595">
        <w:rPr>
          <w:b/>
          <w:noProof/>
        </w:rPr>
        <w:t>35</w:t>
      </w:r>
      <w:r w:rsidR="00D20FAE" w:rsidRPr="0066371D">
        <w:rPr>
          <w:b/>
        </w:rPr>
        <w:fldChar w:fldCharType="end"/>
      </w:r>
      <w:bookmarkEnd w:id="368"/>
      <w:r>
        <w:t xml:space="preserve"> Response of larval cod abundance</w:t>
      </w:r>
      <w:r w:rsidR="00C93271">
        <w:t xml:space="preserve"> </w:t>
      </w:r>
      <w:r w:rsidR="0033209B">
        <w:t>(</w:t>
      </w:r>
      <w:r w:rsidR="00C93271">
        <w:t>black line</w:t>
      </w:r>
      <w:r w:rsidR="0033209B">
        <w:t>)</w:t>
      </w:r>
      <w:r>
        <w:t xml:space="preserve"> to predictors </w:t>
      </w:r>
      <w:r w:rsidR="0033209B">
        <w:t>in the generalised linear model;</w:t>
      </w:r>
      <w:r w:rsidR="00C93271">
        <w:t xml:space="preserve"> red lines show </w:t>
      </w:r>
      <w:r w:rsidR="00846AFB">
        <w:t>confidence</w:t>
      </w:r>
      <w:r w:rsidR="00C93271">
        <w:t xml:space="preserve"> intervals</w:t>
      </w:r>
      <w:r w:rsidR="0033209B">
        <w:t xml:space="preserve"> (</w:t>
      </w:r>
      <w:r w:rsidR="00846AFB">
        <w:t xml:space="preserve">see </w:t>
      </w:r>
      <w:r w:rsidR="00424C6F">
        <w:t xml:space="preserve">Table 8 </w:t>
      </w:r>
      <w:r w:rsidR="00846AFB">
        <w:t>for explanation of variables)</w:t>
      </w:r>
      <w:bookmarkEnd w:id="369"/>
      <w:r w:rsidR="00846AFB">
        <w:t xml:space="preserve"> </w:t>
      </w:r>
    </w:p>
    <w:p w:rsidR="0033209B" w:rsidRPr="0033209B" w:rsidRDefault="0033209B" w:rsidP="0033209B"/>
    <w:p w:rsidR="00942A21" w:rsidRPr="008F4CA9" w:rsidRDefault="008C1112" w:rsidP="00C44F46">
      <w:pPr>
        <w:pStyle w:val="Heading2"/>
      </w:pPr>
      <w:bookmarkStart w:id="370" w:name="_Toc370299231"/>
      <w:r>
        <w:t xml:space="preserve"> </w:t>
      </w:r>
      <w:bookmarkStart w:id="371" w:name="_Toc370738832"/>
      <w:bookmarkStart w:id="372" w:name="_Toc378168574"/>
      <w:r w:rsidR="00942A21" w:rsidRPr="008F4CA9">
        <w:t>Discussion</w:t>
      </w:r>
      <w:bookmarkEnd w:id="370"/>
      <w:bookmarkEnd w:id="371"/>
      <w:bookmarkEnd w:id="372"/>
    </w:p>
    <w:p w:rsidR="00942A21" w:rsidRDefault="00942A21" w:rsidP="00942A21">
      <w:r>
        <w:t>There was a defined period of Murray cod</w:t>
      </w:r>
      <w:r w:rsidR="00263729">
        <w:t xml:space="preserve"> spawning </w:t>
      </w:r>
      <w:r w:rsidR="008C1112">
        <w:t xml:space="preserve">and </w:t>
      </w:r>
      <w:r w:rsidR="008C1112" w:rsidRPr="004D56C6">
        <w:t>larval</w:t>
      </w:r>
      <w:r w:rsidRPr="004D56C6">
        <w:t xml:space="preserve"> drift in the Murrumbidgee River, with the highest abundances between 12 </w:t>
      </w:r>
      <w:r w:rsidR="0033209B">
        <w:t>and 17 November (s</w:t>
      </w:r>
      <w:r w:rsidRPr="004D56C6">
        <w:t xml:space="preserve">ee </w:t>
      </w:r>
      <w:fldSimple w:instr=" REF _Ref368553454 \h  \* MERGEFORMAT ">
        <w:r w:rsidR="00436595" w:rsidRPr="00436595">
          <w:t xml:space="preserve">Figure </w:t>
        </w:r>
        <w:r w:rsidR="00436595" w:rsidRPr="00436595">
          <w:rPr>
            <w:noProof/>
          </w:rPr>
          <w:t>34</w:t>
        </w:r>
      </w:fldSimple>
      <w:r w:rsidRPr="004D56C6">
        <w:t>). This coincided with higher densities of microinvertebrates</w:t>
      </w:r>
      <w:r w:rsidR="001F750B" w:rsidRPr="004D56C6">
        <w:t xml:space="preserve"> (zooplankton)</w:t>
      </w:r>
      <w:r w:rsidRPr="004D56C6">
        <w:t xml:space="preserve"> between 26 October and 7</w:t>
      </w:r>
      <w:r w:rsidR="0033209B">
        <w:t xml:space="preserve"> December. The detection of a peak</w:t>
      </w:r>
      <w:r w:rsidRPr="004D56C6">
        <w:t xml:space="preserve"> larval drift period i</w:t>
      </w:r>
      <w:r w:rsidR="0033209B">
        <w:t xml:space="preserve">s in contrast to other studies in which </w:t>
      </w:r>
      <w:r w:rsidRPr="004D56C6">
        <w:t xml:space="preserve">abundances of drifting cod larvae have remained relatively steady throughout the spawning and larval drift season </w:t>
      </w:r>
      <w:r w:rsidR="00D20FAE">
        <w:fldChar w:fldCharType="begin"/>
      </w:r>
      <w:r w:rsidR="006171E9">
        <w:instrText xml:space="preserve"> ADDIN EN.CITE &lt;EndNote&gt;&lt;Cite&gt;&lt;Author&gt;Humphries&lt;/Author&gt;&lt;Year&gt;2005&lt;/Year&gt;&lt;RecNum&gt;3296&lt;/RecNum&gt;&lt;DisplayText&gt;(Humphries 2005)&lt;/DisplayText&gt;&lt;record&gt;&lt;rec-number&gt;3296&lt;/rec-number&gt;&lt;foreign-keys&gt;&lt;key app="EN" db-id="vxxvsda2b05fxpeaw2dp552mtrd5trxdrf0s"&gt;3296&lt;/key&gt;&lt;/foreign-keys&gt;&lt;ref-type name="Journal Article"&gt;17&lt;/ref-type&gt;&lt;contributors&gt;&lt;authors&gt;&lt;author&gt;Humphries, P.&lt;/author&gt;&lt;/authors&gt;&lt;/contributors&gt;&lt;titles&gt;&lt;title&gt;&lt;style face="normal" font="default" size="100%"&gt;Spawning time and early life history of Murray cod, &lt;/style&gt;&lt;style face="italic" font="default" size="100%"&gt;Maccullochella peelii&lt;/style&gt;&lt;style face="normal" font="default" size="100%"&gt; (Mitchell) in an Australian river&lt;/style&gt;&lt;/title&gt;&lt;secondary-title&gt;Environmental Biology of Fishes&lt;/secondary-title&gt;&lt;/titles&gt;&lt;periodical&gt;&lt;full-title&gt;Environmental Biology of Fishes&lt;/full-title&gt;&lt;/periodical&gt;&lt;pages&gt;393-407&lt;/pages&gt;&lt;volume&gt;72&lt;/volume&gt;&lt;dates&gt;&lt;year&gt;2005&lt;/year&gt;&lt;/dates&gt;&lt;urls&gt;&lt;/urls&gt;&lt;/record&gt;&lt;/Cite&gt;&lt;/EndNote&gt;</w:instrText>
      </w:r>
      <w:r w:rsidR="00D20FAE">
        <w:fldChar w:fldCharType="separate"/>
      </w:r>
      <w:r w:rsidR="006171E9">
        <w:rPr>
          <w:noProof/>
        </w:rPr>
        <w:t>(</w:t>
      </w:r>
      <w:hyperlink w:anchor="_ENREF_40" w:tooltip="Humphries, 2005 #3296" w:history="1">
        <w:r w:rsidR="006810E6">
          <w:rPr>
            <w:noProof/>
          </w:rPr>
          <w:t>Humphries 2005</w:t>
        </w:r>
      </w:hyperlink>
      <w:r w:rsidR="006171E9">
        <w:rPr>
          <w:noProof/>
        </w:rPr>
        <w:t>)</w:t>
      </w:r>
      <w:r w:rsidR="00D20FAE">
        <w:fldChar w:fldCharType="end"/>
      </w:r>
      <w:r w:rsidRPr="004D56C6">
        <w:t xml:space="preserve">.  Larval cod drift in Old Man Creek had a similar peak </w:t>
      </w:r>
      <w:r w:rsidR="004462E5" w:rsidRPr="004D56C6">
        <w:t>period;</w:t>
      </w:r>
      <w:r w:rsidRPr="004D56C6">
        <w:t xml:space="preserve"> however</w:t>
      </w:r>
      <w:r w:rsidR="0033209B">
        <w:t>,</w:t>
      </w:r>
      <w:r w:rsidRPr="004D56C6">
        <w:t xml:space="preserve"> abundances were much lower than those in the Murrumbidgee River sites (</w:t>
      </w:r>
      <w:fldSimple w:instr=" REF _Ref368553454 \h  \* MERGEFORMAT ">
        <w:r w:rsidR="00436595" w:rsidRPr="00436595">
          <w:t xml:space="preserve">Figure </w:t>
        </w:r>
        <w:r w:rsidR="00436595" w:rsidRPr="00436595">
          <w:rPr>
            <w:noProof/>
          </w:rPr>
          <w:t>34</w:t>
        </w:r>
      </w:fldSimple>
      <w:r w:rsidRPr="004D56C6">
        <w:t>). Inter-s</w:t>
      </w:r>
      <w:r>
        <w:t xml:space="preserve">ite variability in drifting larval cod abundances has been found previously </w:t>
      </w:r>
      <w:r w:rsidR="00D20FAE">
        <w:fldChar w:fldCharType="begin"/>
      </w:r>
      <w:r w:rsidR="006171E9">
        <w:instrText xml:space="preserve"> ADDIN EN.CITE &lt;EndNote&gt;&lt;Cite&gt;&lt;Author&gt;Koehn&lt;/Author&gt;&lt;Year&gt;2006&lt;/Year&gt;&lt;RecNum&gt;3288&lt;/RecNum&gt;&lt;DisplayText&gt;(Koehn and Harrington 2006)&lt;/DisplayText&gt;&lt;record&gt;&lt;rec-number&gt;3288&lt;/rec-number&gt;&lt;foreign-keys&gt;&lt;key app="EN" db-id="vxxvsda2b05fxpeaw2dp552mtrd5trxdrf0s"&gt;3288&lt;/key&gt;&lt;/foreign-keys&gt;&lt;ref-type name="Journal Article"&gt;17&lt;/ref-type&gt;&lt;contributors&gt;&lt;authors&gt;&lt;author&gt;Koehn, John D.&lt;/author&gt;&lt;author&gt;Harrington, D. J.&lt;/author&gt;&lt;/authors&gt;&lt;/contributors&gt;&lt;titles&gt;&lt;title&gt;Environmental conditions and timing for the spawning of Murray cod (Maccullochella peelii peelii) and the endangered trout cod (M. macquariensis) in southeastern Australian rivers&lt;/title&gt;&lt;secondary-title&gt;River Research and Applications&lt;/secondary-title&gt;&lt;/titles&gt;&lt;periodical&gt;&lt;full-title&gt;River Research and Applications&lt;/full-title&gt;&lt;/periodical&gt;&lt;pages&gt;327-342&lt;/pages&gt;&lt;volume&gt;22&lt;/volume&gt;&lt;number&gt;3&lt;/number&gt;&lt;keywords&gt;&lt;keyword&gt;spawning&lt;/keyword&gt;&lt;keyword&gt;larvae&lt;/keyword&gt;&lt;keyword&gt;larval drift&lt;/keyword&gt;&lt;keyword&gt;recruitment&lt;/keyword&gt;&lt;keyword&gt;Maccullochella&lt;/keyword&gt;&lt;keyword&gt;river regulation&lt;/keyword&gt;&lt;keyword&gt;flows&lt;/keyword&gt;&lt;/keywords&gt;&lt;dates&gt;&lt;year&gt;2006&lt;/year&gt;&lt;/dates&gt;&lt;publisher&gt;John Wiley &amp;amp; Sons, Ltd.&lt;/publisher&gt;&lt;isbn&gt;1535-1467&lt;/isbn&gt;&lt;urls&gt;&lt;related-urls&gt;&lt;url&gt;http://dx.doi.org/10.1002/rra.897&lt;/url&gt;&lt;/related-urls&gt;&lt;/urls&gt;&lt;electronic-resource-num&gt;10.1002/rra.897&lt;/electronic-resource-num&gt;&lt;/record&gt;&lt;/Cite&gt;&lt;/EndNote&gt;</w:instrText>
      </w:r>
      <w:r w:rsidR="00D20FAE">
        <w:fldChar w:fldCharType="separate"/>
      </w:r>
      <w:r w:rsidR="006171E9">
        <w:rPr>
          <w:noProof/>
        </w:rPr>
        <w:t>(</w:t>
      </w:r>
      <w:hyperlink w:anchor="_ENREF_66" w:tooltip="Koehn, 2006 #3288" w:history="1">
        <w:r w:rsidR="006810E6">
          <w:rPr>
            <w:noProof/>
          </w:rPr>
          <w:t>Koehn and Harrington 2006</w:t>
        </w:r>
      </w:hyperlink>
      <w:r w:rsidR="006171E9">
        <w:rPr>
          <w:noProof/>
        </w:rPr>
        <w:t>)</w:t>
      </w:r>
      <w:r w:rsidR="00D20FAE">
        <w:fldChar w:fldCharType="end"/>
      </w:r>
      <w:r w:rsidR="0033209B">
        <w:t>. H</w:t>
      </w:r>
      <w:r>
        <w:t>owever</w:t>
      </w:r>
      <w:r w:rsidR="0033209B">
        <w:t>,</w:t>
      </w:r>
      <w:r>
        <w:t xml:space="preserve"> in this study, the highest larval cod abundances coincide</w:t>
      </w:r>
      <w:r w:rsidR="0033209B">
        <w:t>d</w:t>
      </w:r>
      <w:r>
        <w:t xml:space="preserve"> with the areas of highest abundances of adult Murray cod captured</w:t>
      </w:r>
      <w:r w:rsidR="0066371D">
        <w:t xml:space="preserve"> during fish community sampling, with m</w:t>
      </w:r>
      <w:r>
        <w:t>ore than three times as many adult Murray cod captured at Narrandera and Euroley Bridge compared to Berry Jerry (Murrumbidgee River) and Old Man Creek</w:t>
      </w:r>
      <w:r w:rsidR="00356BBF">
        <w:t xml:space="preserve"> (see section </w:t>
      </w:r>
      <w:r w:rsidR="00D20FAE">
        <w:fldChar w:fldCharType="begin"/>
      </w:r>
      <w:r w:rsidR="00356BBF">
        <w:instrText xml:space="preserve"> REF _Ref370292039 \r \h </w:instrText>
      </w:r>
      <w:r w:rsidR="00D20FAE">
        <w:fldChar w:fldCharType="separate"/>
      </w:r>
      <w:r w:rsidR="00436595">
        <w:t>9</w:t>
      </w:r>
      <w:r w:rsidR="00D20FAE">
        <w:fldChar w:fldCharType="end"/>
      </w:r>
      <w:r w:rsidR="00356BBF">
        <w:t>)</w:t>
      </w:r>
      <w:r>
        <w:t xml:space="preserve">. This suggests that the adult cod population may also be an influential factor on the abundance of larval cod encountered within river reaches, as would be expected. In addition to this, significant differences in the relationship between larval cod abundance and environmental co-variates in the Murrumbidgee River and Old Man Creek </w:t>
      </w:r>
      <w:r w:rsidR="00937A67">
        <w:t>suggested</w:t>
      </w:r>
      <w:r>
        <w:t xml:space="preserve"> that </w:t>
      </w:r>
      <w:proofErr w:type="gramStart"/>
      <w:r>
        <w:t>a combination of environmental factors</w:t>
      </w:r>
      <w:r w:rsidR="00937A67">
        <w:t>,</w:t>
      </w:r>
      <w:r>
        <w:t xml:space="preserve"> as well as the size of the adult population</w:t>
      </w:r>
      <w:r w:rsidR="00937A67">
        <w:t>,</w:t>
      </w:r>
      <w:r>
        <w:t xml:space="preserve"> </w:t>
      </w:r>
      <w:r w:rsidR="00937A67">
        <w:t>are</w:t>
      </w:r>
      <w:proofErr w:type="gramEnd"/>
      <w:r w:rsidR="00937A67">
        <w:t xml:space="preserve"> influencing</w:t>
      </w:r>
      <w:r>
        <w:t xml:space="preserve"> larval drift at each study site.</w:t>
      </w:r>
    </w:p>
    <w:p w:rsidR="00942A21" w:rsidRDefault="00942A21" w:rsidP="00942A21">
      <w:r>
        <w:t xml:space="preserve">In the Murrumbidgee River, </w:t>
      </w:r>
      <w:r w:rsidR="00424C6F">
        <w:t xml:space="preserve">the </w:t>
      </w:r>
      <w:r w:rsidR="00937A67">
        <w:t>peak</w:t>
      </w:r>
      <w:r>
        <w:t xml:space="preserve"> cod larval drift period occurred within the period of Commonwealth environmental water delivery, and water temperature was positively correlated with larval abundances, suggesting that water temperatures during the period of water delivery were ideal to facilitate spawning in Murray cod. In addition, water temperature has also been known to have a strong effect on development rates of Murray cod larvae </w:t>
      </w:r>
      <w:r w:rsidR="00D20FAE">
        <w:fldChar w:fldCharType="begin"/>
      </w:r>
      <w:r w:rsidR="006171E9">
        <w:instrText xml:space="preserve"> ADDIN EN.CITE &lt;EndNote&gt;&lt;Cite&gt;&lt;Author&gt;Humphries&lt;/Author&gt;&lt;Year&gt;2005&lt;/Year&gt;&lt;RecNum&gt;3296&lt;/RecNum&gt;&lt;DisplayText&gt;(Humphries 2005)&lt;/DisplayText&gt;&lt;record&gt;&lt;rec-number&gt;3296&lt;/rec-number&gt;&lt;foreign-keys&gt;&lt;key app="EN" db-id="vxxvsda2b05fxpeaw2dp552mtrd5trxdrf0s"&gt;3296&lt;/key&gt;&lt;/foreign-keys&gt;&lt;ref-type name="Journal Article"&gt;17&lt;/ref-type&gt;&lt;contributors&gt;&lt;authors&gt;&lt;author&gt;Humphries, P.&lt;/author&gt;&lt;/authors&gt;&lt;/contributors&gt;&lt;titles&gt;&lt;title&gt;&lt;style face="normal" font="default" size="100%"&gt;Spawning time and early life history of Murray cod, &lt;/style&gt;&lt;style face="italic" font="default" size="100%"&gt;Maccullochella peelii&lt;/style&gt;&lt;style face="normal" font="default" size="100%"&gt; (Mitchell) in an Australian river&lt;/style&gt;&lt;/title&gt;&lt;secondary-title&gt;Environmental Biology of Fishes&lt;/secondary-title&gt;&lt;/titles&gt;&lt;periodical&gt;&lt;full-title&gt;Environmental Biology of Fishes&lt;/full-title&gt;&lt;/periodical&gt;&lt;pages&gt;393-407&lt;/pages&gt;&lt;volume&gt;72&lt;/volume&gt;&lt;dates&gt;&lt;year&gt;2005&lt;/year&gt;&lt;/dates&gt;&lt;urls&gt;&lt;/urls&gt;&lt;/record&gt;&lt;/Cite&gt;&lt;/EndNote&gt;</w:instrText>
      </w:r>
      <w:r w:rsidR="00D20FAE">
        <w:fldChar w:fldCharType="separate"/>
      </w:r>
      <w:r w:rsidR="006171E9">
        <w:rPr>
          <w:noProof/>
        </w:rPr>
        <w:t>(</w:t>
      </w:r>
      <w:hyperlink w:anchor="_ENREF_40" w:tooltip="Humphries, 2005 #3296" w:history="1">
        <w:r w:rsidR="006810E6">
          <w:rPr>
            <w:noProof/>
          </w:rPr>
          <w:t>Humphries 2005</w:t>
        </w:r>
      </w:hyperlink>
      <w:r w:rsidR="006171E9">
        <w:rPr>
          <w:noProof/>
        </w:rPr>
        <w:t>)</w:t>
      </w:r>
      <w:r w:rsidR="00D20FAE">
        <w:fldChar w:fldCharType="end"/>
      </w:r>
      <w:r>
        <w:t xml:space="preserve">, and productivity of microinvertebrate communities </w:t>
      </w:r>
      <w:r w:rsidR="00D20FAE">
        <w:fldChar w:fldCharType="begin"/>
      </w:r>
      <w:r w:rsidR="006171E9">
        <w:instrText xml:space="preserve"> ADDIN EN.CITE &lt;EndNote&gt;&lt;Cite&gt;&lt;Author&gt;Balcombe&lt;/Author&gt;&lt;Year&gt;2005&lt;/Year&gt;&lt;RecNum&gt;2708&lt;/RecNum&gt;&lt;DisplayText&gt;(Balcombe, Bunn&lt;style face="italic"&gt; et al.&lt;/style&gt; 2005)&lt;/DisplayText&gt;&lt;record&gt;&lt;rec-number&gt;2708&lt;/rec-number&gt;&lt;foreign-keys&gt;&lt;key app="EN" db-id="vxxvsda2b05fxpeaw2dp552mtrd5trxdrf0s"&gt;2708&lt;/key&gt;&lt;/foreign-keys&gt;&lt;ref-type name="Journal Article"&gt;17&lt;/ref-type&gt;&lt;contributors&gt;&lt;authors&gt;&lt;author&gt;Balcombe, S R&lt;/author&gt;&lt;author&gt;Bunn, S E&lt;/author&gt;&lt;author&gt;McKenzie-Smith, F J&lt;/author&gt;&lt;author&gt;Davies, P M&lt;/author&gt;&lt;/authors&gt;&lt;/contributors&gt;&lt;titles&gt;&lt;title&gt;Variability of fish diets between dry and flood periods in an arid zone floodplain river&lt;/title&gt;&lt;secondary-title&gt;Journal of Fish Biology&lt;/secondary-title&gt;&lt;/titles&gt;&lt;periodical&gt;&lt;full-title&gt;Journal of Fish Biology&lt;/full-title&gt;&lt;/periodical&gt;&lt;pages&gt;1552-1567&lt;/pages&gt;&lt;volume&gt;67&lt;/volume&gt;&lt;keywords&gt;&lt;keyword&gt;arid zone&lt;/keyword&gt;&lt;keyword&gt;benthic algae&lt;/keyword&gt;&lt;keyword&gt;carbon sources&lt;/keyword&gt;&lt;keyword&gt;fish diet&lt;/keyword&gt;&lt;keyword&gt;floods&lt;/keyword&gt;&lt;keyword&gt;terrestrial inputs.&lt;/keyword&gt;&lt;/keywords&gt;&lt;dates&gt;&lt;year&gt;2005&lt;/year&gt;&lt;/dates&gt;&lt;call-num&gt;Elec file&lt;/call-num&gt;&lt;urls&gt;&lt;/urls&gt;&lt;/record&gt;&lt;/Cite&gt;&lt;/EndNote&gt;</w:instrText>
      </w:r>
      <w:r w:rsidR="00D20FAE">
        <w:fldChar w:fldCharType="separate"/>
      </w:r>
      <w:r w:rsidR="006171E9">
        <w:rPr>
          <w:noProof/>
        </w:rPr>
        <w:t>(</w:t>
      </w:r>
      <w:hyperlink w:anchor="_ENREF_9" w:tooltip="Balcombe, 2005 #2708" w:history="1">
        <w:r w:rsidR="006810E6">
          <w:rPr>
            <w:noProof/>
          </w:rPr>
          <w:t>Balcombe, Bunn</w:t>
        </w:r>
        <w:r w:rsidR="006810E6" w:rsidRPr="006171E9">
          <w:rPr>
            <w:i/>
            <w:noProof/>
          </w:rPr>
          <w:t xml:space="preserve"> et al.</w:t>
        </w:r>
        <w:r w:rsidR="006810E6">
          <w:rPr>
            <w:noProof/>
          </w:rPr>
          <w:t xml:space="preserve"> 2005</w:t>
        </w:r>
      </w:hyperlink>
      <w:r w:rsidR="006171E9">
        <w:rPr>
          <w:noProof/>
        </w:rPr>
        <w:t>)</w:t>
      </w:r>
      <w:r w:rsidR="00D20FAE">
        <w:fldChar w:fldCharType="end"/>
      </w:r>
      <w:r w:rsidR="005A1733">
        <w:t xml:space="preserve">. </w:t>
      </w:r>
      <w:r>
        <w:t>Therefore, increased temperatures during the period of Commonwealth environmental water provided suitable c</w:t>
      </w:r>
      <w:r w:rsidR="00937A67">
        <w:t>onditions not only for spawning</w:t>
      </w:r>
      <w:r>
        <w:t xml:space="preserve"> but also for microinvertebrate community growth, making the vital first-food source readily available for newly hatched drifting larvae. This is indicated by the positive relationship between larval cod CPUE and microinvertebrate densities</w:t>
      </w:r>
      <w:r w:rsidR="0066371D">
        <w:t xml:space="preserve">. </w:t>
      </w:r>
      <w:r>
        <w:t>Conversely, water level had a negative relationship with larval cod abundance</w:t>
      </w:r>
      <w:r w:rsidR="0066371D">
        <w:t>, suggesting</w:t>
      </w:r>
      <w:r>
        <w:t xml:space="preserve"> that larval cod </w:t>
      </w:r>
      <w:r w:rsidR="00356BBF">
        <w:t>may have been</w:t>
      </w:r>
      <w:r>
        <w:t xml:space="preserve"> </w:t>
      </w:r>
      <w:r w:rsidR="00356BBF">
        <w:t>moved downstream</w:t>
      </w:r>
      <w:r>
        <w:t xml:space="preserve"> from the sampling areas</w:t>
      </w:r>
      <w:r w:rsidR="00356BBF">
        <w:t xml:space="preserve"> during peak flows</w:t>
      </w:r>
      <w:r w:rsidR="0020795B">
        <w:t xml:space="preserve"> </w:t>
      </w:r>
      <w:r w:rsidR="00D20FAE">
        <w:fldChar w:fldCharType="begin"/>
      </w:r>
      <w:r w:rsidR="006171E9">
        <w:instrText xml:space="preserve"> ADDIN EN.CITE &lt;EndNote&gt;&lt;Cite&gt;&lt;Author&gt;Schludermann&lt;/Author&gt;&lt;Year&gt;2012&lt;/Year&gt;&lt;RecNum&gt;3437&lt;/RecNum&gt;&lt;DisplayText&gt;(Schludermann, Tritthart&lt;style face="italic"&gt; et al.&lt;/style&gt; 2012)&lt;/DisplayText&gt;&lt;record&gt;&lt;rec-number&gt;3437&lt;/rec-number&gt;&lt;foreign-keys&gt;&lt;key app="EN" db-id="vxxvsda2b05fxpeaw2dp552mtrd5trxdrf0s"&gt;3437&lt;/key&gt;&lt;/foreign-keys&gt;&lt;ref-type name="Journal Article"&gt;17&lt;/ref-type&gt;&lt;contributors&gt;&lt;authors&gt;&lt;author&gt;Schludermann, Elisabeth&lt;/author&gt;&lt;author&gt;Tritthart, Michael&lt;/author&gt;&lt;author&gt;Humphries, Paul&lt;/author&gt;&lt;author&gt;Keckeis, Hubert&lt;/author&gt;&lt;/authors&gt;&lt;/contributors&gt;&lt;titles&gt;&lt;title&gt;Dispersal and retention of larval fish in a potential nursery habitat of a large temperate river: an experimental study&lt;/title&gt;&lt;secondary-title&gt;Canadian Journal of Fisheries and Aquatic Sciences&lt;/secondary-title&gt;&lt;/titles&gt;&lt;periodical&gt;&lt;full-title&gt;Canadian Journal of Fisheries and Aquatic Sciences&lt;/full-title&gt;&lt;/periodical&gt;&lt;pages&gt;1302-1315&lt;/pages&gt;&lt;volume&gt;69&lt;/volume&gt;&lt;number&gt;8&lt;/number&gt;&lt;dates&gt;&lt;year&gt;2012&lt;/year&gt;&lt;pub-dates&gt;&lt;date&gt;2012/08/01&lt;/date&gt;&lt;/pub-dates&gt;&lt;/dates&gt;&lt;publisher&gt;NRC Research Press&lt;/publisher&gt;&lt;isbn&gt;0706-652X&lt;/isbn&gt;&lt;urls&gt;&lt;related-urls&gt;&lt;url&gt;http://dx.doi.org/10.1139/f2012-061&lt;/url&gt;&lt;/related-urls&gt;&lt;/urls&gt;&lt;electronic-resource-num&gt;10.1139/f2012-061&lt;/electronic-resource-num&gt;&lt;access-date&gt;2013/10/22&lt;/access-date&gt;&lt;/record&gt;&lt;/Cite&gt;&lt;/EndNote&gt;</w:instrText>
      </w:r>
      <w:r w:rsidR="00D20FAE">
        <w:fldChar w:fldCharType="separate"/>
      </w:r>
      <w:r w:rsidR="006171E9">
        <w:rPr>
          <w:noProof/>
        </w:rPr>
        <w:t>(</w:t>
      </w:r>
      <w:hyperlink w:anchor="_ENREF_91" w:tooltip="Schludermann, 2012 #3437" w:history="1">
        <w:r w:rsidR="006810E6">
          <w:rPr>
            <w:noProof/>
          </w:rPr>
          <w:t>Schludermann, Tritthart</w:t>
        </w:r>
        <w:r w:rsidR="006810E6" w:rsidRPr="006171E9">
          <w:rPr>
            <w:i/>
            <w:noProof/>
          </w:rPr>
          <w:t xml:space="preserve"> et al.</w:t>
        </w:r>
        <w:r w:rsidR="006810E6">
          <w:rPr>
            <w:noProof/>
          </w:rPr>
          <w:t xml:space="preserve"> 2012</w:t>
        </w:r>
      </w:hyperlink>
      <w:r w:rsidR="006171E9">
        <w:rPr>
          <w:noProof/>
        </w:rPr>
        <w:t>)</w:t>
      </w:r>
      <w:r w:rsidR="00D20FAE">
        <w:fldChar w:fldCharType="end"/>
      </w:r>
      <w:r>
        <w:t xml:space="preserve">. </w:t>
      </w:r>
    </w:p>
    <w:p w:rsidR="00850214" w:rsidRPr="00850214" w:rsidRDefault="0020795B" w:rsidP="00942A21">
      <w:r>
        <w:t>T</w:t>
      </w:r>
      <w:r w:rsidR="00942A21">
        <w:t xml:space="preserve">urbidity levels throughout the period of larval sampling were within the recommended levels for lowland river systems </w:t>
      </w:r>
      <w:r w:rsidR="00D20FAE">
        <w:fldChar w:fldCharType="begin"/>
      </w:r>
      <w:r w:rsidR="006171E9">
        <w:instrText xml:space="preserve"> ADDIN EN.CITE &lt;EndNote&gt;&lt;Cite&gt;&lt;Author&gt;ANZECC water quality guidelines&lt;/Author&gt;&lt;Year&gt;2000&lt;/Year&gt;&lt;RecNum&gt;3217&lt;/RecNum&gt;&lt;DisplayText&gt;(ANZECC water quality guidelines 2000)&lt;/DisplayText&gt;&lt;record&gt;&lt;rec-number&gt;3217&lt;/rec-number&gt;&lt;foreign-keys&gt;&lt;key app="EN" db-id="vxxvsda2b05fxpeaw2dp552mtrd5trxdrf0s"&gt;3217&lt;/key&gt;&lt;/foreign-keys&gt;&lt;ref-type name="Electronic Book"&gt;44&lt;/ref-type&gt;&lt;contributors&gt;&lt;authors&gt;&lt;author&gt;ANZECC water quality guidelines,&lt;/author&gt;&lt;/authors&gt;&lt;/contributors&gt;&lt;titles&gt;&lt;title&gt;Australia and New Zealand guidelines for fresh and marine water quality &lt;/title&gt;&lt;secondary-title&gt;&lt;style face="normal" font="Times New Roman" size="100%"&gt;&amp;#xD;&lt;/style&gt;&lt;/secondary-title&gt;&lt;/titles&gt;&lt;volume&gt;4A&lt;/volume&gt;&lt;dates&gt;&lt;year&gt;2000&lt;/year&gt;&lt;/dates&gt;&lt;publisher&gt;Australian and New Zealand environment and conservation council and Agriculture and resource management council of Australia and New Zealand&lt;/publisher&gt;&lt;urls&gt;&lt;related-urls&gt;&lt;url&gt;http://www.mincos.gov.au/publications/australian_and_new_zealand_guidelines_for_fresh_and_marine_water_quality&lt;/url&gt;&lt;/related-urls&gt;&lt;/urls&gt;&lt;/record&gt;&lt;/Cite&gt;&lt;/EndNote&gt;</w:instrText>
      </w:r>
      <w:r w:rsidR="00D20FAE">
        <w:fldChar w:fldCharType="separate"/>
      </w:r>
      <w:r w:rsidR="006171E9">
        <w:rPr>
          <w:noProof/>
        </w:rPr>
        <w:t>(</w:t>
      </w:r>
      <w:hyperlink w:anchor="_ENREF_6" w:tooltip="ANZECC water quality guidelines, 2000 #3217" w:history="1">
        <w:r w:rsidR="006810E6">
          <w:rPr>
            <w:noProof/>
          </w:rPr>
          <w:t>ANZECC water quality guidelines 2000</w:t>
        </w:r>
      </w:hyperlink>
      <w:r w:rsidR="006171E9">
        <w:rPr>
          <w:noProof/>
        </w:rPr>
        <w:t>)</w:t>
      </w:r>
      <w:r w:rsidR="00D20FAE">
        <w:fldChar w:fldCharType="end"/>
      </w:r>
      <w:r w:rsidR="00937A67">
        <w:t>. T</w:t>
      </w:r>
      <w:r w:rsidR="00942A21">
        <w:t>he positive relationship found between drifting larval cod abundances and turbidity suggests that higher turbidity levels</w:t>
      </w:r>
      <w:r w:rsidR="00850214">
        <w:t xml:space="preserve"> may have</w:t>
      </w:r>
      <w:r w:rsidR="00942A21">
        <w:t xml:space="preserve"> potentially protected larvae from predators during the drift phase</w:t>
      </w:r>
      <w:r w:rsidR="00937A67">
        <w:t>,</w:t>
      </w:r>
      <w:r w:rsidR="00942A21">
        <w:t xml:space="preserve"> </w:t>
      </w:r>
      <w:r w:rsidR="00850214">
        <w:t xml:space="preserve">as has been shown previously </w:t>
      </w:r>
      <w:r w:rsidR="00D20FAE">
        <w:fldChar w:fldCharType="begin"/>
      </w:r>
      <w:r w:rsidR="009E2C5C">
        <w:instrText xml:space="preserve"> ADDIN EN.CITE &lt;EndNote&gt;&lt;Cite&gt;&lt;Author&gt;Utne-Palm&lt;/Author&gt;&lt;Year&gt;2002&lt;/Year&gt;&lt;RecNum&gt;3446&lt;/RecNum&gt;&lt;DisplayText&gt;(Utne-Palm 2002)&lt;/DisplayText&gt;&lt;record&gt;&lt;rec-number&gt;3446&lt;/rec-number&gt;&lt;foreign-keys&gt;&lt;key app="EN" db-id="vxxvsda2b05fxpeaw2dp552mtrd5trxdrf0s"&gt;3446&lt;/key&gt;&lt;/foreign-keys&gt;&lt;ref-type name="Journal Article"&gt;17&lt;/ref-type&gt;&lt;contributors&gt;&lt;authors&gt;&lt;author&gt;Utne-Palm, A. C.&lt;/author&gt;&lt;/authors&gt;&lt;/contributors&gt;&lt;titles&gt;&lt;title&gt;Visual feeding of fish in a turbid environment: Physical and behavioural aspects&lt;/title&gt;&lt;secondary-title&gt;Marine and Freshwater Behaviour and Physiology&lt;/secondary-title&gt;&lt;/titles&gt;&lt;periodical&gt;&lt;full-title&gt;Marine and Freshwater Behaviour and Physiology&lt;/full-title&gt;&lt;/periodical&gt;&lt;pages&gt;111-128&lt;/pages&gt;&lt;volume&gt;35&lt;/volume&gt;&lt;number&gt;1-2&lt;/number&gt;&lt;dates&gt;&lt;year&gt;2002&lt;/year&gt;&lt;pub-dates&gt;&lt;date&gt;2002/01/01&lt;/date&gt;&lt;/pub-dates&gt;&lt;/dates&gt;&lt;publisher&gt;Taylor &amp;amp; Francis&lt;/publisher&gt;&lt;isbn&gt;1023-6244&lt;/isbn&gt;&lt;urls&gt;&lt;related-urls&gt;&lt;url&gt;http://dx.doi.org/10.1080/10236240290025644&lt;/url&gt;&lt;/related-urls&gt;&lt;/urls&gt;&lt;electronic-resource-num&gt;10.1080/10236240290025644&lt;/electronic-resource-num&gt;&lt;access-date&gt;2013/10/27&lt;/access-date&gt;&lt;/record&gt;&lt;/Cite&gt;&lt;/EndNote&gt;</w:instrText>
      </w:r>
      <w:r w:rsidR="00D20FAE">
        <w:fldChar w:fldCharType="separate"/>
      </w:r>
      <w:r w:rsidR="009E2C5C">
        <w:rPr>
          <w:noProof/>
        </w:rPr>
        <w:t>(</w:t>
      </w:r>
      <w:hyperlink w:anchor="_ENREF_101" w:tooltip="Utne-Palm, 2002 #3446" w:history="1">
        <w:r w:rsidR="006810E6">
          <w:rPr>
            <w:noProof/>
          </w:rPr>
          <w:t>Utne-Palm 2002</w:t>
        </w:r>
      </w:hyperlink>
      <w:r w:rsidR="009E2C5C">
        <w:rPr>
          <w:noProof/>
        </w:rPr>
        <w:t>)</w:t>
      </w:r>
      <w:r w:rsidR="00D20FAE">
        <w:fldChar w:fldCharType="end"/>
      </w:r>
      <w:r w:rsidR="00942A21">
        <w:t xml:space="preserve">. Although water temperature and microinvertebrate densities were positively correlated with larval cod drift, there were very few young of year Murray cod or trout cod captured after the delivery of the Commonwealth environmental water. This result suggests that </w:t>
      </w:r>
      <w:r w:rsidR="001F750B">
        <w:t xml:space="preserve">while </w:t>
      </w:r>
      <w:r w:rsidR="00942A21">
        <w:t>environmental conditions during the</w:t>
      </w:r>
      <w:r w:rsidR="001F750B">
        <w:t xml:space="preserve"> </w:t>
      </w:r>
      <w:r w:rsidR="008739FC">
        <w:t>Commonwealth</w:t>
      </w:r>
      <w:r w:rsidR="001F750B">
        <w:t xml:space="preserve"> environmental </w:t>
      </w:r>
      <w:r w:rsidR="00942A21">
        <w:t xml:space="preserve">flows were suitable for spawning and larval drift, development to young of year stage </w:t>
      </w:r>
      <w:r w:rsidR="001F750B">
        <w:t>may not have been</w:t>
      </w:r>
      <w:r w:rsidR="00942A21">
        <w:t xml:space="preserve"> as successful as expected</w:t>
      </w:r>
      <w:r w:rsidR="00850214">
        <w:t xml:space="preserve">. </w:t>
      </w:r>
      <w:r w:rsidR="00356BBF">
        <w:t>Further annual fish community monitoring will provide information on the recruitment success of yearly cohorts post 2012-Commonwealth environmental water delivery.</w:t>
      </w:r>
    </w:p>
    <w:p w:rsidR="00942A21" w:rsidRDefault="00850214" w:rsidP="00942A21">
      <w:r>
        <w:t xml:space="preserve">Overall, the </w:t>
      </w:r>
      <w:r w:rsidR="00942A21">
        <w:t xml:space="preserve">presence and abundance of drifting cod larvae in the Murrumbidgee River demonstrates that spawning occurred during Commonwealth environmental water delivered in 2012. The positive relationship between larval abundance, water temperature and microinvertebrates indicates that </w:t>
      </w:r>
      <w:r w:rsidR="00942A21" w:rsidRPr="00850214">
        <w:rPr>
          <w:b/>
        </w:rPr>
        <w:t xml:space="preserve">conditions provided </w:t>
      </w:r>
      <w:r w:rsidR="004B0735" w:rsidRPr="00850214">
        <w:rPr>
          <w:b/>
        </w:rPr>
        <w:t xml:space="preserve">by Commonwealth environmental </w:t>
      </w:r>
      <w:r w:rsidR="00942A21" w:rsidRPr="00850214">
        <w:rPr>
          <w:b/>
        </w:rPr>
        <w:t>water delivery were sufficient to enable spawning, leading to the presence of drifting larvae</w:t>
      </w:r>
      <w:r w:rsidR="00356BBF">
        <w:rPr>
          <w:b/>
        </w:rPr>
        <w:t xml:space="preserve"> in the Murrumbidgee River</w:t>
      </w:r>
      <w:r w:rsidR="00942A21">
        <w:t xml:space="preserve">. </w:t>
      </w:r>
    </w:p>
    <w:p w:rsidR="00B9396A" w:rsidRDefault="00B9396A" w:rsidP="00B9396A">
      <w:pPr>
        <w:spacing w:after="0" w:line="240" w:lineRule="auto"/>
        <w:jc w:val="left"/>
      </w:pPr>
    </w:p>
    <w:p w:rsidR="00850214" w:rsidRDefault="00850214">
      <w:pPr>
        <w:spacing w:after="0" w:line="240" w:lineRule="auto"/>
        <w:jc w:val="left"/>
      </w:pPr>
      <w:r>
        <w:br w:type="page"/>
      </w:r>
    </w:p>
    <w:p w:rsidR="00B9396A" w:rsidRDefault="00B9396A" w:rsidP="00B9396A">
      <w:pPr>
        <w:spacing w:after="0" w:line="240" w:lineRule="auto"/>
        <w:jc w:val="left"/>
      </w:pPr>
    </w:p>
    <w:p w:rsidR="00B9396A" w:rsidRDefault="00B9396A" w:rsidP="00B9396A">
      <w:pPr>
        <w:spacing w:after="0" w:line="240" w:lineRule="auto"/>
        <w:jc w:val="center"/>
        <w:rPr>
          <w:rStyle w:val="TitleChar1"/>
          <w:rFonts w:eastAsia="Calibri"/>
          <w:color w:val="auto"/>
        </w:rPr>
      </w:pPr>
      <w:bookmarkStart w:id="373" w:name="_Toc370738833"/>
      <w:r w:rsidRPr="00B9396A">
        <w:rPr>
          <w:rStyle w:val="TitleChar1"/>
          <w:rFonts w:eastAsia="Calibri"/>
          <w:color w:val="auto"/>
        </w:rPr>
        <w:t>Supporting wetland flora and fauna</w:t>
      </w:r>
      <w:bookmarkEnd w:id="373"/>
    </w:p>
    <w:p w:rsidR="00B9396A" w:rsidRDefault="00B9396A" w:rsidP="00B9396A">
      <w:pPr>
        <w:spacing w:after="0" w:line="240" w:lineRule="auto"/>
        <w:jc w:val="center"/>
        <w:rPr>
          <w:noProof/>
          <w:lang w:eastAsia="en-AU"/>
        </w:rPr>
      </w:pPr>
    </w:p>
    <w:p w:rsidR="00B9396A" w:rsidRDefault="00B9396A" w:rsidP="00B9396A">
      <w:pPr>
        <w:spacing w:after="0" w:line="240" w:lineRule="auto"/>
        <w:jc w:val="center"/>
      </w:pPr>
      <w:r w:rsidRPr="00B9396A">
        <w:rPr>
          <w:noProof/>
          <w:lang w:eastAsia="en-AU"/>
        </w:rPr>
        <w:drawing>
          <wp:inline distT="0" distB="0" distL="0" distR="0">
            <wp:extent cx="5763156" cy="4320000"/>
            <wp:effectExtent l="19050" t="0" r="8994" b="0"/>
            <wp:docPr id="203" name="Picture 201" descr="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5.JPG"/>
                    <pic:cNvPicPr/>
                  </pic:nvPicPr>
                  <pic:blipFill>
                    <a:blip r:embed="rId131" cstate="print"/>
                    <a:stretch>
                      <a:fillRect/>
                    </a:stretch>
                  </pic:blipFill>
                  <pic:spPr>
                    <a:xfrm>
                      <a:off x="0" y="0"/>
                      <a:ext cx="5763156" cy="4320000"/>
                    </a:xfrm>
                    <a:prstGeom prst="rect">
                      <a:avLst/>
                    </a:prstGeom>
                  </pic:spPr>
                </pic:pic>
              </a:graphicData>
            </a:graphic>
          </wp:inline>
        </w:drawing>
      </w:r>
    </w:p>
    <w:p w:rsidR="00B9396A" w:rsidRDefault="00B9396A" w:rsidP="00B9396A">
      <w:pPr>
        <w:spacing w:after="0" w:line="240" w:lineRule="auto"/>
        <w:jc w:val="center"/>
      </w:pPr>
      <w:r>
        <w:t>Mercedes swamp Yanga National park (Lowbidgee) October 2012</w:t>
      </w:r>
    </w:p>
    <w:p w:rsidR="00B9396A" w:rsidRDefault="00B9396A" w:rsidP="00B9396A">
      <w:pPr>
        <w:spacing w:after="0" w:line="240" w:lineRule="auto"/>
        <w:jc w:val="center"/>
      </w:pPr>
    </w:p>
    <w:p w:rsidR="00B9396A" w:rsidRDefault="00B9396A" w:rsidP="00850214">
      <w:pPr>
        <w:pStyle w:val="NoSpacing"/>
      </w:pPr>
      <w:r>
        <w:t xml:space="preserve">In this section we explore the responses of wetland fauna and flora to </w:t>
      </w:r>
      <w:r w:rsidR="008739FC">
        <w:t>Commonwealth</w:t>
      </w:r>
      <w:r>
        <w:t xml:space="preserve"> environmental watering actions. This section covers three key wetland regions; the mid-Murrumbidgee wetlands, the river red gum wetlands of the Lowbidgee floodplain and the Western Lakes. </w:t>
      </w:r>
      <w:r w:rsidR="00850214">
        <w:t>The following Commonwealth environmental wa</w:t>
      </w:r>
      <w:r w:rsidR="00937A67">
        <w:t>tering objectives were assessed.</w:t>
      </w:r>
    </w:p>
    <w:p w:rsidR="00B9396A" w:rsidRDefault="00B9396A" w:rsidP="00850214">
      <w:pPr>
        <w:pStyle w:val="NoSpacing"/>
      </w:pPr>
    </w:p>
    <w:p w:rsidR="00B9396A" w:rsidRPr="00EE3055" w:rsidRDefault="00B9396A" w:rsidP="00850214">
      <w:pPr>
        <w:pStyle w:val="NoSpacing"/>
        <w:numPr>
          <w:ilvl w:val="0"/>
          <w:numId w:val="38"/>
        </w:numPr>
      </w:pPr>
      <w:r w:rsidRPr="00EE3055">
        <w:t>Support breeding and recruitment of native fish.</w:t>
      </w:r>
    </w:p>
    <w:p w:rsidR="00B9396A" w:rsidRPr="00EE3055" w:rsidRDefault="00B9396A" w:rsidP="00850214">
      <w:pPr>
        <w:pStyle w:val="NoSpacing"/>
        <w:numPr>
          <w:ilvl w:val="0"/>
          <w:numId w:val="38"/>
        </w:numPr>
      </w:pPr>
      <w:r w:rsidRPr="00EE3055">
        <w:t>Maintain health of existing extent of riparian, floodplain and wetland native vegetation communities.</w:t>
      </w:r>
    </w:p>
    <w:p w:rsidR="00B9396A" w:rsidRPr="00EE3055" w:rsidRDefault="00B9396A" w:rsidP="00850214">
      <w:pPr>
        <w:pStyle w:val="NoSpacing"/>
        <w:numPr>
          <w:ilvl w:val="0"/>
          <w:numId w:val="38"/>
        </w:numPr>
      </w:pPr>
      <w:r w:rsidRPr="00EE3055">
        <w:t>Provide reproduction and recruitment opportunities for riparian, floodplain and wetland native vegetation communities.</w:t>
      </w:r>
    </w:p>
    <w:p w:rsidR="00B9396A" w:rsidRPr="00EE3055" w:rsidRDefault="00B9396A" w:rsidP="00850214">
      <w:pPr>
        <w:pStyle w:val="NoSpacing"/>
        <w:numPr>
          <w:ilvl w:val="0"/>
          <w:numId w:val="38"/>
        </w:numPr>
      </w:pPr>
      <w:r w:rsidRPr="00EE3055">
        <w:t>Support the habitat requirements of waterbirds.</w:t>
      </w:r>
    </w:p>
    <w:p w:rsidR="00B9396A" w:rsidRPr="00EE3055" w:rsidRDefault="00B9396A" w:rsidP="00850214">
      <w:pPr>
        <w:pStyle w:val="NoSpacing"/>
        <w:numPr>
          <w:ilvl w:val="0"/>
          <w:numId w:val="38"/>
        </w:numPr>
      </w:pPr>
      <w:r w:rsidRPr="00EE3055">
        <w:t>Support breeding of colonial nesting waterbirds.</w:t>
      </w:r>
    </w:p>
    <w:p w:rsidR="005A1733" w:rsidRDefault="00B9396A" w:rsidP="00850214">
      <w:pPr>
        <w:pStyle w:val="NoSpacing"/>
        <w:numPr>
          <w:ilvl w:val="0"/>
          <w:numId w:val="38"/>
        </w:numPr>
      </w:pPr>
      <w:r w:rsidRPr="00EE3055">
        <w:t xml:space="preserve">Support breeding and recruitment of other native aquatic species, including frogs, turtles, </w:t>
      </w:r>
      <w:proofErr w:type="gramStart"/>
      <w:r w:rsidRPr="00EE3055">
        <w:t>invertebrates</w:t>
      </w:r>
      <w:proofErr w:type="gramEnd"/>
      <w:r w:rsidRPr="00EE3055">
        <w:t>.</w:t>
      </w:r>
    </w:p>
    <w:p w:rsidR="00625CBE" w:rsidRPr="0093630F" w:rsidRDefault="00B9396A" w:rsidP="00850214">
      <w:pPr>
        <w:pStyle w:val="NoSpacing"/>
        <w:numPr>
          <w:ilvl w:val="0"/>
          <w:numId w:val="38"/>
        </w:numPr>
      </w:pPr>
      <w:r w:rsidRPr="00EE3055">
        <w:t>Support habitat requirements of other native aquatic species, including fr</w:t>
      </w:r>
      <w:r w:rsidR="00937A67">
        <w:t xml:space="preserve">ogs, turtles, </w:t>
      </w:r>
      <w:proofErr w:type="gramStart"/>
      <w:r w:rsidR="00937A67">
        <w:t>invertebrates</w:t>
      </w:r>
      <w:proofErr w:type="gramEnd"/>
      <w:r w:rsidR="00937A67">
        <w:t>.</w:t>
      </w:r>
      <w:r w:rsidR="005518DB">
        <w:br w:type="page"/>
      </w:r>
    </w:p>
    <w:tbl>
      <w:tblPr>
        <w:tblStyle w:val="TableGrid"/>
        <w:tblW w:w="0" w:type="auto"/>
        <w:tblLook w:val="04A0"/>
      </w:tblPr>
      <w:tblGrid>
        <w:gridCol w:w="9243"/>
      </w:tblGrid>
      <w:tr w:rsidR="00625CBE" w:rsidRPr="00434831" w:rsidTr="00B9396A">
        <w:trPr>
          <w:cnfStyle w:val="100000000000"/>
          <w:trHeight w:val="13549"/>
        </w:trPr>
        <w:tc>
          <w:tcPr>
            <w:tcW w:w="11448" w:type="dxa"/>
          </w:tcPr>
          <w:p w:rsidR="00625CBE" w:rsidRPr="00434831" w:rsidRDefault="00505588" w:rsidP="005A1733">
            <w:pPr>
              <w:pStyle w:val="Title"/>
              <w:keepNext/>
              <w:ind w:left="786"/>
              <w:rPr>
                <w:color w:val="auto"/>
              </w:rPr>
            </w:pPr>
            <w:r w:rsidRPr="00505588">
              <w:rPr>
                <w:b w:val="0"/>
                <w:color w:val="auto"/>
              </w:rPr>
              <w:br w:type="page"/>
            </w:r>
            <w:bookmarkStart w:id="374" w:name="_Toc370738834"/>
            <w:r w:rsidRPr="00505588">
              <w:rPr>
                <w:color w:val="auto"/>
              </w:rPr>
              <w:t>Vegetation</w:t>
            </w:r>
            <w:bookmarkEnd w:id="374"/>
          </w:p>
          <w:p w:rsidR="00E1766B" w:rsidRDefault="00E1766B">
            <w:pPr>
              <w:pStyle w:val="NoSpacing"/>
              <w:keepNext/>
              <w:spacing w:line="276" w:lineRule="auto"/>
              <w:jc w:val="center"/>
              <w:outlineLvl w:val="0"/>
              <w:rPr>
                <w:b/>
              </w:rPr>
            </w:pPr>
            <w:r>
              <w:rPr>
                <w:b/>
                <w:noProof/>
                <w:lang w:eastAsia="en-AU"/>
              </w:rPr>
              <w:drawing>
                <wp:inline distT="0" distB="0" distL="0" distR="0">
                  <wp:extent cx="3358515" cy="2523490"/>
                  <wp:effectExtent l="19050" t="0" r="0" b="0"/>
                  <wp:docPr id="59" name="Picture 59" descr="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61"/>
                          <pic:cNvPicPr>
                            <a:picLocks noChangeAspect="1" noChangeArrowheads="1"/>
                          </pic:cNvPicPr>
                        </pic:nvPicPr>
                        <pic:blipFill>
                          <a:blip r:embed="rId132" cstate="print"/>
                          <a:srcRect/>
                          <a:stretch>
                            <a:fillRect/>
                          </a:stretch>
                        </pic:blipFill>
                        <pic:spPr bwMode="auto">
                          <a:xfrm>
                            <a:off x="0" y="0"/>
                            <a:ext cx="3358515" cy="2523490"/>
                          </a:xfrm>
                          <a:prstGeom prst="rect">
                            <a:avLst/>
                          </a:prstGeom>
                          <a:noFill/>
                          <a:ln w="9525">
                            <a:noFill/>
                            <a:miter lim="800000"/>
                            <a:headEnd/>
                            <a:tailEnd/>
                          </a:ln>
                        </pic:spPr>
                      </pic:pic>
                    </a:graphicData>
                  </a:graphic>
                </wp:inline>
              </w:drawing>
            </w:r>
          </w:p>
          <w:p w:rsidR="000748A3" w:rsidRPr="00434831" w:rsidRDefault="00505588" w:rsidP="000C2710">
            <w:pPr>
              <w:pStyle w:val="NoSpacing"/>
              <w:jc w:val="center"/>
            </w:pPr>
            <w:r w:rsidRPr="00505588">
              <w:t>Gooragool Lagoon (mid-Murrumbidgee)</w:t>
            </w:r>
          </w:p>
          <w:p w:rsidR="00937A67" w:rsidRDefault="00937A67" w:rsidP="00937A67">
            <w:pPr>
              <w:pStyle w:val="NoSpacing"/>
              <w:spacing w:line="276" w:lineRule="auto"/>
            </w:pPr>
          </w:p>
          <w:p w:rsidR="00625CBE" w:rsidRPr="00434831" w:rsidRDefault="00505588" w:rsidP="00937A67">
            <w:pPr>
              <w:pStyle w:val="NoSpacing"/>
              <w:spacing w:line="276" w:lineRule="auto"/>
            </w:pPr>
            <w:r w:rsidRPr="00505588">
              <w:t xml:space="preserve">In the past, the wetlands of the mid-Murrumbidgee reconnected with the Murrumbidgee River in all but the driest years. However, decreases in river water levels and the loss of natural freshes due to river regulation has reduced the number of reconnections and many of the wetlands had been dry for over decade. We have been monitoring the recovery of aquatic vegetation communities in 11 wetlands (8 treatment plus 3 control sites) in the mid-Murrumbidgee since they refilled naturally in 2010.  Commonwealth environmental water was utilised in 2011-12 with the aim of promoting the recovery of aquatic vegetation communities. </w:t>
            </w:r>
            <w:r w:rsidRPr="00505588">
              <w:rPr>
                <w:b/>
              </w:rPr>
              <w:t>In 2012-13</w:t>
            </w:r>
            <w:r w:rsidR="00937A67">
              <w:rPr>
                <w:b/>
              </w:rPr>
              <w:t>,</w:t>
            </w:r>
            <w:r w:rsidRPr="00505588">
              <w:rPr>
                <w:b/>
              </w:rPr>
              <w:t xml:space="preserve"> the key </w:t>
            </w:r>
            <w:proofErr w:type="gramStart"/>
            <w:r w:rsidRPr="00505588">
              <w:rPr>
                <w:b/>
              </w:rPr>
              <w:t>objectives of the Commonwealth environmental watering actions in the Murrumbidgee Catchment with respect to vegetation was</w:t>
            </w:r>
            <w:proofErr w:type="gramEnd"/>
            <w:r w:rsidRPr="00505588">
              <w:rPr>
                <w:b/>
              </w:rPr>
              <w:t xml:space="preserve"> to</w:t>
            </w:r>
            <w:r w:rsidRPr="00505588">
              <w:rPr>
                <w:b/>
                <w:i/>
              </w:rPr>
              <w:t xml:space="preserve"> “maintain health of existing extent of riparian, floodplain and wetland native vegetation communities”</w:t>
            </w:r>
            <w:r w:rsidRPr="00505588">
              <w:rPr>
                <w:i/>
              </w:rPr>
              <w:t xml:space="preserve">. </w:t>
            </w:r>
            <w:r w:rsidRPr="00505588">
              <w:t>Wetlands in the mid-Murrumbidgee did not receive Commonwealth environmental water in 2012-13 and the majority of wetlands were dry by early February 2013</w:t>
            </w:r>
            <w:r w:rsidR="00D80C8D">
              <w:t>.</w:t>
            </w:r>
            <w:r w:rsidRPr="00505588">
              <w:t xml:space="preserve"> </w:t>
            </w:r>
            <w:r w:rsidR="00D80C8D">
              <w:t>W</w:t>
            </w:r>
            <w:r w:rsidRPr="00505588">
              <w:t>etlands in the western lakes received environmental water in September 2012, and the recovery of riparian communities and tree conditions is being monitored by Dr Heather McGinness of CS</w:t>
            </w:r>
            <w:r w:rsidR="00D80C8D">
              <w:t>IR</w:t>
            </w:r>
            <w:r w:rsidRPr="00505588">
              <w:t xml:space="preserve">O as part of a separate project. </w:t>
            </w:r>
          </w:p>
          <w:p w:rsidR="00625CBE" w:rsidRPr="00434831" w:rsidRDefault="00625CBE" w:rsidP="00937A67">
            <w:pPr>
              <w:pStyle w:val="NoSpacing"/>
              <w:spacing w:line="276" w:lineRule="auto"/>
              <w:rPr>
                <w:b/>
              </w:rPr>
            </w:pPr>
          </w:p>
          <w:p w:rsidR="00625CBE" w:rsidRPr="00434831" w:rsidRDefault="00505588" w:rsidP="00937A67">
            <w:pPr>
              <w:spacing w:line="276" w:lineRule="auto"/>
              <w:rPr>
                <w:b/>
              </w:rPr>
            </w:pPr>
            <w:r w:rsidRPr="00505588">
              <w:rPr>
                <w:b/>
              </w:rPr>
              <w:t>Key findings</w:t>
            </w:r>
          </w:p>
          <w:p w:rsidR="00625CBE" w:rsidRPr="000E5974" w:rsidRDefault="00505588" w:rsidP="00937A67">
            <w:pPr>
              <w:pStyle w:val="NoSpacing"/>
              <w:numPr>
                <w:ilvl w:val="0"/>
                <w:numId w:val="5"/>
              </w:numPr>
              <w:spacing w:line="276" w:lineRule="auto"/>
            </w:pPr>
            <w:r w:rsidRPr="00505588">
              <w:t xml:space="preserve">There were significant changes in vegetation community composition over the three water years. This was driven by three major plant functional groups: terrestrial damp species (Tdr) and emergent </w:t>
            </w:r>
            <w:r w:rsidR="00D80C8D">
              <w:t xml:space="preserve">species </w:t>
            </w:r>
            <w:r w:rsidRPr="00505588">
              <w:t xml:space="preserve">(Ate) which both decreased in cover from 2011-12 to 2012-13 and low-growing amphibious fluctuation tolerators (Atl) which increased in cover from 2011-12 to 2012-13 </w:t>
            </w:r>
          </w:p>
          <w:p w:rsidR="00625CBE" w:rsidRPr="000E5974" w:rsidRDefault="00505588" w:rsidP="00937A67">
            <w:pPr>
              <w:pStyle w:val="NoSpacing"/>
              <w:numPr>
                <w:ilvl w:val="0"/>
                <w:numId w:val="5"/>
              </w:numPr>
              <w:spacing w:line="276" w:lineRule="auto"/>
            </w:pPr>
            <w:r w:rsidRPr="00505588">
              <w:t xml:space="preserve">There </w:t>
            </w:r>
            <w:r w:rsidR="00D80C8D">
              <w:t>w</w:t>
            </w:r>
            <w:r w:rsidRPr="00505588">
              <w:t>as an increase in the percentage cover of terrestrial exotic vegetation species in 2012-13 as the wetlands dried out.</w:t>
            </w:r>
          </w:p>
          <w:p w:rsidR="00625CBE" w:rsidRPr="00434831" w:rsidRDefault="00625CBE" w:rsidP="00C04E5E">
            <w:pPr>
              <w:pStyle w:val="NoSpacing"/>
              <w:spacing w:line="360" w:lineRule="auto"/>
              <w:rPr>
                <w:b/>
              </w:rPr>
            </w:pPr>
          </w:p>
        </w:tc>
      </w:tr>
    </w:tbl>
    <w:p w:rsidR="00625CBE" w:rsidRDefault="00625CBE" w:rsidP="00625CBE"/>
    <w:p w:rsidR="00E1766B" w:rsidRDefault="00625CBE" w:rsidP="00850214">
      <w:pPr>
        <w:pStyle w:val="Heading1"/>
      </w:pPr>
      <w:bookmarkStart w:id="375" w:name="_Toc370299232"/>
      <w:bookmarkStart w:id="376" w:name="_Toc370738835"/>
      <w:bookmarkStart w:id="377" w:name="_Toc378168575"/>
      <w:r w:rsidRPr="000626E8">
        <w:t>Maintain health of existing extent of riparian, floodplain and wetland native vegetation communities</w:t>
      </w:r>
      <w:bookmarkEnd w:id="375"/>
      <w:bookmarkEnd w:id="376"/>
      <w:bookmarkEnd w:id="377"/>
      <w:r>
        <w:t xml:space="preserve"> </w:t>
      </w:r>
    </w:p>
    <w:p w:rsidR="00625CBE" w:rsidRDefault="00625CBE" w:rsidP="00625CBE">
      <w:r>
        <w:t xml:space="preserve">Aquatic and semi-aquatic vegetation is important to wetland and river </w:t>
      </w:r>
      <w:r w:rsidRPr="003A544D">
        <w:t>health</w:t>
      </w:r>
      <w:r>
        <w:t xml:space="preserve">, and can help predict the response of aquatic species such as frogs and waterbirds following inundation. The amount of vegetation in a wetland </w:t>
      </w:r>
      <w:r w:rsidR="005A1733">
        <w:t>(percent</w:t>
      </w:r>
      <w:r>
        <w:t xml:space="preserve"> cover) and the types of species present (community composition) can determine the availability of oviposition (egg laying location) sites for macroinvertebrates </w:t>
      </w:r>
      <w:r w:rsidR="00D20FAE">
        <w:fldChar w:fldCharType="begin"/>
      </w:r>
      <w:r w:rsidR="006171E9">
        <w:instrText xml:space="preserve"> ADDIN EN.CITE &lt;EndNote&gt;&lt;Cite&gt;&lt;Author&gt;Humphries&lt;/Author&gt;&lt;Year&gt;1996&lt;/Year&gt;&lt;RecNum&gt;3298&lt;/RecNum&gt;&lt;DisplayText&gt;(Humphries 1996)&lt;/DisplayText&gt;&lt;record&gt;&lt;rec-number&gt;3298&lt;/rec-number&gt;&lt;foreign-keys&gt;&lt;key app="EN" db-id="vxxvsda2b05fxpeaw2dp552mtrd5trxdrf0s"&gt;3298&lt;/key&gt;&lt;/foreign-keys&gt;&lt;ref-type name="Journal Article"&gt;17&lt;/ref-type&gt;&lt;contributors&gt;&lt;authors&gt;&lt;author&gt;Humphries, Paul&lt;/author&gt;&lt;/authors&gt;&lt;/contributors&gt;&lt;titles&gt;&lt;title&gt;Aquatic macrophytes, macroinvertebrate associations and water levels in a lowland Tasmanian river&lt;/title&gt;&lt;secondary-title&gt;Hydrobiologia&lt;/secondary-title&gt;&lt;/titles&gt;&lt;periodical&gt;&lt;full-title&gt;Hydrobiologia&lt;/full-title&gt;&lt;/periodical&gt;&lt;pages&gt;219-233&lt;/pages&gt;&lt;volume&gt;321&lt;/volume&gt;&lt;number&gt;3&lt;/number&gt;&lt;keywords&gt;&lt;keyword&gt;Biomedical and Life Sciences&lt;/keyword&gt;&lt;/keywords&gt;&lt;dates&gt;&lt;year&gt;1996&lt;/year&gt;&lt;/dates&gt;&lt;publisher&gt;Springer Netherlands&lt;/publisher&gt;&lt;isbn&gt;0018-8158&lt;/isbn&gt;&lt;urls&gt;&lt;related-urls&gt;&lt;url&gt;http://dx.doi.org/10.1007/BF00143752&lt;/url&gt;&lt;/related-urls&gt;&lt;/urls&gt;&lt;electronic-resource-num&gt;10.1007/bf00143752&lt;/electronic-resource-num&gt;&lt;/record&gt;&lt;/Cite&gt;&lt;/EndNote&gt;</w:instrText>
      </w:r>
      <w:r w:rsidR="00D20FAE">
        <w:fldChar w:fldCharType="separate"/>
      </w:r>
      <w:r w:rsidR="006171E9">
        <w:rPr>
          <w:noProof/>
        </w:rPr>
        <w:t>(</w:t>
      </w:r>
      <w:hyperlink w:anchor="_ENREF_39" w:tooltip="Humphries, 1996 #3298" w:history="1">
        <w:r w:rsidR="006810E6">
          <w:rPr>
            <w:noProof/>
          </w:rPr>
          <w:t>Humphries 1996</w:t>
        </w:r>
      </w:hyperlink>
      <w:r w:rsidR="006171E9">
        <w:rPr>
          <w:noProof/>
        </w:rPr>
        <w:t>)</w:t>
      </w:r>
      <w:r w:rsidR="00D20FAE">
        <w:fldChar w:fldCharType="end"/>
      </w:r>
      <w:r>
        <w:t xml:space="preserve">, and calling and spawning locations for frogs </w:t>
      </w:r>
      <w:r w:rsidR="00D20FAE">
        <w:fldChar w:fldCharType="begin"/>
      </w:r>
      <w:r w:rsidR="006171E9">
        <w:instrText xml:space="preserve"> ADDIN EN.CITE &lt;EndNote&gt;&lt;Cite&gt;&lt;Author&gt;Wassens&lt;/Author&gt;&lt;Year&gt;2010&lt;/Year&gt;&lt;RecNum&gt;3063&lt;/RecNum&gt;&lt;DisplayText&gt;(Wassens, Hall&lt;style face="italic"&gt; et al.&lt;/style&gt; 2010)&lt;/DisplayText&gt;&lt;record&gt;&lt;rec-number&gt;3063&lt;/rec-number&gt;&lt;foreign-keys&gt;&lt;key app="EN" db-id="vxxvsda2b05fxpeaw2dp552mtrd5trxdrf0s"&gt;3063&lt;/key&gt;&lt;/foreign-keys&gt;&lt;ref-type name="Journal Article"&gt;17&lt;/ref-type&gt;&lt;contributors&gt;&lt;authors&gt;&lt;author&gt;Wassens, S.&lt;/author&gt;&lt;author&gt;Hall, A.&lt;/author&gt;&lt;author&gt;Osborne, W.&lt;/author&gt;&lt;author&gt;Watts, R. J.&lt;/author&gt;&lt;/authors&gt;&lt;/contributors&gt;&lt;titles&gt;&lt;title&gt;Habitat characteristics predict occupancy patterns of the endangered amphibian Litoria raniformis in flow-regulated flood plain wetlands&lt;/title&gt;&lt;secondary-title&gt;Austral Ecology&lt;/secondary-title&gt;&lt;/titles&gt;&lt;periodical&gt;&lt;full-title&gt;Austral Ecology&lt;/full-title&gt;&lt;/periodical&gt;&lt;pages&gt;944-955&lt;/pages&gt;&lt;volume&gt;35&lt;/volume&gt;&lt;number&gt;8&lt;/number&gt;&lt;keywords&gt;&lt;keyword&gt;amphibian decline&lt;/keyword&gt;&lt;keyword&gt;habitat selection&lt;/keyword&gt;&lt;keyword&gt;Litoria raniformis&lt;/keyword&gt;&lt;keyword&gt;logistic regression&lt;/keyword&gt;&lt;keyword&gt;river regulation&lt;/keyword&gt;&lt;/keywords&gt;&lt;dates&gt;&lt;year&gt;2010&lt;/year&gt;&lt;/dates&gt;&lt;publisher&gt;Blackwell Publishing Asia&lt;/publisher&gt;&lt;isbn&gt;1442-9993&lt;/isbn&gt;&lt;urls&gt;&lt;related-urls&gt;&lt;url&gt;http://dx.doi.org/10.1111/j.1442-9993.2010.02106.x&lt;/url&gt;&lt;/related-urls&gt;&lt;/urls&gt;&lt;electronic-resource-num&gt;10.1111/j.1442-9993.2010.02106.x&lt;/electronic-resource-num&gt;&lt;/record&gt;&lt;/Cite&gt;&lt;/EndNote&gt;</w:instrText>
      </w:r>
      <w:r w:rsidR="00D20FAE">
        <w:fldChar w:fldCharType="separate"/>
      </w:r>
      <w:r w:rsidR="006171E9">
        <w:rPr>
          <w:noProof/>
        </w:rPr>
        <w:t>(</w:t>
      </w:r>
      <w:hyperlink w:anchor="_ENREF_104" w:tooltip="Wassens, 2010 #3063" w:history="1">
        <w:r w:rsidR="006810E6">
          <w:rPr>
            <w:noProof/>
          </w:rPr>
          <w:t>Wassens, Hall</w:t>
        </w:r>
        <w:r w:rsidR="006810E6" w:rsidRPr="006171E9">
          <w:rPr>
            <w:i/>
            <w:noProof/>
          </w:rPr>
          <w:t xml:space="preserve"> et al.</w:t>
        </w:r>
        <w:r w:rsidR="006810E6">
          <w:rPr>
            <w:noProof/>
          </w:rPr>
          <w:t xml:space="preserve"> 2010</w:t>
        </w:r>
      </w:hyperlink>
      <w:r w:rsidR="006171E9">
        <w:rPr>
          <w:noProof/>
        </w:rPr>
        <w:t>)</w:t>
      </w:r>
      <w:r w:rsidR="00D20FAE">
        <w:fldChar w:fldCharType="end"/>
      </w:r>
      <w:r>
        <w:t xml:space="preserve">. Aquatic vegetation also supports wetland nutrient cycling, food webs and zooplankton communities </w:t>
      </w:r>
      <w:r w:rsidR="00D20FAE">
        <w:fldChar w:fldCharType="begin"/>
      </w:r>
      <w:r w:rsidR="006171E9">
        <w:instrText xml:space="preserve"> ADDIN EN.CITE &lt;EndNote&gt;&lt;Cite&gt;&lt;Author&gt;Warfe&lt;/Author&gt;&lt;Year&gt;2006&lt;/Year&gt;&lt;RecNum&gt;3299&lt;/RecNum&gt;&lt;DisplayText&gt;(Warfe and Barmuta 2006)&lt;/DisplayText&gt;&lt;record&gt;&lt;rec-number&gt;3299&lt;/rec-number&gt;&lt;foreign-keys&gt;&lt;key app="EN" db-id="vxxvsda2b05fxpeaw2dp552mtrd5trxdrf0s"&gt;3299&lt;/key&gt;&lt;/foreign-keys&gt;&lt;ref-type name="Journal Article"&gt;17&lt;/ref-type&gt;&lt;contributors&gt;&lt;authors&gt;&lt;author&gt;Warfe, Danielle&lt;/author&gt;&lt;author&gt;Barmuta, Leon&lt;/author&gt;&lt;/authors&gt;&lt;/contributors&gt;&lt;titles&gt;&lt;title&gt;Habitat structural complexity mediates food web dynamics in a freshwater macrophyte community&lt;/title&gt;&lt;secondary-title&gt;Oecologia&lt;/secondary-title&gt;&lt;/titles&gt;&lt;periodical&gt;&lt;full-title&gt;Oecologia&lt;/full-title&gt;&lt;/periodical&gt;&lt;pages&gt;141-154&lt;/pages&gt;&lt;volume&gt;150&lt;/volume&gt;&lt;number&gt;1&lt;/number&gt;&lt;keywords&gt;&lt;keyword&gt;Biomedical and Life Sciences&lt;/keyword&gt;&lt;/keywords&gt;&lt;dates&gt;&lt;year&gt;2006&lt;/year&gt;&lt;/dates&gt;&lt;publisher&gt;Springer Berlin / Heidelberg&lt;/publisher&gt;&lt;isbn&gt;0029-8549&lt;/isbn&gt;&lt;urls&gt;&lt;related-urls&gt;&lt;url&gt;http://dx.doi.org/10.1007/s00442-006-0505-1&lt;/url&gt;&lt;/related-urls&gt;&lt;/urls&gt;&lt;electronic-resource-num&gt;10.1007/s00442-006-0505-1&lt;/electronic-resource-num&gt;&lt;/record&gt;&lt;/Cite&gt;&lt;/EndNote&gt;</w:instrText>
      </w:r>
      <w:r w:rsidR="00D20FAE">
        <w:fldChar w:fldCharType="separate"/>
      </w:r>
      <w:r w:rsidR="006171E9">
        <w:rPr>
          <w:noProof/>
        </w:rPr>
        <w:t>(</w:t>
      </w:r>
      <w:hyperlink w:anchor="_ENREF_102" w:tooltip="Warfe, 2006 #3299" w:history="1">
        <w:r w:rsidR="006810E6">
          <w:rPr>
            <w:noProof/>
          </w:rPr>
          <w:t>Warfe and Barmuta 2006</w:t>
        </w:r>
      </w:hyperlink>
      <w:r w:rsidR="006171E9">
        <w:rPr>
          <w:noProof/>
        </w:rPr>
        <w:t>)</w:t>
      </w:r>
      <w:r w:rsidR="00D20FAE">
        <w:fldChar w:fldCharType="end"/>
      </w:r>
      <w:r>
        <w:t>.</w:t>
      </w:r>
    </w:p>
    <w:p w:rsidR="00625CBE" w:rsidRPr="00CF571F" w:rsidRDefault="00625CBE" w:rsidP="00625CBE">
      <w:r>
        <w:t>When a wetland is inundated the change in vegetation communities can be driven by three key mechanisms: 1) growth and flowering of existing vegetation present in the wetland, 2) sprouting from underground rhizomes</w:t>
      </w:r>
      <w:r w:rsidRPr="00E85F94">
        <w:t xml:space="preserve"> </w:t>
      </w:r>
      <w:r>
        <w:t xml:space="preserve">and 3) germination from seed. </w:t>
      </w:r>
      <w:r w:rsidR="00C20DB4">
        <w:t>Growt</w:t>
      </w:r>
      <w:r>
        <w:t xml:space="preserve">h of existing vegetation and sprouting from rhizomes allows for a more rapid increase in cover than germination and growth of seedlings </w:t>
      </w:r>
      <w:r w:rsidRPr="00CF571F">
        <w:t>(</w:t>
      </w:r>
      <w:fldSimple w:instr=" REF _Ref368562845 \h  \* MERGEFORMAT ">
        <w:r w:rsidR="00436595" w:rsidRPr="00436595">
          <w:t xml:space="preserve">Plate </w:t>
        </w:r>
        <w:r w:rsidR="00436595" w:rsidRPr="00436595">
          <w:rPr>
            <w:noProof/>
          </w:rPr>
          <w:t>14</w:t>
        </w:r>
      </w:fldSimple>
      <w:r w:rsidRPr="00CF571F">
        <w:t xml:space="preserve">). </w:t>
      </w:r>
    </w:p>
    <w:p w:rsidR="00625CBE" w:rsidRDefault="00625CBE" w:rsidP="00625CBE">
      <w:r>
        <w:t xml:space="preserve">Extended dry periods can </w:t>
      </w:r>
      <w:r w:rsidRPr="007F4D9D">
        <w:t>reduce</w:t>
      </w:r>
      <w:r>
        <w:t xml:space="preserve"> the ability of aquatic vegetation to respond to environmental watering. Most aquatic and semi-aquatic species that occur in s</w:t>
      </w:r>
      <w:r w:rsidR="00C20DB4">
        <w:t xml:space="preserve">emi-permanent wetlands will die </w:t>
      </w:r>
      <w:r>
        <w:t xml:space="preserve">back after a few months of being dry, and rhizomes of spike rush </w:t>
      </w:r>
      <w:r>
        <w:rPr>
          <w:i/>
        </w:rPr>
        <w:t>Eleocharis</w:t>
      </w:r>
      <w:r>
        <w:t xml:space="preserve"> spp. (a dominant species in wetland</w:t>
      </w:r>
      <w:r w:rsidR="00F10D5E">
        <w:t>s</w:t>
      </w:r>
      <w:r>
        <w:t xml:space="preserve"> of the Murrumbidgee) will perish after three to four years </w:t>
      </w:r>
      <w:r w:rsidR="00D20FAE">
        <w:fldChar w:fldCharType="begin"/>
      </w:r>
      <w:r w:rsidR="006171E9">
        <w:instrText xml:space="preserve"> ADDIN EN.CITE &lt;EndNote&gt;&lt;Cite&gt;&lt;Author&gt;Reid&lt;/Author&gt;&lt;Year&gt;2011&lt;/Year&gt;&lt;RecNum&gt;3360&lt;/RecNum&gt;&lt;DisplayText&gt;(Reid and Capon 2011)&lt;/DisplayText&gt;&lt;record&gt;&lt;rec-number&gt;3360&lt;/rec-number&gt;&lt;foreign-keys&gt;&lt;key app="EN" db-id="vxxvsda2b05fxpeaw2dp552mtrd5trxdrf0s"&gt;3360&lt;/key&gt;&lt;/foreign-keys&gt;&lt;ref-type name="Journal Article"&gt;17&lt;/ref-type&gt;&lt;contributors&gt;&lt;authors&gt;&lt;author&gt;Reid, Michael&lt;/author&gt;&lt;author&gt;Capon, Samantha&lt;/author&gt;&lt;/authors&gt;&lt;/contributors&gt;&lt;titles&gt;&lt;title&gt;Role of the soil seed bank in vegetation responses to environmental flows on a drought-affected floodplain&lt;/title&gt;&lt;secondary-title&gt;River Systems&lt;/secondary-title&gt;&lt;/titles&gt;&lt;periodical&gt;&lt;full-title&gt;River Systems&lt;/full-title&gt;&lt;/periodical&gt;&lt;pages&gt;249-259&lt;/pages&gt;&lt;volume&gt;19&lt;/volume&gt;&lt;number&gt;3&lt;/number&gt;&lt;keywords&gt;&lt;keyword&gt;ENVIRONMENTAL FLOWS&lt;/keyword&gt;&lt;keyword&gt;FLOODING&lt;/keyword&gt;&lt;keyword&gt;GERMINATION&lt;/keyword&gt;&lt;keyword&gt;VEGETATION REGENERATION&lt;/keyword&gt;&lt;keyword&gt;WETLANDS&lt;/keyword&gt;&lt;/keywords&gt;&lt;dates&gt;&lt;year&gt;2011&lt;/year&gt;&lt;pub-dates&gt;&lt;date&gt;//&lt;/date&gt;&lt;/pub-dates&gt;&lt;/dates&gt;&lt;urls&gt;&lt;related-urls&gt;&lt;url&gt;http://www.ingentaconnect.com/content/schweiz/rs/2011/00000019/00000003/art00008&lt;/url&gt;&lt;url&gt;http://dx.doi.org/10.1127/1868-5749/2011/019-0022&lt;/url&gt;&lt;/related-urls&gt;&lt;/urls&gt;&lt;electronic-resource-num&gt;10.1127/1868-5749/2011/019-0022&lt;/electronic-resource-num&gt;&lt;/record&gt;&lt;/Cite&gt;&lt;/EndNote&gt;</w:instrText>
      </w:r>
      <w:r w:rsidR="00D20FAE">
        <w:fldChar w:fldCharType="separate"/>
      </w:r>
      <w:r w:rsidR="006171E9">
        <w:rPr>
          <w:noProof/>
        </w:rPr>
        <w:t>(</w:t>
      </w:r>
      <w:hyperlink w:anchor="_ENREF_81" w:tooltip="Reid, 2011 #3360" w:history="1">
        <w:r w:rsidR="006810E6">
          <w:rPr>
            <w:noProof/>
          </w:rPr>
          <w:t>Reid and Capon 2011</w:t>
        </w:r>
      </w:hyperlink>
      <w:r w:rsidR="006171E9">
        <w:rPr>
          <w:noProof/>
        </w:rPr>
        <w:t>)</w:t>
      </w:r>
      <w:r w:rsidR="00D20FAE">
        <w:fldChar w:fldCharType="end"/>
      </w:r>
      <w:r>
        <w:t xml:space="preserve">. Depending on the species, seeds of wetland plants can remain viable for between five and 10 years </w:t>
      </w:r>
      <w:r w:rsidR="00D20FAE">
        <w:fldChar w:fldCharType="begin">
          <w:fldData xml:space="preserve">PEVuZE5vdGU+PENpdGU+PEF1dGhvcj5Ccm9jazwvQXV0aG9yPjxZZWFyPjIwMDM8L1llYXI+PFJl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==
</w:fldData>
        </w:fldChar>
      </w:r>
      <w:r w:rsidR="006171E9">
        <w:instrText xml:space="preserve"> ADDIN EN.CITE </w:instrText>
      </w:r>
      <w:r w:rsidR="00D20FAE">
        <w:fldChar w:fldCharType="begin">
          <w:fldData xml:space="preserve">PEVuZE5vdGU+PENpdGU+PEF1dGhvcj5Ccm9jazwvQXV0aG9yPjxZZWFyPjIwMDM8L1llYXI+PFJl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==
</w:fldData>
        </w:fldChar>
      </w:r>
      <w:r w:rsidR="006171E9">
        <w:instrText xml:space="preserve"> ADDIN EN.CITE.DATA </w:instrText>
      </w:r>
      <w:r w:rsidR="00D20FAE">
        <w:fldChar w:fldCharType="end"/>
      </w:r>
      <w:r w:rsidR="00D20FAE">
        <w:fldChar w:fldCharType="separate"/>
      </w:r>
      <w:r w:rsidR="006171E9">
        <w:rPr>
          <w:noProof/>
        </w:rPr>
        <w:t>(</w:t>
      </w:r>
      <w:hyperlink w:anchor="_ENREF_20" w:tooltip="Brock, 2003 #3165" w:history="1">
        <w:r w:rsidR="006810E6">
          <w:rPr>
            <w:noProof/>
          </w:rPr>
          <w:t>Brock, Nielsen</w:t>
        </w:r>
        <w:r w:rsidR="006810E6" w:rsidRPr="006171E9">
          <w:rPr>
            <w:i/>
            <w:noProof/>
          </w:rPr>
          <w:t xml:space="preserve"> et al.</w:t>
        </w:r>
        <w:r w:rsidR="006810E6">
          <w:rPr>
            <w:noProof/>
          </w:rPr>
          <w:t xml:space="preserve"> 2003</w:t>
        </w:r>
      </w:hyperlink>
      <w:r w:rsidR="006171E9">
        <w:rPr>
          <w:noProof/>
        </w:rPr>
        <w:t xml:space="preserve">, </w:t>
      </w:r>
      <w:hyperlink w:anchor="_ENREF_98" w:tooltip="Tuckett, 2010 #3164" w:history="1">
        <w:r w:rsidR="006810E6">
          <w:rPr>
            <w:noProof/>
          </w:rPr>
          <w:t>Tuckett, Merritt</w:t>
        </w:r>
        <w:r w:rsidR="006810E6" w:rsidRPr="006171E9">
          <w:rPr>
            <w:i/>
            <w:noProof/>
          </w:rPr>
          <w:t xml:space="preserve"> et al.</w:t>
        </w:r>
        <w:r w:rsidR="006810E6">
          <w:rPr>
            <w:noProof/>
          </w:rPr>
          <w:t xml:space="preserve"> 2010</w:t>
        </w:r>
      </w:hyperlink>
      <w:r w:rsidR="006171E9">
        <w:rPr>
          <w:noProof/>
        </w:rPr>
        <w:t>)</w:t>
      </w:r>
      <w:r w:rsidR="00D20FAE">
        <w:fldChar w:fldCharType="end"/>
      </w:r>
      <w:r w:rsidRPr="007F4D9D">
        <w:t xml:space="preserve">. </w:t>
      </w:r>
      <w:r>
        <w:t>This all means that the longer wetlands have remained dry, the slower their recovery can be. In particular</w:t>
      </w:r>
      <w:r w:rsidR="00C20DB4">
        <w:t>,</w:t>
      </w:r>
      <w:r>
        <w:t xml:space="preserve"> the diversity and percent cover of aquatic and semi-aquatic vegetation after environmental watering is likely to be lower in wetlands that have remained dry the longest. </w:t>
      </w:r>
    </w:p>
    <w:p w:rsidR="00625CBE" w:rsidRDefault="00625CBE" w:rsidP="00625CBE">
      <w:r>
        <w:t xml:space="preserve">Long-term environmental watering strategies typically seek to maintain the viability of aquatic vegetation communities by ensuring that viable rhizomes and healthy seed banks are maintained, which is usually achieved through regular watering. However, severe drought conditions in the Murrumbidgee Catchment through 2001-2009 coupled with consumptive water demand meant that it was not possible to maintain the natural inundation frequencies for the mid-Murrumbidgee wetlands. Historically these wetlands would have filled every year but </w:t>
      </w:r>
      <w:r w:rsidR="00F10D5E">
        <w:t xml:space="preserve">they </w:t>
      </w:r>
      <w:r>
        <w:t xml:space="preserve">remained dry or only filled once between 2000 and 2009. </w:t>
      </w:r>
    </w:p>
    <w:p w:rsidR="00625CBE" w:rsidRDefault="00625CBE" w:rsidP="00625CBE"/>
    <w:p w:rsidR="00625CBE" w:rsidRDefault="0087202F" w:rsidP="00625CBE">
      <w:r>
        <w:rPr>
          <w:noProof/>
          <w:lang w:eastAsia="en-AU"/>
        </w:rPr>
        <w:drawing>
          <wp:inline distT="0" distB="0" distL="0" distR="0">
            <wp:extent cx="3886200" cy="2514600"/>
            <wp:effectExtent l="19050" t="0" r="0" b="0"/>
            <wp:docPr id="60" name="Picture 60" descr="mercedesdec2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ercedesdec20075"/>
                    <pic:cNvPicPr>
                      <a:picLocks noChangeAspect="1" noChangeArrowheads="1"/>
                    </pic:cNvPicPr>
                  </pic:nvPicPr>
                  <pic:blipFill>
                    <a:blip r:embed="rId133" cstate="print"/>
                    <a:srcRect/>
                    <a:stretch>
                      <a:fillRect/>
                    </a:stretch>
                  </pic:blipFill>
                  <pic:spPr bwMode="auto">
                    <a:xfrm>
                      <a:off x="0" y="0"/>
                      <a:ext cx="3886200" cy="2514600"/>
                    </a:xfrm>
                    <a:prstGeom prst="rect">
                      <a:avLst/>
                    </a:prstGeom>
                    <a:noFill/>
                    <a:ln w="9525">
                      <a:noFill/>
                      <a:miter lim="800000"/>
                      <a:headEnd/>
                      <a:tailEnd/>
                    </a:ln>
                  </pic:spPr>
                </pic:pic>
              </a:graphicData>
            </a:graphic>
          </wp:inline>
        </w:drawing>
      </w:r>
      <w:r>
        <w:rPr>
          <w:noProof/>
          <w:lang w:eastAsia="en-AU"/>
        </w:rPr>
        <w:drawing>
          <wp:inline distT="0" distB="0" distL="0" distR="0">
            <wp:extent cx="3886200" cy="2418080"/>
            <wp:effectExtent l="19050" t="0" r="0" b="0"/>
            <wp:docPr id="61" name="Picture 61" descr="IMG_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_1059"/>
                    <pic:cNvPicPr>
                      <a:picLocks noChangeAspect="1" noChangeArrowheads="1"/>
                    </pic:cNvPicPr>
                  </pic:nvPicPr>
                  <pic:blipFill>
                    <a:blip r:embed="rId134" cstate="print"/>
                    <a:srcRect/>
                    <a:stretch>
                      <a:fillRect/>
                    </a:stretch>
                  </pic:blipFill>
                  <pic:spPr bwMode="auto">
                    <a:xfrm>
                      <a:off x="0" y="0"/>
                      <a:ext cx="3886200" cy="2418080"/>
                    </a:xfrm>
                    <a:prstGeom prst="rect">
                      <a:avLst/>
                    </a:prstGeom>
                    <a:noFill/>
                    <a:ln w="9525">
                      <a:noFill/>
                      <a:miter lim="800000"/>
                      <a:headEnd/>
                      <a:tailEnd/>
                    </a:ln>
                  </pic:spPr>
                </pic:pic>
              </a:graphicData>
            </a:graphic>
          </wp:inline>
        </w:drawing>
      </w:r>
    </w:p>
    <w:p w:rsidR="00625CBE" w:rsidRDefault="00625CBE" w:rsidP="00625CBE">
      <w:pPr>
        <w:pStyle w:val="Subtitle"/>
      </w:pPr>
      <w:bookmarkStart w:id="378" w:name="_Ref368562845"/>
      <w:bookmarkStart w:id="379" w:name="_Toc370738836"/>
      <w:r w:rsidRPr="00747E0A">
        <w:rPr>
          <w:b/>
        </w:rPr>
        <w:t xml:space="preserve">Plate </w:t>
      </w:r>
      <w:r w:rsidR="00D20FAE" w:rsidRPr="00747E0A">
        <w:rPr>
          <w:b/>
        </w:rPr>
        <w:fldChar w:fldCharType="begin"/>
      </w:r>
      <w:r w:rsidRPr="00747E0A">
        <w:rPr>
          <w:b/>
        </w:rPr>
        <w:instrText xml:space="preserve"> SEQ Plate \* ARABIC </w:instrText>
      </w:r>
      <w:r w:rsidR="00D20FAE" w:rsidRPr="00747E0A">
        <w:rPr>
          <w:b/>
        </w:rPr>
        <w:fldChar w:fldCharType="separate"/>
      </w:r>
      <w:r w:rsidR="00436595">
        <w:rPr>
          <w:b/>
          <w:noProof/>
        </w:rPr>
        <w:t>14</w:t>
      </w:r>
      <w:r w:rsidR="00D20FAE" w:rsidRPr="00747E0A">
        <w:rPr>
          <w:b/>
        </w:rPr>
        <w:fldChar w:fldCharType="end"/>
      </w:r>
      <w:bookmarkEnd w:id="378"/>
      <w:r>
        <w:t xml:space="preserve"> Example of rapid growth of tall spike rush (</w:t>
      </w:r>
      <w:r w:rsidRPr="00D404A4">
        <w:rPr>
          <w:i/>
        </w:rPr>
        <w:t>Eleocharsis spaculata</w:t>
      </w:r>
      <w:r>
        <w:t>) from rhizomes in Yanga national park</w:t>
      </w:r>
      <w:r w:rsidR="00C20DB4">
        <w:t>:</w:t>
      </w:r>
      <w:r>
        <w:t xml:space="preserve"> Mercedes swamp December 2007 </w:t>
      </w:r>
      <w:r w:rsidR="00C20DB4">
        <w:t xml:space="preserve">(Top) </w:t>
      </w:r>
      <w:r>
        <w:t xml:space="preserve">and Mercedes swamp in January 2008 </w:t>
      </w:r>
      <w:r w:rsidR="00C20DB4">
        <w:t>(Bottom)</w:t>
      </w:r>
      <w:r w:rsidR="00C20DB4" w:rsidRPr="007B1FA6">
        <w:t xml:space="preserve"> </w:t>
      </w:r>
      <w:r>
        <w:t>three weeks after environmental watering.</w:t>
      </w:r>
      <w:bookmarkEnd w:id="379"/>
      <w:r>
        <w:t xml:space="preserve"> </w:t>
      </w:r>
    </w:p>
    <w:p w:rsidR="00625CBE" w:rsidRDefault="00625CBE" w:rsidP="00625CBE"/>
    <w:p w:rsidR="00625CBE" w:rsidRDefault="00C20DB4" w:rsidP="00625CBE">
      <w:r>
        <w:t>S</w:t>
      </w:r>
      <w:r w:rsidR="00625CBE">
        <w:t xml:space="preserve">ince the mid-Murrumbidgee wetlands refilled naturally in 2010, the recovery of aquatic vegetation communities has been very slow. </w:t>
      </w:r>
      <w:r w:rsidR="00625CBE" w:rsidRPr="007F4D9D">
        <w:t>Environmental releases targeting wetlands in the mid-Murrumbidgee region in 2011 were successful in promoting some recovery of aquatic and semi-aquatic vegetation</w:t>
      </w:r>
      <w:r w:rsidR="00625CBE">
        <w:t xml:space="preserve"> </w:t>
      </w:r>
      <w:r w:rsidR="00D20FAE">
        <w:fldChar w:fldCharType="begin"/>
      </w:r>
      <w:r w:rsidR="006171E9">
        <w:instrText xml:space="preserve"> ADDIN EN.CITE &lt;EndNote&gt;&lt;Cite&gt;&lt;Author&gt;Wassens&lt;/Author&gt;&lt;Year&gt;2012&lt;/Year&gt;&lt;RecNum&gt;3272&lt;/RecNum&gt;&lt;DisplayText&gt;(Wassens, Watts&lt;style face="italic"&gt; et al.&lt;/style&gt; 2012)&lt;/DisplayText&gt;&lt;record&gt;&lt;rec-number&gt;3272&lt;/rec-number&gt;&lt;foreign-keys&gt;&lt;key app="EN" db-id="vxxvsda2b05fxpeaw2dp552mtrd5trxdrf0s"&gt;3272&lt;/key&gt;&lt;/foreign-keys&gt;&lt;ref-type name="Book"&gt;6&lt;/ref-type&gt;&lt;contributors&gt;&lt;authors&gt;&lt;author&gt;Wassens, S.&lt;/author&gt;&lt;author&gt;Watts, R. 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system&lt;/title&gt;&lt;/titles&gt;&lt;dates&gt;&lt;year&gt;2012&lt;/year&gt;&lt;/dates&gt;&lt;pub-location&gt;Albury&lt;/pub-location&gt;&lt;publisher&gt;Institute for Land, Water and Society, Charles Sturt University&lt;/publisher&gt;&lt;urls&gt;&lt;related-urls&gt;&lt;url&gt;http://www.environment.gov.au/ewater/publications/pubs/ecosystem-response-monitoring-murrumbidgee-2.pdf&lt;/url&gt;&lt;/related-urls&gt;&lt;/urls&gt;&lt;/record&gt;&lt;/Cite&gt;&lt;/EndNote&gt;</w:instrText>
      </w:r>
      <w:r w:rsidR="00D20FAE">
        <w:fldChar w:fldCharType="separate"/>
      </w:r>
      <w:r w:rsidR="006171E9">
        <w:rPr>
          <w:noProof/>
        </w:rPr>
        <w:t>(</w:t>
      </w:r>
      <w:hyperlink w:anchor="_ENREF_106" w:tooltip="Wassens, 2012 #3272" w:history="1">
        <w:r w:rsidR="006810E6">
          <w:rPr>
            <w:noProof/>
          </w:rPr>
          <w:t>Wassens, Watts</w:t>
        </w:r>
        <w:r w:rsidR="006810E6" w:rsidRPr="006171E9">
          <w:rPr>
            <w:i/>
            <w:noProof/>
          </w:rPr>
          <w:t xml:space="preserve"> et al.</w:t>
        </w:r>
        <w:r w:rsidR="006810E6">
          <w:rPr>
            <w:noProof/>
          </w:rPr>
          <w:t xml:space="preserve"> 2012</w:t>
        </w:r>
      </w:hyperlink>
      <w:r w:rsidR="006171E9">
        <w:rPr>
          <w:noProof/>
        </w:rPr>
        <w:t>)</w:t>
      </w:r>
      <w:r w:rsidR="00D20FAE">
        <w:fldChar w:fldCharType="end"/>
      </w:r>
      <w:r w:rsidR="00625CBE" w:rsidRPr="007F4D9D">
        <w:t xml:space="preserve">.  </w:t>
      </w:r>
      <w:r w:rsidR="00625CBE">
        <w:t xml:space="preserve">Ideally the mid-Murrumbidgee wetlands would have been </w:t>
      </w:r>
      <w:r w:rsidR="00F10D5E">
        <w:t xml:space="preserve">targeted </w:t>
      </w:r>
      <w:r w:rsidR="00625CBE">
        <w:t xml:space="preserve">again with environmental watering in 2012 to sustain the recovery of aquatic vegetation communities. </w:t>
      </w:r>
    </w:p>
    <w:p w:rsidR="00C20DB4" w:rsidRPr="007F4D9D" w:rsidRDefault="00C20DB4" w:rsidP="00625CBE"/>
    <w:p w:rsidR="00625CBE" w:rsidRPr="00F5009B" w:rsidRDefault="00850214" w:rsidP="00850214">
      <w:pPr>
        <w:pStyle w:val="Heading2"/>
      </w:pPr>
      <w:r>
        <w:t xml:space="preserve"> </w:t>
      </w:r>
      <w:bookmarkStart w:id="380" w:name="_Toc370299233"/>
      <w:bookmarkStart w:id="381" w:name="_Toc370738837"/>
      <w:bookmarkStart w:id="382" w:name="_Toc378168576"/>
      <w:r w:rsidR="00625CBE" w:rsidRPr="00F5009B">
        <w:t>Methods</w:t>
      </w:r>
      <w:bookmarkEnd w:id="380"/>
      <w:bookmarkEnd w:id="381"/>
      <w:bookmarkEnd w:id="382"/>
    </w:p>
    <w:p w:rsidR="00625CBE" w:rsidRDefault="00625CBE" w:rsidP="00625CBE">
      <w:pPr>
        <w:rPr>
          <w:rFonts w:cs="Calibri"/>
        </w:rPr>
      </w:pPr>
      <w:r>
        <w:rPr>
          <w:rFonts w:cs="Calibri"/>
        </w:rPr>
        <w:t>M</w:t>
      </w:r>
      <w:r w:rsidRPr="007C6BB5">
        <w:rPr>
          <w:rFonts w:cs="Calibri"/>
        </w:rPr>
        <w:t xml:space="preserve">onitoring </w:t>
      </w:r>
      <w:r>
        <w:rPr>
          <w:rFonts w:cs="Calibri"/>
        </w:rPr>
        <w:t xml:space="preserve">of vegetation </w:t>
      </w:r>
      <w:r w:rsidRPr="007C6BB5">
        <w:rPr>
          <w:rFonts w:cs="Calibri"/>
        </w:rPr>
        <w:t>follow</w:t>
      </w:r>
      <w:r>
        <w:rPr>
          <w:rFonts w:cs="Calibri"/>
        </w:rPr>
        <w:t xml:space="preserve">s the </w:t>
      </w:r>
      <w:r w:rsidRPr="007C6BB5">
        <w:rPr>
          <w:rFonts w:cs="Calibri"/>
        </w:rPr>
        <w:t xml:space="preserve">methods used previously in the mid- </w:t>
      </w:r>
      <w:smartTag w:uri="urn:schemas-microsoft-com:office:smarttags" w:element="place">
        <w:r w:rsidRPr="007C6BB5">
          <w:rPr>
            <w:rFonts w:cs="Calibri"/>
          </w:rPr>
          <w:t>Murrumbidgee</w:t>
        </w:r>
      </w:smartTag>
      <w:r w:rsidRPr="007C6BB5">
        <w:rPr>
          <w:rFonts w:cs="Calibri"/>
        </w:rPr>
        <w:t xml:space="preserve"> by Wassens </w:t>
      </w:r>
      <w:r w:rsidRPr="007C6BB5">
        <w:rPr>
          <w:rFonts w:cs="Calibri"/>
          <w:i/>
        </w:rPr>
        <w:t xml:space="preserve">et al. </w:t>
      </w:r>
      <w:r w:rsidRPr="007C6BB5">
        <w:rPr>
          <w:rFonts w:cs="Calibri"/>
        </w:rPr>
        <w:t>(2012)</w:t>
      </w:r>
      <w:r>
        <w:rPr>
          <w:rFonts w:cs="Calibri"/>
        </w:rPr>
        <w:t xml:space="preserve">. </w:t>
      </w:r>
      <w:r w:rsidRPr="007C6BB5">
        <w:rPr>
          <w:rFonts w:cs="Calibri"/>
        </w:rPr>
        <w:t xml:space="preserve">Vegetation </w:t>
      </w:r>
      <w:r>
        <w:rPr>
          <w:rFonts w:cs="Calibri"/>
        </w:rPr>
        <w:t xml:space="preserve">species </w:t>
      </w:r>
      <w:r w:rsidRPr="007C6BB5">
        <w:rPr>
          <w:rFonts w:cs="Calibri"/>
        </w:rPr>
        <w:t xml:space="preserve">and </w:t>
      </w:r>
      <w:r>
        <w:rPr>
          <w:rFonts w:cs="Calibri"/>
        </w:rPr>
        <w:t xml:space="preserve">their </w:t>
      </w:r>
      <w:r w:rsidRPr="007C6BB5">
        <w:rPr>
          <w:rFonts w:cs="Calibri"/>
        </w:rPr>
        <w:t>percen</w:t>
      </w:r>
      <w:r>
        <w:rPr>
          <w:rFonts w:cs="Calibri"/>
        </w:rPr>
        <w:t xml:space="preserve">t cover </w:t>
      </w:r>
      <w:r w:rsidR="001B56D9">
        <w:rPr>
          <w:rFonts w:cs="Calibri"/>
        </w:rPr>
        <w:t>were</w:t>
      </w:r>
      <w:r>
        <w:rPr>
          <w:rFonts w:cs="Calibri"/>
        </w:rPr>
        <w:t xml:space="preserve"> assessed at 11</w:t>
      </w:r>
      <w:r w:rsidRPr="007C6BB5">
        <w:rPr>
          <w:rFonts w:cs="Calibri"/>
        </w:rPr>
        <w:t xml:space="preserve"> (</w:t>
      </w:r>
      <w:r>
        <w:rPr>
          <w:rFonts w:cs="Calibri"/>
        </w:rPr>
        <w:t xml:space="preserve">eight </w:t>
      </w:r>
      <w:r w:rsidRPr="007C6BB5">
        <w:rPr>
          <w:rFonts w:cs="Calibri"/>
        </w:rPr>
        <w:t xml:space="preserve">treatment plus </w:t>
      </w:r>
      <w:r>
        <w:rPr>
          <w:rFonts w:cs="Calibri"/>
        </w:rPr>
        <w:t>three</w:t>
      </w:r>
      <w:r w:rsidRPr="007C6BB5">
        <w:rPr>
          <w:rFonts w:cs="Calibri"/>
        </w:rPr>
        <w:t xml:space="preserve"> control</w:t>
      </w:r>
      <w:r w:rsidRPr="00591E32">
        <w:rPr>
          <w:rFonts w:cs="Calibri"/>
        </w:rPr>
        <w:t xml:space="preserve">) </w:t>
      </w:r>
      <w:r w:rsidRPr="007C6BB5">
        <w:rPr>
          <w:rFonts w:cs="Calibri"/>
        </w:rPr>
        <w:t>wetlands</w:t>
      </w:r>
      <w:r>
        <w:rPr>
          <w:rFonts w:cs="Calibri"/>
        </w:rPr>
        <w:t>,</w:t>
      </w:r>
      <w:r w:rsidRPr="007C6BB5">
        <w:rPr>
          <w:rFonts w:cs="Calibri"/>
        </w:rPr>
        <w:t xml:space="preserve"> </w:t>
      </w:r>
      <w:r>
        <w:rPr>
          <w:rFonts w:cs="Calibri"/>
        </w:rPr>
        <w:t>every two months between</w:t>
      </w:r>
      <w:r w:rsidRPr="007C6BB5">
        <w:rPr>
          <w:rFonts w:cs="Calibri"/>
        </w:rPr>
        <w:t xml:space="preserve"> August 2012 and April 2013. </w:t>
      </w:r>
    </w:p>
    <w:p w:rsidR="00625CBE" w:rsidRPr="00275CDC" w:rsidRDefault="00625CBE" w:rsidP="00625CBE">
      <w:pPr>
        <w:rPr>
          <w:rFonts w:cs="Calibri"/>
        </w:rPr>
      </w:pPr>
      <w:r>
        <w:rPr>
          <w:rFonts w:cs="Calibri"/>
        </w:rPr>
        <w:t>During the surveys, vegetation is assessed at t</w:t>
      </w:r>
      <w:r w:rsidRPr="007C6BB5">
        <w:rPr>
          <w:rFonts w:cs="Calibri"/>
        </w:rPr>
        <w:t>hree permanent</w:t>
      </w:r>
      <w:r>
        <w:rPr>
          <w:rFonts w:cs="Calibri"/>
        </w:rPr>
        <w:t xml:space="preserve">ly marked </w:t>
      </w:r>
      <w:r w:rsidRPr="007C6BB5">
        <w:rPr>
          <w:rFonts w:cs="Calibri"/>
        </w:rPr>
        <w:t>30</w:t>
      </w:r>
      <w:r>
        <w:rPr>
          <w:rFonts w:cs="Calibri"/>
        </w:rPr>
        <w:t xml:space="preserve"> </w:t>
      </w:r>
      <w:r w:rsidRPr="007C6BB5">
        <w:rPr>
          <w:rFonts w:cs="Calibri"/>
        </w:rPr>
        <w:t>m transects</w:t>
      </w:r>
      <w:r>
        <w:rPr>
          <w:rFonts w:cs="Calibri"/>
        </w:rPr>
        <w:t xml:space="preserve"> containing 30</w:t>
      </w:r>
      <w:r w:rsidRPr="007C6BB5">
        <w:rPr>
          <w:rFonts w:cs="Calibri"/>
        </w:rPr>
        <w:t xml:space="preserve"> </w:t>
      </w:r>
      <w:r>
        <w:rPr>
          <w:rFonts w:cs="Calibri"/>
        </w:rPr>
        <w:t>x 1 m</w:t>
      </w:r>
      <w:r w:rsidRPr="00D801A7">
        <w:rPr>
          <w:rFonts w:cs="Calibri"/>
          <w:vertAlign w:val="superscript"/>
        </w:rPr>
        <w:t>2</w:t>
      </w:r>
      <w:r w:rsidR="00F10D5E">
        <w:rPr>
          <w:rFonts w:cs="Calibri"/>
        </w:rPr>
        <w:t xml:space="preserve"> </w:t>
      </w:r>
      <w:r>
        <w:rPr>
          <w:rFonts w:cs="Calibri"/>
        </w:rPr>
        <w:t>quadrats</w:t>
      </w:r>
      <w:r w:rsidR="00C20DB4">
        <w:rPr>
          <w:rFonts w:cs="Calibri"/>
        </w:rPr>
        <w:t>,</w:t>
      </w:r>
      <w:r>
        <w:rPr>
          <w:rFonts w:cs="Calibri"/>
        </w:rPr>
        <w:t xml:space="preserve"> which start at the high water line and run </w:t>
      </w:r>
      <w:r w:rsidRPr="007C6BB5">
        <w:rPr>
          <w:rFonts w:cs="Calibri"/>
        </w:rPr>
        <w:t xml:space="preserve">towards the centre of the wetland. </w:t>
      </w:r>
      <w:r>
        <w:rPr>
          <w:rFonts w:cs="Calibri"/>
        </w:rPr>
        <w:t>Within each 1m</w:t>
      </w:r>
      <w:r>
        <w:rPr>
          <w:rFonts w:cs="Calibri"/>
          <w:vertAlign w:val="superscript"/>
        </w:rPr>
        <w:t>2</w:t>
      </w:r>
      <w:r>
        <w:rPr>
          <w:rFonts w:cs="Calibri"/>
        </w:rPr>
        <w:t xml:space="preserve"> quadrat, each plant </w:t>
      </w:r>
      <w:r w:rsidRPr="007C6BB5">
        <w:rPr>
          <w:rFonts w:cs="Calibri"/>
        </w:rPr>
        <w:t xml:space="preserve">(terrestrial and aquatic) </w:t>
      </w:r>
      <w:r>
        <w:rPr>
          <w:rFonts w:cs="Calibri"/>
        </w:rPr>
        <w:t xml:space="preserve">is identified to species where possible and the percentage of the quadrat covered by that species is recorded </w:t>
      </w:r>
      <w:r w:rsidRPr="007C6BB5">
        <w:rPr>
          <w:rFonts w:cs="Calibri"/>
        </w:rPr>
        <w:t>along with the</w:t>
      </w:r>
      <w:r>
        <w:rPr>
          <w:rFonts w:cs="Calibri"/>
        </w:rPr>
        <w:t xml:space="preserve"> percentage cover of leaf litter, bare ground and open water. </w:t>
      </w:r>
      <w:r>
        <w:t xml:space="preserve">Each species identified was placed into a functional group according to </w:t>
      </w:r>
      <w:r w:rsidR="00D20FAE">
        <w:fldChar w:fldCharType="begin"/>
      </w:r>
      <w:r w:rsidR="006171E9">
        <w:instrText xml:space="preserve"> ADDIN EN.CITE &lt;EndNote&gt;&lt;Cite&gt;&lt;Author&gt;Brock&lt;/Author&gt;&lt;Year&gt;1997&lt;/Year&gt;&lt;RecNum&gt;3417&lt;/RecNum&gt;&lt;DisplayText&gt;(Brock and Casanova 1997)&lt;/DisplayText&gt;&lt;record&gt;&lt;rec-number&gt;3417&lt;/rec-number&gt;&lt;foreign-keys&gt;&lt;key app="EN" db-id="vxxvsda2b05fxpeaw2dp552mtrd5trxdrf0s"&gt;3417&lt;/key&gt;&lt;/foreign-keys&gt;&lt;ref-type name="Book Section"&gt;5&lt;/ref-type&gt;&lt;contributors&gt;&lt;authors&gt;&lt;author&gt;Brock, M.A.&lt;/author&gt;&lt;author&gt;Casanova, M.T.&lt;/author&gt;&lt;/authors&gt;&lt;secondary-authors&gt;&lt;author&gt;Klomp,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links&lt;/secondary-title&gt;&lt;/titles&gt;&lt;dates&gt;&lt;year&gt;1997&lt;/year&gt;&lt;/dates&gt;&lt;pub-location&gt;Oxford, UK&lt;/pub-location&gt;&lt;urls&gt;&lt;/urls&gt;&lt;/record&gt;&lt;/Cite&gt;&lt;/EndNote&gt;</w:instrText>
      </w:r>
      <w:r w:rsidR="00D20FAE">
        <w:fldChar w:fldCharType="separate"/>
      </w:r>
      <w:r w:rsidR="006171E9">
        <w:rPr>
          <w:noProof/>
        </w:rPr>
        <w:t>(</w:t>
      </w:r>
      <w:hyperlink w:anchor="_ENREF_19" w:tooltip="Brock, 1997 #3417" w:history="1">
        <w:r w:rsidR="006810E6">
          <w:rPr>
            <w:noProof/>
          </w:rPr>
          <w:t>Brock and Casanova 1997</w:t>
        </w:r>
      </w:hyperlink>
      <w:r w:rsidR="006171E9">
        <w:rPr>
          <w:noProof/>
        </w:rPr>
        <w:t>)</w:t>
      </w:r>
      <w:r w:rsidR="00D20FAE">
        <w:fldChar w:fldCharType="end"/>
      </w:r>
      <w:r>
        <w:t>.</w:t>
      </w:r>
    </w:p>
    <w:p w:rsidR="00856CC3" w:rsidRDefault="00856CC3" w:rsidP="00856CC3">
      <w:r>
        <w:t xml:space="preserve">The change in the percent cover of each functional group between wetlands and water years was analysed in PRIMER Version 6 </w:t>
      </w:r>
      <w:r w:rsidR="005A1733">
        <w:t>using repeated</w:t>
      </w:r>
      <w:r>
        <w:t xml:space="preserve"> measures analysis of variance on the Euclidean distances between site x wateryears – equivalent to a standard ANOVA but with permutation tests of significance </w:t>
      </w:r>
      <w:r w:rsidR="00F10D5E">
        <w:t>(PERMANOVA) that does not have an</w:t>
      </w:r>
      <w:r>
        <w:t xml:space="preserve"> assumption </w:t>
      </w:r>
      <w:r w:rsidR="005A1733">
        <w:t>of normality</w:t>
      </w:r>
      <w:r w:rsidR="00F10D5E">
        <w:t xml:space="preserve"> as with least squares ANOVA</w:t>
      </w:r>
      <w:r w:rsidR="005A1733">
        <w:t xml:space="preserve">. </w:t>
      </w:r>
      <w:r w:rsidR="005A1733" w:rsidRPr="00B21389">
        <w:t xml:space="preserve">See </w:t>
      </w:r>
      <w:fldSimple w:instr=" REF _Ref370369868  \* MERGEFORMAT ">
        <w:r w:rsidR="00436595">
          <w:t>A</w:t>
        </w:r>
        <w:r w:rsidR="00436595" w:rsidRPr="00734C7D">
          <w:t>ppendix</w:t>
        </w:r>
        <w:r w:rsidR="00436595" w:rsidRPr="00C909C4">
          <w:t xml:space="preserve"> </w:t>
        </w:r>
        <w:r w:rsidR="00436595">
          <w:t>1 Data analysis</w:t>
        </w:r>
      </w:fldSimple>
      <w:r w:rsidR="00B21389" w:rsidRPr="00B21389">
        <w:t xml:space="preserve"> for further details)</w:t>
      </w:r>
      <w:r w:rsidR="005A1733" w:rsidRPr="00B21389">
        <w:t>.</w:t>
      </w:r>
    </w:p>
    <w:p w:rsidR="00856CC3" w:rsidRDefault="005A1733" w:rsidP="00625CBE">
      <w:pPr>
        <w:rPr>
          <w:b/>
        </w:rPr>
      </w:pPr>
      <w:r>
        <w:rPr>
          <w:b/>
        </w:rPr>
        <w:t xml:space="preserve"> </w:t>
      </w:r>
    </w:p>
    <w:p w:rsidR="00850214" w:rsidRDefault="00850214" w:rsidP="00850214">
      <w:pPr>
        <w:pStyle w:val="Heading2"/>
      </w:pPr>
      <w:r>
        <w:t xml:space="preserve"> </w:t>
      </w:r>
      <w:bookmarkStart w:id="383" w:name="_Toc370299235"/>
      <w:bookmarkStart w:id="384" w:name="_Toc370738839"/>
      <w:bookmarkStart w:id="385" w:name="_Toc378168577"/>
      <w:r>
        <w:t>Results</w:t>
      </w:r>
      <w:bookmarkEnd w:id="383"/>
      <w:bookmarkEnd w:id="384"/>
      <w:bookmarkEnd w:id="385"/>
    </w:p>
    <w:p w:rsidR="00625CBE" w:rsidRPr="008310AD" w:rsidRDefault="00625CBE" w:rsidP="00850214">
      <w:pPr>
        <w:pStyle w:val="Heading3"/>
      </w:pPr>
      <w:bookmarkStart w:id="386" w:name="_Toc370299236"/>
      <w:bookmarkStart w:id="387" w:name="_Toc370738840"/>
      <w:bookmarkStart w:id="388" w:name="_Toc378168578"/>
      <w:r>
        <w:t xml:space="preserve">Maintenance of </w:t>
      </w:r>
      <w:r w:rsidRPr="008310AD">
        <w:t>vegetation community</w:t>
      </w:r>
      <w:bookmarkEnd w:id="386"/>
      <w:bookmarkEnd w:id="387"/>
      <w:bookmarkEnd w:id="388"/>
    </w:p>
    <w:p w:rsidR="00625CBE" w:rsidRDefault="00F10D5E" w:rsidP="00625CBE">
      <w:r>
        <w:t>The</w:t>
      </w:r>
      <w:r w:rsidR="00625CBE">
        <w:t xml:space="preserve"> repeated measures analysis of the vegetation data confirm</w:t>
      </w:r>
      <w:r>
        <w:t>ed</w:t>
      </w:r>
      <w:r w:rsidR="00625CBE">
        <w:t xml:space="preserve"> the pattern of the MDS plots</w:t>
      </w:r>
      <w:r w:rsidR="00C20DB4">
        <w:t>,</w:t>
      </w:r>
      <w:r w:rsidR="00625CBE">
        <w:t xml:space="preserve"> which showed differences among the survey years </w:t>
      </w:r>
      <w:r w:rsidR="00CF571F">
        <w:t>(</w:t>
      </w:r>
      <w:r w:rsidR="00D20FAE">
        <w:fldChar w:fldCharType="begin"/>
      </w:r>
      <w:r w:rsidR="00CF571F">
        <w:instrText xml:space="preserve"> REF _Ref368562948 \h </w:instrText>
      </w:r>
      <w:r w:rsidR="00D20FAE">
        <w:fldChar w:fldCharType="separate"/>
      </w:r>
      <w:r w:rsidR="00436595" w:rsidRPr="00850214">
        <w:rPr>
          <w:b/>
        </w:rPr>
        <w:t xml:space="preserve">Figure </w:t>
      </w:r>
      <w:r w:rsidR="00436595">
        <w:rPr>
          <w:b/>
          <w:noProof/>
        </w:rPr>
        <w:t>36</w:t>
      </w:r>
      <w:r w:rsidR="00D20FAE">
        <w:fldChar w:fldCharType="end"/>
      </w:r>
      <w:r w:rsidR="00625CBE">
        <w:t>). Planned contrasts show</w:t>
      </w:r>
      <w:r w:rsidR="002020F0">
        <w:t>ed</w:t>
      </w:r>
      <w:r w:rsidR="00625CBE">
        <w:t xml:space="preserve"> that the vegetation communities changed significantly from 2010-11 to 2011-12 (</w:t>
      </w:r>
      <w:r w:rsidR="00625CBE" w:rsidRPr="003625A0">
        <w:t>Pseudo-F</w:t>
      </w:r>
      <w:r w:rsidR="00C20DB4">
        <w:t> </w:t>
      </w:r>
      <w:r w:rsidR="00625CBE">
        <w:t>=</w:t>
      </w:r>
      <w:r w:rsidR="00C20DB4">
        <w:t> </w:t>
      </w:r>
      <w:r w:rsidR="00625CBE">
        <w:t xml:space="preserve">4.4, </w:t>
      </w:r>
      <w:r w:rsidR="00625CBE" w:rsidRPr="003625A0">
        <w:t>P</w:t>
      </w:r>
      <w:r w:rsidR="00850214">
        <w:t xml:space="preserve"> </w:t>
      </w:r>
      <w:r w:rsidR="00625CBE" w:rsidRPr="003625A0">
        <w:t>(perm)</w:t>
      </w:r>
      <w:r w:rsidR="00C20DB4">
        <w:t> </w:t>
      </w:r>
      <w:r w:rsidR="00625CBE">
        <w:t>=</w:t>
      </w:r>
      <w:r w:rsidR="00C20DB4">
        <w:t> </w:t>
      </w:r>
      <w:r w:rsidR="00625CBE">
        <w:t>0.003) and from 2011-12 to 2012-13 (</w:t>
      </w:r>
      <w:r w:rsidR="00625CBE" w:rsidRPr="003625A0">
        <w:t>Pseudo-F</w:t>
      </w:r>
      <w:r w:rsidR="00C20DB4">
        <w:t> </w:t>
      </w:r>
      <w:r w:rsidR="00625CBE">
        <w:t>=</w:t>
      </w:r>
      <w:r w:rsidR="00C20DB4">
        <w:t> </w:t>
      </w:r>
      <w:r w:rsidR="00625CBE">
        <w:t xml:space="preserve">4.3, </w:t>
      </w:r>
      <w:proofErr w:type="gramStart"/>
      <w:r w:rsidR="00625CBE" w:rsidRPr="003625A0">
        <w:t>P(</w:t>
      </w:r>
      <w:proofErr w:type="gramEnd"/>
      <w:r w:rsidR="00625CBE" w:rsidRPr="003625A0">
        <w:t>perm)</w:t>
      </w:r>
      <w:r w:rsidR="00C20DB4">
        <w:t> </w:t>
      </w:r>
      <w:r w:rsidR="00625CBE">
        <w:t>=</w:t>
      </w:r>
      <w:r w:rsidR="00C20DB4">
        <w:t> </w:t>
      </w:r>
      <w:r w:rsidR="00625CBE">
        <w:t>0.002)</w:t>
      </w:r>
      <w:r w:rsidR="00C20DB4">
        <w:t xml:space="preserve"> </w:t>
      </w:r>
      <w:r w:rsidR="00B21389">
        <w:t xml:space="preserve">(see </w:t>
      </w:r>
      <w:fldSimple w:instr=" REF _Ref370369894 ">
        <w:r w:rsidR="00436595" w:rsidRPr="002C71AC">
          <w:t xml:space="preserve">Appendix </w:t>
        </w:r>
        <w:r w:rsidR="00436595">
          <w:t>3</w:t>
        </w:r>
        <w:r w:rsidR="00436595" w:rsidRPr="002C71AC">
          <w:t>. Vegetation functional groups- repeated</w:t>
        </w:r>
        <w:r w:rsidR="00436595">
          <w:t xml:space="preserve"> measures analysis of variance</w:t>
        </w:r>
      </w:fldSimple>
      <w:r w:rsidR="00B21389">
        <w:t xml:space="preserve"> for full output)</w:t>
      </w:r>
      <w:r w:rsidR="00625CBE">
        <w:t xml:space="preserve">. </w:t>
      </w:r>
    </w:p>
    <w:p w:rsidR="00625CBE" w:rsidRDefault="00625CBE" w:rsidP="00625CBE"/>
    <w:p w:rsidR="00625CBE" w:rsidRDefault="0087202F" w:rsidP="00625CBE">
      <w:r>
        <w:rPr>
          <w:noProof/>
          <w:lang w:eastAsia="en-AU"/>
        </w:rPr>
        <w:drawing>
          <wp:inline distT="0" distB="0" distL="0" distR="0">
            <wp:extent cx="5486400" cy="33147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5" cstate="print"/>
                    <a:srcRect/>
                    <a:stretch>
                      <a:fillRect/>
                    </a:stretch>
                  </pic:blipFill>
                  <pic:spPr bwMode="auto">
                    <a:xfrm>
                      <a:off x="0" y="0"/>
                      <a:ext cx="5486400" cy="3314700"/>
                    </a:xfrm>
                    <a:prstGeom prst="rect">
                      <a:avLst/>
                    </a:prstGeom>
                    <a:noFill/>
                    <a:ln w="9525">
                      <a:noFill/>
                      <a:miter lim="800000"/>
                      <a:headEnd/>
                      <a:tailEnd/>
                    </a:ln>
                  </pic:spPr>
                </pic:pic>
              </a:graphicData>
            </a:graphic>
          </wp:inline>
        </w:drawing>
      </w:r>
    </w:p>
    <w:p w:rsidR="00625CBE" w:rsidRDefault="00CF571F" w:rsidP="00850214">
      <w:pPr>
        <w:pStyle w:val="Caption1"/>
      </w:pPr>
      <w:bookmarkStart w:id="389" w:name="_Ref368562948"/>
      <w:bookmarkStart w:id="390" w:name="_Ref368562943"/>
      <w:bookmarkStart w:id="391" w:name="_Toc370738841"/>
      <w:r w:rsidRPr="00850214">
        <w:rPr>
          <w:b/>
        </w:rPr>
        <w:t xml:space="preserve">Figure </w:t>
      </w:r>
      <w:r w:rsidR="00D20FAE" w:rsidRPr="00850214">
        <w:rPr>
          <w:b/>
        </w:rPr>
        <w:fldChar w:fldCharType="begin"/>
      </w:r>
      <w:r w:rsidRPr="00850214">
        <w:rPr>
          <w:b/>
        </w:rPr>
        <w:instrText xml:space="preserve"> SEQ Figure \* ARABIC </w:instrText>
      </w:r>
      <w:r w:rsidR="00D20FAE" w:rsidRPr="00850214">
        <w:rPr>
          <w:b/>
        </w:rPr>
        <w:fldChar w:fldCharType="separate"/>
      </w:r>
      <w:r w:rsidR="00436595">
        <w:rPr>
          <w:b/>
          <w:noProof/>
        </w:rPr>
        <w:t>36</w:t>
      </w:r>
      <w:r w:rsidR="00D20FAE" w:rsidRPr="00850214">
        <w:rPr>
          <w:b/>
        </w:rPr>
        <w:fldChar w:fldCharType="end"/>
      </w:r>
      <w:bookmarkEnd w:id="389"/>
      <w:r>
        <w:t xml:space="preserve"> </w:t>
      </w:r>
      <w:r w:rsidR="002E0C5F" w:rsidRPr="00CF571F">
        <w:t>A MDS plot is a way of visualising the similarities between vegetation communities (types of species and their percent cover) in different wetlands and within the same wetland over successive years. The closer the points on the plot are to one another</w:t>
      </w:r>
      <w:r w:rsidR="00C20DB4">
        <w:t>,</w:t>
      </w:r>
      <w:r w:rsidR="002E0C5F" w:rsidRPr="00CF571F">
        <w:t xml:space="preserve"> the more similar their vegetation communities. This </w:t>
      </w:r>
      <w:r w:rsidR="00625CBE" w:rsidRPr="00CF571F">
        <w:t xml:space="preserve">MDS plot </w:t>
      </w:r>
      <w:r w:rsidR="002E0C5F" w:rsidRPr="00CF571F">
        <w:t xml:space="preserve">represents the </w:t>
      </w:r>
      <w:r w:rsidR="00625CBE" w:rsidRPr="00CF571F">
        <w:t>vegetation communities over the three water years (only</w:t>
      </w:r>
      <w:r w:rsidR="002E0C5F" w:rsidRPr="00CF571F">
        <w:t xml:space="preserve"> wetlands that were</w:t>
      </w:r>
      <w:r w:rsidR="00625CBE" w:rsidRPr="00CF571F">
        <w:t xml:space="preserve"> </w:t>
      </w:r>
      <w:r w:rsidR="002E0C5F" w:rsidRPr="00CF571F">
        <w:t>monitored</w:t>
      </w:r>
      <w:r w:rsidR="00625CBE" w:rsidRPr="00CF571F">
        <w:t xml:space="preserve"> across all three water years have been included). Codes relate to wetland names. BeJ (Berry Jerry), MOL (Mollies), DrL (Dry Lake), YaA (Yanco Ag), TuF (Turkey Flat), SUN (Sunshower), GOO (Gooragool,), YAR (Yarrada), McK (McKennas), NSF (Narrandera State Forest).</w:t>
      </w:r>
      <w:bookmarkEnd w:id="390"/>
      <w:bookmarkEnd w:id="391"/>
    </w:p>
    <w:p w:rsidR="00625CBE" w:rsidRDefault="00625CBE" w:rsidP="00625CBE"/>
    <w:p w:rsidR="00625CBE" w:rsidRDefault="00625CBE" w:rsidP="00625CBE">
      <w:r>
        <w:t>Three plant functional groups</w:t>
      </w:r>
      <w:r w:rsidR="002020F0">
        <w:t>;</w:t>
      </w:r>
      <w:r>
        <w:t xml:space="preserve"> terrestrial damp species (Tdr) and both emergent (Ate) and low-growing</w:t>
      </w:r>
      <w:r w:rsidRPr="00375C2E">
        <w:t xml:space="preserve"> </w:t>
      </w:r>
      <w:r>
        <w:t>(Atl) amphibious fluctuation tolerators were largely responsible for driving the change in vegetation communities over the three water years. All three groups increased significantly in cover between 2010-11 and 2011-12. Native terrestrial damp species then declined significantly again from 2011-12 to 2012-13, while the emergent and amphibious groups did not change significantly between 2011-12 and 2012-13 (</w:t>
      </w:r>
      <w:fldSimple w:instr=" REF _Ref368563001 \h  \* MERGEFORMAT ">
        <w:r w:rsidR="00436595" w:rsidRPr="00CF571F">
          <w:rPr>
            <w:rStyle w:val="SubtitleChar"/>
            <w:rFonts w:eastAsia="Calibri"/>
          </w:rPr>
          <w:t xml:space="preserve">Figure </w:t>
        </w:r>
        <w:r w:rsidR="00436595">
          <w:rPr>
            <w:rStyle w:val="SubtitleChar"/>
            <w:rFonts w:eastAsia="Calibri"/>
          </w:rPr>
          <w:t>37</w:t>
        </w:r>
      </w:fldSimple>
      <w:r w:rsidRPr="00D427B4">
        <w:t xml:space="preserve"> ). </w:t>
      </w:r>
    </w:p>
    <w:p w:rsidR="00625CBE" w:rsidRDefault="00625CBE" w:rsidP="00625CBE"/>
    <w:p w:rsidR="00625CBE" w:rsidRDefault="0087202F" w:rsidP="00625CBE">
      <w:r>
        <w:rPr>
          <w:noProof/>
          <w:lang w:eastAsia="en-AU"/>
        </w:rPr>
        <w:drawing>
          <wp:inline distT="0" distB="0" distL="0" distR="0">
            <wp:extent cx="3235325" cy="268160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6" cstate="print"/>
                    <a:srcRect/>
                    <a:stretch>
                      <a:fillRect/>
                    </a:stretch>
                  </pic:blipFill>
                  <pic:spPr bwMode="auto">
                    <a:xfrm>
                      <a:off x="0" y="0"/>
                      <a:ext cx="3235325" cy="2681605"/>
                    </a:xfrm>
                    <a:prstGeom prst="rect">
                      <a:avLst/>
                    </a:prstGeom>
                    <a:noFill/>
                    <a:ln w="9525">
                      <a:noFill/>
                      <a:miter lim="800000"/>
                      <a:headEnd/>
                      <a:tailEnd/>
                    </a:ln>
                  </pic:spPr>
                </pic:pic>
              </a:graphicData>
            </a:graphic>
          </wp:inline>
        </w:drawing>
      </w:r>
    </w:p>
    <w:p w:rsidR="00625CBE" w:rsidRDefault="00CF571F" w:rsidP="004B1AE2">
      <w:pPr>
        <w:pStyle w:val="Caption"/>
        <w:spacing w:line="240" w:lineRule="auto"/>
        <w:jc w:val="both"/>
      </w:pPr>
      <w:bookmarkStart w:id="392" w:name="_Toc370738842"/>
      <w:bookmarkStart w:id="393" w:name="_Ref368563001"/>
      <w:r w:rsidRPr="00CF571F">
        <w:rPr>
          <w:rStyle w:val="SubtitleChar"/>
          <w:rFonts w:eastAsia="Calibri"/>
        </w:rPr>
        <w:t xml:space="preserve">Figure </w:t>
      </w:r>
      <w:r w:rsidR="00D20FAE" w:rsidRPr="00CF571F">
        <w:rPr>
          <w:rStyle w:val="SubtitleChar"/>
          <w:rFonts w:eastAsia="Calibri"/>
        </w:rPr>
        <w:fldChar w:fldCharType="begin"/>
      </w:r>
      <w:r w:rsidRPr="00CF571F">
        <w:rPr>
          <w:rStyle w:val="SubtitleChar"/>
          <w:rFonts w:eastAsia="Calibri"/>
        </w:rPr>
        <w:instrText xml:space="preserve"> SEQ Figure \* ARABIC </w:instrText>
      </w:r>
      <w:r w:rsidR="00D20FAE" w:rsidRPr="00CF571F">
        <w:rPr>
          <w:rStyle w:val="SubtitleChar"/>
          <w:rFonts w:eastAsia="Calibri"/>
        </w:rPr>
        <w:fldChar w:fldCharType="separate"/>
      </w:r>
      <w:r w:rsidR="00436595">
        <w:rPr>
          <w:rStyle w:val="SubtitleChar"/>
          <w:rFonts w:eastAsia="Calibri"/>
          <w:noProof/>
        </w:rPr>
        <w:t>37</w:t>
      </w:r>
      <w:bookmarkEnd w:id="392"/>
      <w:r w:rsidR="00D20FAE" w:rsidRPr="00CF571F">
        <w:rPr>
          <w:rStyle w:val="SubtitleChar"/>
          <w:rFonts w:eastAsia="Calibri"/>
        </w:rPr>
        <w:fldChar w:fldCharType="end"/>
      </w:r>
      <w:bookmarkEnd w:id="393"/>
      <w:r>
        <w:t xml:space="preserve"> </w:t>
      </w:r>
      <w:r w:rsidR="00625CBE" w:rsidRPr="00CF571F">
        <w:rPr>
          <w:rStyle w:val="SubtitleChar"/>
          <w:rFonts w:eastAsia="Calibri"/>
          <w:b w:val="0"/>
        </w:rPr>
        <w:t xml:space="preserve">Change in the mean percent cover of native terrestrial damp (Tda), Amphibious fluctuation tolerators emergent (Ate) and Amphibious fluctuation tolerators low growing (Atl) vegetation groups across all wetland sites between 2010-11, </w:t>
      </w:r>
      <w:r w:rsidR="00C20DB4">
        <w:rPr>
          <w:rStyle w:val="SubtitleChar"/>
          <w:rFonts w:eastAsia="Calibri"/>
          <w:b w:val="0"/>
        </w:rPr>
        <w:t>2011-12 and 2012-13 water years</w:t>
      </w:r>
      <w:r w:rsidR="00625CBE" w:rsidRPr="00CF571F">
        <w:rPr>
          <w:rStyle w:val="SubtitleChar"/>
          <w:rFonts w:eastAsia="Calibri"/>
          <w:b w:val="0"/>
        </w:rPr>
        <w:t>.</w:t>
      </w:r>
    </w:p>
    <w:p w:rsidR="00625CBE" w:rsidRDefault="00625CBE" w:rsidP="00625CBE">
      <w:pPr>
        <w:rPr>
          <w:b/>
        </w:rPr>
      </w:pPr>
    </w:p>
    <w:p w:rsidR="00625CBE" w:rsidRPr="00F66411" w:rsidRDefault="00625CBE" w:rsidP="00454D52">
      <w:pPr>
        <w:pStyle w:val="Heading3"/>
      </w:pPr>
      <w:bookmarkStart w:id="394" w:name="_Toc370299237"/>
      <w:bookmarkStart w:id="395" w:name="_Toc370738843"/>
      <w:bookmarkStart w:id="396" w:name="_Toc378168579"/>
      <w:r>
        <w:t>Native species</w:t>
      </w:r>
      <w:bookmarkEnd w:id="394"/>
      <w:bookmarkEnd w:id="395"/>
      <w:bookmarkEnd w:id="396"/>
    </w:p>
    <w:p w:rsidR="00625CBE" w:rsidRDefault="00625CBE" w:rsidP="00625CBE">
      <w:pPr>
        <w:rPr>
          <w:b/>
        </w:rPr>
      </w:pPr>
      <w:r>
        <w:t>Overall</w:t>
      </w:r>
      <w:r w:rsidR="00C20DB4">
        <w:t>,</w:t>
      </w:r>
      <w:r>
        <w:t xml:space="preserve"> the native vegetation species far exceeded exotic species in both species diversity and percent </w:t>
      </w:r>
      <w:r w:rsidRPr="00D427B4">
        <w:t>cover (</w:t>
      </w:r>
      <w:fldSimple w:instr=" REF _Ref368563049 \h  \* MERGEFORMAT ">
        <w:r w:rsidR="00436595" w:rsidRPr="00436595">
          <w:t xml:space="preserve">Figure </w:t>
        </w:r>
        <w:r w:rsidR="00436595" w:rsidRPr="00436595">
          <w:rPr>
            <w:noProof/>
          </w:rPr>
          <w:t>38</w:t>
        </w:r>
      </w:fldSimple>
      <w:r w:rsidRPr="00D427B4">
        <w:t>).</w:t>
      </w:r>
      <w:r>
        <w:t xml:space="preserve"> There was a significant increase in the percent cover of terrestrial vegetation species over the three water years for both native (Tdr) and exotic (Tdr</w:t>
      </w:r>
      <w:r>
        <w:rPr>
          <w:vertAlign w:val="superscript"/>
        </w:rPr>
        <w:t>*</w:t>
      </w:r>
      <w:r>
        <w:t>) species (Pseudo-F</w:t>
      </w:r>
      <w:r w:rsidR="00C20DB4">
        <w:t> </w:t>
      </w:r>
      <w:r>
        <w:t>=</w:t>
      </w:r>
      <w:r w:rsidR="00C20DB4">
        <w:t> </w:t>
      </w:r>
      <w:r>
        <w:t xml:space="preserve">3.9, </w:t>
      </w:r>
      <w:proofErr w:type="gramStart"/>
      <w:r>
        <w:t>P(</w:t>
      </w:r>
      <w:proofErr w:type="gramEnd"/>
      <w:r>
        <w:t>perm)</w:t>
      </w:r>
      <w:r w:rsidR="00C20DB4">
        <w:t> </w:t>
      </w:r>
      <w:r>
        <w:t>=</w:t>
      </w:r>
      <w:r w:rsidR="00C20DB4">
        <w:t> </w:t>
      </w:r>
      <w:r>
        <w:t xml:space="preserve">0.0284). There </w:t>
      </w:r>
      <w:r w:rsidR="002020F0">
        <w:t xml:space="preserve">is </w:t>
      </w:r>
      <w:r>
        <w:t xml:space="preserve">some indication that vegetation communities in wetlands </w:t>
      </w:r>
      <w:r w:rsidR="00C20DB4">
        <w:t>that</w:t>
      </w:r>
      <w:r>
        <w:t xml:space="preserve"> had been historically dry for shorter periods, for example, Berry Jerry (BeJ) and Sunshower (SUN), recovered more quickly in response to Commonwealth environmental watering than wetlands that had been historically dry for longer pe</w:t>
      </w:r>
      <w:r w:rsidR="00C20DB4">
        <w:t>riods such as Mckennas Lagoon (</w:t>
      </w:r>
      <w:r>
        <w:t xml:space="preserve">McK). </w:t>
      </w:r>
    </w:p>
    <w:p w:rsidR="00625CBE" w:rsidRDefault="00625CBE" w:rsidP="00625CBE">
      <w:pPr>
        <w:spacing w:after="200" w:line="276" w:lineRule="auto"/>
        <w:jc w:val="left"/>
      </w:pPr>
      <w:r>
        <w:br w:type="page"/>
      </w:r>
    </w:p>
    <w:tbl>
      <w:tblPr>
        <w:tblW w:w="0" w:type="auto"/>
        <w:tblLook w:val="01E0"/>
      </w:tblPr>
      <w:tblGrid>
        <w:gridCol w:w="4621"/>
        <w:gridCol w:w="4622"/>
      </w:tblGrid>
      <w:tr w:rsidR="00625CBE" w:rsidTr="002E0C5F">
        <w:trPr>
          <w:trHeight w:val="2778"/>
        </w:trPr>
        <w:tc>
          <w:tcPr>
            <w:tcW w:w="4621" w:type="dxa"/>
          </w:tcPr>
          <w:p w:rsidR="00625CBE" w:rsidRPr="00CE57AC" w:rsidRDefault="00D20FAE" w:rsidP="00C04E5E">
            <w:r>
              <w:rPr>
                <w:noProof/>
                <w:lang w:eastAsia="en-AU"/>
              </w:rPr>
              <w:pict>
                <v:shape id="_x0000_s1039" type="#_x0000_t202" style="position:absolute;left:0;text-align:left;margin-left:72.25pt;margin-top:7pt;width:78.4pt;height:18pt;z-index:251656192" strokecolor="white">
                  <v:textbox style="mso-next-textbox:#_x0000_s1039">
                    <w:txbxContent>
                      <w:p w:rsidR="006E06FC" w:rsidRPr="00C04E5E" w:rsidRDefault="006E06FC" w:rsidP="00625CBE">
                        <w:pPr>
                          <w:rPr>
                            <w:rFonts w:ascii="Calibri" w:hAnsi="Calibri" w:cs="Calibri"/>
                            <w:sz w:val="18"/>
                            <w:szCs w:val="18"/>
                          </w:rPr>
                        </w:pPr>
                        <w:r w:rsidRPr="00C04E5E">
                          <w:rPr>
                            <w:rFonts w:ascii="Calibri" w:hAnsi="Calibri" w:cs="Calibri"/>
                            <w:sz w:val="18"/>
                            <w:szCs w:val="18"/>
                          </w:rPr>
                          <w:t>Turkey Flat (C2)</w:t>
                        </w:r>
                      </w:p>
                    </w:txbxContent>
                  </v:textbox>
                </v:shape>
              </w:pict>
            </w:r>
            <w:r w:rsidR="0087202F">
              <w:rPr>
                <w:noProof/>
                <w:lang w:eastAsia="en-AU"/>
              </w:rPr>
              <w:drawing>
                <wp:inline distT="0" distB="0" distL="0" distR="0">
                  <wp:extent cx="2875280" cy="173228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37" cstate="print"/>
                          <a:srcRect/>
                          <a:stretch>
                            <a:fillRect/>
                          </a:stretch>
                        </pic:blipFill>
                        <pic:spPr bwMode="auto">
                          <a:xfrm>
                            <a:off x="0" y="0"/>
                            <a:ext cx="2875280" cy="1732280"/>
                          </a:xfrm>
                          <a:prstGeom prst="rect">
                            <a:avLst/>
                          </a:prstGeom>
                          <a:noFill/>
                          <a:ln w="9525">
                            <a:noFill/>
                            <a:miter lim="800000"/>
                            <a:headEnd/>
                            <a:tailEnd/>
                          </a:ln>
                        </pic:spPr>
                      </pic:pic>
                    </a:graphicData>
                  </a:graphic>
                </wp:inline>
              </w:drawing>
            </w:r>
          </w:p>
        </w:tc>
        <w:tc>
          <w:tcPr>
            <w:tcW w:w="4621" w:type="dxa"/>
          </w:tcPr>
          <w:p w:rsidR="00625CBE" w:rsidRPr="00CE57AC" w:rsidRDefault="00D20FAE" w:rsidP="00C04E5E">
            <w:r>
              <w:rPr>
                <w:noProof/>
                <w:lang w:eastAsia="en-AU"/>
              </w:rPr>
              <w:pict>
                <v:shape id="_x0000_s1040" type="#_x0000_t202" style="position:absolute;left:0;text-align:left;margin-left:71.85pt;margin-top:7pt;width:78.4pt;height:24.65pt;z-index:251657216;mso-position-horizontal-relative:text;mso-position-vertical-relative:text" strokecolor="white">
                  <v:textbox style="mso-next-textbox:#_x0000_s1040">
                    <w:txbxContent>
                      <w:p w:rsidR="006E06FC" w:rsidRPr="00C04E5E" w:rsidRDefault="006E06FC" w:rsidP="00625CBE">
                        <w:pPr>
                          <w:rPr>
                            <w:rFonts w:ascii="Calibri" w:hAnsi="Calibri" w:cs="Calibri"/>
                            <w:sz w:val="18"/>
                            <w:szCs w:val="18"/>
                          </w:rPr>
                        </w:pPr>
                        <w:r w:rsidRPr="00C04E5E">
                          <w:rPr>
                            <w:rFonts w:ascii="Calibri" w:hAnsi="Calibri" w:cs="Calibri"/>
                            <w:sz w:val="18"/>
                            <w:szCs w:val="18"/>
                          </w:rPr>
                          <w:t>Yanco Ag (C2)</w:t>
                        </w:r>
                      </w:p>
                    </w:txbxContent>
                  </v:textbox>
                </v:shape>
              </w:pict>
            </w:r>
            <w:r w:rsidR="0087202F">
              <w:rPr>
                <w:noProof/>
                <w:lang w:eastAsia="en-AU"/>
              </w:rPr>
              <w:drawing>
                <wp:inline distT="0" distB="0" distL="0" distR="0">
                  <wp:extent cx="2884170" cy="173228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8" cstate="print"/>
                          <a:srcRect/>
                          <a:stretch>
                            <a:fillRect/>
                          </a:stretch>
                        </pic:blipFill>
                        <pic:spPr bwMode="auto">
                          <a:xfrm>
                            <a:off x="0" y="0"/>
                            <a:ext cx="2884170" cy="1732280"/>
                          </a:xfrm>
                          <a:prstGeom prst="rect">
                            <a:avLst/>
                          </a:prstGeom>
                          <a:noFill/>
                          <a:ln w="9525">
                            <a:noFill/>
                            <a:miter lim="800000"/>
                            <a:headEnd/>
                            <a:tailEnd/>
                          </a:ln>
                        </pic:spPr>
                      </pic:pic>
                    </a:graphicData>
                  </a:graphic>
                </wp:inline>
              </w:drawing>
            </w:r>
          </w:p>
        </w:tc>
      </w:tr>
      <w:tr w:rsidR="00625CBE" w:rsidTr="002E0C5F">
        <w:trPr>
          <w:trHeight w:val="2778"/>
        </w:trPr>
        <w:tc>
          <w:tcPr>
            <w:tcW w:w="4621" w:type="dxa"/>
          </w:tcPr>
          <w:p w:rsidR="00625CBE" w:rsidRPr="00381208" w:rsidRDefault="0087202F" w:rsidP="00C04E5E">
            <w:r>
              <w:rPr>
                <w:noProof/>
                <w:lang w:eastAsia="en-AU"/>
              </w:rPr>
              <w:drawing>
                <wp:inline distT="0" distB="0" distL="0" distR="0">
                  <wp:extent cx="2875280" cy="173228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9" cstate="print"/>
                          <a:srcRect/>
                          <a:stretch>
                            <a:fillRect/>
                          </a:stretch>
                        </pic:blipFill>
                        <pic:spPr bwMode="auto">
                          <a:xfrm>
                            <a:off x="0" y="0"/>
                            <a:ext cx="2875280" cy="1732280"/>
                          </a:xfrm>
                          <a:prstGeom prst="rect">
                            <a:avLst/>
                          </a:prstGeom>
                          <a:noFill/>
                          <a:ln w="9525">
                            <a:noFill/>
                            <a:miter lim="800000"/>
                            <a:headEnd/>
                            <a:tailEnd/>
                          </a:ln>
                        </pic:spPr>
                      </pic:pic>
                    </a:graphicData>
                  </a:graphic>
                </wp:inline>
              </w:drawing>
            </w:r>
          </w:p>
        </w:tc>
        <w:tc>
          <w:tcPr>
            <w:tcW w:w="4621" w:type="dxa"/>
          </w:tcPr>
          <w:p w:rsidR="00625CBE" w:rsidRPr="00381208" w:rsidRDefault="0087202F" w:rsidP="00C04E5E">
            <w:r>
              <w:rPr>
                <w:noProof/>
                <w:lang w:eastAsia="en-AU"/>
              </w:rPr>
              <w:drawing>
                <wp:inline distT="0" distB="0" distL="0" distR="0">
                  <wp:extent cx="2884170" cy="17145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40" cstate="print"/>
                          <a:srcRect/>
                          <a:stretch>
                            <a:fillRect/>
                          </a:stretch>
                        </pic:blipFill>
                        <pic:spPr bwMode="auto">
                          <a:xfrm>
                            <a:off x="0" y="0"/>
                            <a:ext cx="2884170" cy="1714500"/>
                          </a:xfrm>
                          <a:prstGeom prst="rect">
                            <a:avLst/>
                          </a:prstGeom>
                          <a:noFill/>
                          <a:ln w="9525">
                            <a:noFill/>
                            <a:miter lim="800000"/>
                            <a:headEnd/>
                            <a:tailEnd/>
                          </a:ln>
                        </pic:spPr>
                      </pic:pic>
                    </a:graphicData>
                  </a:graphic>
                </wp:inline>
              </w:drawing>
            </w:r>
          </w:p>
        </w:tc>
      </w:tr>
      <w:tr w:rsidR="00625CBE" w:rsidTr="002E0C5F">
        <w:trPr>
          <w:trHeight w:val="2778"/>
        </w:trPr>
        <w:tc>
          <w:tcPr>
            <w:tcW w:w="4621" w:type="dxa"/>
          </w:tcPr>
          <w:p w:rsidR="00625CBE" w:rsidRPr="00381208" w:rsidRDefault="0087202F" w:rsidP="00C04E5E">
            <w:r>
              <w:rPr>
                <w:noProof/>
                <w:lang w:eastAsia="en-AU"/>
              </w:rPr>
              <w:drawing>
                <wp:inline distT="0" distB="0" distL="0" distR="0">
                  <wp:extent cx="2884170" cy="174117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41" cstate="print"/>
                          <a:srcRect/>
                          <a:stretch>
                            <a:fillRect/>
                          </a:stretch>
                        </pic:blipFill>
                        <pic:spPr bwMode="auto">
                          <a:xfrm>
                            <a:off x="0" y="0"/>
                            <a:ext cx="2884170" cy="1741170"/>
                          </a:xfrm>
                          <a:prstGeom prst="rect">
                            <a:avLst/>
                          </a:prstGeom>
                          <a:noFill/>
                          <a:ln w="9525">
                            <a:noFill/>
                            <a:miter lim="800000"/>
                            <a:headEnd/>
                            <a:tailEnd/>
                          </a:ln>
                        </pic:spPr>
                      </pic:pic>
                    </a:graphicData>
                  </a:graphic>
                </wp:inline>
              </w:drawing>
            </w:r>
          </w:p>
        </w:tc>
        <w:tc>
          <w:tcPr>
            <w:tcW w:w="4621" w:type="dxa"/>
          </w:tcPr>
          <w:p w:rsidR="00625CBE" w:rsidRPr="00317367" w:rsidRDefault="0087202F" w:rsidP="00C04E5E">
            <w:r>
              <w:rPr>
                <w:noProof/>
                <w:lang w:eastAsia="en-AU"/>
              </w:rPr>
              <w:drawing>
                <wp:inline distT="0" distB="0" distL="0" distR="0">
                  <wp:extent cx="2875280" cy="172339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42" cstate="print"/>
                          <a:srcRect/>
                          <a:stretch>
                            <a:fillRect/>
                          </a:stretch>
                        </pic:blipFill>
                        <pic:spPr bwMode="auto">
                          <a:xfrm>
                            <a:off x="0" y="0"/>
                            <a:ext cx="2875280" cy="1723390"/>
                          </a:xfrm>
                          <a:prstGeom prst="rect">
                            <a:avLst/>
                          </a:prstGeom>
                          <a:noFill/>
                          <a:ln w="9525">
                            <a:noFill/>
                            <a:miter lim="800000"/>
                            <a:headEnd/>
                            <a:tailEnd/>
                          </a:ln>
                        </pic:spPr>
                      </pic:pic>
                    </a:graphicData>
                  </a:graphic>
                </wp:inline>
              </w:drawing>
            </w:r>
          </w:p>
        </w:tc>
      </w:tr>
      <w:tr w:rsidR="00625CBE" w:rsidTr="002E0C5F">
        <w:trPr>
          <w:trHeight w:val="2778"/>
        </w:trPr>
        <w:tc>
          <w:tcPr>
            <w:tcW w:w="4621" w:type="dxa"/>
          </w:tcPr>
          <w:p w:rsidR="00625CBE" w:rsidRPr="00317367" w:rsidRDefault="0087202F" w:rsidP="00C04E5E">
            <w:r>
              <w:rPr>
                <w:noProof/>
                <w:lang w:eastAsia="en-AU"/>
              </w:rPr>
              <w:drawing>
                <wp:inline distT="0" distB="0" distL="0" distR="0">
                  <wp:extent cx="2884170" cy="172339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43" cstate="print"/>
                          <a:srcRect/>
                          <a:stretch>
                            <a:fillRect/>
                          </a:stretch>
                        </pic:blipFill>
                        <pic:spPr bwMode="auto">
                          <a:xfrm>
                            <a:off x="0" y="0"/>
                            <a:ext cx="2884170" cy="1723390"/>
                          </a:xfrm>
                          <a:prstGeom prst="rect">
                            <a:avLst/>
                          </a:prstGeom>
                          <a:noFill/>
                          <a:ln w="9525">
                            <a:noFill/>
                            <a:miter lim="800000"/>
                            <a:headEnd/>
                            <a:tailEnd/>
                          </a:ln>
                        </pic:spPr>
                      </pic:pic>
                    </a:graphicData>
                  </a:graphic>
                </wp:inline>
              </w:drawing>
            </w:r>
          </w:p>
        </w:tc>
        <w:tc>
          <w:tcPr>
            <w:tcW w:w="4621" w:type="dxa"/>
          </w:tcPr>
          <w:p w:rsidR="00625CBE" w:rsidRPr="00317367" w:rsidRDefault="00D20FAE" w:rsidP="00C04E5E">
            <w:r>
              <w:rPr>
                <w:noProof/>
                <w:lang w:eastAsia="en-AU"/>
              </w:rPr>
              <w:pict>
                <v:shape id="_x0000_s1038" type="#_x0000_t202" style="position:absolute;left:0;text-align:left;margin-left:96.7pt;margin-top:6.55pt;width:75pt;height:18pt;z-index:251655168;mso-position-horizontal-relative:text;mso-position-vertical-relative:text" strokecolor="white">
                  <v:textbox style="mso-next-textbox:#_x0000_s1038">
                    <w:txbxContent>
                      <w:p w:rsidR="006E06FC" w:rsidRPr="00C04E5E" w:rsidRDefault="006E06FC" w:rsidP="00625CBE">
                        <w:pPr>
                          <w:rPr>
                            <w:rFonts w:ascii="Calibri" w:hAnsi="Calibri" w:cs="Calibri"/>
                            <w:sz w:val="18"/>
                            <w:szCs w:val="18"/>
                          </w:rPr>
                        </w:pPr>
                        <w:r w:rsidRPr="00C04E5E">
                          <w:rPr>
                            <w:rFonts w:ascii="Calibri" w:hAnsi="Calibri" w:cs="Calibri"/>
                            <w:sz w:val="18"/>
                            <w:szCs w:val="18"/>
                          </w:rPr>
                          <w:t>Euroley (C1)</w:t>
                        </w:r>
                      </w:p>
                    </w:txbxContent>
                  </v:textbox>
                </v:shape>
              </w:pict>
            </w:r>
            <w:r w:rsidR="0087202F">
              <w:rPr>
                <w:noProof/>
                <w:lang w:eastAsia="en-AU"/>
              </w:rPr>
              <w:drawing>
                <wp:inline distT="0" distB="0" distL="0" distR="0">
                  <wp:extent cx="2884170" cy="17145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4" cstate="print"/>
                          <a:srcRect/>
                          <a:stretch>
                            <a:fillRect/>
                          </a:stretch>
                        </pic:blipFill>
                        <pic:spPr bwMode="auto">
                          <a:xfrm>
                            <a:off x="0" y="0"/>
                            <a:ext cx="2884170" cy="1714500"/>
                          </a:xfrm>
                          <a:prstGeom prst="rect">
                            <a:avLst/>
                          </a:prstGeom>
                          <a:noFill/>
                          <a:ln w="9525">
                            <a:noFill/>
                            <a:miter lim="800000"/>
                            <a:headEnd/>
                            <a:tailEnd/>
                          </a:ln>
                        </pic:spPr>
                      </pic:pic>
                    </a:graphicData>
                  </a:graphic>
                </wp:inline>
              </w:drawing>
            </w:r>
          </w:p>
        </w:tc>
      </w:tr>
    </w:tbl>
    <w:p w:rsidR="00D427B4" w:rsidRDefault="00D427B4" w:rsidP="00D427B4">
      <w:pPr>
        <w:pStyle w:val="Subtitle"/>
        <w:keepNext/>
      </w:pPr>
    </w:p>
    <w:p w:rsidR="00625CBE" w:rsidRDefault="00D427B4" w:rsidP="00D427B4">
      <w:pPr>
        <w:pStyle w:val="Caption1"/>
      </w:pPr>
      <w:bookmarkStart w:id="397" w:name="_Ref368563049"/>
      <w:bookmarkStart w:id="398" w:name="_Toc370738844"/>
      <w:r w:rsidRPr="00D427B4">
        <w:rPr>
          <w:b/>
        </w:rPr>
        <w:t xml:space="preserve">Figure </w:t>
      </w:r>
      <w:r w:rsidR="00D20FAE" w:rsidRPr="00D427B4">
        <w:rPr>
          <w:b/>
        </w:rPr>
        <w:fldChar w:fldCharType="begin"/>
      </w:r>
      <w:r w:rsidRPr="00D427B4">
        <w:rPr>
          <w:b/>
        </w:rPr>
        <w:instrText xml:space="preserve"> SEQ Figure \* ARABIC </w:instrText>
      </w:r>
      <w:r w:rsidR="00D20FAE" w:rsidRPr="00D427B4">
        <w:rPr>
          <w:b/>
        </w:rPr>
        <w:fldChar w:fldCharType="separate"/>
      </w:r>
      <w:r w:rsidR="00436595">
        <w:rPr>
          <w:b/>
          <w:noProof/>
        </w:rPr>
        <w:t>38</w:t>
      </w:r>
      <w:r w:rsidR="00D20FAE" w:rsidRPr="00D427B4">
        <w:rPr>
          <w:b/>
        </w:rPr>
        <w:fldChar w:fldCharType="end"/>
      </w:r>
      <w:bookmarkEnd w:id="397"/>
      <w:r>
        <w:t xml:space="preserve"> </w:t>
      </w:r>
      <w:r w:rsidR="00625CBE">
        <w:t xml:space="preserve">Example of the change in vegetation functional groups over time at key oxbow lagoon wetlands in the Mid-Murrumbidgee. Sites are ordered in relation to the number of years dry before rewetting from most frequently flooded (Turkey Flat C2) to least frequently flooded (Euroley </w:t>
      </w:r>
      <w:r w:rsidR="00DB1E54">
        <w:t>(C1) Control site 1</w:t>
      </w:r>
      <w:r w:rsidR="00625CBE">
        <w:t>)</w:t>
      </w:r>
      <w:r w:rsidR="002020F0">
        <w:t>.</w:t>
      </w:r>
      <w:bookmarkEnd w:id="398"/>
      <w:r w:rsidR="002020F0">
        <w:t xml:space="preserve"> </w:t>
      </w:r>
    </w:p>
    <w:p w:rsidR="00625CBE" w:rsidRDefault="00625CBE" w:rsidP="00625CBE"/>
    <w:p w:rsidR="00625CBE" w:rsidRDefault="00850214" w:rsidP="00C44F46">
      <w:pPr>
        <w:pStyle w:val="Heading2"/>
      </w:pPr>
      <w:r>
        <w:t xml:space="preserve"> </w:t>
      </w:r>
      <w:bookmarkStart w:id="399" w:name="_Toc370299238"/>
      <w:bookmarkStart w:id="400" w:name="_Toc370738845"/>
      <w:bookmarkStart w:id="401" w:name="_Toc378168580"/>
      <w:r w:rsidR="00625CBE" w:rsidRPr="0098532D">
        <w:t>Discussion</w:t>
      </w:r>
      <w:bookmarkEnd w:id="399"/>
      <w:bookmarkEnd w:id="400"/>
      <w:bookmarkEnd w:id="401"/>
    </w:p>
    <w:p w:rsidR="00625CBE" w:rsidRDefault="00625CBE" w:rsidP="00625CBE">
      <w:r w:rsidRPr="00630078">
        <w:t xml:space="preserve">The key objective of the </w:t>
      </w:r>
      <w:r>
        <w:t>C</w:t>
      </w:r>
      <w:r w:rsidRPr="00630078">
        <w:t>ommonwealth environmental watering action with respect to vegetation was to “</w:t>
      </w:r>
      <w:r w:rsidRPr="004A7DB2">
        <w:rPr>
          <w:b/>
        </w:rPr>
        <w:t>m</w:t>
      </w:r>
      <w:r w:rsidRPr="004A7DB2">
        <w:rPr>
          <w:b/>
          <w:i/>
        </w:rPr>
        <w:t>aintain health of existing extent of riparian, floodplain and wetland native vegetation communities</w:t>
      </w:r>
      <w:r>
        <w:t>”</w:t>
      </w:r>
      <w:r w:rsidR="004A7DB2">
        <w:t>.</w:t>
      </w:r>
      <w:r>
        <w:t xml:space="preserve"> However</w:t>
      </w:r>
      <w:r w:rsidR="004A7DB2">
        <w:t>,</w:t>
      </w:r>
      <w:r>
        <w:t xml:space="preserve"> capacity constraints within the Murrumbidgee River meant that it was not possible to achieve enough height in the River to reconnect with the mid-Murrumbidgee wetlands</w:t>
      </w:r>
      <w:r w:rsidR="004A7DB2">
        <w:t>,</w:t>
      </w:r>
      <w:r>
        <w:t xml:space="preserve"> and</w:t>
      </w:r>
      <w:r w:rsidR="004A7DB2">
        <w:t>,</w:t>
      </w:r>
      <w:r>
        <w:t xml:space="preserve"> as a result</w:t>
      </w:r>
      <w:r w:rsidR="004A7DB2">
        <w:t>,</w:t>
      </w:r>
      <w:r>
        <w:t xml:space="preserve"> all sites were drying down during 2012-13.  Environmental watering in the previous year (2011-12) had benefited vegetation communities in many of the wetlands. However, in 2012-13 there was an increase in terrestrial species while the percent cover of aquatic vegetation species remained stable or declined. The recovery of </w:t>
      </w:r>
      <w:r w:rsidRPr="00850ABD">
        <w:t>vegetation communities in the mid-Murrumbidgee wetlands to their pre-drought condition (</w:t>
      </w:r>
      <w:fldSimple w:instr=" REF _Ref368565281 \h  \* MERGEFORMAT ">
        <w:r w:rsidR="00436595" w:rsidRPr="00436595">
          <w:t xml:space="preserve">Plate </w:t>
        </w:r>
        <w:r w:rsidR="00436595" w:rsidRPr="00436595">
          <w:rPr>
            <w:noProof/>
          </w:rPr>
          <w:t>15</w:t>
        </w:r>
      </w:fldSimple>
      <w:r w:rsidRPr="00850ABD">
        <w:t>) will require</w:t>
      </w:r>
      <w:r>
        <w:t xml:space="preserve"> a long-term commitment to Commonwealth environmental watering. </w:t>
      </w:r>
    </w:p>
    <w:tbl>
      <w:tblPr>
        <w:tblW w:w="9176" w:type="dxa"/>
        <w:tblCellMar>
          <w:left w:w="0" w:type="dxa"/>
          <w:right w:w="0" w:type="dxa"/>
        </w:tblCellMar>
        <w:tblLook w:val="04A0"/>
      </w:tblPr>
      <w:tblGrid>
        <w:gridCol w:w="4621"/>
        <w:gridCol w:w="4622"/>
      </w:tblGrid>
      <w:tr w:rsidR="00625CBE" w:rsidTr="00C04E5E">
        <w:trPr>
          <w:trHeight w:val="3531"/>
        </w:trPr>
        <w:tc>
          <w:tcPr>
            <w:tcW w:w="4640" w:type="dxa"/>
            <w:tcMar>
              <w:top w:w="0" w:type="dxa"/>
              <w:left w:w="108" w:type="dxa"/>
              <w:bottom w:w="0" w:type="dxa"/>
              <w:right w:w="108" w:type="dxa"/>
            </w:tcMar>
          </w:tcPr>
          <w:p w:rsidR="00625CBE" w:rsidRDefault="0087202F" w:rsidP="00C04E5E">
            <w:pPr>
              <w:keepNext/>
              <w:rPr>
                <w:rFonts w:ascii="Calibri" w:hAnsi="Calibri" w:cs="Calibri"/>
                <w:sz w:val="24"/>
                <w:szCs w:val="24"/>
                <w:lang w:val="en-US"/>
              </w:rPr>
            </w:pPr>
            <w:r>
              <w:rPr>
                <w:noProof/>
                <w:lang w:eastAsia="en-AU"/>
              </w:rPr>
              <w:drawing>
                <wp:inline distT="0" distB="0" distL="0" distR="0">
                  <wp:extent cx="2804795" cy="2048510"/>
                  <wp:effectExtent l="19050" t="0" r="0" b="0"/>
                  <wp:docPr id="72" name="Picture 9" descr="cid:image001.png@01CE938E.0BD6AA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01.png@01CE938E.0BD6AAE0"/>
                          <pic:cNvPicPr>
                            <a:picLocks noChangeAspect="1" noChangeArrowheads="1"/>
                          </pic:cNvPicPr>
                        </pic:nvPicPr>
                        <pic:blipFill>
                          <a:blip r:embed="rId145" r:link="rId146" cstate="print"/>
                          <a:srcRect/>
                          <a:stretch>
                            <a:fillRect/>
                          </a:stretch>
                        </pic:blipFill>
                        <pic:spPr bwMode="auto">
                          <a:xfrm>
                            <a:off x="0" y="0"/>
                            <a:ext cx="2804795" cy="2048510"/>
                          </a:xfrm>
                          <a:prstGeom prst="rect">
                            <a:avLst/>
                          </a:prstGeom>
                          <a:noFill/>
                          <a:ln w="9525">
                            <a:noFill/>
                            <a:miter lim="800000"/>
                            <a:headEnd/>
                            <a:tailEnd/>
                          </a:ln>
                        </pic:spPr>
                      </pic:pic>
                    </a:graphicData>
                  </a:graphic>
                </wp:inline>
              </w:drawing>
            </w:r>
          </w:p>
          <w:p w:rsidR="00625CBE" w:rsidRPr="00105CD5" w:rsidRDefault="00625CBE" w:rsidP="00C04E5E">
            <w:pPr>
              <w:pStyle w:val="Caption"/>
              <w:spacing w:line="240" w:lineRule="auto"/>
              <w:rPr>
                <w:rFonts w:cs="Calibri"/>
                <w:lang w:eastAsia="en-AU"/>
              </w:rPr>
            </w:pPr>
            <w:r w:rsidRPr="00105CD5">
              <w:rPr>
                <w:rFonts w:cs="Calibri"/>
                <w:lang w:eastAsia="en-AU"/>
              </w:rPr>
              <w:t xml:space="preserve"> McKennas </w:t>
            </w:r>
            <w:r w:rsidR="0028476C">
              <w:rPr>
                <w:rFonts w:cs="Calibri"/>
                <w:lang w:eastAsia="en-AU"/>
              </w:rPr>
              <w:t xml:space="preserve">summer </w:t>
            </w:r>
            <w:r w:rsidRPr="00105CD5">
              <w:rPr>
                <w:rFonts w:cs="Calibri"/>
                <w:lang w:eastAsia="en-AU"/>
              </w:rPr>
              <w:t>1999  (Photo James Maguire)</w:t>
            </w:r>
          </w:p>
        </w:tc>
        <w:tc>
          <w:tcPr>
            <w:tcW w:w="4536" w:type="dxa"/>
            <w:tcMar>
              <w:top w:w="0" w:type="dxa"/>
              <w:left w:w="108" w:type="dxa"/>
              <w:bottom w:w="0" w:type="dxa"/>
              <w:right w:w="108" w:type="dxa"/>
            </w:tcMar>
          </w:tcPr>
          <w:p w:rsidR="00625CBE" w:rsidRDefault="0087202F" w:rsidP="00C04E5E">
            <w:pPr>
              <w:keepNext/>
              <w:rPr>
                <w:rFonts w:ascii="Calibri" w:hAnsi="Calibri" w:cs="Calibri"/>
                <w:sz w:val="24"/>
                <w:szCs w:val="24"/>
                <w:lang w:val="en-US"/>
              </w:rPr>
            </w:pPr>
            <w:r>
              <w:rPr>
                <w:noProof/>
                <w:lang w:eastAsia="en-AU"/>
              </w:rPr>
              <w:drawing>
                <wp:inline distT="0" distB="0" distL="0" distR="0">
                  <wp:extent cx="2804795" cy="2066290"/>
                  <wp:effectExtent l="19050" t="0" r="0" b="0"/>
                  <wp:docPr id="73" name="Picture 73" descr="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148"/>
                          <pic:cNvPicPr>
                            <a:picLocks noChangeAspect="1" noChangeArrowheads="1"/>
                          </pic:cNvPicPr>
                        </pic:nvPicPr>
                        <pic:blipFill>
                          <a:blip r:embed="rId147" cstate="print"/>
                          <a:srcRect/>
                          <a:stretch>
                            <a:fillRect/>
                          </a:stretch>
                        </pic:blipFill>
                        <pic:spPr bwMode="auto">
                          <a:xfrm>
                            <a:off x="0" y="0"/>
                            <a:ext cx="2804795" cy="2066290"/>
                          </a:xfrm>
                          <a:prstGeom prst="rect">
                            <a:avLst/>
                          </a:prstGeom>
                          <a:noFill/>
                          <a:ln w="9525">
                            <a:noFill/>
                            <a:miter lim="800000"/>
                            <a:headEnd/>
                            <a:tailEnd/>
                          </a:ln>
                        </pic:spPr>
                      </pic:pic>
                    </a:graphicData>
                  </a:graphic>
                </wp:inline>
              </w:drawing>
            </w:r>
          </w:p>
          <w:p w:rsidR="00625CBE" w:rsidRPr="00105CD5" w:rsidRDefault="00625CBE" w:rsidP="0028476C">
            <w:pPr>
              <w:pStyle w:val="Caption"/>
              <w:spacing w:line="240" w:lineRule="auto"/>
              <w:rPr>
                <w:rFonts w:cs="Calibri"/>
                <w:lang w:val="en-US" w:eastAsia="en-AU"/>
              </w:rPr>
            </w:pPr>
            <w:r w:rsidRPr="00105CD5">
              <w:rPr>
                <w:rFonts w:cs="Calibri"/>
                <w:lang w:val="en-US" w:eastAsia="en-AU"/>
              </w:rPr>
              <w:t>McKennas</w:t>
            </w:r>
            <w:r w:rsidR="0028476C">
              <w:rPr>
                <w:rFonts w:cs="Calibri"/>
                <w:lang w:val="en-US" w:eastAsia="en-AU"/>
              </w:rPr>
              <w:t xml:space="preserve"> from the same point -</w:t>
            </w:r>
            <w:r w:rsidRPr="00105CD5">
              <w:rPr>
                <w:rFonts w:cs="Calibri"/>
                <w:lang w:val="en-US" w:eastAsia="en-AU"/>
              </w:rPr>
              <w:t xml:space="preserve"> </w:t>
            </w:r>
            <w:r w:rsidR="0028476C">
              <w:rPr>
                <w:rFonts w:cs="Calibri"/>
                <w:lang w:val="en-US" w:eastAsia="en-AU"/>
              </w:rPr>
              <w:t xml:space="preserve">summer </w:t>
            </w:r>
            <w:r w:rsidRPr="00105CD5">
              <w:rPr>
                <w:rFonts w:cs="Calibri"/>
                <w:lang w:val="en-US" w:eastAsia="en-AU"/>
              </w:rPr>
              <w:t>201</w:t>
            </w:r>
            <w:r>
              <w:rPr>
                <w:rFonts w:cs="Calibri"/>
                <w:lang w:val="en-US" w:eastAsia="en-AU"/>
              </w:rPr>
              <w:t>3</w:t>
            </w:r>
          </w:p>
        </w:tc>
      </w:tr>
    </w:tbl>
    <w:p w:rsidR="00625CBE" w:rsidRPr="0098532D" w:rsidRDefault="00D427B4" w:rsidP="00D427B4">
      <w:pPr>
        <w:pStyle w:val="Caption1"/>
      </w:pPr>
      <w:bookmarkStart w:id="402" w:name="_Ref368565281"/>
      <w:bookmarkStart w:id="403" w:name="_Toc370738846"/>
      <w:r w:rsidRPr="00D427B4">
        <w:rPr>
          <w:b/>
        </w:rPr>
        <w:t xml:space="preserve">Plate </w:t>
      </w:r>
      <w:r w:rsidR="00D20FAE" w:rsidRPr="00D427B4">
        <w:rPr>
          <w:b/>
        </w:rPr>
        <w:fldChar w:fldCharType="begin"/>
      </w:r>
      <w:r w:rsidRPr="00D427B4">
        <w:rPr>
          <w:b/>
        </w:rPr>
        <w:instrText xml:space="preserve"> SEQ Plate \* ARABIC </w:instrText>
      </w:r>
      <w:r w:rsidR="00D20FAE" w:rsidRPr="00D427B4">
        <w:rPr>
          <w:b/>
        </w:rPr>
        <w:fldChar w:fldCharType="separate"/>
      </w:r>
      <w:r w:rsidR="00436595">
        <w:rPr>
          <w:b/>
          <w:noProof/>
        </w:rPr>
        <w:t>15</w:t>
      </w:r>
      <w:r w:rsidR="00D20FAE" w:rsidRPr="00D427B4">
        <w:rPr>
          <w:b/>
        </w:rPr>
        <w:fldChar w:fldCharType="end"/>
      </w:r>
      <w:bookmarkEnd w:id="402"/>
      <w:r>
        <w:t xml:space="preserve"> </w:t>
      </w:r>
      <w:r w:rsidR="00625CBE">
        <w:t>The rate of recovery of aquatic vegetation communities decreases with increasing numbers of years dry: McKenna Lagoon in 1999 and after being refilled for two years in 2012.</w:t>
      </w:r>
      <w:bookmarkEnd w:id="403"/>
      <w:r w:rsidR="00625CBE">
        <w:t xml:space="preserve"> </w:t>
      </w:r>
    </w:p>
    <w:p w:rsidR="00FC57DC" w:rsidRDefault="00625CBE" w:rsidP="00625CBE">
      <w:pPr>
        <w:spacing w:after="0"/>
      </w:pPr>
      <w:r>
        <w:br w:type="page"/>
      </w:r>
    </w:p>
    <w:tbl>
      <w:tblPr>
        <w:tblStyle w:val="TableGrid"/>
        <w:tblW w:w="0" w:type="auto"/>
        <w:tblLook w:val="04A0"/>
      </w:tblPr>
      <w:tblGrid>
        <w:gridCol w:w="9242"/>
      </w:tblGrid>
      <w:tr w:rsidR="00907C1F" w:rsidRPr="00E262F7" w:rsidTr="00E262F7">
        <w:trPr>
          <w:cnfStyle w:val="100000000000"/>
        </w:trPr>
        <w:tc>
          <w:tcPr>
            <w:tcW w:w="9242" w:type="dxa"/>
          </w:tcPr>
          <w:p w:rsidR="00907C1F" w:rsidRPr="00E262F7" w:rsidRDefault="00505588" w:rsidP="005518DB">
            <w:pPr>
              <w:pStyle w:val="Title"/>
            </w:pPr>
            <w:r w:rsidRPr="00505588">
              <w:br w:type="page"/>
            </w:r>
            <w:bookmarkStart w:id="404" w:name="_Toc370738847"/>
            <w:r w:rsidRPr="00505588">
              <w:t>Waterbirds</w:t>
            </w:r>
            <w:bookmarkEnd w:id="404"/>
          </w:p>
          <w:p w:rsidR="00907C1F" w:rsidRPr="00E262F7" w:rsidRDefault="00E1766B" w:rsidP="005A1733">
            <w:pPr>
              <w:pStyle w:val="NoSpacing"/>
              <w:keepNext/>
              <w:spacing w:line="360" w:lineRule="auto"/>
              <w:ind w:left="786"/>
              <w:jc w:val="center"/>
              <w:outlineLvl w:val="0"/>
              <w:rPr>
                <w:b/>
              </w:rPr>
            </w:pPr>
            <w:r>
              <w:rPr>
                <w:b/>
                <w:noProof/>
                <w:lang w:eastAsia="en-AU"/>
              </w:rPr>
              <w:drawing>
                <wp:inline distT="0" distB="0" distL="0" distR="0">
                  <wp:extent cx="3842385" cy="2875280"/>
                  <wp:effectExtent l="19050" t="0" r="5715" b="0"/>
                  <wp:docPr id="74" name="Picture 74" descr="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437"/>
                          <pic:cNvPicPr>
                            <a:picLocks noChangeAspect="1" noChangeArrowheads="1"/>
                          </pic:cNvPicPr>
                        </pic:nvPicPr>
                        <pic:blipFill>
                          <a:blip r:embed="rId148" cstate="print"/>
                          <a:srcRect/>
                          <a:stretch>
                            <a:fillRect/>
                          </a:stretch>
                        </pic:blipFill>
                        <pic:spPr bwMode="auto">
                          <a:xfrm>
                            <a:off x="0" y="0"/>
                            <a:ext cx="3842385" cy="2875280"/>
                          </a:xfrm>
                          <a:prstGeom prst="rect">
                            <a:avLst/>
                          </a:prstGeom>
                          <a:noFill/>
                          <a:ln w="9525">
                            <a:noFill/>
                            <a:miter lim="800000"/>
                            <a:headEnd/>
                            <a:tailEnd/>
                          </a:ln>
                        </pic:spPr>
                      </pic:pic>
                    </a:graphicData>
                  </a:graphic>
                </wp:inline>
              </w:drawing>
            </w:r>
          </w:p>
          <w:p w:rsidR="00907C1F" w:rsidRPr="00E262F7" w:rsidRDefault="00907C1F" w:rsidP="00907C1F">
            <w:pPr>
              <w:pStyle w:val="NoSpacing"/>
              <w:spacing w:line="360" w:lineRule="auto"/>
              <w:rPr>
                <w:b/>
              </w:rPr>
            </w:pPr>
          </w:p>
          <w:p w:rsidR="00E1766B" w:rsidRDefault="00505588">
            <w:pPr>
              <w:pStyle w:val="NoSpacing"/>
              <w:rPr>
                <w:i/>
                <w:noProof/>
                <w:lang w:eastAsia="en-AU"/>
              </w:rPr>
            </w:pPr>
            <w:r w:rsidRPr="00505588">
              <w:rPr>
                <w:noProof/>
                <w:lang w:eastAsia="en-AU"/>
              </w:rPr>
              <w:t xml:space="preserve">In 2012–13 we undertook ground surveys for waterbirds in the mid-Murrumbidgee and Lowbidgee wetlands to assess waterbird responses in wetlands targeted for environmental watering and </w:t>
            </w:r>
            <w:r w:rsidR="002020F0">
              <w:rPr>
                <w:noProof/>
                <w:lang w:eastAsia="en-AU"/>
              </w:rPr>
              <w:t xml:space="preserve">to </w:t>
            </w:r>
            <w:r w:rsidRPr="00505588">
              <w:rPr>
                <w:noProof/>
                <w:lang w:eastAsia="en-AU"/>
              </w:rPr>
              <w:t xml:space="preserve">complement long-term aerial waterbird surveys carried out each spring. The results of our ground surveys allowed us to look at differences in total waterbird abundance, species diversity and breeding activity among the different wetlands to assess the health of the wetlands and the status of waterbird populations in the Murrumbidgee Catchment. The key objectives of the Commonwealth environmental water were to </w:t>
            </w:r>
            <w:r w:rsidRPr="00505588">
              <w:rPr>
                <w:b/>
                <w:noProof/>
                <w:lang w:eastAsia="en-AU"/>
              </w:rPr>
              <w:t>“</w:t>
            </w:r>
            <w:r w:rsidRPr="00505588">
              <w:rPr>
                <w:b/>
                <w:i/>
              </w:rPr>
              <w:t xml:space="preserve">Support the habitat requirements of waterbirds </w:t>
            </w:r>
            <w:proofErr w:type="gramStart"/>
            <w:r w:rsidRPr="00505588">
              <w:rPr>
                <w:b/>
                <w:i/>
              </w:rPr>
              <w:t>and  Support</w:t>
            </w:r>
            <w:proofErr w:type="gramEnd"/>
            <w:r w:rsidRPr="00505588">
              <w:rPr>
                <w:b/>
                <w:i/>
              </w:rPr>
              <w:t xml:space="preserve"> breeding of colonial nesting waterbirds</w:t>
            </w:r>
            <w:r w:rsidRPr="00505588">
              <w:rPr>
                <w:b/>
              </w:rPr>
              <w:t>”</w:t>
            </w:r>
            <w:r w:rsidR="00E61A03">
              <w:rPr>
                <w:b/>
              </w:rPr>
              <w:t>.</w:t>
            </w:r>
          </w:p>
          <w:p w:rsidR="00E1766B" w:rsidRDefault="00E1766B">
            <w:pPr>
              <w:pStyle w:val="NoSpacing"/>
              <w:rPr>
                <w:i/>
                <w:noProof/>
                <w:lang w:eastAsia="en-AU"/>
              </w:rPr>
            </w:pPr>
          </w:p>
          <w:p w:rsidR="00E1766B" w:rsidRDefault="00505588">
            <w:pPr>
              <w:pStyle w:val="NoSpacing"/>
              <w:rPr>
                <w:b/>
                <w:noProof/>
                <w:lang w:eastAsia="en-AU"/>
              </w:rPr>
            </w:pPr>
            <w:r w:rsidRPr="00505588">
              <w:rPr>
                <w:b/>
                <w:i/>
                <w:noProof/>
                <w:lang w:eastAsia="en-AU"/>
              </w:rPr>
              <w:t>Key findings</w:t>
            </w:r>
            <w:r w:rsidRPr="00505588">
              <w:rPr>
                <w:b/>
                <w:noProof/>
                <w:lang w:eastAsia="en-AU"/>
              </w:rPr>
              <w:t xml:space="preserve"> </w:t>
            </w:r>
          </w:p>
          <w:p w:rsidR="00E1766B" w:rsidRDefault="00505588">
            <w:pPr>
              <w:pStyle w:val="NoSpacing"/>
              <w:numPr>
                <w:ilvl w:val="0"/>
                <w:numId w:val="21"/>
              </w:numPr>
              <w:rPr>
                <w:noProof/>
                <w:lang w:eastAsia="en-AU"/>
              </w:rPr>
            </w:pPr>
            <w:r w:rsidRPr="00505588">
              <w:rPr>
                <w:noProof/>
                <w:lang w:eastAsia="en-AU"/>
              </w:rPr>
              <w:t>We recorded 48 waterbird species</w:t>
            </w:r>
            <w:r w:rsidR="00E61A03">
              <w:rPr>
                <w:noProof/>
                <w:lang w:eastAsia="en-AU"/>
              </w:rPr>
              <w:t>.</w:t>
            </w:r>
          </w:p>
          <w:p w:rsidR="00E1766B" w:rsidRDefault="00505588">
            <w:pPr>
              <w:pStyle w:val="NoSpacing"/>
              <w:numPr>
                <w:ilvl w:val="0"/>
                <w:numId w:val="21"/>
              </w:numPr>
              <w:rPr>
                <w:noProof/>
                <w:lang w:eastAsia="en-AU"/>
              </w:rPr>
            </w:pPr>
            <w:r w:rsidRPr="00505588">
              <w:rPr>
                <w:noProof/>
                <w:lang w:eastAsia="en-AU"/>
              </w:rPr>
              <w:t>Waterbird abundance and diversity was signifi</w:t>
            </w:r>
            <w:r w:rsidR="002020F0">
              <w:rPr>
                <w:noProof/>
                <w:lang w:eastAsia="en-AU"/>
              </w:rPr>
              <w:t>can</w:t>
            </w:r>
            <w:r w:rsidRPr="00505588">
              <w:rPr>
                <w:noProof/>
                <w:lang w:eastAsia="en-AU"/>
              </w:rPr>
              <w:t xml:space="preserve">tly higher at wetlands which had received </w:t>
            </w:r>
            <w:r w:rsidR="008739FC">
              <w:rPr>
                <w:noProof/>
                <w:lang w:eastAsia="en-AU"/>
              </w:rPr>
              <w:t>Commonwealth</w:t>
            </w:r>
            <w:r w:rsidRPr="00505588">
              <w:rPr>
                <w:noProof/>
                <w:lang w:eastAsia="en-AU"/>
              </w:rPr>
              <w:t xml:space="preserve"> environ</w:t>
            </w:r>
            <w:r w:rsidR="00E61A03">
              <w:rPr>
                <w:noProof/>
                <w:lang w:eastAsia="en-AU"/>
              </w:rPr>
              <w:t>mental water.</w:t>
            </w:r>
          </w:p>
          <w:p w:rsidR="00E1766B" w:rsidRDefault="00505588">
            <w:pPr>
              <w:pStyle w:val="NoSpacing"/>
              <w:numPr>
                <w:ilvl w:val="0"/>
                <w:numId w:val="21"/>
              </w:numPr>
              <w:rPr>
                <w:noProof/>
                <w:lang w:eastAsia="en-AU"/>
              </w:rPr>
            </w:pPr>
            <w:r w:rsidRPr="00505588">
              <w:rPr>
                <w:noProof/>
                <w:lang w:eastAsia="en-AU"/>
              </w:rPr>
              <w:t xml:space="preserve">We observed </w:t>
            </w:r>
            <w:r w:rsidRPr="00505588">
              <w:t xml:space="preserve">two threatened species (NSW </w:t>
            </w:r>
            <w:r w:rsidRPr="00505588">
              <w:rPr>
                <w:i/>
              </w:rPr>
              <w:t>TSC Act 1995</w:t>
            </w:r>
            <w:r w:rsidRPr="00505588">
              <w:t>) and six</w:t>
            </w:r>
            <w:r w:rsidRPr="00505588">
              <w:rPr>
                <w:noProof/>
                <w:lang w:eastAsia="en-AU"/>
              </w:rPr>
              <w:t xml:space="preserve"> species listed on one or more migratory bird agreements Australia has with Japan (JAMBA), China (CAMBA) and the Republic of Korea (ROKAMBA) at wetlands that received Commonwealth environmenal water</w:t>
            </w:r>
            <w:r w:rsidR="00E61A03">
              <w:rPr>
                <w:noProof/>
                <w:lang w:eastAsia="en-AU"/>
              </w:rPr>
              <w:t>.</w:t>
            </w:r>
            <w:r w:rsidRPr="00505588">
              <w:rPr>
                <w:noProof/>
                <w:lang w:eastAsia="en-AU"/>
              </w:rPr>
              <w:t xml:space="preserve"> </w:t>
            </w:r>
          </w:p>
          <w:p w:rsidR="00E1766B" w:rsidRDefault="00505588">
            <w:pPr>
              <w:pStyle w:val="NoSpacing"/>
              <w:numPr>
                <w:ilvl w:val="0"/>
                <w:numId w:val="21"/>
              </w:numPr>
              <w:rPr>
                <w:noProof/>
                <w:lang w:eastAsia="en-AU"/>
              </w:rPr>
            </w:pPr>
            <w:r w:rsidRPr="00505588">
              <w:rPr>
                <w:noProof/>
                <w:lang w:eastAsia="en-AU"/>
              </w:rPr>
              <w:t>Colonial nesting waterbird breeding was limited because key rookery sites did not receive Commonwealth environmental water in 2012-13. However</w:t>
            </w:r>
            <w:r w:rsidR="00E61A03">
              <w:rPr>
                <w:noProof/>
                <w:lang w:eastAsia="en-AU"/>
              </w:rPr>
              <w:t>,</w:t>
            </w:r>
            <w:r w:rsidRPr="00505588">
              <w:rPr>
                <w:noProof/>
                <w:lang w:eastAsia="en-AU"/>
              </w:rPr>
              <w:t xml:space="preserve"> twelve species were observed nesting and/or with broods of young. </w:t>
            </w:r>
            <w:bookmarkStart w:id="405" w:name="_GoBack"/>
            <w:bookmarkEnd w:id="405"/>
          </w:p>
          <w:p w:rsidR="00907C1F" w:rsidRPr="00E262F7" w:rsidRDefault="00907C1F" w:rsidP="00907C1F">
            <w:pPr>
              <w:pStyle w:val="NoSpacing"/>
              <w:spacing w:line="360" w:lineRule="auto"/>
              <w:rPr>
                <w:b/>
                <w:i/>
                <w:noProof/>
                <w:lang w:eastAsia="en-AU"/>
              </w:rPr>
            </w:pPr>
          </w:p>
        </w:tc>
      </w:tr>
    </w:tbl>
    <w:p w:rsidR="00D9682C" w:rsidRPr="00D9682C" w:rsidRDefault="00D9682C" w:rsidP="00142A10">
      <w:pPr>
        <w:pStyle w:val="NoSpacing"/>
        <w:rPr>
          <w:b/>
          <w:i/>
          <w:noProof/>
          <w:lang w:eastAsia="en-AU"/>
        </w:rPr>
      </w:pPr>
    </w:p>
    <w:p w:rsidR="00142A10" w:rsidRDefault="00142A10" w:rsidP="00535F8B">
      <w:pPr>
        <w:pStyle w:val="Heading1"/>
        <w:rPr>
          <w:rFonts w:cs="Calibri"/>
        </w:rPr>
      </w:pPr>
      <w:bookmarkStart w:id="406" w:name="_Toc370299239"/>
      <w:bookmarkStart w:id="407" w:name="_Ref370370312"/>
      <w:bookmarkStart w:id="408" w:name="_Ref370725342"/>
      <w:bookmarkStart w:id="409" w:name="_Toc370738848"/>
      <w:bookmarkStart w:id="410" w:name="_Toc378168581"/>
      <w:r w:rsidRPr="000626E8">
        <w:t xml:space="preserve">Support the </w:t>
      </w:r>
      <w:r>
        <w:t xml:space="preserve">habitats, </w:t>
      </w:r>
      <w:r w:rsidRPr="000626E8">
        <w:t xml:space="preserve">breeding and recruitment </w:t>
      </w:r>
      <w:r w:rsidR="002020F0">
        <w:t xml:space="preserve">of </w:t>
      </w:r>
      <w:r w:rsidRPr="000626E8">
        <w:t>waterbird</w:t>
      </w:r>
      <w:r>
        <w:t>s</w:t>
      </w:r>
      <w:bookmarkEnd w:id="406"/>
      <w:bookmarkEnd w:id="407"/>
      <w:bookmarkEnd w:id="408"/>
      <w:bookmarkEnd w:id="409"/>
      <w:bookmarkEnd w:id="410"/>
      <w:r w:rsidRPr="0059108A">
        <w:rPr>
          <w:rFonts w:cs="Calibri"/>
        </w:rPr>
        <w:t xml:space="preserve"> </w:t>
      </w:r>
    </w:p>
    <w:p w:rsidR="00D9682C" w:rsidRPr="00FC57DC" w:rsidRDefault="00850214" w:rsidP="00C44F46">
      <w:pPr>
        <w:pStyle w:val="Heading2"/>
      </w:pPr>
      <w:r>
        <w:t xml:space="preserve"> </w:t>
      </w:r>
      <w:bookmarkStart w:id="411" w:name="_Toc370299240"/>
      <w:bookmarkStart w:id="412" w:name="_Toc370738849"/>
      <w:bookmarkStart w:id="413" w:name="_Toc378168582"/>
      <w:r w:rsidR="00D9682C" w:rsidRPr="00FC57DC">
        <w:t>Introduction</w:t>
      </w:r>
      <w:bookmarkEnd w:id="411"/>
      <w:bookmarkEnd w:id="412"/>
      <w:bookmarkEnd w:id="413"/>
      <w:r w:rsidR="00D9682C" w:rsidRPr="00FC57DC">
        <w:t xml:space="preserve"> </w:t>
      </w:r>
    </w:p>
    <w:p w:rsidR="00B67229" w:rsidRPr="00640000" w:rsidRDefault="00B67229" w:rsidP="00B67229">
      <w:r w:rsidRPr="00640000">
        <w:rPr>
          <w:rFonts w:cs="Arial"/>
        </w:rPr>
        <w:t>Waterbirds can provide a useful indicator of the health of wetlands and floodplains, as their populations can be</w:t>
      </w:r>
      <w:r w:rsidRPr="00640000">
        <w:rPr>
          <w:bCs/>
        </w:rPr>
        <w:t xml:space="preserve"> linked to</w:t>
      </w:r>
      <w:r w:rsidRPr="00640000">
        <w:t xml:space="preserve"> large-scale wetland availability and local-scale wetland condition. We undertook ground surveys for waterbirds in wetlands in the mid-Murrumbidgee, Lowbidgee floodplain and Western Lakes in 2012–13 to assess waterbird species diversity, maximum abundance and breeding activity. These surveys were a continuation of previous monitoring of waterbird populations in the Murrumbidgee Catchment to track waterbird responses to environmental watering and the recovery of wetlands following the 2000 to 2009 drought.</w:t>
      </w:r>
    </w:p>
    <w:p w:rsidR="00B67229" w:rsidRPr="00640000" w:rsidRDefault="00B67229" w:rsidP="00B67229">
      <w:pPr>
        <w:spacing w:before="100" w:beforeAutospacing="1"/>
        <w:rPr>
          <w:rFonts w:eastAsia="Times New Roman" w:cs="Arial"/>
          <w:lang w:eastAsia="en-AU"/>
        </w:rPr>
      </w:pPr>
      <w:r w:rsidRPr="00640000">
        <w:rPr>
          <w:rFonts w:eastAsia="Times New Roman"/>
          <w:lang w:eastAsia="en-AU"/>
        </w:rPr>
        <w:t xml:space="preserve">Using waterbirds as an indicator of wetland health can provide a number of advantages, as they are a generally conspicuous group making them relatively easy to measure, and </w:t>
      </w:r>
      <w:r w:rsidRPr="00640000">
        <w:rPr>
          <w:rFonts w:eastAsia="Times New Roman"/>
        </w:rPr>
        <w:t>their abundance and diversity can be related to wetland area, the health of wetland vegetation and the abundance of their food resources</w:t>
      </w:r>
      <w:r w:rsidR="00E61A03">
        <w:rPr>
          <w:rFonts w:eastAsia="Times New Roman"/>
        </w:rPr>
        <w:t>, e.g.</w:t>
      </w:r>
      <w:r w:rsidRPr="00640000">
        <w:rPr>
          <w:rFonts w:eastAsia="Times New Roman"/>
        </w:rPr>
        <w:t xml:space="preserve"> microcrustacea, fish and aquatic vegetation </w:t>
      </w:r>
      <w:r w:rsidR="00D20FAE">
        <w:rPr>
          <w:rFonts w:cs="Arial"/>
        </w:rPr>
        <w:fldChar w:fldCharType="begin"/>
      </w:r>
      <w:r w:rsidR="006171E9">
        <w:rPr>
          <w:rFonts w:cs="Arial"/>
        </w:rPr>
        <w:instrText xml:space="preserve"> ADDIN EN.CITE &lt;EndNote&gt;&lt;Cite&gt;&lt;Author&gt;Kingsford&lt;/Author&gt;&lt;Year&gt;1999&lt;/Year&gt;&lt;RecNum&gt;2737&lt;/RecNum&gt;&lt;DisplayText&gt;(Kingsford 1999)&lt;/DisplayText&gt;&lt;record&gt;&lt;rec-number&gt;2737&lt;/rec-number&gt;&lt;foreign-keys&gt;&lt;key app="EN" db-id="vxxvsda2b05fxpeaw2dp552mtrd5trxdrf0s"&gt;2737&lt;/key&gt;&lt;/foreign-keys&gt;&lt;ref-type name="Journal Article"&gt;17&lt;/ref-type&gt;&lt;contributors&gt;&lt;authors&gt;&lt;author&gt;Kingsford, R T&lt;/author&gt;&lt;/authors&gt;&lt;/contributors&gt;&lt;titles&gt;&lt;title&gt;Aerial survey of waterbirds on wetlands as a measure of river and floodplain health&lt;/title&gt;&lt;secondary-title&gt;Freshwater Biology&lt;/secondary-title&gt;&lt;/titles&gt;&lt;periodical&gt;&lt;full-title&gt;Freshwater Biology&lt;/full-title&gt;&lt;/periodical&gt;&lt;pages&gt;425-438&lt;/pages&gt;&lt;volume&gt;41&lt;/volume&gt;&lt;dates&gt;&lt;year&gt;1999&lt;/year&gt;&lt;/dates&gt;&lt;urls&gt;&lt;/urls&gt;&lt;/record&gt;&lt;/Cite&gt;&lt;/EndNote&gt;</w:instrText>
      </w:r>
      <w:r w:rsidR="00D20FAE">
        <w:rPr>
          <w:rFonts w:cs="Arial"/>
        </w:rPr>
        <w:fldChar w:fldCharType="separate"/>
      </w:r>
      <w:r w:rsidR="006171E9">
        <w:rPr>
          <w:rFonts w:cs="Arial"/>
          <w:noProof/>
        </w:rPr>
        <w:t>(</w:t>
      </w:r>
      <w:hyperlink w:anchor="_ENREF_54" w:tooltip="Kingsford, 1999 #2737" w:history="1">
        <w:r w:rsidR="006810E6">
          <w:rPr>
            <w:rFonts w:cs="Arial"/>
            <w:noProof/>
          </w:rPr>
          <w:t>Kingsford 1999</w:t>
        </w:r>
      </w:hyperlink>
      <w:r w:rsidR="006171E9">
        <w:rPr>
          <w:rFonts w:cs="Arial"/>
          <w:noProof/>
        </w:rPr>
        <w:t>)</w:t>
      </w:r>
      <w:r w:rsidR="00D20FAE">
        <w:rPr>
          <w:rFonts w:cs="Arial"/>
        </w:rPr>
        <w:fldChar w:fldCharType="end"/>
      </w:r>
      <w:r w:rsidRPr="00640000">
        <w:rPr>
          <w:rFonts w:eastAsia="Times New Roman"/>
        </w:rPr>
        <w:t>. This means that</w:t>
      </w:r>
      <w:r w:rsidR="00E61A03">
        <w:rPr>
          <w:rFonts w:eastAsia="Times New Roman"/>
        </w:rPr>
        <w:t>,</w:t>
      </w:r>
      <w:r w:rsidRPr="00640000">
        <w:rPr>
          <w:rFonts w:eastAsia="Times New Roman"/>
        </w:rPr>
        <w:t xml:space="preserve"> generally</w:t>
      </w:r>
      <w:r w:rsidR="00E61A03">
        <w:rPr>
          <w:rFonts w:eastAsia="Times New Roman"/>
        </w:rPr>
        <w:t>,</w:t>
      </w:r>
      <w:r w:rsidRPr="00640000">
        <w:rPr>
          <w:rFonts w:eastAsia="Times New Roman"/>
        </w:rPr>
        <w:t xml:space="preserve"> w</w:t>
      </w:r>
      <w:r w:rsidRPr="00640000">
        <w:rPr>
          <w:rFonts w:eastAsia="Times New Roman" w:cs="Arial"/>
        </w:rPr>
        <w:t>etlands in good condition, which have vegetation in good health and a complex of habitats with varying water depths, tend to support the greatest diversity of waterbird species a</w:t>
      </w:r>
      <w:r>
        <w:rPr>
          <w:rFonts w:eastAsia="Times New Roman" w:cs="Arial"/>
        </w:rPr>
        <w:t xml:space="preserve">nd highest waterbird abundance </w:t>
      </w:r>
      <w:r w:rsidR="00D20FAE">
        <w:rPr>
          <w:rFonts w:eastAsia="Times New Roman" w:cs="Arial"/>
        </w:rPr>
        <w:fldChar w:fldCharType="begin"/>
      </w:r>
      <w:r w:rsidR="006171E9">
        <w:rPr>
          <w:rFonts w:eastAsia="Times New Roman" w:cs="Arial"/>
        </w:rPr>
        <w:instrText xml:space="preserve"> ADDIN EN.CITE &lt;EndNote&gt;&lt;Cite&gt;&lt;Author&gt;Kingsford&lt;/Author&gt;&lt;Year&gt;2002&lt;/Year&gt;&lt;RecNum&gt;2739&lt;/RecNum&gt;&lt;DisplayText&gt;(Kingsford and Norman 2002, Kingsford, Porter&lt;style face="italic"&gt; et al.&lt;/style&gt; 2012)&lt;/DisplayText&gt;&lt;record&gt;&lt;rec-number&gt;2739&lt;/rec-number&gt;&lt;foreign-keys&gt;&lt;key app="EN" db-id="vxxvsda2b05fxpeaw2dp552mtrd5trxdrf0s"&gt;2739&lt;/key&gt;&lt;/foreign-keys&gt;&lt;ref-type name="Journal Article"&gt;17&lt;/ref-type&gt;&lt;contributors&gt;&lt;authors&gt;&lt;author&gt;Kingsford, R T&lt;/author&gt;&lt;author&gt;Norman, F I&lt;/author&gt;&lt;/authors&gt;&lt;/contributors&gt;&lt;titles&gt;&lt;title&gt;Australian waterbirds - products of the continent&amp;apos;s ecology&lt;/title&gt;&lt;secondary-title&gt;Emu&lt;/secondary-title&gt;&lt;/titles&gt;&lt;pages&gt;47-69&lt;/pages&gt;&lt;volume&gt;102&lt;/volume&gt;&lt;dates&gt;&lt;year&gt;2002&lt;/year&gt;&lt;/dates&gt;&lt;call-num&gt;elec file&lt;/call-num&gt;&lt;urls&gt;&lt;/urls&gt;&lt;/record&gt;&lt;/Cite&gt;&lt;Cite&gt;&lt;Author&gt;Kingsford&lt;/Author&gt;&lt;Year&gt;2012&lt;/Year&gt;&lt;RecNum&gt;3373&lt;/RecNum&gt;&lt;record&gt;&lt;rec-number&gt;3373&lt;/rec-number&gt;&lt;foreign-keys&gt;&lt;key app="EN" db-id="vxxvsda2b05fxpeaw2dp552mtrd5trxdrf0s"&gt;3373&lt;/key&gt;&lt;/foreign-keys&gt;&lt;ref-type name="Book"&gt;6&lt;/ref-type&gt;&lt;contributors&gt;&lt;authors&gt;&lt;author&gt;Kingsford, R.T.&lt;/author&gt;&lt;author&gt;Porter, J.L.&lt;/author&gt;&lt;author&gt;Halse, S.A.&lt;/author&gt;&lt;/authors&gt;&lt;/contributors&gt;&lt;titles&gt;&lt;title&gt;National Waterbird Assessment. Waterlines Report, 74&lt;/title&gt;&lt;/titles&gt;&lt;dates&gt;&lt;year&gt;2012&lt;/year&gt;&lt;/dates&gt;&lt;pub-location&gt;Canberra&lt;/pub-location&gt;&lt;publisher&gt;National Water Commission&lt;/publisher&gt;&lt;urls&gt;&lt;/urls&gt;&lt;/record&gt;&lt;/Cite&gt;&lt;/EndNote&gt;</w:instrText>
      </w:r>
      <w:r w:rsidR="00D20FAE">
        <w:rPr>
          <w:rFonts w:eastAsia="Times New Roman" w:cs="Arial"/>
        </w:rPr>
        <w:fldChar w:fldCharType="separate"/>
      </w:r>
      <w:r w:rsidR="006171E9">
        <w:rPr>
          <w:rFonts w:eastAsia="Times New Roman" w:cs="Arial"/>
          <w:noProof/>
        </w:rPr>
        <w:t>(</w:t>
      </w:r>
      <w:hyperlink w:anchor="_ENREF_57" w:tooltip="Kingsford, 2002 #2739" w:history="1">
        <w:r w:rsidR="006810E6">
          <w:rPr>
            <w:rFonts w:eastAsia="Times New Roman" w:cs="Arial"/>
            <w:noProof/>
          </w:rPr>
          <w:t>Kingsford and Norman 2002</w:t>
        </w:r>
      </w:hyperlink>
      <w:r w:rsidR="006171E9">
        <w:rPr>
          <w:rFonts w:eastAsia="Times New Roman" w:cs="Arial"/>
          <w:noProof/>
        </w:rPr>
        <w:t xml:space="preserve">, </w:t>
      </w:r>
      <w:hyperlink w:anchor="_ENREF_59" w:tooltip="Kingsford, 2012 #3373" w:history="1">
        <w:r w:rsidR="006810E6">
          <w:rPr>
            <w:rFonts w:eastAsia="Times New Roman" w:cs="Arial"/>
            <w:noProof/>
          </w:rPr>
          <w:t>Kingsford, Porter</w:t>
        </w:r>
        <w:r w:rsidR="006810E6" w:rsidRPr="006171E9">
          <w:rPr>
            <w:rFonts w:eastAsia="Times New Roman" w:cs="Arial"/>
            <w:i/>
            <w:noProof/>
          </w:rPr>
          <w:t xml:space="preserve"> et al.</w:t>
        </w:r>
        <w:r w:rsidR="006810E6">
          <w:rPr>
            <w:rFonts w:eastAsia="Times New Roman" w:cs="Arial"/>
            <w:noProof/>
          </w:rPr>
          <w:t xml:space="preserve"> 2012</w:t>
        </w:r>
      </w:hyperlink>
      <w:r w:rsidR="006171E9">
        <w:rPr>
          <w:rFonts w:eastAsia="Times New Roman" w:cs="Arial"/>
          <w:noProof/>
        </w:rPr>
        <w:t>)</w:t>
      </w:r>
      <w:r w:rsidR="00D20FAE">
        <w:rPr>
          <w:rFonts w:eastAsia="Times New Roman" w:cs="Arial"/>
        </w:rPr>
        <w:fldChar w:fldCharType="end"/>
      </w:r>
      <w:r w:rsidRPr="00640000">
        <w:rPr>
          <w:rFonts w:eastAsia="Times New Roman" w:cs="Arial"/>
        </w:rPr>
        <w:t>. Waterbird breeding</w:t>
      </w:r>
      <w:r w:rsidR="00E61A03">
        <w:rPr>
          <w:rFonts w:eastAsia="Times New Roman" w:cs="Arial"/>
        </w:rPr>
        <w:t>,</w:t>
      </w:r>
      <w:r w:rsidRPr="00640000">
        <w:rPr>
          <w:rFonts w:eastAsia="Times New Roman" w:cs="Arial"/>
        </w:rPr>
        <w:t xml:space="preserve"> in particular</w:t>
      </w:r>
      <w:r w:rsidR="00E61A03">
        <w:rPr>
          <w:rFonts w:eastAsia="Times New Roman" w:cs="Arial"/>
        </w:rPr>
        <w:t>,</w:t>
      </w:r>
      <w:r w:rsidRPr="00640000">
        <w:rPr>
          <w:rFonts w:eastAsia="Times New Roman" w:cs="Arial"/>
        </w:rPr>
        <w:t xml:space="preserve"> can provide a useful index of the effectiveness of wetland management. Colonially-nesting species, such as egrets and ibis, are particularly sensitive to flood duration and require </w:t>
      </w:r>
      <w:r w:rsidRPr="00640000">
        <w:rPr>
          <w:rFonts w:eastAsia="Times New Roman"/>
        </w:rPr>
        <w:t xml:space="preserve">adequately timed flows of sufficient duration, depth and extent to </w:t>
      </w:r>
      <w:r w:rsidRPr="00640000">
        <w:rPr>
          <w:rFonts w:eastAsia="Times New Roman" w:cs="Arial"/>
          <w:lang w:eastAsia="en-AU"/>
        </w:rPr>
        <w:t>allow birds to pair up, build nests, lay eggs, and raise and fledge their youn</w:t>
      </w:r>
      <w:r w:rsidR="003E235E">
        <w:rPr>
          <w:rFonts w:eastAsia="Times New Roman" w:cs="Arial"/>
          <w:lang w:eastAsia="en-AU"/>
        </w:rPr>
        <w:t xml:space="preserve">g successfully </w:t>
      </w:r>
      <w:r w:rsidR="00D20FAE">
        <w:rPr>
          <w:rFonts w:eastAsia="Times New Roman" w:cs="Arial"/>
          <w:lang w:eastAsia="en-AU"/>
        </w:rPr>
        <w:fldChar w:fldCharType="begin"/>
      </w:r>
      <w:r w:rsidR="006171E9">
        <w:rPr>
          <w:rFonts w:eastAsia="Times New Roman" w:cs="Arial"/>
          <w:lang w:eastAsia="en-AU"/>
        </w:rPr>
        <w:instrText xml:space="preserve"> ADDIN EN.CITE &lt;EndNote&gt;&lt;Cite&gt;&lt;Author&gt;Kingsford&lt;/Author&gt;&lt;Year&gt;2005&lt;/Year&gt;&lt;RecNum&gt;3442&lt;/RecNum&gt;&lt;DisplayText&gt;(Scott 1997, Kingsford and Auld 2005)&lt;/DisplayText&gt;&lt;record&gt;&lt;rec-number&gt;3442&lt;/rec-number&gt;&lt;foreign-keys&gt;&lt;key app="EN" db-id="vxxvsda2b05fxpeaw2dp552mtrd5trxdrf0s"&gt;3442&lt;/key&gt;&lt;/foreign-keys&gt;&lt;ref-type name="Journal Article"&gt;17&lt;/ref-type&gt;&lt;contributors&gt;&lt;authors&gt;&lt;author&gt;Kingsford, Richard T.&lt;/author&gt;&lt;author&gt;Auld, Kristin M.&lt;/author&gt;&lt;/authors&gt;&lt;/contributors&gt;&lt;titles&gt;&lt;title&gt;Waterbird breeding and environmental flow management in the Macquarie Marshes, arid Australia&lt;/title&gt;&lt;secondary-title&gt;River Research and Applications&lt;/secondary-title&gt;&lt;/titles&gt;&lt;periodical&gt;&lt;full-title&gt;River Research and Applications&lt;/full-title&gt;&lt;/periodical&gt;&lt;pages&gt;187-200&lt;/pages&gt;&lt;volume&gt;21&lt;/volume&gt;&lt;number&gt;2-3&lt;/number&gt;&lt;keywords&gt;&lt;keyword&gt;adaptive management&lt;/keyword&gt;&lt;keyword&gt;environmental flow&lt;/keyword&gt;&lt;keyword&gt;regulated river management&lt;/keyword&gt;&lt;keyword&gt;colonial waterbirds&lt;/keyword&gt;&lt;keyword&gt;river flows&lt;/keyword&gt;&lt;/keywords&gt;&lt;dates&gt;&lt;year&gt;2005&lt;/year&gt;&lt;/dates&gt;&lt;publisher&gt;John Wiley &amp;amp; Sons, Ltd.&lt;/publisher&gt;&lt;isbn&gt;1535-1467&lt;/isbn&gt;&lt;urls&gt;&lt;related-urls&gt;&lt;url&gt;http://dx.doi.org/10.1002/rra.840&lt;/url&gt;&lt;/related-urls&gt;&lt;/urls&gt;&lt;electronic-resource-num&gt;10.1002/rra.840&lt;/electronic-resource-num&gt;&lt;/record&gt;&lt;/Cite&gt;&lt;Cite&gt;&lt;Author&gt;Scott&lt;/Author&gt;&lt;Year&gt;1997&lt;/Year&gt;&lt;RecNum&gt;3267&lt;/RecNum&gt;&lt;record&gt;&lt;rec-number&gt;3267&lt;/rec-number&gt;&lt;foreign-keys&gt;&lt;key app="EN" db-id="vxxvsda2b05fxpeaw2dp552mtrd5trxdrf0s"&gt;3267&lt;/key&gt;&lt;/foreign-keys&gt;&lt;ref-type name="Book"&gt;6&lt;/ref-type&gt;&lt;contributors&gt;&lt;authors&gt;&lt;author&gt;Scott, A. &lt;/author&gt;&lt;/authors&gt;&lt;/contributors&gt;&lt;titles&gt;&lt;title&gt;Relationships between waterbird ecology and river flows in the Murray-Darling Basin: Technical Report 5/97&lt;/title&gt;&lt;/titles&gt;&lt;dates&gt;&lt;year&gt;1997&lt;/year&gt;&lt;/dates&gt;&lt;pub-location&gt;Canberra&lt;/pub-location&gt;&lt;publisher&gt;CSIRO Land and Water&lt;/publisher&gt;&lt;urls&gt;&lt;/urls&gt;&lt;/record&gt;&lt;/Cite&gt;&lt;/EndNote&gt;</w:instrText>
      </w:r>
      <w:r w:rsidR="00D20FAE">
        <w:rPr>
          <w:rFonts w:eastAsia="Times New Roman" w:cs="Arial"/>
          <w:lang w:eastAsia="en-AU"/>
        </w:rPr>
        <w:fldChar w:fldCharType="separate"/>
      </w:r>
      <w:r w:rsidR="006171E9">
        <w:rPr>
          <w:rFonts w:eastAsia="Times New Roman" w:cs="Arial"/>
          <w:noProof/>
          <w:lang w:eastAsia="en-AU"/>
        </w:rPr>
        <w:t>(</w:t>
      </w:r>
      <w:hyperlink w:anchor="_ENREF_92" w:tooltip="Scott, 1997 #3267" w:history="1">
        <w:r w:rsidR="006810E6">
          <w:rPr>
            <w:rFonts w:eastAsia="Times New Roman" w:cs="Arial"/>
            <w:noProof/>
            <w:lang w:eastAsia="en-AU"/>
          </w:rPr>
          <w:t>Scott 1997</w:t>
        </w:r>
      </w:hyperlink>
      <w:r w:rsidR="006171E9">
        <w:rPr>
          <w:rFonts w:eastAsia="Times New Roman" w:cs="Arial"/>
          <w:noProof/>
          <w:lang w:eastAsia="en-AU"/>
        </w:rPr>
        <w:t xml:space="preserve">, </w:t>
      </w:r>
      <w:hyperlink w:anchor="_ENREF_55" w:tooltip="Kingsford, 2005 #3442" w:history="1">
        <w:r w:rsidR="006810E6">
          <w:rPr>
            <w:rFonts w:eastAsia="Times New Roman" w:cs="Arial"/>
            <w:noProof/>
            <w:lang w:eastAsia="en-AU"/>
          </w:rPr>
          <w:t>Kingsford and Auld 2005</w:t>
        </w:r>
      </w:hyperlink>
      <w:r w:rsidR="006171E9">
        <w:rPr>
          <w:rFonts w:eastAsia="Times New Roman" w:cs="Arial"/>
          <w:noProof/>
          <w:lang w:eastAsia="en-AU"/>
        </w:rPr>
        <w:t>)</w:t>
      </w:r>
      <w:r w:rsidR="00D20FAE">
        <w:rPr>
          <w:rFonts w:eastAsia="Times New Roman" w:cs="Arial"/>
          <w:lang w:eastAsia="en-AU"/>
        </w:rPr>
        <w:fldChar w:fldCharType="end"/>
      </w:r>
      <w:r w:rsidR="003E235E">
        <w:rPr>
          <w:rFonts w:eastAsia="Times New Roman" w:cs="Arial"/>
          <w:lang w:eastAsia="en-AU"/>
        </w:rPr>
        <w:t>.</w:t>
      </w:r>
    </w:p>
    <w:p w:rsidR="00B67229" w:rsidRPr="00640000" w:rsidRDefault="00B67229" w:rsidP="00B67229">
      <w:pPr>
        <w:spacing w:before="100" w:beforeAutospacing="1"/>
      </w:pPr>
      <w:r w:rsidRPr="00640000">
        <w:t xml:space="preserve">A combination of aerial and ground surveys is the preferred approach for monitoring waterbird populations in floodplain wetlands </w:t>
      </w:r>
      <w:r w:rsidR="00D20FAE">
        <w:fldChar w:fldCharType="begin"/>
      </w:r>
      <w:r w:rsidR="006171E9">
        <w:instrText xml:space="preserve"> ADDIN EN.CITE &lt;EndNote&gt;&lt;Cite&gt;&lt;Author&gt;Baldwin&lt;/Author&gt;&lt;Year&gt;2005&lt;/Year&gt;&lt;RecNum&gt;3374&lt;/RecNum&gt;&lt;DisplayText&gt;(Baldwin, Nielsen&lt;style face="italic"&gt; et al.&lt;/style&gt; 2005)&lt;/DisplayText&gt;&lt;record&gt;&lt;rec-number&gt;3374&lt;/rec-number&gt;&lt;foreign-keys&gt;&lt;key app="EN" db-id="vxxvsda2b05fxpeaw2dp552mtrd5trxdrf0s"&gt;3374&lt;/key&gt;&lt;/foreign-keys&gt;&lt;ref-type name="Book"&gt;6&lt;/ref-type&gt;&lt;contributors&gt;&lt;authors&gt;&lt;author&gt;Baldwin, D.S.&lt;/author&gt;&lt;author&gt;Nielsen, D.L.&lt;/author&gt;&lt;author&gt;Bowen, P.M. &lt;/author&gt;&lt;author&gt;Williams, J. &lt;/author&gt;&lt;/authors&gt;&lt;/contributors&gt;&lt;titles&gt;&lt;title&gt;Recommended Methods for Monitoring Floodplains and Wetlands&lt;/title&gt;&lt;/titles&gt;&lt;dates&gt;&lt;year&gt;2005&lt;/year&gt;&lt;/dates&gt;&lt;pub-location&gt;Canberra&lt;/pub-location&gt;&lt;publisher&gt;Murray-Darling Basin Commission&lt;/publisher&gt;&lt;urls&gt;&lt;/urls&gt;&lt;/record&gt;&lt;/Cite&gt;&lt;/EndNote&gt;</w:instrText>
      </w:r>
      <w:r w:rsidR="00D20FAE">
        <w:fldChar w:fldCharType="separate"/>
      </w:r>
      <w:r w:rsidR="006171E9">
        <w:rPr>
          <w:noProof/>
        </w:rPr>
        <w:t>(</w:t>
      </w:r>
      <w:hyperlink w:anchor="_ENREF_13" w:tooltip="Baldwin, 2005 #3374" w:history="1">
        <w:r w:rsidR="006810E6">
          <w:rPr>
            <w:noProof/>
          </w:rPr>
          <w:t>Baldwin, Nielsen</w:t>
        </w:r>
        <w:r w:rsidR="006810E6" w:rsidRPr="006171E9">
          <w:rPr>
            <w:i/>
            <w:noProof/>
          </w:rPr>
          <w:t xml:space="preserve"> et al.</w:t>
        </w:r>
        <w:r w:rsidR="006810E6">
          <w:rPr>
            <w:noProof/>
          </w:rPr>
          <w:t xml:space="preserve"> 2005</w:t>
        </w:r>
      </w:hyperlink>
      <w:r w:rsidR="006171E9">
        <w:rPr>
          <w:noProof/>
        </w:rPr>
        <w:t>)</w:t>
      </w:r>
      <w:r w:rsidR="00D20FAE">
        <w:fldChar w:fldCharType="end"/>
      </w:r>
      <w:r w:rsidR="00C96BC5" w:rsidRPr="00640000">
        <w:t xml:space="preserve">. </w:t>
      </w:r>
      <w:r w:rsidRPr="00640000">
        <w:t xml:space="preserve">Aerial surveys can be used to determine the distribution of waterbirds and for making a rapid cost-effective assessment of relative abundance </w:t>
      </w:r>
      <w:r w:rsidR="00D20FAE">
        <w:fldChar w:fldCharType="begin"/>
      </w:r>
      <w:r w:rsidR="006171E9">
        <w:instrText xml:space="preserve"> ADDIN EN.CITE &lt;EndNote&gt;&lt;Cite&gt;&lt;Author&gt;Kingsford&lt;/Author&gt;&lt;Year&gt;1999&lt;/Year&gt;&lt;RecNum&gt;2737&lt;/RecNum&gt;&lt;DisplayText&gt;(Kingsford 1999, Kingsford and Porter 2011)&lt;/DisplayText&gt;&lt;record&gt;&lt;rec-number&gt;2737&lt;/rec-number&gt;&lt;foreign-keys&gt;&lt;key app="EN" db-id="vxxvsda2b05fxpeaw2dp552mtrd5trxdrf0s"&gt;2737&lt;/key&gt;&lt;/foreign-keys&gt;&lt;ref-type name="Journal Article"&gt;17&lt;/ref-type&gt;&lt;contributors&gt;&lt;authors&gt;&lt;author&gt;Kingsford, R T&lt;/author&gt;&lt;/authors&gt;&lt;/contributors&gt;&lt;titles&gt;&lt;title&gt;Aerial survey of waterbirds on wetlands as a measure of river and floodplain health&lt;/title&gt;&lt;secondary-title&gt;Freshwater Biology&lt;/secondary-title&gt;&lt;/titles&gt;&lt;periodical&gt;&lt;full-title&gt;Freshwater Biology&lt;/full-title&gt;&lt;/periodical&gt;&lt;pages&gt;425-438&lt;/pages&gt;&lt;volume&gt;41&lt;/volume&gt;&lt;dates&gt;&lt;year&gt;1999&lt;/year&gt;&lt;/dates&gt;&lt;urls&gt;&lt;/urls&gt;&lt;/record&gt;&lt;/Cite&gt;&lt;Cite&gt;&lt;Author&gt;Kingsford&lt;/Author&gt;&lt;Year&gt;2011&lt;/Year&gt;&lt;RecNum&gt;3443&lt;/RecNum&gt;&lt;record&gt;&lt;rec-number&gt;3443&lt;/rec-number&gt;&lt;foreign-keys&gt;&lt;key app="EN" db-id="vxxvsda2b05fxpeaw2dp552mtrd5trxdrf0s"&gt;3443&lt;/key&gt;&lt;/foreign-keys&gt;&lt;ref-type name="Book"&gt;6&lt;/ref-type&gt;&lt;contributors&gt;&lt;authors&gt;&lt;author&gt;Kingsford, R. T.&lt;/author&gt;&lt;author&gt;Porter, J.L.&lt;/author&gt;&lt;/authors&gt;&lt;/contributors&gt;&lt;titles&gt;&lt;title&gt;Survey of waterbird communities of the Hydrological Indicator Sites – October-November 2010&lt;/title&gt;&lt;/titles&gt;&lt;dates&gt;&lt;year&gt;2011&lt;/year&gt;&lt;/dates&gt;&lt;pub-location&gt;Canberra&lt;/pub-location&gt;&lt;publisher&gt;Australian Wetlands and Rivers Centre, School of Biological, Earth and Environmental Sciences, University of New South Wales. Report to the Murray-Darling Basin Authority.&lt;/publisher&gt;&lt;urls&gt;&lt;/urls&gt;&lt;/record&gt;&lt;/Cite&gt;&lt;/EndNote&gt;</w:instrText>
      </w:r>
      <w:r w:rsidR="00D20FAE">
        <w:fldChar w:fldCharType="separate"/>
      </w:r>
      <w:r w:rsidR="006171E9">
        <w:rPr>
          <w:noProof/>
        </w:rPr>
        <w:t>(</w:t>
      </w:r>
      <w:hyperlink w:anchor="_ENREF_54" w:tooltip="Kingsford, 1999 #2737" w:history="1">
        <w:r w:rsidR="006810E6">
          <w:rPr>
            <w:noProof/>
          </w:rPr>
          <w:t>Kingsford 1999</w:t>
        </w:r>
      </w:hyperlink>
      <w:r w:rsidR="006171E9">
        <w:rPr>
          <w:noProof/>
        </w:rPr>
        <w:t xml:space="preserve">, </w:t>
      </w:r>
      <w:hyperlink w:anchor="_ENREF_58" w:tooltip="Kingsford, 2011 #3443" w:history="1">
        <w:r w:rsidR="006810E6">
          <w:rPr>
            <w:noProof/>
          </w:rPr>
          <w:t>Kingsford and Porter 2011</w:t>
        </w:r>
      </w:hyperlink>
      <w:r w:rsidR="006171E9">
        <w:rPr>
          <w:noProof/>
        </w:rPr>
        <w:t>)</w:t>
      </w:r>
      <w:r w:rsidR="00D20FAE">
        <w:fldChar w:fldCharType="end"/>
      </w:r>
      <w:r w:rsidRPr="00640000">
        <w:t xml:space="preserve"> and to locate breeding colonies. Ground surveys can provide more accurate data on smaller scale abundances, species composition, the presence of threatened and/or cryptic species, and the timing and extent of waterbird breeding events </w:t>
      </w:r>
      <w:r w:rsidR="00D20FAE">
        <w:fldChar w:fldCharType="begin"/>
      </w:r>
      <w:r w:rsidR="006171E9">
        <w:instrText xml:space="preserve"> ADDIN EN.CITE &lt;EndNote&gt;&lt;Cite&gt;&lt;Author&gt;Baldwin&lt;/Author&gt;&lt;Year&gt;2005&lt;/Year&gt;&lt;RecNum&gt;3374&lt;/RecNum&gt;&lt;DisplayText&gt;(Baldwin, Nielsen&lt;style face="italic"&gt; et al.&lt;/style&gt; 2005)&lt;/DisplayText&gt;&lt;record&gt;&lt;rec-number&gt;3374&lt;/rec-number&gt;&lt;foreign-keys&gt;&lt;key app="EN" db-id="vxxvsda2b05fxpeaw2dp552mtrd5trxdrf0s"&gt;3374&lt;/key&gt;&lt;/foreign-keys&gt;&lt;ref-type name="Book"&gt;6&lt;/ref-type&gt;&lt;contributors&gt;&lt;authors&gt;&lt;author&gt;Baldwin, D.S.&lt;/author&gt;&lt;author&gt;Nielsen, D.L.&lt;/author&gt;&lt;author&gt;Bowen, P.M. &lt;/author&gt;&lt;author&gt;Williams, J. &lt;/author&gt;&lt;/authors&gt;&lt;/contributors&gt;&lt;titles&gt;&lt;title&gt;Recommended Methods for Monitoring Floodplains and Wetlands&lt;/title&gt;&lt;/titles&gt;&lt;dates&gt;&lt;year&gt;2005&lt;/year&gt;&lt;/dates&gt;&lt;pub-location&gt;Canberra&lt;/pub-location&gt;&lt;publisher&gt;Murray-Darling Basin Commission&lt;/publisher&gt;&lt;urls&gt;&lt;/urls&gt;&lt;/record&gt;&lt;/Cite&gt;&lt;/EndNote&gt;</w:instrText>
      </w:r>
      <w:r w:rsidR="00D20FAE">
        <w:fldChar w:fldCharType="separate"/>
      </w:r>
      <w:r w:rsidR="006171E9">
        <w:rPr>
          <w:noProof/>
        </w:rPr>
        <w:t>(</w:t>
      </w:r>
      <w:hyperlink w:anchor="_ENREF_13" w:tooltip="Baldwin, 2005 #3374" w:history="1">
        <w:r w:rsidR="006810E6">
          <w:rPr>
            <w:noProof/>
          </w:rPr>
          <w:t>Baldwin, Nielsen</w:t>
        </w:r>
        <w:r w:rsidR="006810E6" w:rsidRPr="006171E9">
          <w:rPr>
            <w:i/>
            <w:noProof/>
          </w:rPr>
          <w:t xml:space="preserve"> et al.</w:t>
        </w:r>
        <w:r w:rsidR="006810E6">
          <w:rPr>
            <w:noProof/>
          </w:rPr>
          <w:t xml:space="preserve"> 2005</w:t>
        </w:r>
      </w:hyperlink>
      <w:r w:rsidR="006171E9">
        <w:rPr>
          <w:noProof/>
        </w:rPr>
        <w:t>)</w:t>
      </w:r>
      <w:r w:rsidR="00D20FAE">
        <w:fldChar w:fldCharType="end"/>
      </w:r>
      <w:r w:rsidR="00C96BC5">
        <w:t>.</w:t>
      </w:r>
    </w:p>
    <w:p w:rsidR="00907C1F" w:rsidRPr="00FC57DC" w:rsidRDefault="00907C1F" w:rsidP="00FC57DC"/>
    <w:p w:rsidR="00D9682C" w:rsidRPr="00FC57DC" w:rsidRDefault="00850214" w:rsidP="00C44F46">
      <w:pPr>
        <w:pStyle w:val="Heading2"/>
      </w:pPr>
      <w:r>
        <w:t xml:space="preserve"> </w:t>
      </w:r>
      <w:bookmarkStart w:id="414" w:name="_Toc370299241"/>
      <w:bookmarkStart w:id="415" w:name="_Toc370738850"/>
      <w:bookmarkStart w:id="416" w:name="_Toc378168583"/>
      <w:r w:rsidR="00D9682C" w:rsidRPr="00FC57DC">
        <w:t>Methods</w:t>
      </w:r>
      <w:bookmarkEnd w:id="414"/>
      <w:bookmarkEnd w:id="415"/>
      <w:bookmarkEnd w:id="416"/>
    </w:p>
    <w:p w:rsidR="00F717EC" w:rsidRPr="00640000" w:rsidRDefault="00D9682C" w:rsidP="00F717EC">
      <w:r w:rsidRPr="00FC57DC">
        <w:t>We carried out repeated ground surveys in 11 wetlands in the mid-Murrumbidgee region (</w:t>
      </w:r>
      <w:r w:rsidR="00D20FAE">
        <w:rPr>
          <w:shd w:val="clear" w:color="auto" w:fill="FFFF00"/>
        </w:rPr>
        <w:fldChar w:fldCharType="begin"/>
      </w:r>
      <w:r w:rsidR="00460AD2">
        <w:instrText xml:space="preserve"> REF _Ref355356288 \h </w:instrText>
      </w:r>
      <w:r w:rsidR="00D20FAE">
        <w:rPr>
          <w:shd w:val="clear" w:color="auto" w:fill="FFFF00"/>
        </w:rPr>
      </w:r>
      <w:r w:rsidR="00D20FAE">
        <w:rPr>
          <w:shd w:val="clear" w:color="auto" w:fill="FFFF00"/>
        </w:rPr>
        <w:fldChar w:fldCharType="separate"/>
      </w:r>
      <w:r w:rsidR="00436595" w:rsidRPr="00C970E5">
        <w:rPr>
          <w:b/>
        </w:rPr>
        <w:t xml:space="preserve">Figure </w:t>
      </w:r>
      <w:r w:rsidR="00436595">
        <w:rPr>
          <w:b/>
          <w:noProof/>
        </w:rPr>
        <w:t>3</w:t>
      </w:r>
      <w:r w:rsidR="00D20FAE">
        <w:rPr>
          <w:shd w:val="clear" w:color="auto" w:fill="FFFF00"/>
        </w:rPr>
        <w:fldChar w:fldCharType="end"/>
      </w:r>
      <w:r w:rsidRPr="00FC57DC">
        <w:t>) in August, October and December 2012 (most sites had dried down by December so surveys were not continued into 2013), and 10 wetlands in the Western Lakes region in October and December 2012, and February and May 2013</w:t>
      </w:r>
      <w:r w:rsidR="00E61A03">
        <w:t xml:space="preserve"> </w:t>
      </w:r>
      <w:r w:rsidR="00460AD2">
        <w:t xml:space="preserve">(see </w:t>
      </w:r>
      <w:r w:rsidR="00D20FAE">
        <w:fldChar w:fldCharType="begin"/>
      </w:r>
      <w:r w:rsidR="00460AD2">
        <w:instrText xml:space="preserve"> REF _Ref370726718 \h </w:instrText>
      </w:r>
      <w:r w:rsidR="00D20FAE">
        <w:fldChar w:fldCharType="separate"/>
      </w:r>
      <w:r w:rsidR="00436595" w:rsidRPr="0094759B">
        <w:t>Appendix</w:t>
      </w:r>
      <w:r w:rsidR="00436595">
        <w:t xml:space="preserve"> 4 W</w:t>
      </w:r>
      <w:r w:rsidR="00436595" w:rsidRPr="003708AF">
        <w:t>aterbird species</w:t>
      </w:r>
      <w:r w:rsidR="00436595">
        <w:t xml:space="preserve"> list and functional groups</w:t>
      </w:r>
      <w:r w:rsidR="00D20FAE">
        <w:fldChar w:fldCharType="end"/>
      </w:r>
      <w:r w:rsidR="00460AD2">
        <w:t>)</w:t>
      </w:r>
      <w:r w:rsidRPr="00FC57DC">
        <w:t>. Ground surveys were also carried out in 22 wetlands in the Lowbidgee floodplain in October 2012, to include nine sites on private properties in the Nimmie-Caira (five wetlands) and North Redbank (four wetlands) systems, and 13 wetlands in Yanga National Park (</w:t>
      </w:r>
      <w:fldSimple w:instr=" REF _Ref355339062 ">
        <w:r w:rsidR="00436595" w:rsidRPr="006A0B9F">
          <w:rPr>
            <w:b/>
          </w:rPr>
          <w:t xml:space="preserve">Figure </w:t>
        </w:r>
        <w:r w:rsidR="00436595">
          <w:rPr>
            <w:b/>
            <w:noProof/>
          </w:rPr>
          <w:t>4</w:t>
        </w:r>
      </w:fldSimple>
      <w:r w:rsidRPr="00FC57DC">
        <w:t xml:space="preserve">). </w:t>
      </w:r>
      <w:r w:rsidR="00F717EC" w:rsidRPr="00640000">
        <w:t>The October surveys of the Lowbidgee floodplain and Western Lakes were timed to c</w:t>
      </w:r>
      <w:r w:rsidR="00F717EC" w:rsidRPr="00640000">
        <w:rPr>
          <w:lang w:eastAsia="en-AU"/>
        </w:rPr>
        <w:t>oincide with the Eastern Australian Annual Wetland Bird Aerial Survey conducted by the University of New South Wales (the Lowbidgee region was flown on 18 October 2012).</w:t>
      </w:r>
      <w:r w:rsidR="00E61A03">
        <w:rPr>
          <w:lang w:eastAsia="en-AU"/>
        </w:rPr>
        <w:t xml:space="preserve"> </w:t>
      </w:r>
      <w:r w:rsidR="00F717EC" w:rsidRPr="00640000">
        <w:t>During the ground surveys</w:t>
      </w:r>
      <w:r w:rsidR="00E61A03">
        <w:t>,</w:t>
      </w:r>
      <w:r w:rsidR="00F717EC" w:rsidRPr="00640000">
        <w:t xml:space="preserve"> waterbirds were counted using binoculars (8 x 30 mm) and/or a telescope (20 – 60X zoom). Replicate ground counts were conducted over two separate days (one morning and one afternoon) within each survey period to estimate maximum waterbird abundance and species diversity in each wetland. Surveys were carried out for a minimum of 20 minutes in each survey site, except where the wetland was dry. Total counts for each waterbird species, any evidence of breeding activity (nesting and/or the presence of young) and water levels were recorded during each survey.</w:t>
      </w:r>
    </w:p>
    <w:p w:rsidR="00F717EC" w:rsidRPr="00640000" w:rsidRDefault="00F717EC" w:rsidP="00F717EC">
      <w:pPr>
        <w:rPr>
          <w:bCs/>
        </w:rPr>
      </w:pPr>
      <w:r w:rsidRPr="00640000">
        <w:t xml:space="preserve">Depending on the type and size of the wetland a point or transect survey method was used to survey waterbirds. The </w:t>
      </w:r>
      <w:r w:rsidRPr="00640000">
        <w:rPr>
          <w:i/>
        </w:rPr>
        <w:t>point survey method</w:t>
      </w:r>
      <w:r w:rsidRPr="00640000">
        <w:t xml:space="preserve"> is based on the BirdLife Australia Area Radius Method, whereby all birds observed from one or more survey points within the wetland are recorded. During the survey as much of each wetland as possible was accessed. The </w:t>
      </w:r>
      <w:r w:rsidRPr="00640000">
        <w:rPr>
          <w:i/>
        </w:rPr>
        <w:t>transect method</w:t>
      </w:r>
      <w:r w:rsidRPr="00640000">
        <w:t xml:space="preserve"> was used for large or linear waterbodies</w:t>
      </w:r>
      <w:r w:rsidR="00E61A03">
        <w:t>,</w:t>
      </w:r>
      <w:r w:rsidRPr="00640000">
        <w:t xml:space="preserve"> whereby species are recorded as a running tally as the observer walks/ drives along the edge of the wetland. Total counts for each waterbird species and any evidence of breeding activity (nesting and/or the presence of young) were recorded during each survey. </w:t>
      </w:r>
      <w:r w:rsidRPr="00640000">
        <w:rPr>
          <w:bCs/>
        </w:rPr>
        <w:t xml:space="preserve">Waterbird counts were stored in the Atlas of NSW Wildlife maintained by OEH. </w:t>
      </w:r>
    </w:p>
    <w:p w:rsidR="00F717EC" w:rsidRPr="00640000" w:rsidRDefault="00F717EC" w:rsidP="00F717EC">
      <w:r w:rsidRPr="00640000">
        <w:t xml:space="preserve">An additional aerial survey was undertaken by OEH in November 2012 to search for active waterbird breeding colonies in the Lowbidgee floodplain. Historical waterbird breeding sites in the Redbank, Nimmie-Caira and mid-Murrumbidgee wetlands were also checked during the spring ground survey to locate active nests and assess water levels. </w:t>
      </w:r>
    </w:p>
    <w:p w:rsidR="00D9682C" w:rsidRPr="00FC57DC" w:rsidRDefault="00D9682C" w:rsidP="00FC57DC"/>
    <w:p w:rsidR="00D9682C" w:rsidRPr="00FC57DC" w:rsidRDefault="00850214" w:rsidP="00C44F46">
      <w:pPr>
        <w:pStyle w:val="Heading2"/>
      </w:pPr>
      <w:r>
        <w:t xml:space="preserve"> </w:t>
      </w:r>
      <w:bookmarkStart w:id="417" w:name="_Toc370299242"/>
      <w:bookmarkStart w:id="418" w:name="_Toc370738851"/>
      <w:bookmarkStart w:id="419" w:name="_Toc378168584"/>
      <w:r w:rsidR="00D9682C" w:rsidRPr="00FC57DC">
        <w:t>Results</w:t>
      </w:r>
      <w:bookmarkEnd w:id="417"/>
      <w:bookmarkEnd w:id="418"/>
      <w:bookmarkEnd w:id="419"/>
    </w:p>
    <w:p w:rsidR="00021AD7" w:rsidRPr="00640000" w:rsidRDefault="00021AD7" w:rsidP="00021AD7">
      <w:pPr>
        <w:spacing w:before="240"/>
        <w:rPr>
          <w:rFonts w:eastAsia="Times New Roman"/>
        </w:rPr>
      </w:pPr>
      <w:r w:rsidRPr="00640000">
        <w:rPr>
          <w:rFonts w:eastAsia="Times New Roman"/>
        </w:rPr>
        <w:t>In total</w:t>
      </w:r>
      <w:r w:rsidR="00E61A03">
        <w:rPr>
          <w:rFonts w:eastAsia="Times New Roman"/>
        </w:rPr>
        <w:t>,</w:t>
      </w:r>
      <w:r w:rsidRPr="00640000">
        <w:rPr>
          <w:rFonts w:eastAsia="Times New Roman"/>
        </w:rPr>
        <w:t xml:space="preserve"> 48 waterbird species were recorded across the wetlands surveyed in the Murrumbidgee Catchment in 2012–13 (</w:t>
      </w:r>
      <w:fldSimple w:instr=" REF _Ref370369819  \* MERGEFORMAT ">
        <w:r w:rsidR="00436595" w:rsidRPr="0094759B">
          <w:t>Appendix</w:t>
        </w:r>
        <w:r w:rsidR="00436595">
          <w:t xml:space="preserve"> 4 W</w:t>
        </w:r>
        <w:r w:rsidR="00436595" w:rsidRPr="003708AF">
          <w:t>aterbird species</w:t>
        </w:r>
        <w:r w:rsidR="00436595">
          <w:t xml:space="preserve"> list and functional groups</w:t>
        </w:r>
      </w:fldSimple>
      <w:r w:rsidRPr="00640000">
        <w:rPr>
          <w:rFonts w:eastAsia="Times New Roman"/>
        </w:rPr>
        <w:t xml:space="preserve">). </w:t>
      </w:r>
      <w:r w:rsidRPr="00640000">
        <w:rPr>
          <w:noProof/>
          <w:lang w:eastAsia="en-AU"/>
        </w:rPr>
        <w:t>Six waterbird species listed on one or more migratory bird agreements Australia has with Japan (JAMBA), China (CAMBA) and the Republic of Korea (ROKAMBA) were recorded. This included three migratory shorebird species which were recorded in the Western Lakes region: red-necked stints (</w:t>
      </w:r>
      <w:r w:rsidRPr="00640000">
        <w:rPr>
          <w:i/>
          <w:noProof/>
          <w:lang w:eastAsia="en-AU"/>
        </w:rPr>
        <w:t>Calidris ruficollis</w:t>
      </w:r>
      <w:r w:rsidRPr="00640000">
        <w:rPr>
          <w:noProof/>
          <w:lang w:eastAsia="en-AU"/>
        </w:rPr>
        <w:t>), ruddy turnstone (</w:t>
      </w:r>
      <w:r w:rsidRPr="00640000">
        <w:rPr>
          <w:i/>
          <w:noProof/>
          <w:lang w:eastAsia="en-AU"/>
        </w:rPr>
        <w:t>Arenaria interpres</w:t>
      </w:r>
      <w:r w:rsidRPr="00640000">
        <w:rPr>
          <w:noProof/>
          <w:lang w:eastAsia="en-AU"/>
        </w:rPr>
        <w:t>) and sharp-tailed sandpipers (</w:t>
      </w:r>
      <w:r w:rsidRPr="00640000">
        <w:rPr>
          <w:i/>
          <w:noProof/>
          <w:lang w:eastAsia="en-AU"/>
        </w:rPr>
        <w:t>Calidris acuminata</w:t>
      </w:r>
      <w:r w:rsidRPr="00640000">
        <w:rPr>
          <w:noProof/>
          <w:lang w:eastAsia="en-AU"/>
        </w:rPr>
        <w:t xml:space="preserve">). These migratory species </w:t>
      </w:r>
      <w:r w:rsidRPr="00640000">
        <w:rPr>
          <w:rFonts w:cs="Calibri"/>
          <w:noProof/>
          <w:lang w:eastAsia="en-AU"/>
        </w:rPr>
        <w:t xml:space="preserve">were most likely using the Western Lakes as a staging site enroute to non-breeding wetland habitat in southern Australia. </w:t>
      </w:r>
      <w:r w:rsidRPr="00640000">
        <w:rPr>
          <w:noProof/>
          <w:lang w:eastAsia="en-AU"/>
        </w:rPr>
        <w:t>Freckled duck</w:t>
      </w:r>
      <w:r w:rsidRPr="00640000">
        <w:rPr>
          <w:i/>
          <w:noProof/>
          <w:lang w:eastAsia="en-AU"/>
        </w:rPr>
        <w:t xml:space="preserve"> </w:t>
      </w:r>
      <w:r w:rsidRPr="00640000">
        <w:rPr>
          <w:noProof/>
          <w:lang w:eastAsia="en-AU"/>
        </w:rPr>
        <w:t>(</w:t>
      </w:r>
      <w:r w:rsidRPr="00640000">
        <w:rPr>
          <w:i/>
          <w:noProof/>
          <w:lang w:eastAsia="en-AU"/>
        </w:rPr>
        <w:t>Stictonetta naevosa</w:t>
      </w:r>
      <w:r w:rsidRPr="00640000">
        <w:rPr>
          <w:noProof/>
          <w:lang w:eastAsia="en-AU"/>
        </w:rPr>
        <w:t>)</w:t>
      </w:r>
      <w:r w:rsidRPr="00640000">
        <w:rPr>
          <w:i/>
          <w:noProof/>
          <w:lang w:eastAsia="en-AU"/>
        </w:rPr>
        <w:t xml:space="preserve"> </w:t>
      </w:r>
      <w:r w:rsidRPr="00640000">
        <w:rPr>
          <w:noProof/>
          <w:lang w:eastAsia="en-AU"/>
        </w:rPr>
        <w:t>and blue-billed duck (</w:t>
      </w:r>
      <w:r w:rsidRPr="00640000">
        <w:rPr>
          <w:i/>
          <w:noProof/>
          <w:lang w:eastAsia="en-AU"/>
        </w:rPr>
        <w:t>Oxyura australis</w:t>
      </w:r>
      <w:r w:rsidRPr="00640000">
        <w:rPr>
          <w:noProof/>
          <w:lang w:eastAsia="en-AU"/>
        </w:rPr>
        <w:t>), which are listed as vulnerable species in NSW (</w:t>
      </w:r>
      <w:r w:rsidRPr="00640000">
        <w:rPr>
          <w:i/>
          <w:noProof/>
          <w:lang w:eastAsia="en-AU"/>
        </w:rPr>
        <w:t>TSC Act 1995)</w:t>
      </w:r>
      <w:r w:rsidRPr="00640000">
        <w:rPr>
          <w:noProof/>
          <w:lang w:eastAsia="en-AU"/>
        </w:rPr>
        <w:t xml:space="preserve"> were also recorded in the Western Lakes. </w:t>
      </w:r>
    </w:p>
    <w:p w:rsidR="00021AD7" w:rsidRPr="00640000" w:rsidRDefault="00021AD7" w:rsidP="00021AD7">
      <w:r w:rsidRPr="00640000">
        <w:t>Thirty-two waterbird species were recorded in the mid-Murrumbidgee wetlands during repeat ground surveys undertaken from August – December 2012</w:t>
      </w:r>
      <w:r>
        <w:t xml:space="preserve">. </w:t>
      </w:r>
      <w:r w:rsidRPr="00640000">
        <w:t>This included glossy ibis (</w:t>
      </w:r>
      <w:r w:rsidRPr="00640000">
        <w:rPr>
          <w:rStyle w:val="scientific-name1"/>
        </w:rPr>
        <w:t>Plegadis falcinellus)</w:t>
      </w:r>
      <w:r w:rsidRPr="00640000">
        <w:t xml:space="preserve"> and eastern great egret (</w:t>
      </w:r>
      <w:r w:rsidRPr="00640000">
        <w:rPr>
          <w:rFonts w:eastAsia="Times New Roman" w:cs="Arial"/>
          <w:i/>
          <w:iCs/>
          <w:color w:val="000000"/>
          <w:lang w:eastAsia="en-AU"/>
        </w:rPr>
        <w:t>Ardea modesta</w:t>
      </w:r>
      <w:r w:rsidRPr="00640000">
        <w:rPr>
          <w:rFonts w:eastAsia="Times New Roman" w:cs="Arial"/>
          <w:iCs/>
          <w:color w:val="000000"/>
          <w:lang w:eastAsia="en-AU"/>
        </w:rPr>
        <w:t>),</w:t>
      </w:r>
      <w:r w:rsidRPr="00640000">
        <w:t xml:space="preserve"> which are listed on bilateral migratory bird agreements. Overall, total waterbird abundance was low in the mid-Murrumbidgee wetlands during the 2012 surveys and no wetland habitat was available for most of the summer and autumn 2013 with all sites dry by February 2013. </w:t>
      </w:r>
    </w:p>
    <w:p w:rsidR="00021AD7" w:rsidRPr="00640000" w:rsidRDefault="00021AD7" w:rsidP="00021AD7">
      <w:r w:rsidRPr="00640000">
        <w:rPr>
          <w:rFonts w:eastAsia="Times New Roman"/>
        </w:rPr>
        <w:t xml:space="preserve">The Western Lakes had the largest wetland area, and therefore, supported the greatest diversity and </w:t>
      </w:r>
      <w:r w:rsidRPr="00BC3E32">
        <w:rPr>
          <w:rFonts w:eastAsia="Times New Roman"/>
        </w:rPr>
        <w:t xml:space="preserve">abundance of waterbirds during the spring 2012 surveys compared to the other wetland regions </w:t>
      </w:r>
      <w:r w:rsidRPr="00BC3E32">
        <w:rPr>
          <w:rFonts w:cs="Calibri"/>
          <w:noProof/>
          <w:lang w:eastAsia="en-AU"/>
        </w:rPr>
        <w:t>(</w:t>
      </w:r>
      <w:fldSimple w:instr=" REF _Ref370727153 \h  \* MERGEFORMAT ">
        <w:r w:rsidR="00436595" w:rsidRPr="00436595">
          <w:t xml:space="preserve">Figure </w:t>
        </w:r>
        <w:r w:rsidR="00436595" w:rsidRPr="00436595">
          <w:rPr>
            <w:noProof/>
          </w:rPr>
          <w:t>39</w:t>
        </w:r>
      </w:fldSimple>
      <w:r w:rsidRPr="00BC3E32">
        <w:rPr>
          <w:rFonts w:cs="Calibri"/>
          <w:noProof/>
          <w:lang w:eastAsia="en-AU"/>
        </w:rPr>
        <w:t xml:space="preserve">). </w:t>
      </w:r>
      <w:r w:rsidRPr="00BC3E32">
        <w:rPr>
          <w:rFonts w:eastAsia="Times New Roman"/>
        </w:rPr>
        <w:t xml:space="preserve"> The Western Lakes received environmental water in September 2012</w:t>
      </w:r>
      <w:r w:rsidR="00E61A03">
        <w:rPr>
          <w:rFonts w:eastAsia="Times New Roman"/>
        </w:rPr>
        <w:t>. N</w:t>
      </w:r>
      <w:r w:rsidRPr="00BC3E32">
        <w:rPr>
          <w:rFonts w:cs="Calibri"/>
          <w:noProof/>
          <w:lang w:eastAsia="en-AU"/>
        </w:rPr>
        <w:t>umbers</w:t>
      </w:r>
      <w:r w:rsidRPr="00640000">
        <w:rPr>
          <w:rFonts w:cs="Calibri"/>
          <w:noProof/>
          <w:lang w:eastAsia="en-AU"/>
        </w:rPr>
        <w:t xml:space="preserve"> of waterbirds peaked in the Western Lakes in December 2012 when nearly 20,000 waterbirds were recorded during the surveys (</w:t>
      </w:r>
      <w:r w:rsidR="00D20FAE">
        <w:rPr>
          <w:rFonts w:cs="Calibri"/>
          <w:noProof/>
          <w:lang w:eastAsia="en-AU"/>
        </w:rPr>
        <w:fldChar w:fldCharType="begin"/>
      </w:r>
      <w:r w:rsidR="00BC3E32">
        <w:rPr>
          <w:rFonts w:cs="Calibri"/>
          <w:noProof/>
          <w:lang w:eastAsia="en-AU"/>
        </w:rPr>
        <w:instrText xml:space="preserve"> REF _Ref370727161 \h </w:instrText>
      </w:r>
      <w:r w:rsidR="00D20FAE">
        <w:rPr>
          <w:rFonts w:cs="Calibri"/>
          <w:noProof/>
          <w:lang w:eastAsia="en-AU"/>
        </w:rPr>
      </w:r>
      <w:r w:rsidR="00D20FAE">
        <w:rPr>
          <w:rFonts w:cs="Calibri"/>
          <w:noProof/>
          <w:lang w:eastAsia="en-AU"/>
        </w:rPr>
        <w:fldChar w:fldCharType="separate"/>
      </w:r>
      <w:r w:rsidR="00436595" w:rsidRPr="00B21002">
        <w:t xml:space="preserve">Figure </w:t>
      </w:r>
      <w:r w:rsidR="00436595">
        <w:rPr>
          <w:noProof/>
        </w:rPr>
        <w:t>40</w:t>
      </w:r>
      <w:r w:rsidR="00D20FAE">
        <w:rPr>
          <w:rFonts w:cs="Calibri"/>
          <w:noProof/>
          <w:lang w:eastAsia="en-AU"/>
        </w:rPr>
        <w:fldChar w:fldCharType="end"/>
      </w:r>
      <w:r w:rsidRPr="00640000">
        <w:rPr>
          <w:rFonts w:cs="Calibri"/>
          <w:noProof/>
          <w:lang w:eastAsia="en-AU"/>
        </w:rPr>
        <w:t>). This large count was dominated by a large total count of black-tailed native-hens (</w:t>
      </w:r>
      <w:r w:rsidRPr="00640000">
        <w:rPr>
          <w:rFonts w:eastAsia="Times New Roman"/>
          <w:i/>
          <w:iCs/>
          <w:color w:val="000000"/>
          <w:lang w:eastAsia="en-AU"/>
        </w:rPr>
        <w:t>Gallinula ventralis</w:t>
      </w:r>
      <w:r w:rsidRPr="00640000">
        <w:rPr>
          <w:rFonts w:cs="Calibri"/>
          <w:noProof/>
          <w:lang w:eastAsia="en-AU"/>
        </w:rPr>
        <w:t xml:space="preserve">) when around 10,000 birds were recorded across multiple sites within the Western Lakes (Appendix 4). Large counts of dabbling ducks, for example </w:t>
      </w:r>
      <w:r w:rsidRPr="00640000">
        <w:rPr>
          <w:rFonts w:eastAsia="Times New Roman"/>
        </w:rPr>
        <w:t>grey teal (</w:t>
      </w:r>
      <w:r w:rsidRPr="00640000">
        <w:rPr>
          <w:rFonts w:eastAsia="Times New Roman" w:cs="Calibri"/>
          <w:i/>
        </w:rPr>
        <w:t>Anas gracilis</w:t>
      </w:r>
      <w:r w:rsidRPr="00640000">
        <w:rPr>
          <w:rFonts w:eastAsia="Times New Roman" w:cs="Calibri"/>
        </w:rPr>
        <w:t>)</w:t>
      </w:r>
      <w:r w:rsidRPr="00640000">
        <w:rPr>
          <w:rFonts w:eastAsia="Times New Roman"/>
        </w:rPr>
        <w:t>, Pacific black duck (</w:t>
      </w:r>
      <w:r w:rsidRPr="00640000">
        <w:rPr>
          <w:rFonts w:eastAsia="Times New Roman"/>
          <w:i/>
        </w:rPr>
        <w:t>Anas superciliosa</w:t>
      </w:r>
      <w:r w:rsidRPr="00640000">
        <w:rPr>
          <w:rFonts w:eastAsia="Times New Roman"/>
        </w:rPr>
        <w:t>) and pink-eared duck (</w:t>
      </w:r>
      <w:r w:rsidRPr="00640000">
        <w:rPr>
          <w:rFonts w:eastAsia="Times New Roman"/>
          <w:i/>
        </w:rPr>
        <w:t>Malacorhynchus membranaceus</w:t>
      </w:r>
      <w:r w:rsidRPr="00640000">
        <w:rPr>
          <w:rFonts w:eastAsia="Times New Roman"/>
        </w:rPr>
        <w:t xml:space="preserve">) </w:t>
      </w:r>
      <w:r w:rsidRPr="00640000">
        <w:rPr>
          <w:rFonts w:cs="Calibri"/>
          <w:noProof/>
          <w:lang w:eastAsia="en-AU"/>
        </w:rPr>
        <w:t>were also recorded, with this group making up to 40% of total counts for each survey month, excluding the December 2012 survey</w:t>
      </w:r>
      <w:r w:rsidR="00E61A03" w:rsidRPr="00640000">
        <w:rPr>
          <w:rFonts w:cs="Calibri"/>
          <w:noProof/>
          <w:lang w:eastAsia="en-AU"/>
        </w:rPr>
        <w:t xml:space="preserve"> (</w:t>
      </w:r>
      <w:r w:rsidR="00D20FAE">
        <w:rPr>
          <w:rFonts w:cs="Calibri"/>
          <w:noProof/>
          <w:lang w:eastAsia="en-AU"/>
        </w:rPr>
        <w:fldChar w:fldCharType="begin"/>
      </w:r>
      <w:r w:rsidR="00E61A03">
        <w:rPr>
          <w:rFonts w:cs="Calibri"/>
          <w:noProof/>
          <w:lang w:eastAsia="en-AU"/>
        </w:rPr>
        <w:instrText xml:space="preserve"> REF _Ref370727161 \h </w:instrText>
      </w:r>
      <w:r w:rsidR="00D20FAE">
        <w:rPr>
          <w:rFonts w:cs="Calibri"/>
          <w:noProof/>
          <w:lang w:eastAsia="en-AU"/>
        </w:rPr>
      </w:r>
      <w:r w:rsidR="00D20FAE">
        <w:rPr>
          <w:rFonts w:cs="Calibri"/>
          <w:noProof/>
          <w:lang w:eastAsia="en-AU"/>
        </w:rPr>
        <w:fldChar w:fldCharType="separate"/>
      </w:r>
      <w:r w:rsidR="00436595" w:rsidRPr="00B21002">
        <w:t xml:space="preserve">Figure </w:t>
      </w:r>
      <w:r w:rsidR="00436595">
        <w:rPr>
          <w:noProof/>
        </w:rPr>
        <w:t>40</w:t>
      </w:r>
      <w:r w:rsidR="00D20FAE">
        <w:rPr>
          <w:rFonts w:cs="Calibri"/>
          <w:noProof/>
          <w:lang w:eastAsia="en-AU"/>
        </w:rPr>
        <w:fldChar w:fldCharType="end"/>
      </w:r>
      <w:r w:rsidR="00E61A03" w:rsidRPr="00640000">
        <w:rPr>
          <w:rFonts w:cs="Calibri"/>
          <w:noProof/>
          <w:lang w:eastAsia="en-AU"/>
        </w:rPr>
        <w:t>)</w:t>
      </w:r>
      <w:r w:rsidRPr="00640000">
        <w:rPr>
          <w:rFonts w:cs="Calibri"/>
          <w:noProof/>
          <w:lang w:eastAsia="en-AU"/>
        </w:rPr>
        <w:t xml:space="preserve">. </w:t>
      </w:r>
      <w:proofErr w:type="gramStart"/>
      <w:r w:rsidRPr="00640000">
        <w:rPr>
          <w:rFonts w:eastAsia="Times New Roman" w:cs="Calibri"/>
        </w:rPr>
        <w:t>Total numbers of fish-eating species, in particular small grebes and whiskered terns (</w:t>
      </w:r>
      <w:r w:rsidRPr="00640000">
        <w:rPr>
          <w:rFonts w:eastAsia="Times New Roman"/>
          <w:i/>
          <w:iCs/>
          <w:color w:val="000000"/>
          <w:lang w:eastAsia="en-AU"/>
        </w:rPr>
        <w:t>Chlidonias hybrida</w:t>
      </w:r>
      <w:r w:rsidRPr="00640000">
        <w:rPr>
          <w:rFonts w:eastAsia="Times New Roman"/>
          <w:iCs/>
          <w:color w:val="000000"/>
          <w:lang w:eastAsia="en-AU"/>
        </w:rPr>
        <w:t>)</w:t>
      </w:r>
      <w:r w:rsidRPr="00640000">
        <w:rPr>
          <w:rFonts w:eastAsia="Times New Roman" w:cs="Calibri"/>
        </w:rPr>
        <w:t>, and small resident waders, black-winged stilts (</w:t>
      </w:r>
      <w:r w:rsidRPr="00640000">
        <w:rPr>
          <w:rFonts w:eastAsia="Times New Roman"/>
          <w:i/>
          <w:iCs/>
          <w:color w:val="000000"/>
          <w:lang w:eastAsia="en-AU"/>
        </w:rPr>
        <w:t>Himantopus himantopus)</w:t>
      </w:r>
      <w:r w:rsidRPr="00640000">
        <w:rPr>
          <w:rFonts w:eastAsia="Times New Roman" w:cs="Calibri"/>
        </w:rPr>
        <w:t xml:space="preserve"> and red-kneed dotterels (</w:t>
      </w:r>
      <w:r w:rsidRPr="00640000">
        <w:rPr>
          <w:rFonts w:eastAsia="Times New Roman"/>
          <w:i/>
          <w:iCs/>
          <w:color w:val="000000"/>
          <w:lang w:eastAsia="en-AU"/>
        </w:rPr>
        <w:t>Erythrogonys cinctus)</w:t>
      </w:r>
      <w:r w:rsidRPr="00640000">
        <w:rPr>
          <w:rFonts w:eastAsia="Times New Roman"/>
          <w:iCs/>
          <w:color w:val="000000"/>
          <w:lang w:eastAsia="en-AU"/>
        </w:rPr>
        <w:t>,</w:t>
      </w:r>
      <w:r w:rsidRPr="00640000">
        <w:rPr>
          <w:rFonts w:eastAsia="Times New Roman" w:cs="Calibri"/>
        </w:rPr>
        <w:t xml:space="preserve"> also peaked during the December 2012 surveys.</w:t>
      </w:r>
      <w:proofErr w:type="gramEnd"/>
      <w:r w:rsidRPr="00640000">
        <w:rPr>
          <w:rFonts w:eastAsia="Times New Roman" w:cs="Calibri"/>
        </w:rPr>
        <w:t xml:space="preserve"> Waterbird numbers declined over summer in the Western Lakes </w:t>
      </w:r>
      <w:r w:rsidR="00474688" w:rsidRPr="00640000">
        <w:rPr>
          <w:rFonts w:cs="Calibri"/>
          <w:noProof/>
          <w:lang w:eastAsia="en-AU"/>
        </w:rPr>
        <w:t>(</w:t>
      </w:r>
      <w:r w:rsidR="00D20FAE">
        <w:rPr>
          <w:rFonts w:cs="Calibri"/>
          <w:noProof/>
          <w:lang w:eastAsia="en-AU"/>
        </w:rPr>
        <w:fldChar w:fldCharType="begin"/>
      </w:r>
      <w:r w:rsidR="00474688">
        <w:rPr>
          <w:rFonts w:cs="Calibri"/>
          <w:noProof/>
          <w:lang w:eastAsia="en-AU"/>
        </w:rPr>
        <w:instrText xml:space="preserve"> REF _Ref370727161 \h </w:instrText>
      </w:r>
      <w:r w:rsidR="00D20FAE">
        <w:rPr>
          <w:rFonts w:cs="Calibri"/>
          <w:noProof/>
          <w:lang w:eastAsia="en-AU"/>
        </w:rPr>
      </w:r>
      <w:r w:rsidR="00D20FAE">
        <w:rPr>
          <w:rFonts w:cs="Calibri"/>
          <w:noProof/>
          <w:lang w:eastAsia="en-AU"/>
        </w:rPr>
        <w:fldChar w:fldCharType="separate"/>
      </w:r>
      <w:r w:rsidR="00436595" w:rsidRPr="00B21002">
        <w:t xml:space="preserve">Figure </w:t>
      </w:r>
      <w:r w:rsidR="00436595">
        <w:rPr>
          <w:noProof/>
        </w:rPr>
        <w:t>40</w:t>
      </w:r>
      <w:r w:rsidR="00D20FAE">
        <w:rPr>
          <w:rFonts w:cs="Calibri"/>
          <w:noProof/>
          <w:lang w:eastAsia="en-AU"/>
        </w:rPr>
        <w:fldChar w:fldCharType="end"/>
      </w:r>
      <w:r w:rsidR="00474688" w:rsidRPr="00640000">
        <w:rPr>
          <w:rFonts w:cs="Calibri"/>
          <w:noProof/>
          <w:lang w:eastAsia="en-AU"/>
        </w:rPr>
        <w:t>)</w:t>
      </w:r>
      <w:r w:rsidR="00474688">
        <w:rPr>
          <w:rFonts w:cs="Calibri"/>
          <w:noProof/>
          <w:lang w:eastAsia="en-AU"/>
        </w:rPr>
        <w:t xml:space="preserve"> </w:t>
      </w:r>
      <w:r w:rsidRPr="00640000">
        <w:rPr>
          <w:rFonts w:eastAsia="Times New Roman" w:cs="Calibri"/>
        </w:rPr>
        <w:t>alongside the dryin</w:t>
      </w:r>
      <w:r w:rsidR="00474688">
        <w:rPr>
          <w:rFonts w:eastAsia="Times New Roman" w:cs="Calibri"/>
        </w:rPr>
        <w:t xml:space="preserve">g down of many of the wetlands, </w:t>
      </w:r>
      <w:r w:rsidRPr="00640000">
        <w:rPr>
          <w:rFonts w:eastAsia="Times New Roman" w:cs="Calibri"/>
        </w:rPr>
        <w:t>including Hobblers Lake, Upper Cherax Swamp, Reed bed, Penarie and Paika creeks</w:t>
      </w:r>
      <w:r w:rsidR="00BC3E32">
        <w:rPr>
          <w:rFonts w:eastAsia="Times New Roman" w:cs="Calibri"/>
        </w:rPr>
        <w:t>.</w:t>
      </w:r>
    </w:p>
    <w:p w:rsidR="00021AD7" w:rsidRPr="00640000" w:rsidRDefault="00021AD7" w:rsidP="00021AD7">
      <w:pPr>
        <w:rPr>
          <w:rFonts w:eastAsia="Times New Roman"/>
        </w:rPr>
      </w:pPr>
    </w:p>
    <w:p w:rsidR="00021AD7" w:rsidRPr="00640000" w:rsidRDefault="00021AD7" w:rsidP="00021AD7">
      <w:pPr>
        <w:rPr>
          <w:rFonts w:eastAsia="Times New Roman"/>
        </w:rPr>
      </w:pPr>
      <w:r w:rsidRPr="00640000">
        <w:rPr>
          <w:rFonts w:eastAsia="Times New Roman"/>
          <w:noProof/>
          <w:lang w:eastAsia="en-AU"/>
        </w:rPr>
        <w:drawing>
          <wp:inline distT="0" distB="0" distL="0" distR="0">
            <wp:extent cx="5278484" cy="361950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5704" cy="3624451"/>
                    </a:xfrm>
                    <a:prstGeom prst="rect">
                      <a:avLst/>
                    </a:prstGeom>
                    <a:noFill/>
                  </pic:spPr>
                </pic:pic>
              </a:graphicData>
            </a:graphic>
          </wp:inline>
        </w:drawing>
      </w:r>
    </w:p>
    <w:p w:rsidR="00021AD7" w:rsidRDefault="00021AD7" w:rsidP="00021AD7">
      <w:pPr>
        <w:pStyle w:val="Caption1"/>
      </w:pPr>
      <w:bookmarkStart w:id="420" w:name="_Ref370727153"/>
      <w:bookmarkStart w:id="421" w:name="_Toc370738852"/>
      <w:r w:rsidRPr="00021AD7">
        <w:rPr>
          <w:b/>
        </w:rPr>
        <w:t xml:space="preserve">Figure </w:t>
      </w:r>
      <w:r w:rsidR="00D20FAE" w:rsidRPr="00021AD7">
        <w:rPr>
          <w:b/>
        </w:rPr>
        <w:fldChar w:fldCharType="begin"/>
      </w:r>
      <w:r w:rsidRPr="00021AD7">
        <w:rPr>
          <w:b/>
        </w:rPr>
        <w:instrText xml:space="preserve"> SEQ Figure \* ARABIC </w:instrText>
      </w:r>
      <w:r w:rsidR="00D20FAE" w:rsidRPr="00021AD7">
        <w:rPr>
          <w:b/>
        </w:rPr>
        <w:fldChar w:fldCharType="separate"/>
      </w:r>
      <w:r w:rsidR="00436595">
        <w:rPr>
          <w:b/>
          <w:noProof/>
        </w:rPr>
        <w:t>39</w:t>
      </w:r>
      <w:r w:rsidR="00D20FAE" w:rsidRPr="00021AD7">
        <w:rPr>
          <w:b/>
        </w:rPr>
        <w:fldChar w:fldCharType="end"/>
      </w:r>
      <w:bookmarkEnd w:id="420"/>
      <w:r w:rsidRPr="00B21002">
        <w:t xml:space="preserve"> Composition of waterbird communities observed within each wetland region during ground surveys in October</w:t>
      </w:r>
      <w:r>
        <w:t xml:space="preserve"> </w:t>
      </w:r>
      <w:r w:rsidRPr="00B21002">
        <w:t>2012.</w:t>
      </w:r>
      <w:bookmarkEnd w:id="421"/>
      <w:r w:rsidRPr="00B21002">
        <w:t xml:space="preserve">  </w:t>
      </w:r>
    </w:p>
    <w:p w:rsidR="00021AD7" w:rsidRDefault="00021AD7" w:rsidP="00021AD7"/>
    <w:p w:rsidR="00021AD7" w:rsidRPr="00021AD7" w:rsidRDefault="00021AD7" w:rsidP="00021AD7"/>
    <w:p w:rsidR="00021AD7" w:rsidRPr="00640000" w:rsidRDefault="00021AD7" w:rsidP="00021AD7">
      <w:r w:rsidRPr="00640000">
        <w:rPr>
          <w:noProof/>
          <w:lang w:eastAsia="en-AU"/>
        </w:rPr>
        <w:drawing>
          <wp:inline distT="0" distB="0" distL="0" distR="0">
            <wp:extent cx="5135705" cy="2880000"/>
            <wp:effectExtent l="19050" t="0" r="779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5705" cy="2880000"/>
                    </a:xfrm>
                    <a:prstGeom prst="rect">
                      <a:avLst/>
                    </a:prstGeom>
                    <a:noFill/>
                  </pic:spPr>
                </pic:pic>
              </a:graphicData>
            </a:graphic>
          </wp:inline>
        </w:drawing>
      </w:r>
    </w:p>
    <w:p w:rsidR="00021AD7" w:rsidRPr="00B21002" w:rsidRDefault="00021AD7" w:rsidP="00021AD7">
      <w:pPr>
        <w:pStyle w:val="Caption"/>
        <w:spacing w:line="240" w:lineRule="auto"/>
        <w:rPr>
          <w:rFonts w:ascii="Century Gothic" w:hAnsi="Century Gothic"/>
          <w:noProof/>
        </w:rPr>
      </w:pPr>
      <w:bookmarkStart w:id="422" w:name="_Ref370727161"/>
      <w:r w:rsidRPr="00B21002">
        <w:rPr>
          <w:rFonts w:ascii="Century Gothic" w:hAnsi="Century Gothic"/>
        </w:rPr>
        <w:t xml:space="preserve">Figure </w:t>
      </w:r>
      <w:r w:rsidR="00D20FAE" w:rsidRPr="00B21002">
        <w:rPr>
          <w:rFonts w:ascii="Century Gothic" w:hAnsi="Century Gothic"/>
        </w:rPr>
        <w:fldChar w:fldCharType="begin"/>
      </w:r>
      <w:r w:rsidRPr="00B21002">
        <w:rPr>
          <w:rFonts w:ascii="Century Gothic" w:hAnsi="Century Gothic"/>
        </w:rPr>
        <w:instrText xml:space="preserve"> SEQ Figure \* ARABIC </w:instrText>
      </w:r>
      <w:r w:rsidR="00D20FAE" w:rsidRPr="00B21002">
        <w:rPr>
          <w:rFonts w:ascii="Century Gothic" w:hAnsi="Century Gothic"/>
        </w:rPr>
        <w:fldChar w:fldCharType="separate"/>
      </w:r>
      <w:r w:rsidR="00436595">
        <w:rPr>
          <w:rFonts w:ascii="Century Gothic" w:hAnsi="Century Gothic"/>
          <w:noProof/>
        </w:rPr>
        <w:t>40</w:t>
      </w:r>
      <w:r w:rsidR="00D20FAE" w:rsidRPr="00B21002">
        <w:rPr>
          <w:rFonts w:ascii="Century Gothic" w:hAnsi="Century Gothic"/>
        </w:rPr>
        <w:fldChar w:fldCharType="end"/>
      </w:r>
      <w:bookmarkEnd w:id="422"/>
      <w:r w:rsidRPr="00B21002">
        <w:rPr>
          <w:rFonts w:ascii="Century Gothic" w:hAnsi="Century Gothic"/>
        </w:rPr>
        <w:t xml:space="preserve"> </w:t>
      </w:r>
      <w:r w:rsidRPr="00B21002">
        <w:rPr>
          <w:rFonts w:ascii="Century Gothic" w:hAnsi="Century Gothic"/>
          <w:b w:val="0"/>
        </w:rPr>
        <w:t>M</w:t>
      </w:r>
      <w:r w:rsidRPr="00B21002">
        <w:rPr>
          <w:rFonts w:ascii="Century Gothic" w:hAnsi="Century Gothic"/>
          <w:b w:val="0"/>
          <w:noProof/>
        </w:rPr>
        <w:t>aximum counts of each of the seven waterbird feeding guilds recorded in the Western Lakes during the 2012-13 surveys</w:t>
      </w:r>
      <w:r w:rsidRPr="00B21002">
        <w:rPr>
          <w:rFonts w:ascii="Century Gothic" w:hAnsi="Century Gothic"/>
          <w:noProof/>
        </w:rPr>
        <w:t xml:space="preserve">.  </w:t>
      </w:r>
    </w:p>
    <w:p w:rsidR="00021AD7" w:rsidRDefault="00021AD7">
      <w:pPr>
        <w:spacing w:after="0" w:line="240" w:lineRule="auto"/>
        <w:jc w:val="left"/>
        <w:rPr>
          <w:b/>
          <w:bCs/>
          <w:noProof/>
        </w:rPr>
      </w:pPr>
    </w:p>
    <w:p w:rsidR="00021AD7" w:rsidRPr="00640000" w:rsidRDefault="00021AD7" w:rsidP="00021AD7">
      <w:pPr>
        <w:pStyle w:val="Caption"/>
        <w:rPr>
          <w:rFonts w:ascii="Century Gothic" w:hAnsi="Century Gothic"/>
          <w:noProof/>
          <w:sz w:val="22"/>
          <w:szCs w:val="22"/>
        </w:rPr>
      </w:pPr>
    </w:p>
    <w:p w:rsidR="00021AD7" w:rsidRPr="00640000" w:rsidRDefault="00021AD7" w:rsidP="004B1AE2">
      <w:pPr>
        <w:pStyle w:val="Caption"/>
        <w:jc w:val="both"/>
        <w:rPr>
          <w:rFonts w:ascii="Century Gothic" w:hAnsi="Century Gothic"/>
          <w:b w:val="0"/>
          <w:sz w:val="22"/>
          <w:szCs w:val="22"/>
        </w:rPr>
      </w:pPr>
      <w:r w:rsidRPr="00640000">
        <w:rPr>
          <w:rFonts w:ascii="Century Gothic" w:eastAsia="Times New Roman" w:hAnsi="Century Gothic"/>
          <w:b w:val="0"/>
          <w:sz w:val="22"/>
          <w:szCs w:val="22"/>
        </w:rPr>
        <w:t xml:space="preserve">The aerial and ground surveys in spring 2012 indicated that colonial waterbird breeding </w:t>
      </w:r>
      <w:r w:rsidR="00474688">
        <w:rPr>
          <w:rFonts w:ascii="Century Gothic" w:eastAsia="Times New Roman" w:hAnsi="Century Gothic"/>
          <w:b w:val="0"/>
          <w:sz w:val="22"/>
          <w:szCs w:val="22"/>
        </w:rPr>
        <w:t>was</w:t>
      </w:r>
      <w:r w:rsidRPr="00640000">
        <w:rPr>
          <w:rFonts w:ascii="Century Gothic" w:eastAsia="Times New Roman" w:hAnsi="Century Gothic"/>
          <w:b w:val="0"/>
          <w:sz w:val="22"/>
          <w:szCs w:val="22"/>
        </w:rPr>
        <w:t xml:space="preserve"> limited across the Murrumbidgee Catchment, with only small numbers (&lt; </w:t>
      </w:r>
      <w:r w:rsidR="00474688">
        <w:rPr>
          <w:rFonts w:ascii="Century Gothic" w:eastAsia="Times New Roman" w:hAnsi="Century Gothic"/>
          <w:b w:val="0"/>
          <w:sz w:val="22"/>
          <w:szCs w:val="22"/>
        </w:rPr>
        <w:t>10</w:t>
      </w:r>
      <w:r w:rsidRPr="00640000">
        <w:rPr>
          <w:rFonts w:ascii="Century Gothic" w:eastAsia="Times New Roman" w:hAnsi="Century Gothic"/>
          <w:b w:val="0"/>
          <w:sz w:val="22"/>
          <w:szCs w:val="22"/>
        </w:rPr>
        <w:t xml:space="preserve"> nests) of darters and cormorant</w:t>
      </w:r>
      <w:r>
        <w:rPr>
          <w:rFonts w:ascii="Century Gothic" w:eastAsia="Times New Roman" w:hAnsi="Century Gothic"/>
          <w:b w:val="0"/>
          <w:sz w:val="22"/>
          <w:szCs w:val="22"/>
        </w:rPr>
        <w:t>s detected breeding in Yarrada L</w:t>
      </w:r>
      <w:r w:rsidRPr="00640000">
        <w:rPr>
          <w:rFonts w:ascii="Century Gothic" w:eastAsia="Times New Roman" w:hAnsi="Century Gothic"/>
          <w:b w:val="0"/>
          <w:sz w:val="22"/>
          <w:szCs w:val="22"/>
        </w:rPr>
        <w:t xml:space="preserve">agoon in the mid-Murrumbidgee wetlands (a site that has supported breeding in three consecutive years (2010, 2011 and 2012)), Paika Lake in the Western Lakes region, Tarwille swamp, Wagourah Lake and Top Narockwell in Yanga National Park, and Maude Lagoon in the Nimmie-Caira system. </w:t>
      </w:r>
      <w:r w:rsidRPr="00640000">
        <w:rPr>
          <w:rFonts w:ascii="Century Gothic" w:eastAsia="Times New Roman" w:hAnsi="Century Gothic" w:cs="Calibri"/>
          <w:b w:val="0"/>
          <w:sz w:val="22"/>
          <w:szCs w:val="22"/>
        </w:rPr>
        <w:t>Paika Lake was the only site in the Western Lakes that supported waterbird breeding, with small numbers of nesting l</w:t>
      </w:r>
      <w:r w:rsidRPr="00640000">
        <w:rPr>
          <w:rFonts w:ascii="Century Gothic" w:hAnsi="Century Gothic" w:cs="Calibri"/>
          <w:b w:val="0"/>
          <w:noProof/>
          <w:sz w:val="22"/>
          <w:szCs w:val="22"/>
          <w:lang w:eastAsia="en-AU"/>
        </w:rPr>
        <w:t>ittle black cormorants (</w:t>
      </w:r>
      <w:r w:rsidRPr="00640000">
        <w:rPr>
          <w:rFonts w:ascii="Century Gothic" w:eastAsia="Times New Roman" w:hAnsi="Century Gothic"/>
          <w:b w:val="0"/>
          <w:i/>
          <w:iCs/>
          <w:color w:val="000000"/>
          <w:sz w:val="22"/>
          <w:szCs w:val="22"/>
          <w:lang w:eastAsia="en-AU"/>
        </w:rPr>
        <w:t>Phalacrocorax sulcirostris</w:t>
      </w:r>
      <w:r w:rsidRPr="00640000">
        <w:rPr>
          <w:rFonts w:ascii="Century Gothic" w:hAnsi="Century Gothic" w:cs="Calibri"/>
          <w:b w:val="0"/>
          <w:noProof/>
          <w:sz w:val="22"/>
          <w:szCs w:val="22"/>
          <w:lang w:eastAsia="en-AU"/>
        </w:rPr>
        <w:t>) and pied cormorants (</w:t>
      </w:r>
      <w:r w:rsidRPr="00640000">
        <w:rPr>
          <w:rFonts w:ascii="Century Gothic" w:hAnsi="Century Gothic" w:cs="Calibri"/>
          <w:b w:val="0"/>
          <w:i/>
          <w:noProof/>
          <w:sz w:val="22"/>
          <w:szCs w:val="22"/>
          <w:lang w:eastAsia="en-AU"/>
        </w:rPr>
        <w:t>Phalacrocorax</w:t>
      </w:r>
      <w:r w:rsidRPr="00640000">
        <w:rPr>
          <w:rFonts w:ascii="Century Gothic" w:hAnsi="Century Gothic" w:cs="Calibri"/>
          <w:b w:val="0"/>
          <w:noProof/>
          <w:sz w:val="22"/>
          <w:szCs w:val="22"/>
          <w:lang w:eastAsia="en-AU"/>
        </w:rPr>
        <w:t xml:space="preserve"> </w:t>
      </w:r>
      <w:r w:rsidRPr="00640000">
        <w:rPr>
          <w:rFonts w:ascii="Century Gothic" w:hAnsi="Century Gothic" w:cs="Calibri"/>
          <w:b w:val="0"/>
          <w:i/>
          <w:noProof/>
          <w:sz w:val="22"/>
          <w:szCs w:val="22"/>
          <w:lang w:eastAsia="en-AU"/>
        </w:rPr>
        <w:t>varius</w:t>
      </w:r>
      <w:r w:rsidRPr="00640000">
        <w:rPr>
          <w:rFonts w:ascii="Century Gothic" w:hAnsi="Century Gothic" w:cs="Calibri"/>
          <w:b w:val="0"/>
          <w:noProof/>
          <w:sz w:val="22"/>
          <w:szCs w:val="22"/>
          <w:lang w:eastAsia="en-AU"/>
        </w:rPr>
        <w:t xml:space="preserve">) observed during the 2012-13 surveys. </w:t>
      </w:r>
      <w:r w:rsidRPr="00640000">
        <w:rPr>
          <w:rFonts w:ascii="Century Gothic" w:eastAsia="Times New Roman" w:hAnsi="Century Gothic"/>
          <w:b w:val="0"/>
          <w:sz w:val="22"/>
          <w:szCs w:val="22"/>
        </w:rPr>
        <w:t>The largest concentration of nesting colonial waterbirds was observed in Tarwille swamp, in Yanga National Park, where four Australian white ibis (</w:t>
      </w:r>
      <w:r w:rsidRPr="00640000">
        <w:rPr>
          <w:rFonts w:ascii="Century Gothic" w:eastAsia="Times New Roman" w:hAnsi="Century Gothic"/>
          <w:b w:val="0"/>
          <w:i/>
          <w:sz w:val="22"/>
          <w:szCs w:val="22"/>
        </w:rPr>
        <w:t>Threskiornis molucca)</w:t>
      </w:r>
      <w:r w:rsidRPr="00640000">
        <w:rPr>
          <w:rFonts w:ascii="Century Gothic" w:eastAsia="Times New Roman" w:hAnsi="Century Gothic"/>
          <w:b w:val="0"/>
          <w:sz w:val="22"/>
          <w:szCs w:val="22"/>
        </w:rPr>
        <w:t>, 84 little pied cormorants (</w:t>
      </w:r>
      <w:r w:rsidRPr="00640000">
        <w:rPr>
          <w:rFonts w:ascii="Century Gothic" w:eastAsia="Times New Roman" w:hAnsi="Century Gothic"/>
          <w:b w:val="0"/>
          <w:i/>
          <w:sz w:val="22"/>
          <w:szCs w:val="22"/>
        </w:rPr>
        <w:t xml:space="preserve">Microcarbo melanoleucos) </w:t>
      </w:r>
      <w:r w:rsidRPr="00640000">
        <w:rPr>
          <w:rFonts w:ascii="Century Gothic" w:eastAsia="Times New Roman" w:hAnsi="Century Gothic"/>
          <w:b w:val="0"/>
          <w:sz w:val="22"/>
          <w:szCs w:val="22"/>
        </w:rPr>
        <w:t>and three yellow-billed spoonbills (</w:t>
      </w:r>
      <w:r w:rsidRPr="00640000">
        <w:rPr>
          <w:rFonts w:ascii="Century Gothic" w:eastAsia="Times New Roman" w:hAnsi="Century Gothic"/>
          <w:b w:val="0"/>
          <w:i/>
          <w:sz w:val="22"/>
          <w:szCs w:val="22"/>
        </w:rPr>
        <w:t xml:space="preserve">Platalea flavipes) </w:t>
      </w:r>
      <w:r w:rsidRPr="00640000">
        <w:rPr>
          <w:rFonts w:ascii="Century Gothic" w:eastAsia="Times New Roman" w:hAnsi="Century Gothic"/>
          <w:b w:val="0"/>
          <w:sz w:val="22"/>
          <w:szCs w:val="22"/>
        </w:rPr>
        <w:t xml:space="preserve">nested (Rick Webster, NPWS, </w:t>
      </w:r>
      <w:proofErr w:type="gramStart"/>
      <w:r w:rsidRPr="00640000">
        <w:rPr>
          <w:rFonts w:ascii="Century Gothic" w:eastAsia="Times New Roman" w:hAnsi="Century Gothic"/>
          <w:b w:val="0"/>
          <w:i/>
          <w:sz w:val="22"/>
          <w:szCs w:val="22"/>
        </w:rPr>
        <w:t>pers</w:t>
      </w:r>
      <w:proofErr w:type="gramEnd"/>
      <w:r w:rsidRPr="00640000">
        <w:rPr>
          <w:rFonts w:ascii="Century Gothic" w:eastAsia="Times New Roman" w:hAnsi="Century Gothic"/>
          <w:b w:val="0"/>
          <w:i/>
          <w:sz w:val="22"/>
          <w:szCs w:val="22"/>
        </w:rPr>
        <w:t>. obs</w:t>
      </w:r>
      <w:r w:rsidRPr="00640000">
        <w:rPr>
          <w:rFonts w:ascii="Century Gothic" w:eastAsia="Times New Roman" w:hAnsi="Century Gothic"/>
          <w:b w:val="0"/>
          <w:sz w:val="22"/>
          <w:szCs w:val="22"/>
        </w:rPr>
        <w:t>). Although no formal surveys were undertaken</w:t>
      </w:r>
      <w:r w:rsidR="00474688">
        <w:rPr>
          <w:rFonts w:ascii="Century Gothic" w:eastAsia="Times New Roman" w:hAnsi="Century Gothic"/>
          <w:b w:val="0"/>
          <w:sz w:val="22"/>
          <w:szCs w:val="22"/>
        </w:rPr>
        <w:t>,</w:t>
      </w:r>
      <w:r w:rsidRPr="00640000">
        <w:rPr>
          <w:rFonts w:ascii="Century Gothic" w:eastAsia="Times New Roman" w:hAnsi="Century Gothic"/>
          <w:b w:val="0"/>
          <w:sz w:val="22"/>
          <w:szCs w:val="22"/>
        </w:rPr>
        <w:t xml:space="preserve"> glossy ibis also nested in Telephone Bank in the Nimmie-Caira system in 2012–13 (J. Maguire,</w:t>
      </w:r>
      <w:r w:rsidRPr="00640000">
        <w:rPr>
          <w:rFonts w:ascii="Century Gothic" w:eastAsia="Times New Roman" w:hAnsi="Century Gothic"/>
          <w:b w:val="0"/>
          <w:i/>
          <w:sz w:val="22"/>
          <w:szCs w:val="22"/>
        </w:rPr>
        <w:t xml:space="preserve"> </w:t>
      </w:r>
      <w:r w:rsidRPr="00640000">
        <w:rPr>
          <w:rFonts w:ascii="Century Gothic" w:eastAsia="Times New Roman" w:hAnsi="Century Gothic"/>
          <w:b w:val="0"/>
          <w:sz w:val="22"/>
          <w:szCs w:val="22"/>
        </w:rPr>
        <w:t xml:space="preserve">OEH, </w:t>
      </w:r>
      <w:r w:rsidRPr="00640000">
        <w:rPr>
          <w:rFonts w:ascii="Century Gothic" w:eastAsia="Times New Roman" w:hAnsi="Century Gothic"/>
          <w:b w:val="0"/>
          <w:i/>
          <w:sz w:val="22"/>
          <w:szCs w:val="22"/>
        </w:rPr>
        <w:t>pers. comm.</w:t>
      </w:r>
      <w:r w:rsidRPr="00640000">
        <w:rPr>
          <w:rFonts w:ascii="Century Gothic" w:eastAsia="Times New Roman" w:hAnsi="Century Gothic"/>
          <w:b w:val="0"/>
          <w:sz w:val="22"/>
          <w:szCs w:val="22"/>
        </w:rPr>
        <w:t>). There were also multiple pairs of black swans (</w:t>
      </w:r>
      <w:r w:rsidRPr="00640000">
        <w:rPr>
          <w:rFonts w:ascii="Century Gothic" w:eastAsia="Times New Roman" w:hAnsi="Century Gothic"/>
          <w:b w:val="0"/>
          <w:i/>
          <w:sz w:val="22"/>
          <w:szCs w:val="22"/>
        </w:rPr>
        <w:t>Cygnus atratus)</w:t>
      </w:r>
      <w:r w:rsidRPr="00640000">
        <w:rPr>
          <w:rFonts w:ascii="Century Gothic" w:eastAsia="Times New Roman" w:hAnsi="Century Gothic"/>
          <w:b w:val="0"/>
          <w:sz w:val="22"/>
          <w:szCs w:val="22"/>
        </w:rPr>
        <w:t xml:space="preserve"> with broods across wetlands in the Redbank system.</w:t>
      </w:r>
    </w:p>
    <w:p w:rsidR="00FC57DC" w:rsidRDefault="00FC57DC" w:rsidP="00FC57DC"/>
    <w:p w:rsidR="00262455" w:rsidRPr="00FC57DC" w:rsidRDefault="00850214" w:rsidP="00C44F46">
      <w:pPr>
        <w:pStyle w:val="Heading2"/>
      </w:pPr>
      <w:r>
        <w:t xml:space="preserve"> </w:t>
      </w:r>
      <w:bookmarkStart w:id="423" w:name="_Toc370299243"/>
      <w:bookmarkStart w:id="424" w:name="_Toc370738853"/>
      <w:bookmarkStart w:id="425" w:name="_Toc378168585"/>
      <w:r w:rsidR="00C528BB">
        <w:t>Discussion</w:t>
      </w:r>
      <w:bookmarkEnd w:id="423"/>
      <w:bookmarkEnd w:id="424"/>
      <w:bookmarkEnd w:id="425"/>
    </w:p>
    <w:p w:rsidR="00BC3E32" w:rsidRDefault="00BC3E32" w:rsidP="00BC3E32">
      <w:r w:rsidRPr="00640000">
        <w:t xml:space="preserve">Overall, the waterbird monitoring detected a high diversity of waterbird species across the Murrumbidgee Catchment in 2012-13 with very large numbers of waterbirds (&gt; 20,000 birds) recorded in the Western Lakes which received Commonwealth environmental water in 2012. </w:t>
      </w:r>
      <w:r>
        <w:t xml:space="preserve">Waterbird </w:t>
      </w:r>
      <w:r w:rsidRPr="00640000">
        <w:t>breeding activity was limited and waterbird numbers were generally low in wetlands that did not receive environmental watering or natural inflows. Wetlands that have historically provided breeding habitat for colonially-nesting species were not inundated to the extent required to initiate breeding in spring and summer months. However, colonial waterbird breeding events do not typically occur every year, rather they are normally associated with large-scale natural flooding, as seen in 2010-11 where six wetlands in the Lowbidgee floodplain supported significant numbers (ranging from hu</w:t>
      </w:r>
      <w:r w:rsidR="00474688">
        <w:t>ndreds to many thousands</w:t>
      </w:r>
      <w:r w:rsidRPr="00640000">
        <w:t xml:space="preserve">) of nesting waterbirds  </w:t>
      </w:r>
      <w:r w:rsidR="00D20FAE">
        <w:fldChar w:fldCharType="begin"/>
      </w:r>
      <w:r w:rsidR="006171E9">
        <w:instrText xml:space="preserve"> ADDIN EN.CITE &lt;EndNote&gt;&lt;Cite&gt;&lt;Author&gt;Spencer&lt;/Author&gt;&lt;Year&gt;2011&lt;/Year&gt;&lt;RecNum&gt;2983&lt;/RecNum&gt;&lt;DisplayText&gt;(Brandis, Ryall&lt;style face="italic"&gt; et al.&lt;/style&gt; 2011, Spencer, Thomas&lt;style face="italic"&gt; et al.&lt;/style&gt; 2011)&lt;/DisplayText&gt;&lt;record&gt;&lt;rec-number&gt;2983&lt;/rec-number&gt;&lt;foreign-keys&gt;&lt;key app="EN" db-id="vxxvsda2b05fxpeaw2dp552mtrd5trxdrf0s"&gt;2983&lt;/key&gt;&lt;/foreign-keys&gt;&lt;ref-type name="Book"&gt;6&lt;/ref-type&gt;&lt;contributors&gt;&lt;authors&gt;&lt;author&gt;Spencer, J&lt;/author&gt;&lt;author&gt;Thomas, R&lt;/author&gt;&lt;author&gt;Wassens, S&lt;/author&gt;&lt;author&gt;Lu, Y&lt;/author&gt;&lt;author&gt;Wen, L&lt;/author&gt;&lt;author&gt;Iles, J&lt;/author&gt;&lt;author&gt;Kobayashi, Y&lt;/author&gt;&lt;author&gt;Hunter, S&lt;/author&gt;&lt;author&gt;Ling, J&lt;/author&gt;&lt;author&gt;Saintilan, N&lt;/author&gt;&lt;/authors&gt;&lt;/contributors&gt;&lt;titles&gt;&lt;title&gt;Environmental flow monitoring in the Lowbidgee wetlands and Macquarie Marshes in 2009-10. Testing wetland resilience: monitoring the response of iconic wetlands to re-flooding following historic drought project.&lt;/title&gt;&lt;secondary-title&gt;Progress report for the NSW Catchment Action Program.&lt;/secondary-title&gt;&lt;/titles&gt;&lt;num-vols&gt;&lt;style face="normal" font="default" size="10"&gt; &lt;/style&gt;&lt;/num-vols&gt;&lt;dates&gt;&lt;year&gt;2011&lt;/year&gt;&lt;/dates&gt;&lt;pub-location&gt;&lt;style face="normal" font="default" size="10"&gt;Sydney&lt;/style&gt;&lt;/pub-location&gt;&lt;publisher&gt;NSW Department of Environment, Climate Change and Water&lt;/publisher&gt;&lt;urls&gt;&lt;/urls&gt;&lt;/record&gt;&lt;/Cite&gt;&lt;Cite&gt;&lt;Author&gt;Brandis&lt;/Author&gt;&lt;Year&gt;2011&lt;/Year&gt;&lt;RecNum&gt;3383&lt;/RecNum&gt;&lt;record&gt;&lt;rec-number&gt;3383&lt;/rec-number&gt;&lt;foreign-keys&gt;&lt;key app="EN" db-id="vxxvsda2b05fxpeaw2dp552mtrd5trxdrf0s"&gt;3383&lt;/key&gt;&lt;/foreign-keys&gt;&lt;ref-type name="Book"&gt;6&lt;/ref-type&gt;&lt;contributors&gt;&lt;authors&gt;&lt;author&gt;Brandis, K.&lt;/author&gt;&lt;author&gt;Ryall, S. &lt;/author&gt;&lt;author&gt;Kingsford, R.T.&lt;/author&gt;&lt;/authors&gt;&lt;/contributors&gt;&lt;titles&gt;&lt;title&gt;Lowbidgee 2010/2011 Colonial Waterbird Breeding&lt;/title&gt;&lt;/titles&gt;&lt;dates&gt;&lt;year&gt;2011&lt;/year&gt;&lt;/dates&gt;&lt;pub-location&gt;Sydney &lt;/pub-location&gt;&lt;publisher&gt;Final report prepared for the Lowbidgee League. Australian Wetlands and Rivers Centre, University of New South Wales.&lt;/publisher&gt;&lt;urls&gt;&lt;/urls&gt;&lt;/record&gt;&lt;/Cite&gt;&lt;/EndNote&gt;</w:instrText>
      </w:r>
      <w:r w:rsidR="00D20FAE">
        <w:fldChar w:fldCharType="separate"/>
      </w:r>
      <w:r w:rsidR="006171E9">
        <w:rPr>
          <w:noProof/>
        </w:rPr>
        <w:t>(</w:t>
      </w:r>
      <w:hyperlink w:anchor="_ENREF_16" w:tooltip="Brandis, 2011 #3383" w:history="1">
        <w:r w:rsidR="006810E6">
          <w:rPr>
            <w:noProof/>
          </w:rPr>
          <w:t>Brandis, Ryall</w:t>
        </w:r>
        <w:r w:rsidR="006810E6" w:rsidRPr="006171E9">
          <w:rPr>
            <w:i/>
            <w:noProof/>
          </w:rPr>
          <w:t xml:space="preserve"> et al.</w:t>
        </w:r>
        <w:r w:rsidR="006810E6">
          <w:rPr>
            <w:noProof/>
          </w:rPr>
          <w:t xml:space="preserve"> 2011</w:t>
        </w:r>
      </w:hyperlink>
      <w:r w:rsidR="006171E9">
        <w:rPr>
          <w:noProof/>
        </w:rPr>
        <w:t xml:space="preserve">, </w:t>
      </w:r>
      <w:hyperlink w:anchor="_ENREF_93" w:tooltip="Spencer, 2011 #2983" w:history="1">
        <w:r w:rsidR="006810E6">
          <w:rPr>
            <w:noProof/>
          </w:rPr>
          <w:t>Spencer, Thomas</w:t>
        </w:r>
        <w:r w:rsidR="006810E6" w:rsidRPr="006171E9">
          <w:rPr>
            <w:i/>
            <w:noProof/>
          </w:rPr>
          <w:t xml:space="preserve"> et al.</w:t>
        </w:r>
        <w:r w:rsidR="006810E6">
          <w:rPr>
            <w:noProof/>
          </w:rPr>
          <w:t xml:space="preserve"> 2011</w:t>
        </w:r>
      </w:hyperlink>
      <w:r w:rsidR="006171E9">
        <w:rPr>
          <w:noProof/>
        </w:rPr>
        <w:t>)</w:t>
      </w:r>
      <w:r w:rsidR="00D20FAE">
        <w:fldChar w:fldCharType="end"/>
      </w:r>
      <w:r w:rsidRPr="00640000">
        <w:t>.</w:t>
      </w:r>
    </w:p>
    <w:p w:rsidR="0000165F" w:rsidRDefault="0000165F">
      <w:pPr>
        <w:spacing w:after="0" w:line="240" w:lineRule="auto"/>
        <w:jc w:val="left"/>
      </w:pPr>
      <w:r>
        <w:br w:type="page"/>
      </w:r>
    </w:p>
    <w:p w:rsidR="005518DB" w:rsidRDefault="005518DB" w:rsidP="00FC57DC"/>
    <w:tbl>
      <w:tblPr>
        <w:tblStyle w:val="TableGrid"/>
        <w:tblW w:w="0" w:type="auto"/>
        <w:tblLook w:val="04A0"/>
      </w:tblPr>
      <w:tblGrid>
        <w:gridCol w:w="9242"/>
      </w:tblGrid>
      <w:tr w:rsidR="00535F8B" w:rsidRPr="00434389" w:rsidTr="00434389">
        <w:trPr>
          <w:cnfStyle w:val="100000000000"/>
        </w:trPr>
        <w:tc>
          <w:tcPr>
            <w:tcW w:w="9242" w:type="dxa"/>
          </w:tcPr>
          <w:p w:rsidR="00E1766B" w:rsidRPr="005518DB" w:rsidRDefault="00D9682C" w:rsidP="005518DB">
            <w:pPr>
              <w:pStyle w:val="Title"/>
            </w:pPr>
            <w:r w:rsidRPr="00FC57DC">
              <w:br w:type="page"/>
            </w:r>
            <w:r w:rsidR="0036431B">
              <w:br w:type="page"/>
            </w:r>
            <w:bookmarkStart w:id="426" w:name="_Toc370738854"/>
            <w:r w:rsidR="00505588" w:rsidRPr="005518DB">
              <w:t>Frogs</w:t>
            </w:r>
            <w:bookmarkEnd w:id="426"/>
          </w:p>
          <w:p w:rsidR="00E1766B" w:rsidRDefault="00E1766B">
            <w:pPr>
              <w:keepNext/>
              <w:spacing w:before="240"/>
              <w:jc w:val="center"/>
              <w:outlineLvl w:val="0"/>
              <w:rPr>
                <w:b/>
              </w:rPr>
            </w:pPr>
            <w:r>
              <w:rPr>
                <w:b/>
                <w:noProof/>
                <w:lang w:eastAsia="en-AU"/>
              </w:rPr>
              <w:drawing>
                <wp:inline distT="0" distB="0" distL="0" distR="0">
                  <wp:extent cx="4414927" cy="2488533"/>
                  <wp:effectExtent l="19050" t="0" r="4673" b="0"/>
                  <wp:docPr id="76" name="Picture 76" descr="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260"/>
                          <pic:cNvPicPr>
                            <a:picLocks noChangeAspect="1" noChangeArrowheads="1"/>
                          </pic:cNvPicPr>
                        </pic:nvPicPr>
                        <pic:blipFill>
                          <a:blip r:embed="rId151" cstate="print"/>
                          <a:srcRect/>
                          <a:stretch>
                            <a:fillRect/>
                          </a:stretch>
                        </pic:blipFill>
                        <pic:spPr bwMode="auto">
                          <a:xfrm>
                            <a:off x="0" y="0"/>
                            <a:ext cx="4419444" cy="2491079"/>
                          </a:xfrm>
                          <a:prstGeom prst="rect">
                            <a:avLst/>
                          </a:prstGeom>
                          <a:noFill/>
                          <a:ln w="9525">
                            <a:noFill/>
                            <a:miter lim="800000"/>
                            <a:headEnd/>
                            <a:tailEnd/>
                          </a:ln>
                        </pic:spPr>
                      </pic:pic>
                    </a:graphicData>
                  </a:graphic>
                </wp:inline>
              </w:drawing>
            </w:r>
          </w:p>
          <w:p w:rsidR="00886D6A" w:rsidRPr="00434389" w:rsidRDefault="00505588" w:rsidP="00B859C7">
            <w:pPr>
              <w:pStyle w:val="NoSpacing"/>
            </w:pPr>
            <w:r w:rsidRPr="00505588">
              <w:t>Recently metamorphosed Perons tree frog (</w:t>
            </w:r>
            <w:r w:rsidR="004E135B" w:rsidRPr="004E135B">
              <w:rPr>
                <w:i/>
              </w:rPr>
              <w:t>Litoria peronii</w:t>
            </w:r>
            <w:r w:rsidRPr="00505588">
              <w:t>) from the mid-Murrumbidgee wetlands</w:t>
            </w:r>
          </w:p>
          <w:p w:rsidR="00886D6A" w:rsidRPr="00434389" w:rsidRDefault="00886D6A" w:rsidP="00B859C7">
            <w:pPr>
              <w:pStyle w:val="NoSpacing"/>
              <w:spacing w:line="360" w:lineRule="auto"/>
              <w:rPr>
                <w:lang w:eastAsia="en-AU"/>
              </w:rPr>
            </w:pPr>
          </w:p>
          <w:p w:rsidR="00434389" w:rsidRPr="00434389" w:rsidRDefault="00505588" w:rsidP="00434389">
            <w:pPr>
              <w:pStyle w:val="NoSpacing"/>
              <w:spacing w:line="360" w:lineRule="auto"/>
            </w:pPr>
            <w:r w:rsidRPr="00505588">
              <w:rPr>
                <w:lang w:eastAsia="en-AU"/>
              </w:rPr>
              <w:t xml:space="preserve">Three key responses were examined with respect </w:t>
            </w:r>
            <w:r w:rsidR="00A44C85">
              <w:rPr>
                <w:lang w:eastAsia="en-AU"/>
              </w:rPr>
              <w:t xml:space="preserve">to </w:t>
            </w:r>
            <w:r w:rsidRPr="00505588">
              <w:rPr>
                <w:lang w:eastAsia="en-AU"/>
              </w:rPr>
              <w:t xml:space="preserve">frog populations and communities: </w:t>
            </w:r>
            <w:r w:rsidR="00474688" w:rsidRPr="00474688">
              <w:rPr>
                <w:b/>
                <w:lang w:eastAsia="en-AU"/>
              </w:rPr>
              <w:t>(</w:t>
            </w:r>
            <w:r w:rsidRPr="00505588">
              <w:rPr>
                <w:b/>
                <w:lang w:eastAsia="en-AU"/>
              </w:rPr>
              <w:t>1) the presence of adult frogs,</w:t>
            </w:r>
            <w:r w:rsidRPr="00505588">
              <w:rPr>
                <w:lang w:eastAsia="en-AU"/>
              </w:rPr>
              <w:t xml:space="preserve"> which is an indicator of long-term ecological outcomes of Commonwealth environmental watering actions and is influenced by recruitment into the population between water years as well as immigration, </w:t>
            </w:r>
            <w:r w:rsidR="00474688" w:rsidRPr="00474688">
              <w:rPr>
                <w:b/>
                <w:lang w:eastAsia="en-AU"/>
              </w:rPr>
              <w:t>(</w:t>
            </w:r>
            <w:r w:rsidRPr="00505588">
              <w:rPr>
                <w:b/>
                <w:lang w:eastAsia="en-AU"/>
              </w:rPr>
              <w:t>2) calling activity</w:t>
            </w:r>
            <w:r w:rsidR="00474688" w:rsidRPr="00474688">
              <w:rPr>
                <w:lang w:eastAsia="en-AU"/>
              </w:rPr>
              <w:t>, which</w:t>
            </w:r>
            <w:r w:rsidRPr="00505588">
              <w:rPr>
                <w:lang w:eastAsia="en-AU"/>
              </w:rPr>
              <w:t xml:space="preserve"> is used as a measure of the behavioural response related to the initiation of breeding by individuals present in the wetland</w:t>
            </w:r>
            <w:r w:rsidR="00474688">
              <w:rPr>
                <w:lang w:eastAsia="en-AU"/>
              </w:rPr>
              <w:t>,</w:t>
            </w:r>
            <w:r w:rsidRPr="00505588">
              <w:rPr>
                <w:lang w:eastAsia="en-AU"/>
              </w:rPr>
              <w:t xml:space="preserve"> and </w:t>
            </w:r>
            <w:r w:rsidR="00474688" w:rsidRPr="00474688">
              <w:rPr>
                <w:b/>
                <w:lang w:eastAsia="en-AU"/>
              </w:rPr>
              <w:t>(</w:t>
            </w:r>
            <w:r w:rsidRPr="00505588">
              <w:rPr>
                <w:b/>
                <w:lang w:eastAsia="en-AU"/>
              </w:rPr>
              <w:t>3) tadpole abundance</w:t>
            </w:r>
            <w:r w:rsidR="00474688" w:rsidRPr="00474688">
              <w:rPr>
                <w:lang w:eastAsia="en-AU"/>
              </w:rPr>
              <w:t>, which</w:t>
            </w:r>
            <w:r w:rsidRPr="00505588">
              <w:rPr>
                <w:lang w:eastAsia="en-AU"/>
              </w:rPr>
              <w:t xml:space="preserve"> is an indicator of the success of breeding attempts within the wetland. </w:t>
            </w:r>
            <w:r w:rsidRPr="00505588">
              <w:rPr>
                <w:rFonts w:cs="Calibri"/>
                <w:szCs w:val="20"/>
              </w:rPr>
              <w:t xml:space="preserve">The Commonwealth environmental watering objectives related to frogs </w:t>
            </w:r>
            <w:r w:rsidR="00850214" w:rsidRPr="00505588">
              <w:rPr>
                <w:rFonts w:cs="Calibri"/>
                <w:szCs w:val="20"/>
              </w:rPr>
              <w:t>were</w:t>
            </w:r>
            <w:r w:rsidR="00850214">
              <w:rPr>
                <w:rFonts w:cs="Calibri"/>
                <w:b/>
                <w:i/>
                <w:szCs w:val="20"/>
              </w:rPr>
              <w:t xml:space="preserve"> </w:t>
            </w:r>
            <w:r w:rsidR="00850214" w:rsidRPr="00505588">
              <w:rPr>
                <w:rFonts w:cs="Calibri"/>
                <w:b/>
                <w:i/>
                <w:szCs w:val="20"/>
              </w:rPr>
              <w:t>“</w:t>
            </w:r>
            <w:r w:rsidRPr="00505588">
              <w:rPr>
                <w:rFonts w:cs="Calibri"/>
                <w:b/>
                <w:i/>
                <w:szCs w:val="20"/>
              </w:rPr>
              <w:t xml:space="preserve">Support habitat requirements of other native aquatic species, including frogs, turtles, </w:t>
            </w:r>
            <w:proofErr w:type="gramStart"/>
            <w:r w:rsidRPr="00505588">
              <w:rPr>
                <w:rFonts w:cs="Calibri"/>
                <w:b/>
                <w:i/>
                <w:szCs w:val="20"/>
              </w:rPr>
              <w:t>invertebrates</w:t>
            </w:r>
            <w:proofErr w:type="gramEnd"/>
            <w:r w:rsidRPr="00505588">
              <w:rPr>
                <w:rFonts w:cs="Calibri"/>
                <w:b/>
                <w:i/>
                <w:szCs w:val="20"/>
              </w:rPr>
              <w:t>”</w:t>
            </w:r>
            <w:r w:rsidRPr="00474688">
              <w:rPr>
                <w:rFonts w:cs="Calibri"/>
                <w:szCs w:val="20"/>
              </w:rPr>
              <w:t xml:space="preserve"> and </w:t>
            </w:r>
            <w:r w:rsidRPr="00505588">
              <w:rPr>
                <w:rFonts w:cs="Calibri"/>
                <w:b/>
                <w:i/>
                <w:szCs w:val="20"/>
              </w:rPr>
              <w:t>“Support breeding and recruitment of other native aquatic species, includin</w:t>
            </w:r>
            <w:r w:rsidR="00474688">
              <w:rPr>
                <w:rFonts w:cs="Calibri"/>
                <w:b/>
                <w:i/>
                <w:szCs w:val="20"/>
              </w:rPr>
              <w:t>g frogs, turtles, invertebrates</w:t>
            </w:r>
            <w:r w:rsidRPr="00505588">
              <w:rPr>
                <w:rFonts w:cs="Calibri"/>
                <w:b/>
                <w:i/>
                <w:szCs w:val="20"/>
              </w:rPr>
              <w:t>”</w:t>
            </w:r>
            <w:r w:rsidR="00474688">
              <w:rPr>
                <w:rFonts w:cs="Calibri"/>
                <w:szCs w:val="20"/>
              </w:rPr>
              <w:t>.</w:t>
            </w:r>
            <w:r w:rsidRPr="00505588">
              <w:rPr>
                <w:rFonts w:cs="Calibri"/>
                <w:b/>
                <w:i/>
                <w:szCs w:val="20"/>
              </w:rPr>
              <w:t xml:space="preserve">  </w:t>
            </w:r>
          </w:p>
          <w:p w:rsidR="00434389" w:rsidRPr="00434389" w:rsidRDefault="00505588" w:rsidP="00434389">
            <w:pPr>
              <w:pStyle w:val="NoSpacing"/>
              <w:spacing w:line="360" w:lineRule="auto"/>
              <w:rPr>
                <w:szCs w:val="20"/>
              </w:rPr>
            </w:pPr>
            <w:r w:rsidRPr="00505588">
              <w:rPr>
                <w:szCs w:val="20"/>
              </w:rPr>
              <w:t>The key outcomes:</w:t>
            </w:r>
          </w:p>
          <w:p w:rsidR="00E1766B" w:rsidRDefault="00474688">
            <w:pPr>
              <w:pStyle w:val="NoSpacing"/>
              <w:numPr>
                <w:ilvl w:val="0"/>
                <w:numId w:val="17"/>
              </w:numPr>
            </w:pPr>
            <w:r>
              <w:t>Six frog</w:t>
            </w:r>
            <w:r w:rsidR="00505588" w:rsidRPr="00505588">
              <w:t xml:space="preserve"> species, including the vulnerable southern bell frog </w:t>
            </w:r>
            <w:r w:rsidR="00850214">
              <w:t>(</w:t>
            </w:r>
            <w:r w:rsidR="00850214" w:rsidRPr="00850214">
              <w:rPr>
                <w:i/>
              </w:rPr>
              <w:t>Litoria raniformis</w:t>
            </w:r>
            <w:r w:rsidR="00850214">
              <w:t xml:space="preserve">) </w:t>
            </w:r>
            <w:r w:rsidR="00505588" w:rsidRPr="00505588">
              <w:t>were recorded</w:t>
            </w:r>
            <w:r w:rsidR="0000165F">
              <w:t>.</w:t>
            </w:r>
            <w:r w:rsidR="00505588" w:rsidRPr="00505588">
              <w:t xml:space="preserve"> </w:t>
            </w:r>
          </w:p>
          <w:p w:rsidR="00E1766B" w:rsidRDefault="00505588">
            <w:pPr>
              <w:pStyle w:val="NoSpacing"/>
              <w:numPr>
                <w:ilvl w:val="0"/>
                <w:numId w:val="17"/>
              </w:numPr>
            </w:pPr>
            <w:r w:rsidRPr="00505588">
              <w:t xml:space="preserve">Breeding activity (the presence of tadpoles and juvenile frogs (metamorphs)) was recorded in four of the six species. </w:t>
            </w:r>
          </w:p>
          <w:p w:rsidR="00E1766B" w:rsidRDefault="00505588">
            <w:pPr>
              <w:pStyle w:val="NoSpacing"/>
              <w:numPr>
                <w:ilvl w:val="0"/>
                <w:numId w:val="17"/>
              </w:numPr>
            </w:pPr>
            <w:r w:rsidRPr="00505588">
              <w:t>Breeding activity</w:t>
            </w:r>
            <w:r w:rsidR="00474688">
              <w:t>,</w:t>
            </w:r>
            <w:r w:rsidRPr="00505588">
              <w:t xml:space="preserve"> as measured by the number of tadpoles</w:t>
            </w:r>
            <w:r w:rsidR="00474688">
              <w:t>,</w:t>
            </w:r>
            <w:r w:rsidRPr="00505588">
              <w:t xml:space="preserve"> differed significantly among wetland regions with areas receiving either Commonwealth environmental water (Western Lakes) or natural overbank flows (Lowbidgee) supporting higher numbers of tadpoles than the mid-Murrumbidgee wetlands</w:t>
            </w:r>
            <w:r w:rsidR="00474688">
              <w:t>,</w:t>
            </w:r>
            <w:r w:rsidRPr="00505588">
              <w:t xml:space="preserve"> which did not receive inflows.</w:t>
            </w:r>
          </w:p>
        </w:tc>
      </w:tr>
    </w:tbl>
    <w:p w:rsidR="000F5435" w:rsidRPr="000F5435" w:rsidRDefault="005518DB" w:rsidP="000F5435">
      <w:pPr>
        <w:pStyle w:val="Heading1"/>
      </w:pPr>
      <w:r>
        <w:t xml:space="preserve"> </w:t>
      </w:r>
      <w:bookmarkStart w:id="427" w:name="_Toc370299244"/>
      <w:bookmarkStart w:id="428" w:name="_Toc370738855"/>
      <w:bookmarkStart w:id="429" w:name="_Toc378168586"/>
      <w:r w:rsidR="000F5435" w:rsidRPr="000F5435">
        <w:t>Support</w:t>
      </w:r>
      <w:r w:rsidR="000F5435">
        <w:t>ing, habitat,</w:t>
      </w:r>
      <w:r w:rsidR="000F5435" w:rsidRPr="000F5435">
        <w:t xml:space="preserve"> breeding and recruitment of other native aquatic species</w:t>
      </w:r>
      <w:r w:rsidR="000F5435">
        <w:t>:</w:t>
      </w:r>
      <w:r w:rsidR="000F5435" w:rsidRPr="000F5435">
        <w:t xml:space="preserve"> </w:t>
      </w:r>
      <w:r w:rsidR="000F5435">
        <w:t>Frogs</w:t>
      </w:r>
      <w:bookmarkEnd w:id="427"/>
      <w:bookmarkEnd w:id="428"/>
      <w:bookmarkEnd w:id="429"/>
      <w:r w:rsidR="000F5435" w:rsidRPr="000F5435">
        <w:t xml:space="preserve">  </w:t>
      </w:r>
    </w:p>
    <w:p w:rsidR="003A345A" w:rsidRDefault="00850214" w:rsidP="00C44F46">
      <w:pPr>
        <w:pStyle w:val="Heading2"/>
      </w:pPr>
      <w:r>
        <w:t xml:space="preserve"> </w:t>
      </w:r>
      <w:bookmarkStart w:id="430" w:name="_Toc370299245"/>
      <w:bookmarkStart w:id="431" w:name="_Toc370738856"/>
      <w:bookmarkStart w:id="432" w:name="_Toc378168587"/>
      <w:r w:rsidR="003A345A" w:rsidRPr="003A345A">
        <w:t>Introduction</w:t>
      </w:r>
      <w:bookmarkEnd w:id="430"/>
      <w:bookmarkEnd w:id="431"/>
      <w:bookmarkEnd w:id="432"/>
    </w:p>
    <w:p w:rsidR="00EC6F74" w:rsidRDefault="0053721A" w:rsidP="0053488D">
      <w:pPr>
        <w:rPr>
          <w:lang w:eastAsia="en-AU"/>
        </w:rPr>
      </w:pPr>
      <w:r w:rsidRPr="0053488D">
        <w:rPr>
          <w:noProof/>
          <w:lang w:eastAsia="en-AU"/>
        </w:rPr>
        <w:t xml:space="preserve">Frogs are important components of floodplain wetlands and their tadpoles can make up a </w:t>
      </w:r>
      <w:r w:rsidR="00B11DE2" w:rsidRPr="0053488D">
        <w:rPr>
          <w:noProof/>
          <w:lang w:eastAsia="en-AU"/>
        </w:rPr>
        <w:t>signifin</w:t>
      </w:r>
      <w:r w:rsidR="00B11DE2">
        <w:rPr>
          <w:noProof/>
          <w:lang w:eastAsia="en-AU"/>
        </w:rPr>
        <w:t xml:space="preserve">cant </w:t>
      </w:r>
      <w:r w:rsidRPr="0053488D">
        <w:rPr>
          <w:noProof/>
          <w:lang w:eastAsia="en-AU"/>
        </w:rPr>
        <w:t>proportion</w:t>
      </w:r>
      <w:r w:rsidR="00B11DE2">
        <w:rPr>
          <w:noProof/>
          <w:lang w:eastAsia="en-AU"/>
        </w:rPr>
        <w:t xml:space="preserve"> </w:t>
      </w:r>
      <w:r w:rsidRPr="0053488D">
        <w:rPr>
          <w:noProof/>
          <w:lang w:eastAsia="en-AU"/>
        </w:rPr>
        <w:t xml:space="preserve">of aquatic biomass. </w:t>
      </w:r>
      <w:r w:rsidR="004D7858">
        <w:rPr>
          <w:lang w:eastAsia="en-AU"/>
        </w:rPr>
        <w:t>The response of frog communities to environmental watering actions can be influenced by the timing and size of the flow, the characteristics of the wetlands, particular vegetation cover, and the past wetting and drying regime</w:t>
      </w:r>
      <w:r w:rsidR="00D957DD">
        <w:rPr>
          <w:lang w:eastAsia="en-AU"/>
        </w:rPr>
        <w:t>s</w:t>
      </w:r>
      <w:r w:rsidR="00F058F5">
        <w:rPr>
          <w:lang w:eastAsia="en-AU"/>
        </w:rPr>
        <w:t>,</w:t>
      </w:r>
      <w:r w:rsidR="00D957DD">
        <w:rPr>
          <w:lang w:eastAsia="en-AU"/>
        </w:rPr>
        <w:t xml:space="preserve"> which can determine the size and composition of the resident frog community. Wetlands that have been dry </w:t>
      </w:r>
      <w:r w:rsidR="00403EC9">
        <w:rPr>
          <w:lang w:eastAsia="en-AU"/>
        </w:rPr>
        <w:t xml:space="preserve">for extended </w:t>
      </w:r>
      <w:r w:rsidR="00D957DD">
        <w:rPr>
          <w:lang w:eastAsia="en-AU"/>
        </w:rPr>
        <w:t xml:space="preserve">periods </w:t>
      </w:r>
      <w:r w:rsidR="00E42580">
        <w:rPr>
          <w:lang w:eastAsia="en-AU"/>
        </w:rPr>
        <w:t>can have small or non</w:t>
      </w:r>
      <w:r w:rsidR="00EC6F74">
        <w:rPr>
          <w:lang w:eastAsia="en-AU"/>
        </w:rPr>
        <w:t>-</w:t>
      </w:r>
      <w:r w:rsidR="00E42580">
        <w:rPr>
          <w:lang w:eastAsia="en-AU"/>
        </w:rPr>
        <w:t>existent resident frog communities</w:t>
      </w:r>
      <w:r w:rsidR="00F058F5">
        <w:rPr>
          <w:lang w:eastAsia="en-AU"/>
        </w:rPr>
        <w:t>,</w:t>
      </w:r>
      <w:r w:rsidR="00E42580">
        <w:rPr>
          <w:lang w:eastAsia="en-AU"/>
        </w:rPr>
        <w:t xml:space="preserve"> and</w:t>
      </w:r>
      <w:r w:rsidR="00F058F5">
        <w:rPr>
          <w:lang w:eastAsia="en-AU"/>
        </w:rPr>
        <w:t>,</w:t>
      </w:r>
      <w:r w:rsidR="00E42580">
        <w:rPr>
          <w:lang w:eastAsia="en-AU"/>
        </w:rPr>
        <w:t xml:space="preserve"> in these cases</w:t>
      </w:r>
      <w:r w:rsidR="00F058F5">
        <w:rPr>
          <w:lang w:eastAsia="en-AU"/>
        </w:rPr>
        <w:t>,</w:t>
      </w:r>
      <w:r w:rsidR="00E42580">
        <w:rPr>
          <w:lang w:eastAsia="en-AU"/>
        </w:rPr>
        <w:t xml:space="preserve"> </w:t>
      </w:r>
      <w:r w:rsidR="00E42580" w:rsidRPr="0053488D">
        <w:rPr>
          <w:lang w:eastAsia="en-AU"/>
        </w:rPr>
        <w:t>the</w:t>
      </w:r>
      <w:r w:rsidR="00E42580">
        <w:rPr>
          <w:lang w:eastAsia="en-AU"/>
        </w:rPr>
        <w:t xml:space="preserve"> frog response can be influenced by the rate </w:t>
      </w:r>
      <w:r w:rsidR="00403EC9">
        <w:rPr>
          <w:lang w:eastAsia="en-AU"/>
        </w:rPr>
        <w:t xml:space="preserve">of </w:t>
      </w:r>
      <w:r w:rsidR="00E42580">
        <w:rPr>
          <w:lang w:eastAsia="en-AU"/>
        </w:rPr>
        <w:t xml:space="preserve">immigration. In this study we considered three key frog </w:t>
      </w:r>
      <w:r w:rsidR="0053488D" w:rsidRPr="0053488D">
        <w:rPr>
          <w:lang w:eastAsia="en-AU"/>
        </w:rPr>
        <w:t>responses</w:t>
      </w:r>
      <w:r w:rsidR="00F058F5">
        <w:rPr>
          <w:lang w:eastAsia="en-AU"/>
        </w:rPr>
        <w:t>, as follows.</w:t>
      </w:r>
      <w:r w:rsidR="00BE4AFF">
        <w:rPr>
          <w:lang w:eastAsia="en-AU"/>
        </w:rPr>
        <w:t xml:space="preserve"> </w:t>
      </w:r>
    </w:p>
    <w:p w:rsidR="00E1766B" w:rsidRDefault="00403EC9">
      <w:pPr>
        <w:pStyle w:val="ListParagraph"/>
        <w:numPr>
          <w:ilvl w:val="0"/>
          <w:numId w:val="18"/>
        </w:numPr>
        <w:spacing w:before="240"/>
        <w:rPr>
          <w:lang w:eastAsia="en-AU"/>
        </w:rPr>
      </w:pPr>
      <w:r>
        <w:rPr>
          <w:lang w:eastAsia="en-AU"/>
        </w:rPr>
        <w:t>T</w:t>
      </w:r>
      <w:r w:rsidR="0053488D" w:rsidRPr="0053488D">
        <w:rPr>
          <w:lang w:eastAsia="en-AU"/>
        </w:rPr>
        <w:t xml:space="preserve">he presence </w:t>
      </w:r>
      <w:r w:rsidR="00EC6F74">
        <w:rPr>
          <w:lang w:eastAsia="en-AU"/>
        </w:rPr>
        <w:t xml:space="preserve">and relative abundance </w:t>
      </w:r>
      <w:r w:rsidR="0053488D" w:rsidRPr="0053488D">
        <w:rPr>
          <w:lang w:eastAsia="en-AU"/>
        </w:rPr>
        <w:t>of adult</w:t>
      </w:r>
      <w:r w:rsidR="006711AB">
        <w:rPr>
          <w:lang w:eastAsia="en-AU"/>
        </w:rPr>
        <w:t xml:space="preserve"> frogs</w:t>
      </w:r>
      <w:r w:rsidR="00F058F5">
        <w:rPr>
          <w:lang w:eastAsia="en-AU"/>
        </w:rPr>
        <w:t>,</w:t>
      </w:r>
      <w:r w:rsidR="0053488D" w:rsidRPr="0053488D">
        <w:rPr>
          <w:lang w:eastAsia="en-AU"/>
        </w:rPr>
        <w:t xml:space="preserve"> which is an indicator of long-term ecological outcomes of environmental water actions and is influenced by recruitment into the population between water years</w:t>
      </w:r>
      <w:r w:rsidR="00BE4AFF">
        <w:rPr>
          <w:lang w:eastAsia="en-AU"/>
        </w:rPr>
        <w:t>, population persistence and</w:t>
      </w:r>
      <w:r w:rsidR="0053488D" w:rsidRPr="0053488D">
        <w:rPr>
          <w:lang w:eastAsia="en-AU"/>
        </w:rPr>
        <w:t xml:space="preserve"> immigration. </w:t>
      </w:r>
    </w:p>
    <w:p w:rsidR="00E1766B" w:rsidRDefault="00E1766B">
      <w:pPr>
        <w:pStyle w:val="ListParagraph"/>
        <w:spacing w:before="240"/>
        <w:rPr>
          <w:lang w:eastAsia="en-AU"/>
        </w:rPr>
      </w:pPr>
    </w:p>
    <w:p w:rsidR="00E1766B" w:rsidRDefault="00403EC9">
      <w:pPr>
        <w:pStyle w:val="ListParagraph"/>
        <w:numPr>
          <w:ilvl w:val="0"/>
          <w:numId w:val="18"/>
        </w:numPr>
        <w:spacing w:before="240"/>
        <w:rPr>
          <w:lang w:eastAsia="en-AU"/>
        </w:rPr>
      </w:pPr>
      <w:r>
        <w:rPr>
          <w:lang w:eastAsia="en-AU"/>
        </w:rPr>
        <w:t>C</w:t>
      </w:r>
      <w:r w:rsidR="0053488D" w:rsidRPr="0053488D">
        <w:rPr>
          <w:lang w:eastAsia="en-AU"/>
        </w:rPr>
        <w:t>alling activity</w:t>
      </w:r>
      <w:r w:rsidR="006711AB">
        <w:rPr>
          <w:lang w:eastAsia="en-AU"/>
        </w:rPr>
        <w:t>, which</w:t>
      </w:r>
      <w:r w:rsidR="0053488D" w:rsidRPr="0053488D">
        <w:rPr>
          <w:lang w:eastAsia="en-AU"/>
        </w:rPr>
        <w:t xml:space="preserve"> </w:t>
      </w:r>
      <w:r w:rsidR="00BE4AFF" w:rsidRPr="0053488D">
        <w:rPr>
          <w:lang w:eastAsia="en-AU"/>
        </w:rPr>
        <w:t>is a</w:t>
      </w:r>
      <w:r w:rsidR="0053488D" w:rsidRPr="0053488D">
        <w:rPr>
          <w:lang w:eastAsia="en-AU"/>
        </w:rPr>
        <w:t xml:space="preserve"> behavioural response </w:t>
      </w:r>
      <w:r w:rsidR="00BE4AFF">
        <w:rPr>
          <w:lang w:eastAsia="en-AU"/>
        </w:rPr>
        <w:t xml:space="preserve">and is a good </w:t>
      </w:r>
      <w:r w:rsidR="006711AB">
        <w:rPr>
          <w:lang w:eastAsia="en-AU"/>
        </w:rPr>
        <w:t xml:space="preserve">indicator </w:t>
      </w:r>
      <w:r w:rsidR="00BE4AFF">
        <w:rPr>
          <w:lang w:eastAsia="en-AU"/>
        </w:rPr>
        <w:t xml:space="preserve">of the </w:t>
      </w:r>
      <w:r w:rsidR="0053488D" w:rsidRPr="0053488D">
        <w:rPr>
          <w:lang w:eastAsia="en-AU"/>
        </w:rPr>
        <w:t>initiation of breeding by individuals present in the wetland</w:t>
      </w:r>
    </w:p>
    <w:p w:rsidR="00E1766B" w:rsidRDefault="00E1766B">
      <w:pPr>
        <w:pStyle w:val="ListParagraph"/>
        <w:spacing w:before="240"/>
        <w:rPr>
          <w:lang w:eastAsia="en-AU"/>
        </w:rPr>
      </w:pPr>
    </w:p>
    <w:p w:rsidR="00E1766B" w:rsidRDefault="00EC6F74">
      <w:pPr>
        <w:pStyle w:val="ListParagraph"/>
        <w:numPr>
          <w:ilvl w:val="0"/>
          <w:numId w:val="18"/>
        </w:numPr>
        <w:spacing w:before="240"/>
        <w:rPr>
          <w:lang w:eastAsia="en-AU"/>
        </w:rPr>
      </w:pPr>
      <w:r>
        <w:rPr>
          <w:lang w:eastAsia="en-AU"/>
        </w:rPr>
        <w:t>T</w:t>
      </w:r>
      <w:r w:rsidR="0053488D" w:rsidRPr="0053488D">
        <w:rPr>
          <w:lang w:eastAsia="en-AU"/>
        </w:rPr>
        <w:t>adpole abundance</w:t>
      </w:r>
      <w:r w:rsidR="00F058F5">
        <w:rPr>
          <w:lang w:eastAsia="en-AU"/>
        </w:rPr>
        <w:t>, which</w:t>
      </w:r>
      <w:r w:rsidR="0053488D" w:rsidRPr="0053488D">
        <w:rPr>
          <w:lang w:eastAsia="en-AU"/>
        </w:rPr>
        <w:t xml:space="preserve"> is an indicator of the success of breeding attempts within the wetland. </w:t>
      </w:r>
    </w:p>
    <w:p w:rsidR="006711AB" w:rsidRDefault="006711AB" w:rsidP="0053721A">
      <w:pPr>
        <w:rPr>
          <w:lang w:eastAsia="en-AU"/>
        </w:rPr>
      </w:pPr>
    </w:p>
    <w:p w:rsidR="006711AB" w:rsidRPr="003A345A" w:rsidRDefault="006711AB" w:rsidP="006711AB">
      <w:pPr>
        <w:rPr>
          <w:b/>
        </w:rPr>
      </w:pPr>
      <w:r w:rsidRPr="0053488D">
        <w:rPr>
          <w:lang w:eastAsia="en-AU"/>
        </w:rPr>
        <w:t xml:space="preserve">Frogs and tadpoles were surveyed on five occasions between August 2012 and April 2013, </w:t>
      </w:r>
      <w:r>
        <w:rPr>
          <w:lang w:eastAsia="en-AU"/>
        </w:rPr>
        <w:t xml:space="preserve">in wetlands </w:t>
      </w:r>
      <w:r w:rsidRPr="0053488D">
        <w:rPr>
          <w:lang w:eastAsia="en-AU"/>
        </w:rPr>
        <w:t>through the mid-Murrumbidgee, Lowbidgee and Western Lakes.</w:t>
      </w:r>
      <w:r>
        <w:rPr>
          <w:lang w:eastAsia="en-AU"/>
        </w:rPr>
        <w:t xml:space="preserve"> The three regions have vastly different flooding histories, habitat characteristics and were subject to different flow regimes in 2012-13. Only one region</w:t>
      </w:r>
      <w:r w:rsidR="00403EC9">
        <w:rPr>
          <w:lang w:eastAsia="en-AU"/>
        </w:rPr>
        <w:t>,</w:t>
      </w:r>
      <w:r>
        <w:rPr>
          <w:lang w:eastAsia="en-AU"/>
        </w:rPr>
        <w:t xml:space="preserve"> the Western lakes received Commonwealth environmental water in September 2012, while Lowbidgee received natural overbank flows in August 2012</w:t>
      </w:r>
      <w:r w:rsidR="00F058F5">
        <w:rPr>
          <w:lang w:eastAsia="en-AU"/>
        </w:rPr>
        <w:t>,</w:t>
      </w:r>
      <w:r>
        <w:rPr>
          <w:lang w:eastAsia="en-AU"/>
        </w:rPr>
        <w:t xml:space="preserve"> and the mid-Murrumbidgee wetlands did not receive any inflows and were drying out. As the three different wetland regions were subject to differing flow regimes we expected that the number of adults, calling activity and tadpole communities, would differ among the three regions and over the 2012-13 water year.  </w:t>
      </w:r>
    </w:p>
    <w:p w:rsidR="00110FD5" w:rsidRDefault="00110FD5" w:rsidP="00110FD5">
      <w:pPr>
        <w:rPr>
          <w:b/>
        </w:rPr>
      </w:pPr>
    </w:p>
    <w:p w:rsidR="00CE0257" w:rsidRDefault="00755491" w:rsidP="00C44F46">
      <w:pPr>
        <w:pStyle w:val="Heading2"/>
      </w:pPr>
      <w:r>
        <w:t xml:space="preserve"> </w:t>
      </w:r>
      <w:bookmarkStart w:id="433" w:name="_Toc370299246"/>
      <w:bookmarkStart w:id="434" w:name="_Toc370738857"/>
      <w:bookmarkStart w:id="435" w:name="_Toc378168588"/>
      <w:r w:rsidR="00CE0257">
        <w:t>Methods</w:t>
      </w:r>
      <w:bookmarkEnd w:id="433"/>
      <w:bookmarkEnd w:id="434"/>
      <w:bookmarkEnd w:id="435"/>
    </w:p>
    <w:p w:rsidR="006711AB" w:rsidRDefault="006711AB" w:rsidP="006711AB">
      <w:pPr>
        <w:rPr>
          <w:rFonts w:cs="Calibri"/>
          <w:sz w:val="18"/>
          <w:szCs w:val="18"/>
        </w:rPr>
      </w:pPr>
      <w:r>
        <w:t xml:space="preserve">The diversity and abundance of frog species occurring through the Murrumbidgee along with their calling activity </w:t>
      </w:r>
      <w:r w:rsidR="00F058F5">
        <w:t>were</w:t>
      </w:r>
      <w:r>
        <w:t xml:space="preserve"> estimated for a 20 minute period in each wetland during each survey period (August, October, December 2012, February and April 2013). In the mid-Murrumbidgee</w:t>
      </w:r>
      <w:r w:rsidR="00F058F5">
        <w:t>,</w:t>
      </w:r>
      <w:r>
        <w:t xml:space="preserve"> surveys of frog calling have been conducted since November 2010</w:t>
      </w:r>
      <w:r w:rsidR="00D166A8">
        <w:t xml:space="preserve"> </w:t>
      </w:r>
      <w:r w:rsidR="00D20FAE">
        <w:fldChar w:fldCharType="begin"/>
      </w:r>
      <w:r w:rsidR="006171E9">
        <w:instrText xml:space="preserve"> ADDIN EN.CITE &lt;EndNote&gt;&lt;Cite&gt;&lt;Author&gt;Wassens&lt;/Author&gt;&lt;Year&gt;2011&lt;/Year&gt;&lt;RecNum&gt;3094&lt;/RecNum&gt;&lt;DisplayText&gt;(Wassens and Amos 2011)&lt;/DisplayText&gt;&lt;record&gt;&lt;rec-number&gt;3094&lt;/rec-number&gt;&lt;foreign-keys&gt;&lt;key app="EN" db-id="vxxvsda2b05fxpeaw2dp552mtrd5trxdrf0s"&gt;3094&lt;/key&gt;&lt;/foreign-keys&gt;&lt;ref-type name="Book"&gt;6&lt;/ref-type&gt;&lt;contributors&gt;&lt;authors&gt;&lt;author&gt;Wassens, S&lt;/author&gt;&lt;author&gt;Amos, C&lt;/author&gt;&lt;/authors&gt;&lt;/contributors&gt;&lt;titles&gt;&lt;title&gt;Assessing the resilience of frog communities within River Red Gum forest: Report to New South Wales Office of Environment and Heritage&lt;/title&gt;&lt;/titles&gt;&lt;dates&gt;&lt;year&gt;2011&lt;/year&gt;&lt;/dates&gt;&lt;pub-location&gt;Albury&lt;/pub-location&gt;&lt;publisher&gt;Institute of Land, Water and Society&lt;/publisher&gt;&lt;urls&gt;&lt;/urls&gt;&lt;/record&gt;&lt;/Cite&gt;&lt;/EndNote&gt;</w:instrText>
      </w:r>
      <w:r w:rsidR="00D20FAE">
        <w:fldChar w:fldCharType="separate"/>
      </w:r>
      <w:r w:rsidR="006171E9">
        <w:rPr>
          <w:noProof/>
        </w:rPr>
        <w:t>(</w:t>
      </w:r>
      <w:hyperlink w:anchor="_ENREF_103" w:tooltip="Wassens, 2011 #3094" w:history="1">
        <w:r w:rsidR="006810E6">
          <w:rPr>
            <w:noProof/>
          </w:rPr>
          <w:t>Wassens and Amos 2011</w:t>
        </w:r>
      </w:hyperlink>
      <w:r w:rsidR="006171E9">
        <w:rPr>
          <w:noProof/>
        </w:rPr>
        <w:t>)</w:t>
      </w:r>
      <w:r w:rsidR="00D20FAE">
        <w:fldChar w:fldCharType="end"/>
      </w:r>
      <w:r>
        <w:t xml:space="preserve"> while surveys of the Lowbidgee have been conducted as part of this monitoring project since August 2012 with past su</w:t>
      </w:r>
      <w:r w:rsidR="00915DCF">
        <w:t xml:space="preserve">rveys occurring from 2008-2011 </w:t>
      </w:r>
      <w:r>
        <w:t xml:space="preserve">see </w:t>
      </w:r>
      <w:r w:rsidR="00D20FAE">
        <w:fldChar w:fldCharType="begin"/>
      </w:r>
      <w:r w:rsidR="006171E9">
        <w:instrText xml:space="preserve"> ADDIN EN.CITE &lt;EndNote&gt;&lt;Cite&gt;&lt;Author&gt;Spencer&lt;/Author&gt;&lt;Year&gt;2011&lt;/Year&gt;&lt;RecNum&gt;2983&lt;/RecNum&gt;&lt;DisplayText&gt;(Spencer, Thomas&lt;style face="italic"&gt; et al.&lt;/style&gt; 2011)&lt;/DisplayText&gt;&lt;record&gt;&lt;rec-number&gt;2983&lt;/rec-number&gt;&lt;foreign-keys&gt;&lt;key app="EN" db-id="vxxvsda2b05fxpeaw2dp552mtrd5trxdrf0s"&gt;2983&lt;/key&gt;&lt;/foreign-keys&gt;&lt;ref-type name="Book"&gt;6&lt;/ref-type&gt;&lt;contributors&gt;&lt;authors&gt;&lt;author&gt;Spencer, J&lt;/author&gt;&lt;author&gt;Thomas, R&lt;/author&gt;&lt;author&gt;Wassens, S&lt;/author&gt;&lt;author&gt;Lu, Y&lt;/author&gt;&lt;author&gt;Wen, L&lt;/author&gt;&lt;author&gt;Iles, J&lt;/author&gt;&lt;author&gt;Kobayashi, Y&lt;/author&gt;&lt;author&gt;Hunter, S&lt;/author&gt;&lt;author&gt;Ling, J&lt;/author&gt;&lt;author&gt;Saintilan, N&lt;/author&gt;&lt;/authors&gt;&lt;/contributors&gt;&lt;titles&gt;&lt;title&gt;Environmental flow monitoring in the Lowbidgee wetlands and Macquarie Marshes in 2009-10. Testing wetland resilience: monitoring the response of iconic wetlands to re-flooding following historic drought project.&lt;/title&gt;&lt;secondary-title&gt;Progress report for the NSW Catchment Action Program.&lt;/secondary-title&gt;&lt;/titles&gt;&lt;num-vols&gt;&lt;style face="normal" font="default" size="10"&gt; &lt;/style&gt;&lt;/num-vols&gt;&lt;dates&gt;&lt;year&gt;2011&lt;/year&gt;&lt;/dates&gt;&lt;pub-location&gt;&lt;style face="normal" font="default" size="10"&gt;Sydney&lt;/style&gt;&lt;/pub-location&gt;&lt;publisher&gt;NSW Department of Environment, Climate Change and Water&lt;/publisher&gt;&lt;urls&gt;&lt;/urls&gt;&lt;/record&gt;&lt;/Cite&gt;&lt;/EndNote&gt;</w:instrText>
      </w:r>
      <w:r w:rsidR="00D20FAE">
        <w:fldChar w:fldCharType="separate"/>
      </w:r>
      <w:r w:rsidR="006171E9">
        <w:rPr>
          <w:noProof/>
        </w:rPr>
        <w:t>(</w:t>
      </w:r>
      <w:hyperlink w:anchor="_ENREF_93" w:tooltip="Spencer, 2011 #2983" w:history="1">
        <w:r w:rsidR="006810E6">
          <w:rPr>
            <w:noProof/>
          </w:rPr>
          <w:t>Spencer, Thomas</w:t>
        </w:r>
        <w:r w:rsidR="006810E6" w:rsidRPr="006171E9">
          <w:rPr>
            <w:i/>
            <w:noProof/>
          </w:rPr>
          <w:t xml:space="preserve"> et al.</w:t>
        </w:r>
        <w:r w:rsidR="006810E6">
          <w:rPr>
            <w:noProof/>
          </w:rPr>
          <w:t xml:space="preserve"> 2011</w:t>
        </w:r>
      </w:hyperlink>
      <w:r w:rsidR="006171E9">
        <w:rPr>
          <w:noProof/>
        </w:rPr>
        <w:t>)</w:t>
      </w:r>
      <w:r w:rsidR="00D20FAE">
        <w:fldChar w:fldCharType="end"/>
      </w:r>
      <w:r>
        <w:t xml:space="preserve">.  The Western Lakes survey sites did not receive </w:t>
      </w:r>
      <w:proofErr w:type="gramStart"/>
      <w:r>
        <w:t>water</w:t>
      </w:r>
      <w:proofErr w:type="gramEnd"/>
      <w:r>
        <w:t xml:space="preserve"> until September 2012 and as a result these wetlands were only surveyed on four occasions in 2012-13 (October, December 2012, February and April 2013). </w:t>
      </w:r>
    </w:p>
    <w:p w:rsidR="006711AB" w:rsidRDefault="006711AB" w:rsidP="006711AB">
      <w:r>
        <w:t xml:space="preserve">As frogs are most active at night, we use a small spotlight to search for frogs </w:t>
      </w:r>
      <w:r w:rsidRPr="00E04100">
        <w:t>after dark</w:t>
      </w:r>
      <w:r>
        <w:t xml:space="preserve">. Two teams of surveyors walked slowly along the edge of the wetland searching for frogs in the water, along the water’s edge and </w:t>
      </w:r>
      <w:r w:rsidR="00403EC9">
        <w:t xml:space="preserve">also </w:t>
      </w:r>
      <w:r>
        <w:t xml:space="preserve">those foraging or moving in terrestrial habitats immediately next to the wetland </w:t>
      </w:r>
      <w:r w:rsidR="00D20FAE">
        <w:fldChar w:fldCharType="begin"/>
      </w:r>
      <w:r w:rsidR="006171E9">
        <w:instrText xml:space="preserve"> ADDIN EN.CITE &lt;EndNote&gt;&lt;Cite&gt;&lt;Author&gt;Wassens&lt;/Author&gt;&lt;Year&gt;2011&lt;/Year&gt;&lt;RecNum&gt;3188&lt;/RecNum&gt;&lt;DisplayText&gt;(Wassens, Watts&lt;style face="italic"&gt; et al.&lt;/style&gt; 2011, Wassens, Watts&lt;style face="italic"&gt; et al.&lt;/style&gt; 2012)&lt;/DisplayText&gt;&lt;record&gt;&lt;rec-number&gt;3188&lt;/rec-number&gt;&lt;foreign-keys&gt;&lt;key app="EN" db-id="vxxvsda2b05fxpeaw2dp552mtrd5trxdrf0s"&gt;3188&lt;/key&gt;&lt;/foreign-keys&gt;&lt;ref-type name="Electronic Book"&gt;44&lt;/ref-type&gt;&lt;contributors&gt;&lt;authors&gt;&lt;author&gt;Wassens, S.&lt;/author&gt;&lt;author&gt;Watts, R.&lt;/author&gt;&lt;author&gt;Howitt, J.&lt;/author&gt;&lt;author&gt;Spencer, J.&lt;/author&gt;&lt;author&gt;Zander, A.&lt;/author&gt;&lt;author&gt;Hall, A.&lt;/author&gt;&lt;/authors&gt;&lt;/contributors&gt;&lt;titles&gt;&lt;title&gt;Monitoring of ecosystem responses to the delivery of environmental water in the Murrumbidgee system. Report to DSEWPaC.&lt;/title&gt;&lt;/titles&gt;&lt;dates&gt;&lt;year&gt;2011&lt;/year&gt;&lt;/dates&gt;&lt;pub-location&gt;Albury&lt;/pub-location&gt;&lt;publisher&gt;Institute of land, Water and Society. Report 1. &lt;/publisher&gt;&lt;urls&gt;&lt;/urls&gt;&lt;/record&gt;&lt;/Cite&gt;&lt;Cite&gt;&lt;Author&gt;Wassens&lt;/Author&gt;&lt;Year&gt;2012&lt;/Year&gt;&lt;RecNum&gt;3272&lt;/RecNum&gt;&lt;record&gt;&lt;rec-number&gt;3272&lt;/rec-number&gt;&lt;foreign-keys&gt;&lt;key app="EN" db-id="vxxvsda2b05fxpeaw2dp552mtrd5trxdrf0s"&gt;3272&lt;/key&gt;&lt;/foreign-keys&gt;&lt;ref-type name="Book"&gt;6&lt;/ref-type&gt;&lt;contributors&gt;&lt;authors&gt;&lt;author&gt;Wassens, S.&lt;/author&gt;&lt;author&gt;Watts, R. 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system&lt;/title&gt;&lt;/titles&gt;&lt;dates&gt;&lt;year&gt;2012&lt;/year&gt;&lt;/dates&gt;&lt;pub-location&gt;Albury&lt;/pub-location&gt;&lt;publisher&gt;Institute for Land, Water and Society, Charles Sturt University&lt;/publisher&gt;&lt;urls&gt;&lt;related-urls&gt;&lt;url&gt;http://www.environment.gov.au/ewater/publications/pubs/ecosystem-response-monitoring-murrumbidgee-2.pdf&lt;/url&gt;&lt;/related-urls&gt;&lt;/urls&gt;&lt;/record&gt;&lt;/Cite&gt;&lt;/EndNote&gt;</w:instrText>
      </w:r>
      <w:r w:rsidR="00D20FAE">
        <w:fldChar w:fldCharType="separate"/>
      </w:r>
      <w:r w:rsidR="006171E9">
        <w:rPr>
          <w:noProof/>
        </w:rPr>
        <w:t>(</w:t>
      </w:r>
      <w:hyperlink w:anchor="_ENREF_105" w:tooltip="Wassens, 2011 #3188" w:history="1">
        <w:r w:rsidR="006810E6">
          <w:rPr>
            <w:noProof/>
          </w:rPr>
          <w:t>Wassens, Watts</w:t>
        </w:r>
        <w:r w:rsidR="006810E6" w:rsidRPr="006171E9">
          <w:rPr>
            <w:i/>
            <w:noProof/>
          </w:rPr>
          <w:t xml:space="preserve"> et al.</w:t>
        </w:r>
        <w:r w:rsidR="006810E6">
          <w:rPr>
            <w:noProof/>
          </w:rPr>
          <w:t xml:space="preserve"> 2011</w:t>
        </w:r>
      </w:hyperlink>
      <w:r w:rsidR="006171E9">
        <w:rPr>
          <w:noProof/>
        </w:rPr>
        <w:t xml:space="preserve">, </w:t>
      </w:r>
      <w:hyperlink w:anchor="_ENREF_106" w:tooltip="Wassens, 2012 #3272" w:history="1">
        <w:r w:rsidR="006810E6">
          <w:rPr>
            <w:noProof/>
          </w:rPr>
          <w:t>Wassens, Watts</w:t>
        </w:r>
        <w:r w:rsidR="006810E6" w:rsidRPr="006171E9">
          <w:rPr>
            <w:i/>
            <w:noProof/>
          </w:rPr>
          <w:t xml:space="preserve"> et al.</w:t>
        </w:r>
        <w:r w:rsidR="006810E6">
          <w:rPr>
            <w:noProof/>
          </w:rPr>
          <w:t xml:space="preserve"> 2012</w:t>
        </w:r>
      </w:hyperlink>
      <w:r w:rsidR="006171E9">
        <w:rPr>
          <w:noProof/>
        </w:rPr>
        <w:t>)</w:t>
      </w:r>
      <w:r w:rsidR="00D20FAE">
        <w:fldChar w:fldCharType="end"/>
      </w:r>
      <w:r w:rsidRPr="00E04100">
        <w:t xml:space="preserve">. </w:t>
      </w:r>
      <w:r>
        <w:t>Surveys were timed with each team surveying for 20 minutes (giving 40 minutes search time in total) and the number of frogs of each species that are observed or heard during this period are recorded.</w:t>
      </w:r>
    </w:p>
    <w:p w:rsidR="006711AB" w:rsidRPr="00CE0257" w:rsidRDefault="006711AB" w:rsidP="007C304B">
      <w:pPr>
        <w:pStyle w:val="Heading3"/>
      </w:pPr>
      <w:bookmarkStart w:id="436" w:name="_Toc370299247"/>
      <w:bookmarkStart w:id="437" w:name="_Toc370738858"/>
      <w:bookmarkStart w:id="438" w:name="_Toc378168589"/>
      <w:r w:rsidRPr="00CE0257">
        <w:t>Recruitment</w:t>
      </w:r>
      <w:bookmarkEnd w:id="436"/>
      <w:bookmarkEnd w:id="437"/>
      <w:bookmarkEnd w:id="438"/>
    </w:p>
    <w:p w:rsidR="006711AB" w:rsidRDefault="006711AB" w:rsidP="006711AB">
      <w:pPr>
        <w:tabs>
          <w:tab w:val="left" w:pos="9639"/>
        </w:tabs>
        <w:rPr>
          <w:rFonts w:cs="Calibri"/>
        </w:rPr>
      </w:pPr>
      <w:r>
        <w:rPr>
          <w:rFonts w:cs="Calibri"/>
        </w:rPr>
        <w:t>Tadpoles were monitored in 12 wetlands spread over the three wetland regions (mid-Murrumbidgee, Lowbidgee and Western Lakes) in association with wetland fish surveys (</w:t>
      </w:r>
      <w:r w:rsidR="007C304B">
        <w:rPr>
          <w:rFonts w:cs="Calibri"/>
        </w:rPr>
        <w:t xml:space="preserve">see section </w:t>
      </w:r>
      <w:r w:rsidR="00D20FAE">
        <w:rPr>
          <w:rFonts w:cs="Calibri"/>
          <w:highlight w:val="yellow"/>
        </w:rPr>
        <w:fldChar w:fldCharType="begin"/>
      </w:r>
      <w:r w:rsidR="007C304B">
        <w:rPr>
          <w:rFonts w:cs="Calibri"/>
        </w:rPr>
        <w:instrText xml:space="preserve"> REF _Ref370292039 \r </w:instrText>
      </w:r>
      <w:r w:rsidR="00D20FAE">
        <w:rPr>
          <w:rFonts w:cs="Calibri"/>
          <w:highlight w:val="yellow"/>
        </w:rPr>
        <w:fldChar w:fldCharType="separate"/>
      </w:r>
      <w:r w:rsidR="00436595">
        <w:rPr>
          <w:rFonts w:cs="Calibri"/>
        </w:rPr>
        <w:t>9</w:t>
      </w:r>
      <w:r w:rsidR="00D20FAE">
        <w:rPr>
          <w:rFonts w:cs="Calibri"/>
          <w:highlight w:val="yellow"/>
        </w:rPr>
        <w:fldChar w:fldCharType="end"/>
      </w:r>
      <w:r>
        <w:rPr>
          <w:rFonts w:cs="Calibri"/>
        </w:rPr>
        <w:t xml:space="preserve">). Four wetlands were surveyed in each of the survey regions: McKenna’s, Yarrada, Sunshower and Euroley lagoons (mid-Murrumbidgee) (see </w:t>
      </w:r>
      <w:fldSimple w:instr=" REF _Ref355356288  \* MERGEFORMAT ">
        <w:r w:rsidR="00436595" w:rsidRPr="00436595">
          <w:t xml:space="preserve">Figure </w:t>
        </w:r>
        <w:r w:rsidR="00436595" w:rsidRPr="00436595">
          <w:rPr>
            <w:noProof/>
          </w:rPr>
          <w:t>3</w:t>
        </w:r>
      </w:fldSimple>
      <w:r w:rsidR="007C304B" w:rsidRPr="00E75983">
        <w:t xml:space="preserve"> and </w:t>
      </w:r>
      <w:fldSimple w:instr=" REF _Ref355339062  \* MERGEFORMAT ">
        <w:r w:rsidR="00436595" w:rsidRPr="00436595">
          <w:t xml:space="preserve">Figure </w:t>
        </w:r>
        <w:r w:rsidR="00436595" w:rsidRPr="00436595">
          <w:rPr>
            <w:noProof/>
          </w:rPr>
          <w:t>4</w:t>
        </w:r>
      </w:fldSimple>
      <w:r w:rsidRPr="00E75983">
        <w:rPr>
          <w:rFonts w:cs="Calibri"/>
        </w:rPr>
        <w:t>), Piggery</w:t>
      </w:r>
      <w:r>
        <w:rPr>
          <w:rFonts w:cs="Calibri"/>
        </w:rPr>
        <w:t xml:space="preserve"> Lake, Two bridges Swamp, Mercedes Swamp and Waugorah Lagoon (Lowbidgee), and Paika Lake, Hobblers Lake, Cherax Swamp and Penarie Creek (Western Lakes)</w:t>
      </w:r>
      <w:r w:rsidR="007C304B">
        <w:rPr>
          <w:rFonts w:cs="Calibri"/>
        </w:rPr>
        <w:t>.</w:t>
      </w:r>
    </w:p>
    <w:p w:rsidR="006711AB" w:rsidRDefault="006711AB" w:rsidP="006711AB">
      <w:pPr>
        <w:tabs>
          <w:tab w:val="left" w:pos="9639"/>
        </w:tabs>
      </w:pPr>
      <w:r>
        <w:rPr>
          <w:rFonts w:cs="Calibri"/>
        </w:rPr>
        <w:t>The wetlands were selected for monitoring on the basis of the representativeness (how similar they are) to other wetlands in each region, the likelihood of them receiving environmental flows or if they are suitable control sites (not likely to receive environmental water). As fish and tadpole abundances can change over time</w:t>
      </w:r>
      <w:r w:rsidR="0010512A">
        <w:rPr>
          <w:rFonts w:cs="Calibri"/>
        </w:rPr>
        <w:t>,</w:t>
      </w:r>
      <w:r>
        <w:rPr>
          <w:rFonts w:cs="Calibri"/>
        </w:rPr>
        <w:t xml:space="preserve"> surveys were conducted every two months, from August through to April</w:t>
      </w:r>
      <w:r>
        <w:t xml:space="preserve">. </w:t>
      </w:r>
    </w:p>
    <w:p w:rsidR="006711AB" w:rsidRDefault="006711AB" w:rsidP="006711AB">
      <w:pPr>
        <w:tabs>
          <w:tab w:val="left" w:pos="9639"/>
        </w:tabs>
      </w:pPr>
      <w:r>
        <w:t>Four different methods were used to capture tadpoles</w:t>
      </w:r>
      <w:r w:rsidRPr="003A544D">
        <w:t xml:space="preserve"> </w:t>
      </w:r>
      <w:r>
        <w:t>and fish: s</w:t>
      </w:r>
      <w:r w:rsidRPr="00E04100">
        <w:t>weep netting</w:t>
      </w:r>
      <w:r>
        <w:t>, bait traps, and fyke netting (large and small). Sweep netting</w:t>
      </w:r>
      <w:r w:rsidRPr="00E04100">
        <w:t xml:space="preserve"> </w:t>
      </w:r>
      <w:r>
        <w:t xml:space="preserve">involves using a large D-bottom net which is swept rapidly around the edge of the wetland in fringing vegetation and </w:t>
      </w:r>
      <w:r w:rsidRPr="00E04100">
        <w:t>can give a general indication of the presence of tadpoles</w:t>
      </w:r>
      <w:r>
        <w:t>. B</w:t>
      </w:r>
      <w:r w:rsidRPr="00E04100">
        <w:t>ait traps and fyke nets</w:t>
      </w:r>
      <w:r>
        <w:t>,</w:t>
      </w:r>
      <w:r w:rsidRPr="00E04100">
        <w:t xml:space="preserve"> which ha</w:t>
      </w:r>
      <w:r>
        <w:t>ve</w:t>
      </w:r>
      <w:r w:rsidRPr="00E04100">
        <w:t xml:space="preserve"> been shown to have a high probability of detection for tadpoles </w:t>
      </w:r>
      <w:r w:rsidR="00D20FAE">
        <w:fldChar w:fldCharType="begin"/>
      </w:r>
      <w:r w:rsidR="006171E9">
        <w:instrText xml:space="preserve"> ADDIN EN.CITE &lt;EndNote&gt;&lt;Cite&gt;&lt;Author&gt;Wassens&lt;/Author&gt;&lt;Year&gt;2011&lt;/Year&gt;&lt;RecNum&gt;3188&lt;/RecNum&gt;&lt;DisplayText&gt;(Wassens, Watts&lt;style face="italic"&gt; et al.&lt;/style&gt; 2011)&lt;/DisplayText&gt;&lt;record&gt;&lt;rec-number&gt;3188&lt;/rec-number&gt;&lt;foreign-keys&gt;&lt;key app="EN" db-id="vxxvsda2b05fxpeaw2dp552mtrd5trxdrf0s"&gt;3188&lt;/key&gt;&lt;/foreign-keys&gt;&lt;ref-type name="Electronic Book"&gt;44&lt;/ref-type&gt;&lt;contributors&gt;&lt;authors&gt;&lt;author&gt;Wassens, S.&lt;/author&gt;&lt;author&gt;Watts, R.&lt;/author&gt;&lt;author&gt;Howitt, J.&lt;/author&gt;&lt;author&gt;Spencer, J.&lt;/author&gt;&lt;author&gt;Zander, A.&lt;/author&gt;&lt;author&gt;Hall, A.&lt;/author&gt;&lt;/authors&gt;&lt;/contributors&gt;&lt;titles&gt;&lt;title&gt;Monitoring of ecosystem responses to the delivery of environmental water in the Murrumbidgee system. Report to DSEWPaC.&lt;/title&gt;&lt;/titles&gt;&lt;dates&gt;&lt;year&gt;2011&lt;/year&gt;&lt;/dates&gt;&lt;pub-location&gt;Albury&lt;/pub-location&gt;&lt;publisher&gt;Institute of land, Water and Society. Report 1. &lt;/publisher&gt;&lt;urls&gt;&lt;/urls&gt;&lt;/record&gt;&lt;/Cite&gt;&lt;/EndNote&gt;</w:instrText>
      </w:r>
      <w:r w:rsidR="00D20FAE">
        <w:fldChar w:fldCharType="separate"/>
      </w:r>
      <w:r w:rsidR="006171E9">
        <w:rPr>
          <w:noProof/>
        </w:rPr>
        <w:t>(</w:t>
      </w:r>
      <w:hyperlink w:anchor="_ENREF_105" w:tooltip="Wassens, 2011 #3188" w:history="1">
        <w:r w:rsidR="006810E6">
          <w:rPr>
            <w:noProof/>
          </w:rPr>
          <w:t>Wassens, Watts</w:t>
        </w:r>
        <w:r w:rsidR="006810E6" w:rsidRPr="006171E9">
          <w:rPr>
            <w:i/>
            <w:noProof/>
          </w:rPr>
          <w:t xml:space="preserve"> et al.</w:t>
        </w:r>
        <w:r w:rsidR="006810E6">
          <w:rPr>
            <w:noProof/>
          </w:rPr>
          <w:t xml:space="preserve"> 2011</w:t>
        </w:r>
      </w:hyperlink>
      <w:r w:rsidR="006171E9">
        <w:rPr>
          <w:noProof/>
        </w:rPr>
        <w:t>)</w:t>
      </w:r>
      <w:r w:rsidR="00D20FAE">
        <w:fldChar w:fldCharType="end"/>
      </w:r>
      <w:r>
        <w:t xml:space="preserve"> were also used</w:t>
      </w:r>
      <w:r w:rsidRPr="00BB37EB">
        <w:t xml:space="preserve">. Five bait traps (dimensions 25 x 10 cm, </w:t>
      </w:r>
      <w:r>
        <w:t>2</w:t>
      </w:r>
      <w:r w:rsidRPr="00BB37EB">
        <w:t xml:space="preserve"> mm mesh) </w:t>
      </w:r>
      <w:r>
        <w:t>were</w:t>
      </w:r>
      <w:r w:rsidRPr="00BB37EB">
        <w:t xml:space="preserve"> set overnight at each</w:t>
      </w:r>
      <w:r w:rsidRPr="00E04100">
        <w:t xml:space="preserve"> site. Four small (2 x 2 m wings, 2 mm mesh) larval fyke nets </w:t>
      </w:r>
      <w:r>
        <w:t>were</w:t>
      </w:r>
      <w:r w:rsidRPr="00E04100">
        <w:t xml:space="preserve"> left overnight (for about 12 hours) at each site. </w:t>
      </w:r>
      <w:r>
        <w:t>Large fyke nets (10</w:t>
      </w:r>
      <w:r w:rsidRPr="00E04100">
        <w:t xml:space="preserve"> x </w:t>
      </w:r>
      <w:r>
        <w:t>5</w:t>
      </w:r>
      <w:r w:rsidRPr="00E04100">
        <w:t xml:space="preserve"> m wings, </w:t>
      </w:r>
      <w:r>
        <w:t>5</w:t>
      </w:r>
      <w:r w:rsidRPr="00E04100">
        <w:t xml:space="preserve"> mm mesh)</w:t>
      </w:r>
      <w:r>
        <w:t xml:space="preserve"> were also set overnight where wetlands were of a suitable depth (&gt;80 cm) to target large-bodied fish. </w:t>
      </w:r>
    </w:p>
    <w:p w:rsidR="006711AB" w:rsidRPr="00AE54A5" w:rsidRDefault="006711AB" w:rsidP="006711AB">
      <w:pPr>
        <w:tabs>
          <w:tab w:val="left" w:pos="9639"/>
        </w:tabs>
      </w:pPr>
      <w:r w:rsidRPr="00E04100">
        <w:t xml:space="preserve">Tadpoles </w:t>
      </w:r>
      <w:r w:rsidR="00403EC9">
        <w:t>were</w:t>
      </w:r>
      <w:r w:rsidR="00403EC9" w:rsidRPr="00E04100">
        <w:t xml:space="preserve"> </w:t>
      </w:r>
      <w:r w:rsidRPr="00E04100">
        <w:t>identified to species</w:t>
      </w:r>
      <w:r>
        <w:t>, or in the case of spotted marsh frog (</w:t>
      </w:r>
      <w:r w:rsidRPr="00A129C7">
        <w:rPr>
          <w:i/>
        </w:rPr>
        <w:t>Limnodynastes tasmaniensis</w:t>
      </w:r>
      <w:r>
        <w:t>) and barking marsh frog (</w:t>
      </w:r>
      <w:r w:rsidRPr="00A129C7">
        <w:rPr>
          <w:i/>
        </w:rPr>
        <w:t>L. fletcheri</w:t>
      </w:r>
      <w:r>
        <w:t>) tadpoles which are indistinguishable, grouped into a complex (</w:t>
      </w:r>
      <w:r w:rsidRPr="00EB5617">
        <w:rPr>
          <w:i/>
        </w:rPr>
        <w:t xml:space="preserve">Limnodynastes </w:t>
      </w:r>
      <w:r w:rsidRPr="00793E05">
        <w:t>sp).</w:t>
      </w:r>
      <w:r>
        <w:rPr>
          <w:i/>
        </w:rPr>
        <w:t xml:space="preserve"> </w:t>
      </w:r>
      <w:r>
        <w:t>The</w:t>
      </w:r>
      <w:r w:rsidRPr="00E04100">
        <w:t xml:space="preserve"> development stage</w:t>
      </w:r>
      <w:r>
        <w:t xml:space="preserve"> of tadpoles was estimated for a subset of 50 individuals per net. </w:t>
      </w:r>
    </w:p>
    <w:p w:rsidR="006711AB" w:rsidRDefault="006711AB" w:rsidP="006711AB">
      <w:r>
        <w:t>At the same survey sites, recruitment of juvenile frogs was estimated by recording the body length</w:t>
      </w:r>
      <w:r w:rsidRPr="00E04100">
        <w:t xml:space="preserve"> (</w:t>
      </w:r>
      <w:r>
        <w:t xml:space="preserve">referred to as </w:t>
      </w:r>
      <w:r w:rsidRPr="00E04100">
        <w:t>snout-to-vent length</w:t>
      </w:r>
      <w:r>
        <w:t xml:space="preserve">) of a subset of 20 </w:t>
      </w:r>
      <w:r>
        <w:rPr>
          <w:i/>
        </w:rPr>
        <w:t>spotted marsh frog</w:t>
      </w:r>
      <w:r w:rsidRPr="00E04100">
        <w:t xml:space="preserve"> and </w:t>
      </w:r>
      <w:r>
        <w:rPr>
          <w:i/>
        </w:rPr>
        <w:t>barking marsh frog</w:t>
      </w:r>
      <w:r>
        <w:t xml:space="preserve">s </w:t>
      </w:r>
      <w:r w:rsidRPr="00E04100">
        <w:t xml:space="preserve">to give an indication of </w:t>
      </w:r>
      <w:r>
        <w:t xml:space="preserve">the age structure of the population, with the presence of very small frogs indicating successful metamorphosis. These measurements were only taken on the two most common frog species as they are present at all wetlands in the monitoring project (allowing for comparisons among wetlands) and these species are abundant enough to ensure that we can collect enough individuals to allow for statistical analysis of differences among sites. </w:t>
      </w:r>
    </w:p>
    <w:p w:rsidR="00A50116" w:rsidRDefault="00A50116" w:rsidP="0032121F"/>
    <w:p w:rsidR="00A50116" w:rsidRPr="00A812F6" w:rsidRDefault="004A5EE6" w:rsidP="00C44F46">
      <w:pPr>
        <w:pStyle w:val="Heading2"/>
      </w:pPr>
      <w:r>
        <w:t xml:space="preserve"> </w:t>
      </w:r>
      <w:bookmarkStart w:id="439" w:name="_Toc370299248"/>
      <w:bookmarkStart w:id="440" w:name="_Toc370738859"/>
      <w:bookmarkStart w:id="441" w:name="_Toc378168590"/>
      <w:r w:rsidR="00A50116" w:rsidRPr="00A812F6">
        <w:t>Results</w:t>
      </w:r>
      <w:bookmarkEnd w:id="439"/>
      <w:bookmarkEnd w:id="440"/>
      <w:bookmarkEnd w:id="441"/>
    </w:p>
    <w:p w:rsidR="00A50116" w:rsidRDefault="00A50116" w:rsidP="0032121F">
      <w:r>
        <w:t>Overall</w:t>
      </w:r>
      <w:r w:rsidR="0010512A">
        <w:t>,</w:t>
      </w:r>
      <w:r>
        <w:t xml:space="preserve"> 7264 individuals of six</w:t>
      </w:r>
      <w:r w:rsidR="00D166A8">
        <w:t xml:space="preserve"> frog</w:t>
      </w:r>
      <w:r>
        <w:t xml:space="preserve"> species, the plains froglet</w:t>
      </w:r>
      <w:r w:rsidR="00D166A8">
        <w:t xml:space="preserve"> (</w:t>
      </w:r>
      <w:r w:rsidR="00D166A8" w:rsidRPr="00D166A8">
        <w:rPr>
          <w:i/>
        </w:rPr>
        <w:t>Crinia parinsignifera</w:t>
      </w:r>
      <w:r w:rsidR="00D166A8">
        <w:t>)</w:t>
      </w:r>
      <w:r>
        <w:t>, barking marsh frog</w:t>
      </w:r>
      <w:r w:rsidR="00D166A8">
        <w:t xml:space="preserve"> (</w:t>
      </w:r>
      <w:r w:rsidR="00D166A8" w:rsidRPr="00D166A8">
        <w:rPr>
          <w:i/>
        </w:rPr>
        <w:t>Limnodynastes fletcheri</w:t>
      </w:r>
      <w:r w:rsidR="00D166A8">
        <w:t>)</w:t>
      </w:r>
      <w:r>
        <w:t>, spotted mar</w:t>
      </w:r>
      <w:r w:rsidR="004938B9">
        <w:t>sh</w:t>
      </w:r>
      <w:r>
        <w:t xml:space="preserve"> frog</w:t>
      </w:r>
      <w:r w:rsidR="003352E9">
        <w:t xml:space="preserve"> (</w:t>
      </w:r>
      <w:r w:rsidR="003352E9" w:rsidRPr="00D166A8">
        <w:rPr>
          <w:i/>
        </w:rPr>
        <w:t>Limnodynastes</w:t>
      </w:r>
      <w:r w:rsidR="003352E9" w:rsidRPr="003352E9">
        <w:rPr>
          <w:i/>
        </w:rPr>
        <w:t xml:space="preserve"> tasmaniensis</w:t>
      </w:r>
      <w:r w:rsidR="003352E9">
        <w:t>)</w:t>
      </w:r>
      <w:r w:rsidR="004938B9">
        <w:t>,</w:t>
      </w:r>
      <w:r>
        <w:t xml:space="preserve"> inland banjo frog</w:t>
      </w:r>
      <w:r w:rsidR="003352E9">
        <w:t xml:space="preserve"> (</w:t>
      </w:r>
      <w:r w:rsidR="003352E9" w:rsidRPr="00D166A8">
        <w:rPr>
          <w:i/>
        </w:rPr>
        <w:t>Limnodynastes</w:t>
      </w:r>
      <w:r w:rsidR="003352E9" w:rsidRPr="003352E9">
        <w:rPr>
          <w:i/>
        </w:rPr>
        <w:t xml:space="preserve"> interioris</w:t>
      </w:r>
      <w:r w:rsidR="003352E9">
        <w:t>)</w:t>
      </w:r>
      <w:r>
        <w:t>, Peron’s tree frog</w:t>
      </w:r>
      <w:r w:rsidR="003352E9">
        <w:t xml:space="preserve"> (</w:t>
      </w:r>
      <w:r w:rsidR="003352E9" w:rsidRPr="003352E9">
        <w:rPr>
          <w:i/>
        </w:rPr>
        <w:t>Litoria peronii</w:t>
      </w:r>
      <w:r w:rsidR="003352E9">
        <w:t>) and</w:t>
      </w:r>
      <w:r>
        <w:t xml:space="preserve"> southern bell f</w:t>
      </w:r>
      <w:r w:rsidR="003352E9">
        <w:t>rog (</w:t>
      </w:r>
      <w:r w:rsidR="003352E9" w:rsidRPr="003352E9">
        <w:rPr>
          <w:i/>
        </w:rPr>
        <w:t>Litoria</w:t>
      </w:r>
      <w:r w:rsidR="003352E9">
        <w:t xml:space="preserve"> </w:t>
      </w:r>
      <w:r w:rsidR="003352E9" w:rsidRPr="003352E9">
        <w:rPr>
          <w:i/>
        </w:rPr>
        <w:t>raniformis</w:t>
      </w:r>
      <w:r w:rsidR="003352E9">
        <w:t xml:space="preserve">) </w:t>
      </w:r>
      <w:r>
        <w:t xml:space="preserve">were recorded between </w:t>
      </w:r>
      <w:r w:rsidR="004938B9">
        <w:t>A</w:t>
      </w:r>
      <w:r>
        <w:t>ugust 2012 and April 2013 (</w:t>
      </w:r>
      <w:fldSimple w:instr=" REF _Ref369182772 \h  \* MERGEFORMAT ">
        <w:r w:rsidR="00436595" w:rsidRPr="00436595">
          <w:t xml:space="preserve">Plate </w:t>
        </w:r>
        <w:r w:rsidR="00436595" w:rsidRPr="00436595">
          <w:rPr>
            <w:noProof/>
          </w:rPr>
          <w:t>16</w:t>
        </w:r>
      </w:fldSimple>
      <w:r w:rsidRPr="000D5988">
        <w:t xml:space="preserve">). </w:t>
      </w:r>
      <w:r w:rsidR="00B57E86" w:rsidRPr="000D5988">
        <w:t>Four</w:t>
      </w:r>
      <w:r w:rsidR="00B57E86">
        <w:t xml:space="preserve"> of the six species occurred in all three regions (the mid-Murrumbidgee, Lowbidgee and Western </w:t>
      </w:r>
      <w:r w:rsidR="000D5988">
        <w:t>L</w:t>
      </w:r>
      <w:r w:rsidR="00B57E86">
        <w:t>akes</w:t>
      </w:r>
      <w:r w:rsidR="004938B9">
        <w:t>)</w:t>
      </w:r>
      <w:r w:rsidR="00B57E86">
        <w:t xml:space="preserve"> while the inland banjo frog was </w:t>
      </w:r>
      <w:r w:rsidR="00E215B6">
        <w:t xml:space="preserve">only </w:t>
      </w:r>
      <w:r w:rsidR="00B57E86">
        <w:t xml:space="preserve">recorded in mid-Murrumbidgee and Lowbidgee and the southern bell frog was </w:t>
      </w:r>
      <w:r w:rsidR="000D5988">
        <w:t xml:space="preserve">only </w:t>
      </w:r>
      <w:r w:rsidR="00B57E86">
        <w:t>recorded</w:t>
      </w:r>
      <w:r w:rsidR="004938B9">
        <w:t xml:space="preserve"> at one wetland </w:t>
      </w:r>
      <w:r w:rsidR="00392EB4">
        <w:t>(Piggery</w:t>
      </w:r>
      <w:r w:rsidR="000D5988">
        <w:t xml:space="preserve"> L</w:t>
      </w:r>
      <w:r w:rsidR="004938B9">
        <w:t xml:space="preserve">ake) </w:t>
      </w:r>
      <w:r w:rsidR="00B57E86">
        <w:t>in the Lowbidgee</w:t>
      </w:r>
      <w:r w:rsidR="00EF4502">
        <w:t xml:space="preserve"> (</w:t>
      </w:r>
      <w:r w:rsidR="00D20FAE">
        <w:fldChar w:fldCharType="begin"/>
      </w:r>
      <w:r w:rsidR="00EF4502">
        <w:instrText xml:space="preserve"> REF _Ref368324017 \h </w:instrText>
      </w:r>
      <w:r w:rsidR="00D20FAE">
        <w:fldChar w:fldCharType="separate"/>
      </w:r>
      <w:r w:rsidR="00436595">
        <w:t xml:space="preserve">Figure </w:t>
      </w:r>
      <w:r w:rsidR="00436595">
        <w:rPr>
          <w:noProof/>
        </w:rPr>
        <w:t>41</w:t>
      </w:r>
      <w:r w:rsidR="00D20FAE">
        <w:fldChar w:fldCharType="end"/>
      </w:r>
      <w:r w:rsidR="00EF4502">
        <w:t>)</w:t>
      </w:r>
      <w:r w:rsidR="00B57E86">
        <w:t xml:space="preserve">.  </w:t>
      </w:r>
    </w:p>
    <w:p w:rsidR="001C23DD" w:rsidRDefault="001C23DD" w:rsidP="001C23DD">
      <w:pPr>
        <w:autoSpaceDE w:val="0"/>
        <w:autoSpaceDN w:val="0"/>
        <w:adjustRightInd w:val="0"/>
        <w:spacing w:after="0" w:line="240" w:lineRule="auto"/>
        <w:jc w:val="left"/>
        <w:rPr>
          <w:rFonts w:ascii="Times New Roman" w:hAnsi="Times New Roman"/>
          <w:sz w:val="24"/>
          <w:szCs w:val="24"/>
          <w:lang w:eastAsia="en-AU"/>
        </w:rPr>
      </w:pPr>
    </w:p>
    <w:p w:rsidR="00ED6223" w:rsidRDefault="0087202F" w:rsidP="00ED6223">
      <w:pPr>
        <w:autoSpaceDE w:val="0"/>
        <w:autoSpaceDN w:val="0"/>
        <w:adjustRightInd w:val="0"/>
        <w:spacing w:after="0" w:line="240" w:lineRule="auto"/>
        <w:jc w:val="left"/>
        <w:rPr>
          <w:rFonts w:ascii="Times New Roman" w:hAnsi="Times New Roman"/>
          <w:sz w:val="24"/>
          <w:szCs w:val="24"/>
          <w:lang w:eastAsia="en-AU"/>
        </w:rPr>
      </w:pPr>
      <w:r>
        <w:rPr>
          <w:rFonts w:ascii="Times New Roman" w:hAnsi="Times New Roman"/>
          <w:noProof/>
          <w:sz w:val="24"/>
          <w:szCs w:val="24"/>
          <w:lang w:eastAsia="en-AU"/>
        </w:rPr>
        <w:drawing>
          <wp:inline distT="0" distB="0" distL="0" distR="0">
            <wp:extent cx="5724144" cy="4581144"/>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52" cstate="print"/>
                    <a:srcRect/>
                    <a:stretch>
                      <a:fillRect/>
                    </a:stretch>
                  </pic:blipFill>
                  <pic:spPr bwMode="auto">
                    <a:xfrm>
                      <a:off x="0" y="0"/>
                      <a:ext cx="5724144" cy="4581144"/>
                    </a:xfrm>
                    <a:prstGeom prst="rect">
                      <a:avLst/>
                    </a:prstGeom>
                    <a:noFill/>
                    <a:ln w="9525">
                      <a:noFill/>
                      <a:miter lim="800000"/>
                      <a:headEnd/>
                      <a:tailEnd/>
                    </a:ln>
                  </pic:spPr>
                </pic:pic>
              </a:graphicData>
            </a:graphic>
          </wp:inline>
        </w:drawing>
      </w:r>
    </w:p>
    <w:p w:rsidR="00ED6223" w:rsidRPr="00EF4502" w:rsidRDefault="00EF4502" w:rsidP="00EF4502">
      <w:pPr>
        <w:pStyle w:val="Caption"/>
        <w:rPr>
          <w:rFonts w:ascii="Times New Roman" w:hAnsi="Times New Roman"/>
          <w:sz w:val="24"/>
          <w:szCs w:val="24"/>
          <w:lang w:eastAsia="en-AU"/>
        </w:rPr>
      </w:pPr>
      <w:bookmarkStart w:id="442" w:name="_Ref368324017"/>
      <w:r>
        <w:t xml:space="preserve">Figure </w:t>
      </w:r>
      <w:r w:rsidR="00D20FAE">
        <w:fldChar w:fldCharType="begin"/>
      </w:r>
      <w:r>
        <w:instrText xml:space="preserve"> SEQ Figure \* ARABIC </w:instrText>
      </w:r>
      <w:r w:rsidR="00D20FAE">
        <w:fldChar w:fldCharType="separate"/>
      </w:r>
      <w:r w:rsidR="00436595">
        <w:rPr>
          <w:noProof/>
        </w:rPr>
        <w:t>41</w:t>
      </w:r>
      <w:r w:rsidR="00D20FAE">
        <w:fldChar w:fldCharType="end"/>
      </w:r>
      <w:bookmarkEnd w:id="442"/>
      <w:r>
        <w:t xml:space="preserve"> </w:t>
      </w:r>
      <w:r w:rsidR="00A25961">
        <w:t xml:space="preserve"> </w:t>
      </w:r>
      <w:r w:rsidR="00DB1E54">
        <w:rPr>
          <w:b w:val="0"/>
        </w:rPr>
        <w:t>C</w:t>
      </w:r>
      <w:r w:rsidR="00DB1E54" w:rsidRPr="00A25961">
        <w:rPr>
          <w:b w:val="0"/>
        </w:rPr>
        <w:t xml:space="preserve">omposition </w:t>
      </w:r>
      <w:r w:rsidR="00DB1E54">
        <w:rPr>
          <w:b w:val="0"/>
        </w:rPr>
        <w:t>of</w:t>
      </w:r>
      <w:r w:rsidR="00A25961">
        <w:rPr>
          <w:b w:val="0"/>
        </w:rPr>
        <w:t xml:space="preserve"> frog communities</w:t>
      </w:r>
      <w:r w:rsidR="00A25961" w:rsidRPr="00A25961">
        <w:rPr>
          <w:b w:val="0"/>
        </w:rPr>
        <w:t xml:space="preserve"> within the three survey regions</w:t>
      </w:r>
      <w:r w:rsidR="00A25961">
        <w:t xml:space="preserve"> </w:t>
      </w:r>
    </w:p>
    <w:p w:rsidR="00AF4C97" w:rsidRDefault="00AF4C97">
      <w:pPr>
        <w:spacing w:after="0" w:line="240" w:lineRule="auto"/>
        <w:jc w:val="left"/>
        <w:rPr>
          <w:rFonts w:ascii="Times New Roman" w:hAnsi="Times New Roman"/>
          <w:sz w:val="24"/>
          <w:szCs w:val="24"/>
          <w:lang w:eastAsia="en-AU"/>
        </w:rPr>
      </w:pPr>
    </w:p>
    <w:p w:rsidR="00830026" w:rsidRDefault="00830026" w:rsidP="00830026">
      <w:pPr>
        <w:autoSpaceDE w:val="0"/>
        <w:autoSpaceDN w:val="0"/>
        <w:adjustRightInd w:val="0"/>
        <w:spacing w:after="0" w:line="400" w:lineRule="atLeast"/>
        <w:jc w:val="left"/>
        <w:rPr>
          <w:rFonts w:ascii="Times New Roman" w:hAnsi="Times New Roman"/>
          <w:sz w:val="24"/>
          <w:szCs w:val="24"/>
          <w:lang w:eastAsia="en-AU"/>
        </w:rPr>
      </w:pPr>
    </w:p>
    <w:tbl>
      <w:tblPr>
        <w:tblW w:w="0" w:type="auto"/>
        <w:tblLayout w:type="fixed"/>
        <w:tblLook w:val="04A0"/>
      </w:tblPr>
      <w:tblGrid>
        <w:gridCol w:w="4621"/>
        <w:gridCol w:w="4621"/>
      </w:tblGrid>
      <w:tr w:rsidR="0032121F" w:rsidRPr="00CE69E4" w:rsidTr="00AB11D3">
        <w:tc>
          <w:tcPr>
            <w:tcW w:w="4621" w:type="dxa"/>
          </w:tcPr>
          <w:p w:rsidR="0032121F" w:rsidRPr="00CE69E4" w:rsidRDefault="0032121F" w:rsidP="0010512A">
            <w:pPr>
              <w:keepNext/>
              <w:rPr>
                <w:rFonts w:ascii="Arial" w:hAnsi="Arial" w:cs="Arial"/>
                <w:sz w:val="20"/>
                <w:szCs w:val="20"/>
                <w:lang w:eastAsia="en-AU"/>
              </w:rPr>
            </w:pPr>
            <w:r>
              <w:br w:type="page"/>
            </w:r>
            <w:r w:rsidR="0087202F">
              <w:rPr>
                <w:rFonts w:ascii="Arial" w:hAnsi="Arial" w:cs="Arial"/>
                <w:noProof/>
                <w:sz w:val="20"/>
                <w:szCs w:val="20"/>
                <w:lang w:eastAsia="en-AU"/>
              </w:rPr>
              <w:drawing>
                <wp:inline distT="0" distB="0" distL="0" distR="0">
                  <wp:extent cx="2962910" cy="2162810"/>
                  <wp:effectExtent l="19050" t="0" r="8890" b="0"/>
                  <wp:docPr id="78" name="Picture 78" descr="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68"/>
                          <pic:cNvPicPr>
                            <a:picLocks noChangeAspect="1" noChangeArrowheads="1"/>
                          </pic:cNvPicPr>
                        </pic:nvPicPr>
                        <pic:blipFill>
                          <a:blip r:embed="rId153" cstate="print"/>
                          <a:srcRect/>
                          <a:stretch>
                            <a:fillRect/>
                          </a:stretch>
                        </pic:blipFill>
                        <pic:spPr bwMode="auto">
                          <a:xfrm>
                            <a:off x="0" y="0"/>
                            <a:ext cx="2962910" cy="2162810"/>
                          </a:xfrm>
                          <a:prstGeom prst="rect">
                            <a:avLst/>
                          </a:prstGeom>
                          <a:noFill/>
                          <a:ln w="9525">
                            <a:noFill/>
                            <a:miter lim="800000"/>
                            <a:headEnd/>
                            <a:tailEnd/>
                          </a:ln>
                        </pic:spPr>
                      </pic:pic>
                    </a:graphicData>
                  </a:graphic>
                </wp:inline>
              </w:drawing>
            </w:r>
          </w:p>
        </w:tc>
        <w:tc>
          <w:tcPr>
            <w:tcW w:w="4621" w:type="dxa"/>
          </w:tcPr>
          <w:p w:rsidR="0032121F" w:rsidRPr="00CE69E4" w:rsidRDefault="0087202F" w:rsidP="0010512A">
            <w:pPr>
              <w:keepNext/>
              <w:rPr>
                <w:rFonts w:ascii="Arial" w:hAnsi="Arial" w:cs="Arial"/>
                <w:sz w:val="20"/>
                <w:szCs w:val="20"/>
                <w:lang w:eastAsia="en-AU"/>
              </w:rPr>
            </w:pPr>
            <w:r>
              <w:rPr>
                <w:rFonts w:ascii="Arial" w:hAnsi="Arial" w:cs="Arial"/>
                <w:noProof/>
                <w:sz w:val="20"/>
                <w:szCs w:val="20"/>
                <w:lang w:eastAsia="en-AU"/>
              </w:rPr>
              <w:drawing>
                <wp:inline distT="0" distB="0" distL="0" distR="0">
                  <wp:extent cx="2778125" cy="2162810"/>
                  <wp:effectExtent l="19050" t="0" r="3175" b="0"/>
                  <wp:docPr id="79" name="Picture 79" descr="spotted marsh fr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potted marsh frog"/>
                          <pic:cNvPicPr>
                            <a:picLocks noChangeAspect="1" noChangeArrowheads="1"/>
                          </pic:cNvPicPr>
                        </pic:nvPicPr>
                        <pic:blipFill>
                          <a:blip r:embed="rId154" cstate="print"/>
                          <a:srcRect/>
                          <a:stretch>
                            <a:fillRect/>
                          </a:stretch>
                        </pic:blipFill>
                        <pic:spPr bwMode="auto">
                          <a:xfrm>
                            <a:off x="0" y="0"/>
                            <a:ext cx="2778125" cy="2162810"/>
                          </a:xfrm>
                          <a:prstGeom prst="rect">
                            <a:avLst/>
                          </a:prstGeom>
                          <a:noFill/>
                          <a:ln w="9525">
                            <a:noFill/>
                            <a:miter lim="800000"/>
                            <a:headEnd/>
                            <a:tailEnd/>
                          </a:ln>
                        </pic:spPr>
                      </pic:pic>
                    </a:graphicData>
                  </a:graphic>
                </wp:inline>
              </w:drawing>
            </w:r>
          </w:p>
        </w:tc>
      </w:tr>
      <w:tr w:rsidR="0032121F" w:rsidRPr="00CE69E4" w:rsidTr="00AB11D3">
        <w:tc>
          <w:tcPr>
            <w:tcW w:w="4621" w:type="dxa"/>
          </w:tcPr>
          <w:p w:rsidR="007B18BF" w:rsidRPr="00CE69E4" w:rsidRDefault="0032121F" w:rsidP="0010512A">
            <w:pPr>
              <w:keepNext/>
              <w:spacing w:after="0" w:line="240" w:lineRule="auto"/>
              <w:rPr>
                <w:rFonts w:ascii="Arial" w:hAnsi="Arial" w:cs="Arial"/>
                <w:sz w:val="20"/>
                <w:szCs w:val="20"/>
                <w:lang w:eastAsia="en-AU"/>
              </w:rPr>
            </w:pPr>
            <w:r>
              <w:rPr>
                <w:rFonts w:ascii="Arial" w:hAnsi="Arial" w:cs="Arial"/>
                <w:sz w:val="20"/>
                <w:szCs w:val="20"/>
                <w:lang w:eastAsia="en-AU"/>
              </w:rPr>
              <w:t>barking marsh frog (</w:t>
            </w:r>
            <w:r w:rsidRPr="0000293E">
              <w:rPr>
                <w:rFonts w:ascii="Arial" w:hAnsi="Arial" w:cs="Arial"/>
                <w:i/>
                <w:sz w:val="20"/>
                <w:szCs w:val="20"/>
                <w:lang w:eastAsia="en-AU"/>
              </w:rPr>
              <w:t>Limnodynastes fletcheri</w:t>
            </w:r>
            <w:r>
              <w:rPr>
                <w:rFonts w:ascii="Arial" w:hAnsi="Arial" w:cs="Arial"/>
                <w:sz w:val="20"/>
                <w:szCs w:val="20"/>
                <w:lang w:eastAsia="en-AU"/>
              </w:rPr>
              <w:t>)</w:t>
            </w:r>
            <w:r w:rsidR="007B18BF">
              <w:rPr>
                <w:rFonts w:ascii="Arial" w:hAnsi="Arial" w:cs="Arial"/>
                <w:sz w:val="20"/>
                <w:szCs w:val="20"/>
                <w:lang w:eastAsia="en-AU"/>
              </w:rPr>
              <w:t xml:space="preserve"> Widespread and common</w:t>
            </w:r>
          </w:p>
        </w:tc>
        <w:tc>
          <w:tcPr>
            <w:tcW w:w="4621" w:type="dxa"/>
          </w:tcPr>
          <w:p w:rsidR="0032121F" w:rsidRPr="00CE69E4" w:rsidRDefault="00F33AFD" w:rsidP="0010512A">
            <w:pPr>
              <w:keepNext/>
              <w:spacing w:after="0" w:line="240" w:lineRule="auto"/>
              <w:rPr>
                <w:rFonts w:ascii="Arial" w:hAnsi="Arial" w:cs="Arial"/>
                <w:sz w:val="20"/>
                <w:szCs w:val="20"/>
                <w:lang w:eastAsia="en-AU"/>
              </w:rPr>
            </w:pPr>
            <w:r>
              <w:rPr>
                <w:rFonts w:ascii="Arial" w:hAnsi="Arial" w:cs="Arial"/>
                <w:sz w:val="20"/>
                <w:szCs w:val="20"/>
                <w:lang w:eastAsia="en-AU"/>
              </w:rPr>
              <w:t>spotted marsh frog (</w:t>
            </w:r>
            <w:r w:rsidRPr="00965A01">
              <w:rPr>
                <w:rFonts w:ascii="Arial" w:hAnsi="Arial" w:cs="Arial"/>
                <w:i/>
                <w:sz w:val="20"/>
                <w:szCs w:val="20"/>
                <w:lang w:eastAsia="en-AU"/>
              </w:rPr>
              <w:t>Limnodynastes tasmaniensis</w:t>
            </w:r>
            <w:r>
              <w:rPr>
                <w:rFonts w:ascii="Arial" w:hAnsi="Arial" w:cs="Arial"/>
                <w:sz w:val="20"/>
                <w:szCs w:val="20"/>
                <w:lang w:eastAsia="en-AU"/>
              </w:rPr>
              <w:t>) Widespread and common</w:t>
            </w:r>
          </w:p>
        </w:tc>
      </w:tr>
      <w:tr w:rsidR="00F33AFD" w:rsidRPr="00CE69E4" w:rsidTr="00AB11D3">
        <w:tc>
          <w:tcPr>
            <w:tcW w:w="4621" w:type="dxa"/>
          </w:tcPr>
          <w:p w:rsidR="00F33AFD" w:rsidRPr="00CE69E4" w:rsidRDefault="0087202F" w:rsidP="0010512A">
            <w:pPr>
              <w:keepNext/>
              <w:spacing w:after="0" w:line="240" w:lineRule="auto"/>
              <w:rPr>
                <w:rFonts w:ascii="Arial" w:hAnsi="Arial" w:cs="Arial"/>
                <w:sz w:val="20"/>
                <w:szCs w:val="20"/>
                <w:lang w:eastAsia="en-AU"/>
              </w:rPr>
            </w:pPr>
            <w:r>
              <w:rPr>
                <w:rFonts w:ascii="Arial" w:hAnsi="Arial" w:cs="Arial"/>
                <w:noProof/>
                <w:sz w:val="20"/>
                <w:szCs w:val="20"/>
                <w:lang w:eastAsia="en-AU"/>
              </w:rPr>
              <w:drawing>
                <wp:inline distT="0" distB="0" distL="0" distR="0">
                  <wp:extent cx="2875280" cy="2162810"/>
                  <wp:effectExtent l="19050" t="0" r="1270" b="0"/>
                  <wp:docPr id="80" name="Picture 80" descr="Juvenile banjo frog_mollies )c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Juvenile banjo frog_mollies )ct 11"/>
                          <pic:cNvPicPr>
                            <a:picLocks noChangeAspect="1" noChangeArrowheads="1"/>
                          </pic:cNvPicPr>
                        </pic:nvPicPr>
                        <pic:blipFill>
                          <a:blip r:embed="rId155" cstate="print"/>
                          <a:srcRect/>
                          <a:stretch>
                            <a:fillRect/>
                          </a:stretch>
                        </pic:blipFill>
                        <pic:spPr bwMode="auto">
                          <a:xfrm>
                            <a:off x="0" y="0"/>
                            <a:ext cx="2875280" cy="2162810"/>
                          </a:xfrm>
                          <a:prstGeom prst="rect">
                            <a:avLst/>
                          </a:prstGeom>
                          <a:noFill/>
                          <a:ln w="9525">
                            <a:noFill/>
                            <a:miter lim="800000"/>
                            <a:headEnd/>
                            <a:tailEnd/>
                          </a:ln>
                        </pic:spPr>
                      </pic:pic>
                    </a:graphicData>
                  </a:graphic>
                </wp:inline>
              </w:drawing>
            </w:r>
          </w:p>
        </w:tc>
        <w:tc>
          <w:tcPr>
            <w:tcW w:w="4621" w:type="dxa"/>
          </w:tcPr>
          <w:p w:rsidR="00F33AFD" w:rsidRPr="00CE69E4" w:rsidRDefault="0087202F" w:rsidP="0010512A">
            <w:pPr>
              <w:keepNext/>
              <w:rPr>
                <w:rFonts w:ascii="Arial" w:hAnsi="Arial" w:cs="Arial"/>
                <w:sz w:val="20"/>
                <w:szCs w:val="20"/>
                <w:lang w:eastAsia="en-AU"/>
              </w:rPr>
            </w:pPr>
            <w:r>
              <w:rPr>
                <w:rFonts w:ascii="Arial" w:hAnsi="Arial" w:cs="Arial"/>
                <w:noProof/>
                <w:sz w:val="20"/>
                <w:szCs w:val="20"/>
                <w:lang w:eastAsia="en-AU"/>
              </w:rPr>
              <w:drawing>
                <wp:inline distT="0" distB="0" distL="0" distR="0">
                  <wp:extent cx="2962910" cy="2162810"/>
                  <wp:effectExtent l="19050" t="0" r="8890" b="0"/>
                  <wp:docPr id="81" name="Picture 81" descr="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71"/>
                          <pic:cNvPicPr>
                            <a:picLocks noChangeAspect="1" noChangeArrowheads="1"/>
                          </pic:cNvPicPr>
                        </pic:nvPicPr>
                        <pic:blipFill>
                          <a:blip r:embed="rId156" cstate="print"/>
                          <a:srcRect/>
                          <a:stretch>
                            <a:fillRect/>
                          </a:stretch>
                        </pic:blipFill>
                        <pic:spPr bwMode="auto">
                          <a:xfrm>
                            <a:off x="0" y="0"/>
                            <a:ext cx="2962910" cy="2162810"/>
                          </a:xfrm>
                          <a:prstGeom prst="rect">
                            <a:avLst/>
                          </a:prstGeom>
                          <a:noFill/>
                          <a:ln w="9525">
                            <a:noFill/>
                            <a:miter lim="800000"/>
                            <a:headEnd/>
                            <a:tailEnd/>
                          </a:ln>
                        </pic:spPr>
                      </pic:pic>
                    </a:graphicData>
                  </a:graphic>
                </wp:inline>
              </w:drawing>
            </w:r>
          </w:p>
        </w:tc>
      </w:tr>
      <w:tr w:rsidR="00F33AFD" w:rsidRPr="00CE69E4" w:rsidTr="00AB11D3">
        <w:tc>
          <w:tcPr>
            <w:tcW w:w="4621" w:type="dxa"/>
          </w:tcPr>
          <w:p w:rsidR="00F33AFD" w:rsidRPr="00CE69E4" w:rsidRDefault="00F33AFD" w:rsidP="0010512A">
            <w:pPr>
              <w:keepNext/>
              <w:spacing w:after="0" w:line="240" w:lineRule="auto"/>
              <w:rPr>
                <w:rFonts w:ascii="Arial" w:hAnsi="Arial" w:cs="Arial"/>
                <w:sz w:val="20"/>
                <w:szCs w:val="20"/>
                <w:lang w:eastAsia="en-AU"/>
              </w:rPr>
            </w:pPr>
            <w:r>
              <w:rPr>
                <w:rFonts w:ascii="Arial" w:hAnsi="Arial" w:cs="Arial"/>
                <w:sz w:val="20"/>
                <w:szCs w:val="20"/>
                <w:lang w:eastAsia="en-AU"/>
              </w:rPr>
              <w:t>inland banjo frog (</w:t>
            </w:r>
            <w:r w:rsidRPr="00EB4604">
              <w:rPr>
                <w:rFonts w:ascii="Arial" w:hAnsi="Arial" w:cs="Arial"/>
                <w:i/>
                <w:sz w:val="20"/>
                <w:szCs w:val="20"/>
                <w:lang w:eastAsia="en-AU"/>
              </w:rPr>
              <w:t>Limnodynastes interioris</w:t>
            </w:r>
            <w:r>
              <w:rPr>
                <w:rFonts w:ascii="Arial" w:hAnsi="Arial" w:cs="Arial"/>
                <w:sz w:val="20"/>
                <w:szCs w:val="20"/>
                <w:lang w:eastAsia="en-AU"/>
              </w:rPr>
              <w:t xml:space="preserve">) </w:t>
            </w:r>
            <w:r w:rsidR="00294A57">
              <w:rPr>
                <w:rFonts w:ascii="Arial" w:hAnsi="Arial" w:cs="Arial"/>
                <w:sz w:val="20"/>
                <w:szCs w:val="20"/>
                <w:lang w:eastAsia="en-AU"/>
              </w:rPr>
              <w:t xml:space="preserve">Restricted range, </w:t>
            </w:r>
            <w:r>
              <w:rPr>
                <w:rFonts w:ascii="Arial" w:hAnsi="Arial" w:cs="Arial"/>
                <w:sz w:val="20"/>
                <w:szCs w:val="20"/>
                <w:lang w:eastAsia="en-AU"/>
              </w:rPr>
              <w:t>locally common</w:t>
            </w:r>
          </w:p>
        </w:tc>
        <w:tc>
          <w:tcPr>
            <w:tcW w:w="4621" w:type="dxa"/>
          </w:tcPr>
          <w:p w:rsidR="00F33AFD" w:rsidRPr="00CE69E4" w:rsidRDefault="00F33AFD" w:rsidP="0010512A">
            <w:pPr>
              <w:keepNext/>
              <w:spacing w:after="0" w:line="240" w:lineRule="auto"/>
              <w:rPr>
                <w:rFonts w:ascii="Arial" w:hAnsi="Arial" w:cs="Arial"/>
                <w:sz w:val="20"/>
                <w:szCs w:val="20"/>
                <w:lang w:eastAsia="en-AU"/>
              </w:rPr>
            </w:pPr>
            <w:r>
              <w:rPr>
                <w:rFonts w:ascii="Arial" w:hAnsi="Arial" w:cs="Arial"/>
                <w:sz w:val="20"/>
                <w:szCs w:val="20"/>
                <w:lang w:eastAsia="en-AU"/>
              </w:rPr>
              <w:t>plains froglet (</w:t>
            </w:r>
            <w:r w:rsidRPr="0000293E">
              <w:rPr>
                <w:rFonts w:ascii="Arial" w:hAnsi="Arial" w:cs="Arial"/>
                <w:i/>
                <w:sz w:val="20"/>
                <w:szCs w:val="20"/>
                <w:lang w:eastAsia="en-AU"/>
              </w:rPr>
              <w:t>Crinia parinsignifera</w:t>
            </w:r>
            <w:r>
              <w:rPr>
                <w:rFonts w:ascii="Arial" w:hAnsi="Arial" w:cs="Arial"/>
                <w:sz w:val="20"/>
                <w:szCs w:val="20"/>
                <w:lang w:eastAsia="en-AU"/>
              </w:rPr>
              <w:t>) Widespread and common</w:t>
            </w:r>
          </w:p>
        </w:tc>
      </w:tr>
      <w:tr w:rsidR="00F33AFD" w:rsidRPr="00CE69E4" w:rsidTr="00AB11D3">
        <w:tc>
          <w:tcPr>
            <w:tcW w:w="4621" w:type="dxa"/>
          </w:tcPr>
          <w:p w:rsidR="00F33AFD" w:rsidRDefault="0087202F" w:rsidP="0010512A">
            <w:pPr>
              <w:keepNext/>
              <w:spacing w:after="0" w:line="240" w:lineRule="auto"/>
              <w:rPr>
                <w:rFonts w:ascii="Arial" w:hAnsi="Arial" w:cs="Arial"/>
                <w:sz w:val="20"/>
                <w:szCs w:val="20"/>
                <w:lang w:eastAsia="en-AU"/>
              </w:rPr>
            </w:pPr>
            <w:r>
              <w:rPr>
                <w:rFonts w:ascii="Arial" w:hAnsi="Arial" w:cs="Arial"/>
                <w:noProof/>
                <w:sz w:val="20"/>
                <w:szCs w:val="20"/>
                <w:lang w:eastAsia="en-AU"/>
              </w:rPr>
              <w:drawing>
                <wp:inline distT="0" distB="0" distL="0" distR="0">
                  <wp:extent cx="3051175" cy="2162810"/>
                  <wp:effectExtent l="19050" t="0" r="0" b="0"/>
                  <wp:docPr id="82" name="Picture 82" descr="IMG_4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IMG_4898"/>
                          <pic:cNvPicPr>
                            <a:picLocks noChangeAspect="1" noChangeArrowheads="1"/>
                          </pic:cNvPicPr>
                        </pic:nvPicPr>
                        <pic:blipFill>
                          <a:blip r:embed="rId157" cstate="print"/>
                          <a:srcRect/>
                          <a:stretch>
                            <a:fillRect/>
                          </a:stretch>
                        </pic:blipFill>
                        <pic:spPr bwMode="auto">
                          <a:xfrm>
                            <a:off x="0" y="0"/>
                            <a:ext cx="3051175" cy="2162810"/>
                          </a:xfrm>
                          <a:prstGeom prst="rect">
                            <a:avLst/>
                          </a:prstGeom>
                          <a:noFill/>
                          <a:ln w="9525">
                            <a:noFill/>
                            <a:miter lim="800000"/>
                            <a:headEnd/>
                            <a:tailEnd/>
                          </a:ln>
                        </pic:spPr>
                      </pic:pic>
                    </a:graphicData>
                  </a:graphic>
                </wp:inline>
              </w:drawing>
            </w:r>
          </w:p>
        </w:tc>
        <w:tc>
          <w:tcPr>
            <w:tcW w:w="4621" w:type="dxa"/>
          </w:tcPr>
          <w:p w:rsidR="00F33AFD" w:rsidRPr="00CE69E4" w:rsidRDefault="0087202F" w:rsidP="0010512A">
            <w:pPr>
              <w:keepNext/>
              <w:spacing w:after="0" w:line="240" w:lineRule="auto"/>
              <w:rPr>
                <w:rFonts w:ascii="Arial" w:hAnsi="Arial" w:cs="Arial"/>
                <w:sz w:val="20"/>
                <w:szCs w:val="20"/>
                <w:lang w:eastAsia="en-AU"/>
              </w:rPr>
            </w:pPr>
            <w:r>
              <w:rPr>
                <w:rFonts w:ascii="Arial" w:hAnsi="Arial" w:cs="Arial"/>
                <w:noProof/>
                <w:sz w:val="20"/>
                <w:szCs w:val="20"/>
                <w:lang w:eastAsia="en-AU"/>
              </w:rPr>
              <w:drawing>
                <wp:inline distT="0" distB="0" distL="0" distR="0">
                  <wp:extent cx="3059430" cy="1943100"/>
                  <wp:effectExtent l="19050" t="0" r="7620" b="0"/>
                  <wp:docPr id="83" name="Picture 83" descr="perons tree fro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perons tree frog 3"/>
                          <pic:cNvPicPr>
                            <a:picLocks noChangeAspect="1" noChangeArrowheads="1"/>
                          </pic:cNvPicPr>
                        </pic:nvPicPr>
                        <pic:blipFill>
                          <a:blip r:embed="rId158" cstate="print"/>
                          <a:srcRect/>
                          <a:stretch>
                            <a:fillRect/>
                          </a:stretch>
                        </pic:blipFill>
                        <pic:spPr bwMode="auto">
                          <a:xfrm>
                            <a:off x="0" y="0"/>
                            <a:ext cx="3059430" cy="1943100"/>
                          </a:xfrm>
                          <a:prstGeom prst="rect">
                            <a:avLst/>
                          </a:prstGeom>
                          <a:noFill/>
                          <a:ln w="9525">
                            <a:noFill/>
                            <a:miter lim="800000"/>
                            <a:headEnd/>
                            <a:tailEnd/>
                          </a:ln>
                        </pic:spPr>
                      </pic:pic>
                    </a:graphicData>
                  </a:graphic>
                </wp:inline>
              </w:drawing>
            </w:r>
          </w:p>
        </w:tc>
      </w:tr>
      <w:tr w:rsidR="00F33AFD" w:rsidRPr="00CE69E4" w:rsidTr="00AB11D3">
        <w:tc>
          <w:tcPr>
            <w:tcW w:w="4621" w:type="dxa"/>
          </w:tcPr>
          <w:p w:rsidR="00F33AFD" w:rsidRDefault="00F33AFD" w:rsidP="0010512A">
            <w:pPr>
              <w:keepNext/>
              <w:spacing w:after="0" w:line="240" w:lineRule="auto"/>
              <w:rPr>
                <w:rFonts w:ascii="Arial" w:hAnsi="Arial" w:cs="Arial"/>
                <w:sz w:val="20"/>
                <w:szCs w:val="20"/>
                <w:lang w:eastAsia="en-AU"/>
              </w:rPr>
            </w:pPr>
            <w:r>
              <w:rPr>
                <w:rFonts w:ascii="Arial" w:hAnsi="Arial" w:cs="Arial"/>
                <w:sz w:val="20"/>
                <w:szCs w:val="20"/>
                <w:lang w:eastAsia="en-AU"/>
              </w:rPr>
              <w:t>southern bell frog (</w:t>
            </w:r>
            <w:r w:rsidRPr="00EB4604">
              <w:rPr>
                <w:rFonts w:ascii="Arial" w:hAnsi="Arial" w:cs="Arial"/>
                <w:i/>
                <w:sz w:val="20"/>
                <w:szCs w:val="20"/>
                <w:lang w:eastAsia="en-AU"/>
              </w:rPr>
              <w:t>Litoria raniformis</w:t>
            </w:r>
            <w:r>
              <w:rPr>
                <w:rFonts w:ascii="Arial" w:hAnsi="Arial" w:cs="Arial"/>
                <w:sz w:val="20"/>
                <w:szCs w:val="20"/>
                <w:lang w:eastAsia="en-AU"/>
              </w:rPr>
              <w:t>) Rare Vulnerable (EPBC Act 1999)</w:t>
            </w:r>
          </w:p>
        </w:tc>
        <w:tc>
          <w:tcPr>
            <w:tcW w:w="4621" w:type="dxa"/>
          </w:tcPr>
          <w:p w:rsidR="00F33AFD" w:rsidRPr="00CE69E4" w:rsidRDefault="00F33AFD" w:rsidP="0010512A">
            <w:pPr>
              <w:keepNext/>
              <w:spacing w:after="0" w:line="240" w:lineRule="auto"/>
              <w:rPr>
                <w:rFonts w:ascii="Arial" w:hAnsi="Arial" w:cs="Arial"/>
                <w:sz w:val="20"/>
                <w:szCs w:val="20"/>
                <w:lang w:eastAsia="en-AU"/>
              </w:rPr>
            </w:pPr>
            <w:r>
              <w:rPr>
                <w:rFonts w:ascii="Arial" w:hAnsi="Arial" w:cs="Arial"/>
                <w:sz w:val="20"/>
                <w:szCs w:val="20"/>
                <w:lang w:eastAsia="en-AU"/>
              </w:rPr>
              <w:t>Perons tree frog (</w:t>
            </w:r>
            <w:r w:rsidRPr="00A451B8">
              <w:rPr>
                <w:rFonts w:ascii="Arial" w:hAnsi="Arial" w:cs="Arial"/>
                <w:i/>
                <w:sz w:val="20"/>
                <w:szCs w:val="20"/>
                <w:lang w:eastAsia="en-AU"/>
              </w:rPr>
              <w:t>Litoria peronii</w:t>
            </w:r>
            <w:r>
              <w:rPr>
                <w:rFonts w:ascii="Arial" w:hAnsi="Arial" w:cs="Arial"/>
                <w:sz w:val="20"/>
                <w:szCs w:val="20"/>
                <w:lang w:eastAsia="en-AU"/>
              </w:rPr>
              <w:t>) Widespread and common</w:t>
            </w:r>
          </w:p>
        </w:tc>
      </w:tr>
    </w:tbl>
    <w:p w:rsidR="00AB11D3" w:rsidRDefault="00AB11D3" w:rsidP="0010512A">
      <w:pPr>
        <w:pStyle w:val="Subtitle"/>
        <w:keepNext/>
        <w:rPr>
          <w:b/>
        </w:rPr>
      </w:pPr>
      <w:bookmarkStart w:id="443" w:name="_Ref349739982"/>
    </w:p>
    <w:p w:rsidR="0032121F" w:rsidRDefault="0032121F" w:rsidP="0010512A">
      <w:pPr>
        <w:pStyle w:val="Subtitle"/>
        <w:keepNext/>
        <w:rPr>
          <w:lang w:eastAsia="en-AU"/>
        </w:rPr>
      </w:pPr>
      <w:bookmarkStart w:id="444" w:name="_Ref369182772"/>
      <w:bookmarkStart w:id="445" w:name="_Toc370738860"/>
      <w:r w:rsidRPr="00E01B5B">
        <w:rPr>
          <w:b/>
        </w:rPr>
        <w:t xml:space="preserve">Plate </w:t>
      </w:r>
      <w:r w:rsidR="00D20FAE" w:rsidRPr="00E01B5B">
        <w:rPr>
          <w:b/>
        </w:rPr>
        <w:fldChar w:fldCharType="begin"/>
      </w:r>
      <w:r w:rsidRPr="00E01B5B">
        <w:rPr>
          <w:b/>
        </w:rPr>
        <w:instrText xml:space="preserve"> SEQ Plate \* ARABIC </w:instrText>
      </w:r>
      <w:r w:rsidR="00D20FAE" w:rsidRPr="00E01B5B">
        <w:rPr>
          <w:b/>
        </w:rPr>
        <w:fldChar w:fldCharType="separate"/>
      </w:r>
      <w:r w:rsidR="00436595">
        <w:rPr>
          <w:b/>
          <w:noProof/>
        </w:rPr>
        <w:t>16</w:t>
      </w:r>
      <w:r w:rsidR="00D20FAE" w:rsidRPr="00E01B5B">
        <w:rPr>
          <w:b/>
        </w:rPr>
        <w:fldChar w:fldCharType="end"/>
      </w:r>
      <w:bookmarkEnd w:id="443"/>
      <w:bookmarkEnd w:id="444"/>
      <w:r>
        <w:t xml:space="preserve"> </w:t>
      </w:r>
      <w:r>
        <w:rPr>
          <w:lang w:eastAsia="en-AU"/>
        </w:rPr>
        <w:t xml:space="preserve">Important frog species recorded during the 2013-13 monitoring </w:t>
      </w:r>
      <w:r w:rsidR="00F33AFD">
        <w:rPr>
          <w:lang w:eastAsia="en-AU"/>
        </w:rPr>
        <w:t xml:space="preserve">in the </w:t>
      </w:r>
      <w:r>
        <w:rPr>
          <w:lang w:eastAsia="en-AU"/>
        </w:rPr>
        <w:t>mid and lower Murrumbidgee wetlands</w:t>
      </w:r>
      <w:bookmarkEnd w:id="445"/>
    </w:p>
    <w:p w:rsidR="004A5EE6" w:rsidRDefault="004A5EE6" w:rsidP="00392EB4">
      <w:pPr>
        <w:rPr>
          <w:b/>
          <w:lang w:eastAsia="en-AU"/>
        </w:rPr>
      </w:pPr>
    </w:p>
    <w:p w:rsidR="00FC1E04" w:rsidRPr="00FC1E04" w:rsidRDefault="00FC1E04" w:rsidP="006810E6">
      <w:pPr>
        <w:pStyle w:val="Heading3"/>
        <w:rPr>
          <w:lang w:eastAsia="en-AU"/>
        </w:rPr>
      </w:pPr>
      <w:bookmarkStart w:id="446" w:name="_Toc378168591"/>
      <w:r w:rsidRPr="00FC1E04">
        <w:rPr>
          <w:lang w:eastAsia="en-AU"/>
        </w:rPr>
        <w:t>Calling and breeding activity</w:t>
      </w:r>
      <w:bookmarkEnd w:id="446"/>
      <w:r w:rsidRPr="00FC1E04">
        <w:rPr>
          <w:lang w:eastAsia="en-AU"/>
        </w:rPr>
        <w:t xml:space="preserve"> </w:t>
      </w:r>
    </w:p>
    <w:p w:rsidR="00C50098" w:rsidRDefault="000D5988" w:rsidP="000D5988">
      <w:pPr>
        <w:rPr>
          <w:lang w:eastAsia="en-AU"/>
        </w:rPr>
      </w:pPr>
      <w:r>
        <w:rPr>
          <w:lang w:eastAsia="en-AU"/>
        </w:rPr>
        <w:t>As three regions were subject to differing flow regimes</w:t>
      </w:r>
      <w:r w:rsidR="0010512A">
        <w:rPr>
          <w:lang w:eastAsia="en-AU"/>
        </w:rPr>
        <w:t>,</w:t>
      </w:r>
      <w:r>
        <w:rPr>
          <w:lang w:eastAsia="en-AU"/>
        </w:rPr>
        <w:t xml:space="preserve"> with the Lowbidgee receiving overbank flows in August 2012, the Western Lakes receiving Commonwealth environmental water in September 2012 and the mid-Murrumbidgee wetlands receiving no inflows through the 2012-13 water year, we expected that breeding responses</w:t>
      </w:r>
      <w:r w:rsidR="003647C8">
        <w:rPr>
          <w:lang w:eastAsia="en-AU"/>
        </w:rPr>
        <w:t xml:space="preserve"> measured by the number of</w:t>
      </w:r>
      <w:r>
        <w:rPr>
          <w:lang w:eastAsia="en-AU"/>
        </w:rPr>
        <w:t xml:space="preserve"> calling individuals and tadpoles, would differ among the three regions (mid-Murrumbidgee, Lowbidgee and Western Lakes) and over time (August 2012 to April 2013).  </w:t>
      </w:r>
      <w:r w:rsidR="00D1346D">
        <w:rPr>
          <w:lang w:eastAsia="en-AU"/>
        </w:rPr>
        <w:t xml:space="preserve">Overall, </w:t>
      </w:r>
      <w:r w:rsidR="003647C8">
        <w:rPr>
          <w:lang w:eastAsia="en-AU"/>
        </w:rPr>
        <w:t>the number of ind</w:t>
      </w:r>
      <w:r w:rsidR="0010512A">
        <w:rPr>
          <w:lang w:eastAsia="en-AU"/>
        </w:rPr>
        <w:t>ividuals of each species changed</w:t>
      </w:r>
      <w:r w:rsidR="003647C8">
        <w:rPr>
          <w:lang w:eastAsia="en-AU"/>
        </w:rPr>
        <w:t xml:space="preserve"> between August and April</w:t>
      </w:r>
      <w:r w:rsidR="0010512A">
        <w:rPr>
          <w:lang w:eastAsia="en-AU"/>
        </w:rPr>
        <w:t>,</w:t>
      </w:r>
      <w:r w:rsidR="00DF21C4">
        <w:rPr>
          <w:lang w:eastAsia="en-AU"/>
        </w:rPr>
        <w:t xml:space="preserve"> and there </w:t>
      </w:r>
      <w:r w:rsidR="0010512A">
        <w:rPr>
          <w:lang w:eastAsia="en-AU"/>
        </w:rPr>
        <w:t xml:space="preserve">were </w:t>
      </w:r>
      <w:r w:rsidR="00DF21C4">
        <w:rPr>
          <w:lang w:eastAsia="en-AU"/>
        </w:rPr>
        <w:t>differences in the number of adults, calling individuals and tadpoles in each region</w:t>
      </w:r>
      <w:r w:rsidR="002D1072">
        <w:rPr>
          <w:lang w:eastAsia="en-AU"/>
        </w:rPr>
        <w:t xml:space="preserve"> </w:t>
      </w:r>
      <w:r w:rsidR="00DF21C4">
        <w:rPr>
          <w:lang w:eastAsia="en-AU"/>
        </w:rPr>
        <w:t>(</w:t>
      </w:r>
      <w:r w:rsidR="00D20FAE">
        <w:rPr>
          <w:lang w:eastAsia="en-AU"/>
        </w:rPr>
        <w:fldChar w:fldCharType="begin"/>
      </w:r>
      <w:r w:rsidR="005C0280">
        <w:rPr>
          <w:lang w:eastAsia="en-AU"/>
        </w:rPr>
        <w:instrText xml:space="preserve"> REF _Ref369532576 \h </w:instrText>
      </w:r>
      <w:r w:rsidR="00D20FAE">
        <w:rPr>
          <w:lang w:eastAsia="en-AU"/>
        </w:rPr>
      </w:r>
      <w:r w:rsidR="00D20FAE">
        <w:rPr>
          <w:lang w:eastAsia="en-AU"/>
        </w:rPr>
        <w:fldChar w:fldCharType="separate"/>
      </w:r>
      <w:r w:rsidR="00436595">
        <w:t xml:space="preserve">Figure </w:t>
      </w:r>
      <w:r w:rsidR="00436595">
        <w:rPr>
          <w:noProof/>
        </w:rPr>
        <w:t>42</w:t>
      </w:r>
      <w:r w:rsidR="00D20FAE">
        <w:rPr>
          <w:lang w:eastAsia="en-AU"/>
        </w:rPr>
        <w:fldChar w:fldCharType="end"/>
      </w:r>
      <w:r w:rsidR="007C304B">
        <w:rPr>
          <w:lang w:eastAsia="en-AU"/>
        </w:rPr>
        <w:t>)</w:t>
      </w:r>
      <w:r w:rsidR="0010512A">
        <w:rPr>
          <w:lang w:eastAsia="en-AU"/>
        </w:rPr>
        <w:t>.</w:t>
      </w:r>
      <w:r w:rsidR="007C304B">
        <w:rPr>
          <w:lang w:eastAsia="en-AU"/>
        </w:rPr>
        <w:t xml:space="preserve"> </w:t>
      </w:r>
      <w:r w:rsidR="00DF21C4">
        <w:rPr>
          <w:lang w:eastAsia="en-AU"/>
        </w:rPr>
        <w:t>In particular</w:t>
      </w:r>
      <w:r w:rsidR="0010512A">
        <w:rPr>
          <w:lang w:eastAsia="en-AU"/>
        </w:rPr>
        <w:t>,</w:t>
      </w:r>
      <w:r w:rsidR="00DF21C4">
        <w:rPr>
          <w:lang w:eastAsia="en-AU"/>
        </w:rPr>
        <w:t xml:space="preserve"> </w:t>
      </w:r>
      <w:r w:rsidR="008041A1">
        <w:rPr>
          <w:lang w:eastAsia="en-AU"/>
        </w:rPr>
        <w:t xml:space="preserve">calling activity and tadpoles was </w:t>
      </w:r>
      <w:r w:rsidR="000D2774">
        <w:rPr>
          <w:lang w:eastAsia="en-AU"/>
        </w:rPr>
        <w:t>highest in</w:t>
      </w:r>
      <w:r w:rsidR="008041A1">
        <w:rPr>
          <w:lang w:eastAsia="en-AU"/>
        </w:rPr>
        <w:t xml:space="preserve"> the </w:t>
      </w:r>
      <w:r w:rsidR="00031F77">
        <w:rPr>
          <w:lang w:eastAsia="en-AU"/>
        </w:rPr>
        <w:t>Lowbidgee</w:t>
      </w:r>
      <w:r w:rsidR="007C304B">
        <w:rPr>
          <w:lang w:eastAsia="en-AU"/>
        </w:rPr>
        <w:t>.</w:t>
      </w:r>
    </w:p>
    <w:p w:rsidR="0010512A" w:rsidRDefault="0010512A" w:rsidP="000D5988">
      <w:pPr>
        <w:rPr>
          <w:lang w:eastAsia="en-AU"/>
        </w:rPr>
      </w:pPr>
    </w:p>
    <w:p w:rsidR="000D2774" w:rsidRDefault="000D2774" w:rsidP="000D5988">
      <w:pPr>
        <w:rPr>
          <w:lang w:eastAsia="en-AU"/>
        </w:rPr>
      </w:pPr>
      <w:r>
        <w:rPr>
          <w:noProof/>
          <w:lang w:eastAsia="en-AU"/>
        </w:rPr>
        <w:drawing>
          <wp:inline distT="0" distB="0" distL="0" distR="0">
            <wp:extent cx="5729605" cy="3769360"/>
            <wp:effectExtent l="19050" t="0" r="4445" b="0"/>
            <wp:docPr id="10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9" cstate="print"/>
                    <a:srcRect/>
                    <a:stretch>
                      <a:fillRect/>
                    </a:stretch>
                  </pic:blipFill>
                  <pic:spPr bwMode="auto">
                    <a:xfrm>
                      <a:off x="0" y="0"/>
                      <a:ext cx="5729605" cy="3769360"/>
                    </a:xfrm>
                    <a:prstGeom prst="rect">
                      <a:avLst/>
                    </a:prstGeom>
                    <a:noFill/>
                    <a:ln w="9525">
                      <a:noFill/>
                      <a:miter lim="800000"/>
                      <a:headEnd/>
                      <a:tailEnd/>
                    </a:ln>
                  </pic:spPr>
                </pic:pic>
              </a:graphicData>
            </a:graphic>
          </wp:inline>
        </w:drawing>
      </w:r>
    </w:p>
    <w:p w:rsidR="000D2774" w:rsidRPr="0095524F" w:rsidRDefault="00824C9A" w:rsidP="00824C9A">
      <w:pPr>
        <w:pStyle w:val="Caption"/>
        <w:rPr>
          <w:rFonts w:ascii="Times New Roman" w:hAnsi="Times New Roman"/>
          <w:b w:val="0"/>
          <w:sz w:val="24"/>
          <w:szCs w:val="24"/>
          <w:lang w:eastAsia="en-AU"/>
        </w:rPr>
      </w:pPr>
      <w:bookmarkStart w:id="447" w:name="_Ref369532576"/>
      <w:r>
        <w:t xml:space="preserve">Figure </w:t>
      </w:r>
      <w:fldSimple w:instr=" SEQ Figure \* ARABIC ">
        <w:r w:rsidR="00436595">
          <w:rPr>
            <w:noProof/>
          </w:rPr>
          <w:t>42</w:t>
        </w:r>
      </w:fldSimple>
      <w:bookmarkEnd w:id="447"/>
      <w:r w:rsidR="0095524F">
        <w:t xml:space="preserve"> </w:t>
      </w:r>
      <w:r w:rsidR="0095524F">
        <w:rPr>
          <w:b w:val="0"/>
        </w:rPr>
        <w:t>S</w:t>
      </w:r>
      <w:r w:rsidR="0095524F" w:rsidRPr="0095524F">
        <w:rPr>
          <w:b w:val="0"/>
        </w:rPr>
        <w:t>ummary of adult observations, calling activity and tadpole abundances within the three survey regions between August 2012 and April 2013</w:t>
      </w:r>
    </w:p>
    <w:p w:rsidR="00D1346D" w:rsidRDefault="00D1346D" w:rsidP="00D1346D">
      <w:pPr>
        <w:autoSpaceDE w:val="0"/>
        <w:autoSpaceDN w:val="0"/>
        <w:adjustRightInd w:val="0"/>
        <w:spacing w:after="0" w:line="240" w:lineRule="auto"/>
        <w:jc w:val="left"/>
        <w:rPr>
          <w:rFonts w:ascii="Times New Roman" w:hAnsi="Times New Roman"/>
          <w:sz w:val="24"/>
          <w:szCs w:val="24"/>
          <w:lang w:eastAsia="en-AU"/>
        </w:rPr>
      </w:pPr>
    </w:p>
    <w:p w:rsidR="0010512A" w:rsidRDefault="0010512A" w:rsidP="00D1346D">
      <w:pPr>
        <w:autoSpaceDE w:val="0"/>
        <w:autoSpaceDN w:val="0"/>
        <w:adjustRightInd w:val="0"/>
        <w:spacing w:after="0" w:line="240" w:lineRule="auto"/>
        <w:jc w:val="left"/>
        <w:rPr>
          <w:rFonts w:ascii="Times New Roman" w:hAnsi="Times New Roman"/>
          <w:sz w:val="24"/>
          <w:szCs w:val="24"/>
          <w:lang w:eastAsia="en-AU"/>
        </w:rPr>
      </w:pPr>
    </w:p>
    <w:p w:rsidR="000D5988" w:rsidRPr="007C304B" w:rsidRDefault="002D1072" w:rsidP="000D5988">
      <w:pPr>
        <w:rPr>
          <w:lang w:eastAsia="en-AU"/>
        </w:rPr>
      </w:pPr>
      <w:r>
        <w:rPr>
          <w:lang w:eastAsia="en-AU"/>
        </w:rPr>
        <w:t>In order to identify the range of responses that occurred before</w:t>
      </w:r>
      <w:r w:rsidR="008642CE">
        <w:rPr>
          <w:lang w:eastAsia="en-AU"/>
        </w:rPr>
        <w:t>,</w:t>
      </w:r>
      <w:r>
        <w:rPr>
          <w:lang w:eastAsia="en-AU"/>
        </w:rPr>
        <w:t xml:space="preserve"> during and after watering it is useful to break down these responses into the number of adults, calling individuals and tadpoles for each species. </w:t>
      </w:r>
      <w:r w:rsidR="00D1346D">
        <w:rPr>
          <w:lang w:eastAsia="en-AU"/>
        </w:rPr>
        <w:t>We</w:t>
      </w:r>
      <w:r>
        <w:rPr>
          <w:lang w:eastAsia="en-AU"/>
        </w:rPr>
        <w:t xml:space="preserve"> can then</w:t>
      </w:r>
      <w:r w:rsidR="00D1346D">
        <w:rPr>
          <w:lang w:eastAsia="en-AU"/>
        </w:rPr>
        <w:t xml:space="preserve"> </w:t>
      </w:r>
      <w:r w:rsidR="00D1346D" w:rsidRPr="007C304B">
        <w:rPr>
          <w:lang w:eastAsia="en-AU"/>
        </w:rPr>
        <w:t>employ</w:t>
      </w:r>
      <w:r w:rsidRPr="007C304B">
        <w:rPr>
          <w:lang w:eastAsia="en-AU"/>
        </w:rPr>
        <w:t xml:space="preserve"> </w:t>
      </w:r>
      <w:r w:rsidR="00D1346D" w:rsidRPr="007C304B">
        <w:rPr>
          <w:lang w:eastAsia="en-AU"/>
        </w:rPr>
        <w:t xml:space="preserve">generalised linear models to test whether any </w:t>
      </w:r>
      <w:r w:rsidR="00AC25E9" w:rsidRPr="007C304B">
        <w:rPr>
          <w:lang w:eastAsia="en-AU"/>
        </w:rPr>
        <w:t xml:space="preserve">observed </w:t>
      </w:r>
      <w:r w:rsidR="00D1346D" w:rsidRPr="007C304B">
        <w:rPr>
          <w:lang w:eastAsia="en-AU"/>
        </w:rPr>
        <w:t xml:space="preserve">differences </w:t>
      </w:r>
      <w:r w:rsidR="00AC25E9" w:rsidRPr="007C304B">
        <w:rPr>
          <w:lang w:eastAsia="en-AU"/>
        </w:rPr>
        <w:t xml:space="preserve">are </w:t>
      </w:r>
      <w:r w:rsidR="00D1346D" w:rsidRPr="007C304B">
        <w:rPr>
          <w:lang w:eastAsia="en-AU"/>
        </w:rPr>
        <w:t xml:space="preserve">statistically significant. </w:t>
      </w:r>
      <w:r w:rsidR="000D5988" w:rsidRPr="007C304B">
        <w:rPr>
          <w:lang w:eastAsia="en-AU"/>
        </w:rPr>
        <w:t xml:space="preserve">Looking at </w:t>
      </w:r>
      <w:r w:rsidR="0010512A">
        <w:t>Figure 43,</w:t>
      </w:r>
      <w:r w:rsidR="000D5988" w:rsidRPr="007C304B">
        <w:rPr>
          <w:lang w:eastAsia="en-AU"/>
        </w:rPr>
        <w:t xml:space="preserve"> we can see that calling by inland banjos was limited to August in sites in the Lowbidgee (coinciding with overbank flows into occupied wetlands) (GLM time x location, W 5.243, p = 0.022), and inland banjo frog tadpoles were present in the Lowbidgee wetlands in October and December (see </w:t>
      </w:r>
      <w:r w:rsidR="0010512A">
        <w:t>Figure 43</w:t>
      </w:r>
      <w:r w:rsidR="000D5988" w:rsidRPr="007C304B">
        <w:rPr>
          <w:lang w:eastAsia="en-AU"/>
        </w:rPr>
        <w:t>) but there were not sufficient numbers of individuals to conduct statistical comparisons between regions or survey periods. The plains froglet also called during August in both the Lowbidgee and the m</w:t>
      </w:r>
      <w:r w:rsidR="007F53DE">
        <w:rPr>
          <w:lang w:eastAsia="en-AU"/>
        </w:rPr>
        <w:t>id-Murrumbidgee wetlands. H</w:t>
      </w:r>
      <w:r w:rsidR="000D5988" w:rsidRPr="007C304B">
        <w:rPr>
          <w:lang w:eastAsia="en-AU"/>
        </w:rPr>
        <w:t>owever</w:t>
      </w:r>
      <w:r w:rsidR="007F53DE">
        <w:rPr>
          <w:lang w:eastAsia="en-AU"/>
        </w:rPr>
        <w:t>,</w:t>
      </w:r>
      <w:r w:rsidR="000D5988" w:rsidRPr="007C304B">
        <w:rPr>
          <w:lang w:eastAsia="en-AU"/>
        </w:rPr>
        <w:t xml:space="preserve"> the number of calling individuals were significantly higher in the Lowbidgee sites compared to the mid-Murrumbidgee sites (W 86.946, p &lt;0.001). Similar numbers of the Perons tree frog called in October in both the mid-Murrumbidgee and the Lowbidgee wetlands (W 0.622, p = 0.430)</w:t>
      </w:r>
      <w:r w:rsidR="007F53DE">
        <w:rPr>
          <w:lang w:eastAsia="en-AU"/>
        </w:rPr>
        <w:t>,</w:t>
      </w:r>
      <w:r w:rsidR="000D5988" w:rsidRPr="007C304B">
        <w:rPr>
          <w:lang w:eastAsia="en-AU"/>
        </w:rPr>
        <w:t xml:space="preserve"> suggesting that calling activity by resident individuals may not have been closely linked to wetland region or inflows.</w:t>
      </w:r>
    </w:p>
    <w:p w:rsidR="000D5988" w:rsidRPr="007C304B" w:rsidRDefault="000D5988" w:rsidP="000D5988">
      <w:pPr>
        <w:rPr>
          <w:lang w:eastAsia="en-AU"/>
        </w:rPr>
      </w:pPr>
      <w:r w:rsidRPr="007C304B">
        <w:rPr>
          <w:lang w:eastAsia="en-AU"/>
        </w:rPr>
        <w:t xml:space="preserve">Looking at </w:t>
      </w:r>
      <w:fldSimple w:instr=" REF _Ref368656772 \h  \* MERGEFORMAT ">
        <w:r w:rsidR="00436595" w:rsidRPr="00436595">
          <w:t xml:space="preserve">Figure </w:t>
        </w:r>
        <w:r w:rsidR="00436595" w:rsidRPr="00436595">
          <w:rPr>
            <w:noProof/>
          </w:rPr>
          <w:t>44</w:t>
        </w:r>
      </w:fldSimple>
      <w:r w:rsidRPr="007C304B">
        <w:rPr>
          <w:lang w:eastAsia="en-AU"/>
        </w:rPr>
        <w:t>, the spotted marsh frog and barking marsh frog and their tadpoles occurred across all three wetland regions. There was little difference in the number of adults present in the Lowbidgee and mid-Murrumbidgee wetlands, but few individuals were recorded in the Western Lakes. Despite the similarities in the number of adults present, there was limited calling activity by the barking marsh frog in the mid-Murrumbidgee sites</w:t>
      </w:r>
      <w:r w:rsidR="007F53DE">
        <w:rPr>
          <w:lang w:eastAsia="en-AU"/>
        </w:rPr>
        <w:t>,</w:t>
      </w:r>
      <w:r w:rsidRPr="007C304B">
        <w:rPr>
          <w:lang w:eastAsia="en-AU"/>
        </w:rPr>
        <w:t xml:space="preserve"> compared to the Lowbidgee sites (</w:t>
      </w:r>
      <w:r w:rsidRPr="007C304B">
        <w:rPr>
          <w:i/>
          <w:lang w:eastAsia="en-AU"/>
        </w:rPr>
        <w:t>L. fletcheri</w:t>
      </w:r>
      <w:r w:rsidRPr="007C304B">
        <w:rPr>
          <w:lang w:eastAsia="en-AU"/>
        </w:rPr>
        <w:t xml:space="preserve">) (7.091, p = 0.029) </w:t>
      </w:r>
      <w:r w:rsidR="008642CE">
        <w:rPr>
          <w:lang w:eastAsia="en-AU"/>
        </w:rPr>
        <w:t>and</w:t>
      </w:r>
      <w:r w:rsidR="008642CE" w:rsidRPr="007C304B">
        <w:rPr>
          <w:lang w:eastAsia="en-AU"/>
        </w:rPr>
        <w:t xml:space="preserve"> </w:t>
      </w:r>
      <w:r w:rsidRPr="007C304B">
        <w:rPr>
          <w:lang w:eastAsia="en-AU"/>
        </w:rPr>
        <w:t xml:space="preserve">there </w:t>
      </w:r>
      <w:r w:rsidR="008642CE">
        <w:rPr>
          <w:lang w:eastAsia="en-AU"/>
        </w:rPr>
        <w:t xml:space="preserve">were </w:t>
      </w:r>
      <w:r w:rsidRPr="007C304B">
        <w:rPr>
          <w:lang w:eastAsia="en-AU"/>
        </w:rPr>
        <w:t>no differences in spotted marsh frog (</w:t>
      </w:r>
      <w:r w:rsidRPr="007C304B">
        <w:rPr>
          <w:i/>
          <w:lang w:eastAsia="en-AU"/>
        </w:rPr>
        <w:t>L. tasmaniensis</w:t>
      </w:r>
      <w:r w:rsidRPr="007C304B">
        <w:rPr>
          <w:lang w:eastAsia="en-AU"/>
        </w:rPr>
        <w:t xml:space="preserve">) activity between the wetland regions (W 2.986, p = 0.225). </w:t>
      </w:r>
    </w:p>
    <w:p w:rsidR="000D5988" w:rsidRPr="007C304B" w:rsidRDefault="000D5988" w:rsidP="000D5988">
      <w:pPr>
        <w:rPr>
          <w:lang w:eastAsia="en-AU"/>
        </w:rPr>
      </w:pPr>
      <w:r w:rsidRPr="007C304B">
        <w:rPr>
          <w:lang w:eastAsia="en-AU"/>
        </w:rPr>
        <w:t>Tadpole abundance was highly variable between wetlands within each region</w:t>
      </w:r>
      <w:r w:rsidR="007F53DE">
        <w:rPr>
          <w:lang w:eastAsia="en-AU"/>
        </w:rPr>
        <w:t>,</w:t>
      </w:r>
      <w:r w:rsidRPr="007C304B">
        <w:rPr>
          <w:lang w:eastAsia="en-AU"/>
        </w:rPr>
        <w:t xml:space="preserve"> and</w:t>
      </w:r>
      <w:r w:rsidR="007F53DE">
        <w:rPr>
          <w:lang w:eastAsia="en-AU"/>
        </w:rPr>
        <w:t>,</w:t>
      </w:r>
      <w:r w:rsidRPr="007C304B">
        <w:rPr>
          <w:lang w:eastAsia="en-AU"/>
        </w:rPr>
        <w:t xml:space="preserve"> as a result</w:t>
      </w:r>
      <w:r w:rsidR="007F53DE">
        <w:rPr>
          <w:lang w:eastAsia="en-AU"/>
        </w:rPr>
        <w:t>,</w:t>
      </w:r>
      <w:r w:rsidRPr="007C304B">
        <w:rPr>
          <w:lang w:eastAsia="en-AU"/>
        </w:rPr>
        <w:t xml:space="preserve"> while the average number of tadpoles</w:t>
      </w:r>
      <w:r w:rsidR="007F53DE">
        <w:rPr>
          <w:lang w:eastAsia="en-AU"/>
        </w:rPr>
        <w:t xml:space="preserve"> was higher in the Lowbidgee tha</w:t>
      </w:r>
      <w:r w:rsidRPr="007C304B">
        <w:rPr>
          <w:lang w:eastAsia="en-AU"/>
        </w:rPr>
        <w:t>n the mid-Murrumbidgee or Western Lakes (</w:t>
      </w:r>
      <w:fldSimple w:instr=" REF _Ref368656772 \h  \* MERGEFORMAT ">
        <w:r w:rsidR="00436595" w:rsidRPr="00436595">
          <w:t xml:space="preserve">Figure </w:t>
        </w:r>
        <w:r w:rsidR="00436595" w:rsidRPr="00436595">
          <w:rPr>
            <w:noProof/>
          </w:rPr>
          <w:t>44</w:t>
        </w:r>
      </w:fldSimple>
      <w:r w:rsidRPr="007C304B">
        <w:rPr>
          <w:lang w:eastAsia="en-AU"/>
        </w:rPr>
        <w:t>)</w:t>
      </w:r>
      <w:r w:rsidR="007F53DE">
        <w:rPr>
          <w:lang w:eastAsia="en-AU"/>
        </w:rPr>
        <w:t>,</w:t>
      </w:r>
      <w:r w:rsidRPr="007C304B">
        <w:rPr>
          <w:lang w:eastAsia="en-AU"/>
        </w:rPr>
        <w:t xml:space="preserve"> the differences between wetland regions were not significant (W 0.560, p = 0.756). However, there was a significant interaction between the region and the percent cover of aquatic vegetation</w:t>
      </w:r>
      <w:r w:rsidR="007F53DE">
        <w:rPr>
          <w:lang w:eastAsia="en-AU"/>
        </w:rPr>
        <w:t>,</w:t>
      </w:r>
      <w:r w:rsidRPr="007C304B">
        <w:rPr>
          <w:lang w:eastAsia="en-AU"/>
        </w:rPr>
        <w:t xml:space="preserve"> suggesting that breeding outcomes may have been influenced by vegetation cover within individual wetlands (W 21.211, p &lt; 0.001). </w:t>
      </w:r>
    </w:p>
    <w:p w:rsidR="00D1346D" w:rsidRDefault="00D1346D" w:rsidP="00D1346D">
      <w:pPr>
        <w:autoSpaceDE w:val="0"/>
        <w:autoSpaceDN w:val="0"/>
        <w:adjustRightInd w:val="0"/>
        <w:spacing w:after="0" w:line="400" w:lineRule="atLeast"/>
        <w:jc w:val="left"/>
        <w:rPr>
          <w:rFonts w:ascii="Times New Roman" w:hAnsi="Times New Roman"/>
          <w:sz w:val="24"/>
          <w:szCs w:val="24"/>
          <w:lang w:eastAsia="en-AU"/>
        </w:rPr>
      </w:pPr>
    </w:p>
    <w:p w:rsidR="00D1346D" w:rsidRDefault="00D20FAE" w:rsidP="007F53DE">
      <w:pPr>
        <w:keepNext/>
        <w:autoSpaceDE w:val="0"/>
        <w:autoSpaceDN w:val="0"/>
        <w:adjustRightInd w:val="0"/>
        <w:spacing w:after="0" w:line="240" w:lineRule="auto"/>
        <w:jc w:val="left"/>
        <w:rPr>
          <w:rFonts w:ascii="Times New Roman" w:hAnsi="Times New Roman"/>
          <w:sz w:val="24"/>
          <w:szCs w:val="24"/>
          <w:lang w:eastAsia="en-AU"/>
        </w:rPr>
      </w:pPr>
      <w:r>
        <w:rPr>
          <w:rFonts w:ascii="Times New Roman" w:hAnsi="Times New Roman"/>
          <w:sz w:val="24"/>
          <w:szCs w:val="24"/>
          <w:lang w:eastAsia="en-AU"/>
        </w:rPr>
      </w:r>
      <w:r>
        <w:rPr>
          <w:rFonts w:ascii="Times New Roman" w:hAnsi="Times New Roman"/>
          <w:sz w:val="24"/>
          <w:szCs w:val="24"/>
          <w:lang w:eastAsia="en-AU"/>
        </w:rPr>
        <w:pict>
          <v:group id="_x0000_s1026" style="width:384pt;height:631.7pt;mso-position-horizontal-relative:char;mso-position-vertical-relative:line" coordorigin="1315,2122" coordsize="6203,11570">
            <v:group id="_x0000_s1027" style="position:absolute;left:1315;top:2122;width:6203;height:11570" coordorigin="1315,2092" coordsize="6203,11570">
              <v:shape id="_x0000_s1028" type="#_x0000_t75" style="position:absolute;left:1315;top:2092;width:6203;height:3974">
                <v:imagedata r:id="rId160" o:title=""/>
              </v:shape>
              <v:shape id="_x0000_s1029" type="#_x0000_t75" style="position:absolute;left:1315;top:9688;width:6203;height:3974">
                <v:imagedata r:id="rId161" o:title=""/>
              </v:shape>
              <v:shape id="_x0000_s1030" type="#_x0000_t75" style="position:absolute;left:1315;top:5827;width:6203;height:3974">
                <v:imagedata r:id="rId162" o:title=""/>
              </v:shape>
            </v:group>
            <v:shapetype id="_x0000_t32" coordsize="21600,21600" o:spt="32" o:oned="t" path="m,l21600,21600e" filled="f">
              <v:path arrowok="t" fillok="f" o:connecttype="none"/>
              <o:lock v:ext="edit" shapetype="t"/>
            </v:shapetype>
            <v:shape id="_x0000_s1031" type="#_x0000_t32" style="position:absolute;left:1952;top:3644;width:250;height:0" o:connectortype="straight" strokecolor="#c00000" strokeweight="3pt"/>
            <v:shape id="_x0000_s1032" type="#_x0000_t32" style="position:absolute;left:1966;top:7465;width:250;height:0" o:connectortype="straight" strokecolor="#c00000" strokeweight="3pt"/>
            <v:shape id="_x0000_s1033" type="#_x0000_t32" style="position:absolute;left:1966;top:11401;width:250;height:0" o:connectortype="straight" strokecolor="#c00000" strokeweight="3pt"/>
            <w10:wrap type="none"/>
            <w10:anchorlock/>
          </v:group>
        </w:pict>
      </w:r>
    </w:p>
    <w:p w:rsidR="00D1346D" w:rsidRDefault="00D1346D" w:rsidP="00D1346D">
      <w:pPr>
        <w:pStyle w:val="Caption1"/>
        <w:rPr>
          <w:rFonts w:ascii="Times New Roman" w:hAnsi="Times New Roman"/>
          <w:sz w:val="24"/>
          <w:lang w:eastAsia="en-AU"/>
        </w:rPr>
      </w:pPr>
      <w:bookmarkStart w:id="448" w:name="_Ref368656754"/>
      <w:bookmarkStart w:id="449" w:name="_Toc370738861"/>
      <w:r w:rsidRPr="00F45B4E">
        <w:rPr>
          <w:b/>
        </w:rPr>
        <w:t xml:space="preserve">Figure </w:t>
      </w:r>
      <w:r w:rsidR="00D20FAE" w:rsidRPr="00F45B4E">
        <w:rPr>
          <w:b/>
        </w:rPr>
        <w:fldChar w:fldCharType="begin"/>
      </w:r>
      <w:r w:rsidRPr="00F45B4E">
        <w:rPr>
          <w:b/>
        </w:rPr>
        <w:instrText xml:space="preserve"> SEQ Figure \* ARABIC </w:instrText>
      </w:r>
      <w:r w:rsidR="00D20FAE" w:rsidRPr="00F45B4E">
        <w:rPr>
          <w:b/>
        </w:rPr>
        <w:fldChar w:fldCharType="separate"/>
      </w:r>
      <w:r w:rsidR="00436595">
        <w:rPr>
          <w:b/>
          <w:noProof/>
        </w:rPr>
        <w:t>43</w:t>
      </w:r>
      <w:r w:rsidR="00D20FAE" w:rsidRPr="00F45B4E">
        <w:rPr>
          <w:b/>
        </w:rPr>
        <w:fldChar w:fldCharType="end"/>
      </w:r>
      <w:bookmarkEnd w:id="448"/>
      <w:r>
        <w:t xml:space="preserve"> </w:t>
      </w:r>
      <w:r w:rsidR="005C0280">
        <w:t>N</w:t>
      </w:r>
      <w:r>
        <w:t>umber of adults, calling activity and tadpoles for the Inland banjo frog, plains froglet and Perons tree frog in each region (note that Western lakes has been excluded because no individuals of these species were recorded)</w:t>
      </w:r>
      <w:r w:rsidR="00DB1E54">
        <w:t>( red line indicates inflow period)</w:t>
      </w:r>
      <w:bookmarkEnd w:id="449"/>
      <w:r>
        <w:t xml:space="preserve"> </w:t>
      </w:r>
      <w:r>
        <w:rPr>
          <w:rFonts w:ascii="Times New Roman" w:hAnsi="Times New Roman"/>
          <w:sz w:val="24"/>
          <w:lang w:eastAsia="en-AU"/>
        </w:rPr>
        <w:br w:type="page"/>
      </w:r>
    </w:p>
    <w:p w:rsidR="00D1346D" w:rsidRDefault="00D20FAE" w:rsidP="00D1346D">
      <w:pPr>
        <w:autoSpaceDE w:val="0"/>
        <w:autoSpaceDN w:val="0"/>
        <w:adjustRightInd w:val="0"/>
        <w:spacing w:after="0" w:line="400" w:lineRule="atLeast"/>
        <w:jc w:val="left"/>
        <w:rPr>
          <w:rFonts w:ascii="Times New Roman" w:hAnsi="Times New Roman"/>
          <w:sz w:val="24"/>
          <w:szCs w:val="24"/>
          <w:lang w:eastAsia="en-AU"/>
        </w:rPr>
      </w:pPr>
      <w:r w:rsidRPr="00D20FAE">
        <w:rPr>
          <w:noProof/>
          <w:lang w:eastAsia="en-AU"/>
        </w:rPr>
        <w:pict>
          <v:group id="_x0000_s1044" style="position:absolute;margin-left:-6.9pt;margin-top:-3.5pt;width:354.55pt;height:647.1pt;z-index:251709952" coordorigin="1302,1340" coordsize="7091,12942">
            <o:lock v:ext="edit" aspectratio="t"/>
            <v:group id="_x0000_s1045" style="position:absolute;left:1302;top:1340;width:7091;height:12942" coordorigin="1302,1340" coordsize="7091,12942">
              <o:lock v:ext="edit" aspectratio="t"/>
              <v:shape id="_x0000_s1046" type="#_x0000_t75" style="position:absolute;left:1302;top:1340;width:7091;height:4535">
                <v:imagedata r:id="rId163" o:title=""/>
              </v:shape>
              <v:shape id="_x0000_s1047" type="#_x0000_t75" style="position:absolute;left:1302;top:9747;width:7091;height:4535">
                <v:imagedata r:id="rId164" o:title=""/>
              </v:shape>
              <v:shape id="_x0000_s1048" type="#_x0000_t75" style="position:absolute;left:1302;top:5344;width:7089;height:4542">
                <v:imagedata r:id="rId165" o:title=""/>
              </v:shape>
            </v:group>
            <v:shape id="_x0000_s1049" type="#_x0000_t32" style="position:absolute;left:2276;top:2714;width:332;height:0" o:connectortype="straight" strokecolor="#c00000" strokeweight="3pt">
              <o:lock v:ext="edit" aspectratio="t"/>
            </v:shape>
            <v:shape id="_x0000_s1050" type="#_x0000_t32" style="position:absolute;left:2276;top:6771;width:332;height:0" o:connectortype="straight" strokecolor="#c00000" strokeweight="3pt">
              <o:lock v:ext="edit" aspectratio="t"/>
            </v:shape>
            <v:shape id="_x0000_s1051" type="#_x0000_t32" style="position:absolute;left:2312;top:11272;width:534;height:1" o:connectortype="straight" strokecolor="#c00000" strokeweight="3pt">
              <o:lock v:ext="edit" aspectratio="t"/>
            </v:shape>
            <v:shape id="_x0000_s1052" type="#_x0000_t32" style="position:absolute;left:2480;top:8835;width:332;height:0" o:connectortype="straight" strokecolor="#c00000" strokeweight="3pt">
              <o:lock v:ext="edit" aspectratio="t"/>
            </v:shape>
            <v:shape id="_x0000_s1053" type="#_x0000_t32" style="position:absolute;left:2590;top:4818;width:332;height:0" o:connectortype="straight" strokecolor="#c00000" strokeweight="3pt">
              <o:lock v:ext="edit" aspectratio="t"/>
            </v:shape>
            <v:shape id="_x0000_s1054" type="#_x0000_t32" style="position:absolute;left:2850;top:13402;width:542;height:0" o:connectortype="straight" strokecolor="#c00000" strokeweight="3pt">
              <o:lock v:ext="edit" aspectratio="t"/>
            </v:shape>
          </v:group>
        </w:pict>
      </w:r>
    </w:p>
    <w:p w:rsidR="00D1346D" w:rsidRDefault="00D1346D" w:rsidP="00D1346D">
      <w:pPr>
        <w:autoSpaceDE w:val="0"/>
        <w:autoSpaceDN w:val="0"/>
        <w:adjustRightInd w:val="0"/>
        <w:spacing w:after="0" w:line="240" w:lineRule="auto"/>
        <w:jc w:val="left"/>
        <w:rPr>
          <w:rFonts w:ascii="Times New Roman" w:hAnsi="Times New Roman"/>
          <w:sz w:val="24"/>
          <w:szCs w:val="24"/>
          <w:lang w:eastAsia="en-AU"/>
        </w:rPr>
      </w:pPr>
    </w:p>
    <w:p w:rsidR="00D1346D" w:rsidRDefault="00D1346D" w:rsidP="00D1346D">
      <w:pPr>
        <w:autoSpaceDE w:val="0"/>
        <w:autoSpaceDN w:val="0"/>
        <w:adjustRightInd w:val="0"/>
        <w:spacing w:after="0" w:line="400" w:lineRule="atLeast"/>
        <w:jc w:val="left"/>
        <w:rPr>
          <w:rFonts w:ascii="Times New Roman" w:hAnsi="Times New Roman"/>
          <w:sz w:val="24"/>
          <w:szCs w:val="24"/>
          <w:lang w:eastAsia="en-AU"/>
        </w:rPr>
      </w:pPr>
    </w:p>
    <w:p w:rsidR="00D1346D" w:rsidRDefault="00D1346D" w:rsidP="00D1346D">
      <w:pPr>
        <w:autoSpaceDE w:val="0"/>
        <w:autoSpaceDN w:val="0"/>
        <w:adjustRightInd w:val="0"/>
        <w:spacing w:after="0" w:line="240" w:lineRule="auto"/>
        <w:jc w:val="left"/>
        <w:rPr>
          <w:rFonts w:ascii="Times New Roman" w:hAnsi="Times New Roman"/>
          <w:sz w:val="24"/>
          <w:szCs w:val="24"/>
          <w:lang w:eastAsia="en-AU"/>
        </w:rPr>
      </w:pPr>
    </w:p>
    <w:p w:rsidR="00D1346D" w:rsidRDefault="00D1346D" w:rsidP="00D1346D">
      <w:pPr>
        <w:autoSpaceDE w:val="0"/>
        <w:autoSpaceDN w:val="0"/>
        <w:adjustRightInd w:val="0"/>
        <w:spacing w:after="0" w:line="240" w:lineRule="auto"/>
        <w:jc w:val="left"/>
        <w:rPr>
          <w:rFonts w:ascii="Times New Roman" w:hAnsi="Times New Roman"/>
          <w:sz w:val="24"/>
          <w:szCs w:val="24"/>
          <w:lang w:eastAsia="en-AU"/>
        </w:rPr>
      </w:pPr>
    </w:p>
    <w:p w:rsidR="00D1346D" w:rsidRDefault="00D1346D" w:rsidP="00D1346D">
      <w:pPr>
        <w:autoSpaceDE w:val="0"/>
        <w:autoSpaceDN w:val="0"/>
        <w:adjustRightInd w:val="0"/>
        <w:spacing w:after="0" w:line="400" w:lineRule="atLeast"/>
        <w:jc w:val="left"/>
        <w:rPr>
          <w:rFonts w:ascii="Times New Roman" w:hAnsi="Times New Roman"/>
          <w:sz w:val="24"/>
          <w:szCs w:val="24"/>
          <w:lang w:eastAsia="en-AU"/>
        </w:rPr>
      </w:pPr>
    </w:p>
    <w:p w:rsidR="00D1346D" w:rsidRDefault="00D1346D" w:rsidP="00D1346D">
      <w:pPr>
        <w:autoSpaceDE w:val="0"/>
        <w:autoSpaceDN w:val="0"/>
        <w:adjustRightInd w:val="0"/>
        <w:spacing w:after="0" w:line="240" w:lineRule="auto"/>
        <w:jc w:val="left"/>
        <w:rPr>
          <w:rFonts w:ascii="Times New Roman" w:hAnsi="Times New Roman"/>
          <w:sz w:val="24"/>
          <w:szCs w:val="24"/>
          <w:lang w:eastAsia="en-AU"/>
        </w:rPr>
      </w:pPr>
    </w:p>
    <w:p w:rsidR="00D1346D" w:rsidRDefault="00D1346D" w:rsidP="00D1346D">
      <w:pPr>
        <w:autoSpaceDE w:val="0"/>
        <w:autoSpaceDN w:val="0"/>
        <w:adjustRightInd w:val="0"/>
        <w:spacing w:after="0" w:line="240" w:lineRule="auto"/>
        <w:jc w:val="left"/>
        <w:rPr>
          <w:rFonts w:ascii="Times New Roman" w:hAnsi="Times New Roman"/>
          <w:sz w:val="24"/>
          <w:szCs w:val="24"/>
          <w:lang w:eastAsia="en-AU"/>
        </w:rPr>
      </w:pPr>
    </w:p>
    <w:p w:rsidR="00D1346D" w:rsidRDefault="00D1346D" w:rsidP="00D1346D">
      <w:pPr>
        <w:autoSpaceDE w:val="0"/>
        <w:autoSpaceDN w:val="0"/>
        <w:adjustRightInd w:val="0"/>
        <w:spacing w:after="0" w:line="400" w:lineRule="atLeast"/>
        <w:jc w:val="left"/>
        <w:rPr>
          <w:rFonts w:ascii="Times New Roman" w:hAnsi="Times New Roman"/>
          <w:sz w:val="24"/>
          <w:szCs w:val="24"/>
          <w:lang w:eastAsia="en-AU"/>
        </w:rPr>
      </w:pPr>
    </w:p>
    <w:p w:rsidR="00D1346D" w:rsidRDefault="00D20FAE" w:rsidP="00D1346D">
      <w:pPr>
        <w:rPr>
          <w:lang w:eastAsia="en-AU"/>
        </w:rPr>
      </w:pPr>
      <w:r>
        <w:rPr>
          <w:noProof/>
          <w:lang w:eastAsia="en-AU"/>
        </w:rPr>
        <w:pict>
          <v:shape id="_x0000_s1042" type="#_x0000_t32" style="position:absolute;left:0;text-align:left;margin-left:52.65pt;margin-top:15.2pt;width:15.95pt;height:0;z-index:251707904" o:connectortype="straight" strokecolor="#c00000" strokeweight="3pt"/>
        </w:pict>
      </w: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20FAE" w:rsidP="00D1346D">
      <w:pPr>
        <w:rPr>
          <w:lang w:eastAsia="en-AU"/>
        </w:rPr>
      </w:pPr>
      <w:r>
        <w:rPr>
          <w:noProof/>
          <w:lang w:eastAsia="en-AU"/>
        </w:rPr>
        <w:pict>
          <v:shape id="_x0000_s1041" type="#_x0000_t32" style="position:absolute;left:0;text-align:left;margin-left:52.65pt;margin-top:1.25pt;width:15.95pt;height:0;z-index:251706880" o:connectortype="straight" strokecolor="#c00000" strokeweight="3pt"/>
        </w:pict>
      </w: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1346D" w:rsidP="00D1346D">
      <w:pPr>
        <w:rPr>
          <w:lang w:eastAsia="en-AU"/>
        </w:rPr>
      </w:pPr>
    </w:p>
    <w:p w:rsidR="00D1346D" w:rsidRDefault="00D20FAE" w:rsidP="00D1346D">
      <w:pPr>
        <w:rPr>
          <w:lang w:eastAsia="en-AU"/>
        </w:rPr>
      </w:pPr>
      <w:r>
        <w:rPr>
          <w:noProof/>
          <w:lang w:eastAsia="en-AU"/>
        </w:rPr>
        <w:pict>
          <v:shape id="_x0000_s1043" type="#_x0000_t32" style="position:absolute;left:0;text-align:left;margin-left:52.65pt;margin-top:25.4pt;width:15.95pt;height:0;z-index:251708928" o:connectortype="straight" strokecolor="#c00000" strokeweight="3pt"/>
        </w:pict>
      </w:r>
    </w:p>
    <w:p w:rsidR="00D1346D" w:rsidRDefault="00D1346D" w:rsidP="00D1346D">
      <w:pPr>
        <w:rPr>
          <w:lang w:eastAsia="en-AU"/>
        </w:rPr>
      </w:pPr>
    </w:p>
    <w:p w:rsidR="00D1346D" w:rsidRDefault="00D1346D" w:rsidP="00D1346D">
      <w:pPr>
        <w:rPr>
          <w:lang w:eastAsia="en-AU"/>
        </w:rPr>
      </w:pPr>
    </w:p>
    <w:p w:rsidR="00D1346D" w:rsidRDefault="00D1346D" w:rsidP="00D1346D">
      <w:pPr>
        <w:pStyle w:val="Caption1"/>
        <w:rPr>
          <w:lang w:eastAsia="en-AU"/>
        </w:rPr>
      </w:pPr>
      <w:bookmarkStart w:id="450" w:name="_Ref368656772"/>
      <w:bookmarkStart w:id="451" w:name="_Toc370738862"/>
      <w:r w:rsidRPr="00F45B4E">
        <w:rPr>
          <w:b/>
        </w:rPr>
        <w:t xml:space="preserve">Figure </w:t>
      </w:r>
      <w:r w:rsidR="00D20FAE" w:rsidRPr="00F45B4E">
        <w:rPr>
          <w:b/>
        </w:rPr>
        <w:fldChar w:fldCharType="begin"/>
      </w:r>
      <w:r w:rsidRPr="00F45B4E">
        <w:rPr>
          <w:b/>
        </w:rPr>
        <w:instrText xml:space="preserve"> SEQ Figure \* ARABIC </w:instrText>
      </w:r>
      <w:r w:rsidR="00D20FAE" w:rsidRPr="00F45B4E">
        <w:rPr>
          <w:b/>
        </w:rPr>
        <w:fldChar w:fldCharType="separate"/>
      </w:r>
      <w:r w:rsidR="00436595">
        <w:rPr>
          <w:b/>
          <w:noProof/>
        </w:rPr>
        <w:t>44</w:t>
      </w:r>
      <w:r w:rsidR="00D20FAE" w:rsidRPr="00F45B4E">
        <w:rPr>
          <w:b/>
        </w:rPr>
        <w:fldChar w:fldCharType="end"/>
      </w:r>
      <w:bookmarkEnd w:id="450"/>
      <w:r>
        <w:t xml:space="preserve"> </w:t>
      </w:r>
      <w:r w:rsidR="008642CE">
        <w:t>S</w:t>
      </w:r>
      <w:r>
        <w:t>ummary of the number of adults, calling activity and tadpoles for the spotted marsh frog and barking marsh frog and their tadpoles in each region</w:t>
      </w:r>
      <w:r w:rsidR="007F53DE">
        <w:t xml:space="preserve"> (</w:t>
      </w:r>
      <w:r w:rsidR="00DB1E54">
        <w:t>red line indicates inflow period)</w:t>
      </w:r>
      <w:r w:rsidR="008642CE">
        <w:t>.</w:t>
      </w:r>
      <w:bookmarkEnd w:id="451"/>
    </w:p>
    <w:p w:rsidR="00DF6F4F" w:rsidRDefault="004A5EE6" w:rsidP="00C44F46">
      <w:pPr>
        <w:pStyle w:val="Heading2"/>
      </w:pPr>
      <w:r>
        <w:t xml:space="preserve"> </w:t>
      </w:r>
      <w:bookmarkStart w:id="452" w:name="_Toc370299249"/>
      <w:bookmarkStart w:id="453" w:name="_Toc370738863"/>
      <w:bookmarkStart w:id="454" w:name="_Toc378168592"/>
      <w:r w:rsidR="000D0715">
        <w:t>Discussion</w:t>
      </w:r>
      <w:bookmarkEnd w:id="452"/>
      <w:bookmarkEnd w:id="453"/>
      <w:bookmarkEnd w:id="454"/>
    </w:p>
    <w:p w:rsidR="000D5988" w:rsidRDefault="000D5988" w:rsidP="000D5988">
      <w:r>
        <w:t>Frogs were monitored in three different wetland regions in the Murrumbidgee Catchment that were each subject to a different flow regime. Overall</w:t>
      </w:r>
      <w:r w:rsidR="007F53DE">
        <w:t>,</w:t>
      </w:r>
      <w:r>
        <w:t xml:space="preserve"> the two regions that received inflows in 2012 (either naturally due to overbank flows in the Lowbidgee or as part of the Commonwealth environmental watering actions in the Western Lakes) had significantly higher levels of calling activity and higher tadpole abundances than the mid-Murrumbidgee wetlands that did not receive any inflows.</w:t>
      </w:r>
    </w:p>
    <w:p w:rsidR="000D5988" w:rsidRDefault="000D5988" w:rsidP="000D5988">
      <w:r>
        <w:t>Some parts of the Western Lakes</w:t>
      </w:r>
      <w:r w:rsidR="00FE2FBC">
        <w:t xml:space="preserve"> (</w:t>
      </w:r>
      <w:r>
        <w:t xml:space="preserve">Cherax, Hobblers and Penarie creek), which </w:t>
      </w:r>
      <w:r w:rsidR="00454D52">
        <w:t>was the focus</w:t>
      </w:r>
      <w:r>
        <w:t xml:space="preserve"> of the Commonwealth environmental watering actions in 2012, had been dry for an extended period of time (in some instances more than 80 years). The Western Lakes had a very small population of adult frogs present when the watering commenced in September 2012 and given the length of time that some sites had been dry it is most likely that individuals present in these wetlands had immigrated into the wetlands from surrounding areas as they filled. Given the very small number of adult frogs present, surprisingly high numbers of spotted and barking marsh frog tadpoles were recorded</w:t>
      </w:r>
      <w:r w:rsidR="008642CE">
        <w:t>.</w:t>
      </w:r>
      <w:r>
        <w:t xml:space="preserve"> </w:t>
      </w:r>
      <w:r w:rsidR="008642CE">
        <w:t>T</w:t>
      </w:r>
      <w:r>
        <w:t xml:space="preserve">his suggests that the Commonwealth environmental water did produce conditions suitable to support breeding and recruitment by resident frogs in the Western Lakes. The presence of carp screens is also likely to have contributed to successful recruitment outcomes for frogs in the Western Lakes.  </w:t>
      </w:r>
    </w:p>
    <w:p w:rsidR="00DF6F4F" w:rsidRDefault="00DF6F4F" w:rsidP="00262455">
      <w:r>
        <w:br w:type="page"/>
      </w:r>
    </w:p>
    <w:tbl>
      <w:tblPr>
        <w:tblStyle w:val="TableGrid"/>
        <w:tblW w:w="0" w:type="auto"/>
        <w:tblLook w:val="04A0"/>
      </w:tblPr>
      <w:tblGrid>
        <w:gridCol w:w="9243"/>
      </w:tblGrid>
      <w:tr w:rsidR="000E2ED7" w:rsidRPr="009A46C7" w:rsidTr="00E722F5">
        <w:trPr>
          <w:cnfStyle w:val="100000000000"/>
        </w:trPr>
        <w:tc>
          <w:tcPr>
            <w:tcW w:w="9276" w:type="dxa"/>
          </w:tcPr>
          <w:p w:rsidR="00E1766B" w:rsidRPr="006810E6" w:rsidRDefault="00505588">
            <w:pPr>
              <w:pStyle w:val="Title"/>
              <w:keepNext/>
              <w:rPr>
                <w:color w:val="FFFFFF" w:themeColor="background1"/>
              </w:rPr>
            </w:pPr>
            <w:bookmarkStart w:id="455" w:name="_Toc370738864"/>
            <w:r w:rsidRPr="006810E6">
              <w:rPr>
                <w:color w:val="FFFFFF" w:themeColor="background1"/>
              </w:rPr>
              <w:t>Turtles</w:t>
            </w:r>
            <w:bookmarkEnd w:id="455"/>
          </w:p>
          <w:p w:rsidR="000E2ED7" w:rsidRPr="009A46C7" w:rsidRDefault="00E1766B" w:rsidP="000E2ED7">
            <w:pPr>
              <w:rPr>
                <w:b/>
              </w:rPr>
            </w:pPr>
            <w:r>
              <w:rPr>
                <w:rFonts w:cs="Calibri"/>
                <w:b/>
                <w:noProof/>
                <w:sz w:val="20"/>
                <w:szCs w:val="20"/>
                <w:shd w:val="clear" w:color="auto" w:fill="FFFFFF"/>
                <w:lang w:eastAsia="en-AU"/>
              </w:rPr>
              <w:drawing>
                <wp:inline distT="0" distB="0" distL="0" distR="0">
                  <wp:extent cx="5732780" cy="3227070"/>
                  <wp:effectExtent l="19050" t="0" r="1270" b="0"/>
                  <wp:docPr id="93" name="Picture 85"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32"/>
                          <pic:cNvPicPr>
                            <a:picLocks noChangeAspect="1" noChangeArrowheads="1"/>
                          </pic:cNvPicPr>
                        </pic:nvPicPr>
                        <pic:blipFill>
                          <a:blip r:embed="rId166" cstate="print"/>
                          <a:srcRect/>
                          <a:stretch>
                            <a:fillRect/>
                          </a:stretch>
                        </pic:blipFill>
                        <pic:spPr bwMode="auto">
                          <a:xfrm>
                            <a:off x="0" y="0"/>
                            <a:ext cx="5732780" cy="3227070"/>
                          </a:xfrm>
                          <a:prstGeom prst="rect">
                            <a:avLst/>
                          </a:prstGeom>
                          <a:noFill/>
                          <a:ln w="9525">
                            <a:noFill/>
                            <a:miter lim="800000"/>
                            <a:headEnd/>
                            <a:tailEnd/>
                          </a:ln>
                        </pic:spPr>
                      </pic:pic>
                    </a:graphicData>
                  </a:graphic>
                </wp:inline>
              </w:drawing>
            </w:r>
          </w:p>
          <w:p w:rsidR="000867FC" w:rsidRPr="00434389" w:rsidRDefault="00505588" w:rsidP="000867FC">
            <w:pPr>
              <w:pStyle w:val="NoSpacing"/>
              <w:spacing w:line="360" w:lineRule="auto"/>
            </w:pPr>
            <w:r w:rsidRPr="00505588">
              <w:t xml:space="preserve">We assessed the distribution, abundance and age structure of freshwater turtles in the mid-Murrumbidgee wetlands using large fyke nets set during August, October and December 2012. We used information collected during these surveys to assess the responses of freshwater turtles to environmental watering and natural flooding in the previous water year (2011-12) and to identify important breeding and refuge habitats in the mid-Murrumbidgee wetlands to guide priorities for environmental watering in future years. </w:t>
            </w:r>
            <w:r w:rsidR="000867FC" w:rsidRPr="000867FC">
              <w:rPr>
                <w:rFonts w:cs="Calibri"/>
                <w:szCs w:val="20"/>
              </w:rPr>
              <w:t xml:space="preserve">The Commonwealth environmental watering objectives related to </w:t>
            </w:r>
            <w:r w:rsidR="000867FC">
              <w:rPr>
                <w:rFonts w:cs="Calibri"/>
                <w:szCs w:val="20"/>
              </w:rPr>
              <w:t>turtles</w:t>
            </w:r>
            <w:r w:rsidR="000867FC" w:rsidRPr="000867FC">
              <w:rPr>
                <w:rFonts w:cs="Calibri"/>
                <w:szCs w:val="20"/>
              </w:rPr>
              <w:t xml:space="preserve"> were</w:t>
            </w:r>
            <w:r w:rsidR="000867FC">
              <w:rPr>
                <w:rFonts w:cs="Calibri"/>
                <w:b/>
                <w:i/>
                <w:szCs w:val="20"/>
              </w:rPr>
              <w:t xml:space="preserve"> </w:t>
            </w:r>
            <w:r w:rsidR="000867FC" w:rsidRPr="00776E10">
              <w:rPr>
                <w:rFonts w:cs="Calibri"/>
                <w:b/>
                <w:i/>
                <w:szCs w:val="20"/>
              </w:rPr>
              <w:t xml:space="preserve">“Support habitat requirements of other native aquatic species, including frogs, turtles, </w:t>
            </w:r>
            <w:proofErr w:type="gramStart"/>
            <w:r w:rsidR="000867FC" w:rsidRPr="00776E10">
              <w:rPr>
                <w:rFonts w:cs="Calibri"/>
                <w:b/>
                <w:i/>
                <w:szCs w:val="20"/>
              </w:rPr>
              <w:t>invertebrates</w:t>
            </w:r>
            <w:proofErr w:type="gramEnd"/>
            <w:r w:rsidR="000867FC" w:rsidRPr="00776E10">
              <w:rPr>
                <w:rFonts w:cs="Calibri"/>
                <w:b/>
                <w:i/>
                <w:szCs w:val="20"/>
              </w:rPr>
              <w:t xml:space="preserve">” </w:t>
            </w:r>
            <w:r w:rsidR="000867FC" w:rsidRPr="007F53DE">
              <w:rPr>
                <w:rFonts w:cs="Calibri"/>
                <w:szCs w:val="20"/>
              </w:rPr>
              <w:t>and</w:t>
            </w:r>
            <w:r w:rsidR="000867FC" w:rsidRPr="00776E10">
              <w:rPr>
                <w:rFonts w:cs="Calibri"/>
                <w:b/>
                <w:i/>
                <w:szCs w:val="20"/>
              </w:rPr>
              <w:t xml:space="preserve"> “Support breeding and recruitment of other native aquatic species, includin</w:t>
            </w:r>
            <w:r w:rsidR="007F53DE">
              <w:rPr>
                <w:rFonts w:cs="Calibri"/>
                <w:b/>
                <w:i/>
                <w:szCs w:val="20"/>
              </w:rPr>
              <w:t>g frogs, turtles, invertebrates</w:t>
            </w:r>
            <w:r w:rsidR="000867FC" w:rsidRPr="00776E10">
              <w:rPr>
                <w:rFonts w:cs="Calibri"/>
                <w:b/>
                <w:i/>
                <w:szCs w:val="20"/>
              </w:rPr>
              <w:t>”</w:t>
            </w:r>
            <w:r w:rsidR="007F53DE" w:rsidRPr="007F53DE">
              <w:rPr>
                <w:rFonts w:cs="Calibri"/>
                <w:szCs w:val="20"/>
              </w:rPr>
              <w:t>.</w:t>
            </w:r>
            <w:r w:rsidR="000867FC" w:rsidRPr="00776E10">
              <w:rPr>
                <w:rFonts w:cs="Calibri"/>
                <w:b/>
                <w:i/>
                <w:szCs w:val="20"/>
              </w:rPr>
              <w:t xml:space="preserve">  </w:t>
            </w:r>
          </w:p>
          <w:p w:rsidR="00E1766B" w:rsidRDefault="00E1766B">
            <w:pPr>
              <w:pStyle w:val="NoSpacing"/>
            </w:pPr>
          </w:p>
          <w:p w:rsidR="00E1766B" w:rsidRDefault="00505588">
            <w:pPr>
              <w:pStyle w:val="NoSpacing"/>
              <w:rPr>
                <w:b/>
              </w:rPr>
            </w:pPr>
            <w:r w:rsidRPr="00505588">
              <w:rPr>
                <w:b/>
              </w:rPr>
              <w:t xml:space="preserve">Key findings </w:t>
            </w:r>
          </w:p>
          <w:p w:rsidR="00E1766B" w:rsidRDefault="00505588">
            <w:pPr>
              <w:pStyle w:val="NoSpacing"/>
              <w:numPr>
                <w:ilvl w:val="0"/>
                <w:numId w:val="22"/>
              </w:numPr>
            </w:pPr>
            <w:r w:rsidRPr="00505588">
              <w:t xml:space="preserve">We recorded three freshwater turtle species across the five survey wetlands in the mid-Murrumbidgee: the Macquarie River turtle </w:t>
            </w:r>
            <w:r w:rsidRPr="00505588">
              <w:rPr>
                <w:rFonts w:eastAsia="Times-Bold"/>
                <w:i/>
              </w:rPr>
              <w:t>Emydura macquarii macquarii</w:t>
            </w:r>
            <w:r w:rsidRPr="00505588">
              <w:t xml:space="preserve">, broad-shelled turtle </w:t>
            </w:r>
            <w:r w:rsidRPr="00505588">
              <w:rPr>
                <w:rFonts w:eastAsia="Times-Bold"/>
                <w:i/>
              </w:rPr>
              <w:t>Chelodina expansa</w:t>
            </w:r>
            <w:r w:rsidRPr="00505588">
              <w:rPr>
                <w:rFonts w:eastAsia="Times-Bold"/>
              </w:rPr>
              <w:t xml:space="preserve"> </w:t>
            </w:r>
            <w:r w:rsidRPr="00505588">
              <w:t xml:space="preserve">and eastern long-necked turtle </w:t>
            </w:r>
            <w:r w:rsidRPr="00505588">
              <w:rPr>
                <w:i/>
              </w:rPr>
              <w:t>Chelodina longicollis</w:t>
            </w:r>
            <w:r w:rsidRPr="00505588">
              <w:t xml:space="preserve"> (</w:t>
            </w:r>
            <w:fldSimple w:instr=" REF _Ref368995014 \h  \* MERGEFORMAT ">
              <w:r w:rsidR="00436595" w:rsidRPr="00436595">
                <w:t>Plate 17</w:t>
              </w:r>
            </w:fldSimple>
            <w:r w:rsidRPr="00505588">
              <w:t>).</w:t>
            </w:r>
          </w:p>
          <w:p w:rsidR="00E1766B" w:rsidRDefault="00505588">
            <w:pPr>
              <w:pStyle w:val="NoSpacing"/>
              <w:numPr>
                <w:ilvl w:val="0"/>
                <w:numId w:val="22"/>
              </w:numPr>
            </w:pPr>
            <w:r w:rsidRPr="00505588">
              <w:t>The broad-shelled turtle</w:t>
            </w:r>
            <w:r w:rsidR="006B26D6">
              <w:t>, which</w:t>
            </w:r>
            <w:r w:rsidR="004F186B">
              <w:t xml:space="preserve"> is considered to be declining through the Murray </w:t>
            </w:r>
            <w:r w:rsidR="00E54707">
              <w:t>D</w:t>
            </w:r>
            <w:r w:rsidR="004F186B">
              <w:t>arling basin</w:t>
            </w:r>
            <w:r w:rsidR="006B26D6">
              <w:t xml:space="preserve">, </w:t>
            </w:r>
            <w:r w:rsidR="006B26D6" w:rsidRPr="000867FC">
              <w:t>was</w:t>
            </w:r>
            <w:r w:rsidR="004F186B">
              <w:t xml:space="preserve"> recorded at two sites in the Mid-Murrumbidgee</w:t>
            </w:r>
            <w:r w:rsidR="00E54707">
              <w:t>,</w:t>
            </w:r>
            <w:r w:rsidRPr="00505588">
              <w:t xml:space="preserve"> Euroley and Yarrada </w:t>
            </w:r>
            <w:r w:rsidR="00E54707">
              <w:t>L</w:t>
            </w:r>
            <w:r w:rsidRPr="00505588">
              <w:t xml:space="preserve">agoons, adjacent to the Murrumbidgee River. </w:t>
            </w:r>
          </w:p>
          <w:p w:rsidR="00E1766B" w:rsidRDefault="004F186B">
            <w:pPr>
              <w:pStyle w:val="NoSpacing"/>
              <w:numPr>
                <w:ilvl w:val="0"/>
                <w:numId w:val="22"/>
              </w:numPr>
              <w:rPr>
                <w:noProof/>
                <w:lang w:eastAsia="en-AU"/>
              </w:rPr>
            </w:pPr>
            <w:r>
              <w:t>Hatchlings of the</w:t>
            </w:r>
            <w:r w:rsidR="00505588" w:rsidRPr="00505588">
              <w:t xml:space="preserve"> Macquarie River turtle w</w:t>
            </w:r>
            <w:r>
              <w:t>ere</w:t>
            </w:r>
            <w:r w:rsidR="00505588" w:rsidRPr="00505588">
              <w:t xml:space="preserve"> </w:t>
            </w:r>
            <w:r w:rsidRPr="000867FC">
              <w:t>detected</w:t>
            </w:r>
            <w:r w:rsidR="00505588" w:rsidRPr="00505588">
              <w:t xml:space="preserve"> in three of the five wetlands sampled </w:t>
            </w:r>
            <w:r w:rsidR="006B26D6">
              <w:t>in the mid-Murrumbidgee</w:t>
            </w:r>
            <w:r w:rsidR="006B26D6" w:rsidRPr="000867FC">
              <w:t xml:space="preserve"> </w:t>
            </w:r>
            <w:r w:rsidR="00505588" w:rsidRPr="00505588">
              <w:t>(Yarrada, Sunshower and McKennas lagoons)</w:t>
            </w:r>
            <w:r w:rsidR="006B26D6">
              <w:t xml:space="preserve"> and hatchling</w:t>
            </w:r>
            <w:r w:rsidR="00505588" w:rsidRPr="00505588">
              <w:t xml:space="preserve"> Eastern long-necked turtles were detected breeding in McKennas lagoon</w:t>
            </w:r>
            <w:r w:rsidR="006B26D6">
              <w:t>.</w:t>
            </w:r>
          </w:p>
          <w:p w:rsidR="000E2ED7" w:rsidRPr="009A46C7" w:rsidRDefault="000E2ED7" w:rsidP="00D37895">
            <w:pPr>
              <w:rPr>
                <w:b/>
              </w:rPr>
            </w:pPr>
          </w:p>
        </w:tc>
      </w:tr>
    </w:tbl>
    <w:p w:rsidR="000F5435" w:rsidRDefault="00505588" w:rsidP="006B26D6">
      <w:pPr>
        <w:pStyle w:val="Heading1"/>
      </w:pPr>
      <w:bookmarkStart w:id="456" w:name="_Toc370299250"/>
      <w:bookmarkStart w:id="457" w:name="_Toc370738865"/>
      <w:bookmarkStart w:id="458" w:name="_Toc378168593"/>
      <w:r w:rsidRPr="00505588">
        <w:rPr>
          <w:noProof/>
          <w:lang w:eastAsia="en-AU"/>
        </w:rPr>
        <w:t>S</w:t>
      </w:r>
      <w:r w:rsidR="000F5435" w:rsidRPr="000F5435">
        <w:t>upport</w:t>
      </w:r>
      <w:r w:rsidR="000F5435">
        <w:t>ing habitat,</w:t>
      </w:r>
      <w:r w:rsidR="000F5435" w:rsidRPr="000F5435">
        <w:t xml:space="preserve"> breeding and recruitment of other native aquatic species</w:t>
      </w:r>
      <w:r w:rsidR="000F5435">
        <w:t>: Freshwater turtles</w:t>
      </w:r>
      <w:bookmarkEnd w:id="456"/>
      <w:bookmarkEnd w:id="457"/>
      <w:bookmarkEnd w:id="458"/>
    </w:p>
    <w:p w:rsidR="00D37895" w:rsidRPr="00BF39A6" w:rsidRDefault="000F5435" w:rsidP="00C44F46">
      <w:pPr>
        <w:pStyle w:val="Heading2"/>
      </w:pPr>
      <w:r w:rsidRPr="00BF39A6">
        <w:t xml:space="preserve"> </w:t>
      </w:r>
      <w:bookmarkStart w:id="459" w:name="_Toc370299251"/>
      <w:bookmarkStart w:id="460" w:name="_Toc370738866"/>
      <w:bookmarkStart w:id="461" w:name="_Toc378168594"/>
      <w:r w:rsidR="00D37895" w:rsidRPr="00BF39A6">
        <w:t>Introduction</w:t>
      </w:r>
      <w:bookmarkEnd w:id="459"/>
      <w:bookmarkEnd w:id="460"/>
      <w:bookmarkEnd w:id="461"/>
    </w:p>
    <w:p w:rsidR="00B74DE8" w:rsidRDefault="00D37895" w:rsidP="00AD7858">
      <w:pPr>
        <w:pStyle w:val="BodyText1"/>
        <w:rPr>
          <w:color w:val="222222"/>
          <w:shd w:val="clear" w:color="auto" w:fill="FFFFFF"/>
        </w:rPr>
      </w:pPr>
      <w:r w:rsidRPr="006810E6">
        <w:t>Freshwater turtles depend on wetland and riverine ecosystems to live and reproduce. They are particularly vulnerable to the effects of river regulation, as they are long-lived animals with delayed sexual maturity and gene</w:t>
      </w:r>
      <w:r w:rsidR="00E722F5" w:rsidRPr="006810E6">
        <w:t xml:space="preserve">rally low reproductive success </w:t>
      </w:r>
      <w:r w:rsidR="00D20FAE" w:rsidRPr="006810E6">
        <w:rPr>
          <w:rFonts w:cs="Times New Roman"/>
        </w:rPr>
        <w:fldChar w:fldCharType="begin"/>
      </w:r>
      <w:r w:rsidR="006810E6" w:rsidRPr="006810E6">
        <w:rPr>
          <w:rFonts w:cs="Times New Roman"/>
        </w:rPr>
        <w:instrText xml:space="preserve"> ADDIN EN.CITE &lt;EndNote&gt;&lt;Cite&gt;&lt;Author&gt;!!! INVALID CITATION !!!&lt;/Author&gt;&lt;RecNum&gt;0&lt;/RecNum&gt;&lt;DisplayText&gt;(Rizkalla and Swihart 2006, !!! INVALID CITATION !!!)&lt;/DisplayText&gt;&lt;record&gt;&lt;dates&gt;&lt;year&gt;!!! INVALID CITATION !!!&lt;/year&gt;&lt;/dates&gt;&lt;/record&gt;&lt;/Cite&gt;&lt;Cite&gt;&lt;Author&gt;Rizkalla&lt;/Author&gt;&lt;Year&gt;2006&lt;/Year&gt;&lt;RecNum&gt;3435&lt;/RecNum&gt;&lt;record&gt;&lt;rec-number&gt;3435&lt;/rec-number&gt;&lt;foreign-keys&gt;&lt;key app="EN" db-id="vxxvsda2b05fxpeaw2dp552mtrd5trxdrf0s"&gt;3435&lt;/key&gt;&lt;/foreign-keys&gt;&lt;ref-type name="Journal Article"&gt;17&lt;/ref-type&gt;&lt;contributors&gt;&lt;authors&gt;&lt;author&gt;Rizkalla, CarolE&lt;/author&gt;&lt;author&gt;Swihart, RobertK&lt;/author&gt;&lt;/authors&gt;&lt;/contributors&gt;&lt;titles&gt;&lt;title&gt;Community structure and differential responses of aquatic turtles to agriculturally induced habitat fragmentation&lt;/title&gt;&lt;secondary-title&gt;Landscape Ecology&lt;/secondary-title&gt;&lt;alt-title&gt;Landscape Ecol&lt;/alt-title&gt;&lt;/titles&gt;&lt;periodical&gt;&lt;full-title&gt;Landscape Ecology&lt;/full-title&gt;&lt;abbr-1&gt;Landscape Ecol&lt;/abbr-1&gt;&lt;/periodical&gt;&lt;alt-periodical&gt;&lt;full-title&gt;Landscape Ecology&lt;/full-title&gt;&lt;abbr-1&gt;Landscape Ecol&lt;/abbr-1&gt;&lt;/alt-periodical&gt;&lt;pages&gt;1361-1375&lt;/pages&gt;&lt;volume&gt;21&lt;/volume&gt;&lt;number&gt;8&lt;/number&gt;&lt;keywords&gt;&lt;keyword&gt;Abundance&lt;/keyword&gt;&lt;keyword&gt;Fragmentation&lt;/keyword&gt;&lt;keyword&gt;Northern map turtle&lt;/keyword&gt;&lt;keyword&gt;Nestedness&lt;/keyword&gt;&lt;keyword&gt;Occupancy&lt;/keyword&gt;&lt;keyword&gt;Midland painted turtle&lt;/keyword&gt;&lt;keyword&gt;Red-eared slider&lt;/keyword&gt;&lt;keyword&gt;Common snapping turtle&lt;/keyword&gt;&lt;keyword&gt;Eastern spiny softshell&lt;/keyword&gt;&lt;/keywords&gt;&lt;dates&gt;&lt;year&gt;2006&lt;/year&gt;&lt;pub-dates&gt;&lt;date&gt;2006/11/01&lt;/date&gt;&lt;/pub-dates&gt;&lt;/dates&gt;&lt;publisher&gt;Kluwer Academic Publishers&lt;/publisher&gt;&lt;isbn&gt;0921-2973&lt;/isbn&gt;&lt;urls&gt;&lt;related-urls&gt;&lt;url&gt;http://dx.doi.org/10.1007/s10980-006-0019-6&lt;/url&gt;&lt;/related-urls&gt;&lt;/urls&gt;&lt;electronic-resource-num&gt;10.1007/s10980-006-0019-6&lt;/electronic-resource-num&gt;&lt;language&gt;English&lt;/language&gt;&lt;/record&gt;&lt;/Cite&gt;&lt;/EndNote&gt;</w:instrText>
      </w:r>
      <w:r w:rsidR="00D20FAE" w:rsidRPr="006810E6">
        <w:rPr>
          <w:rFonts w:cs="Times New Roman"/>
        </w:rPr>
        <w:fldChar w:fldCharType="separate"/>
      </w:r>
      <w:r w:rsidR="006810E6" w:rsidRPr="006810E6">
        <w:rPr>
          <w:rFonts w:cs="Times New Roman"/>
          <w:noProof/>
        </w:rPr>
        <w:t>(</w:t>
      </w:r>
      <w:hyperlink w:anchor="_ENREF_85" w:tooltip="Rizkalla, 2006 #3435" w:history="1">
        <w:r w:rsidR="006810E6" w:rsidRPr="006810E6">
          <w:rPr>
            <w:rFonts w:cs="Times New Roman"/>
            <w:noProof/>
          </w:rPr>
          <w:t>Rizkalla and Swihart 2006</w:t>
        </w:r>
      </w:hyperlink>
      <w:r w:rsidR="006810E6" w:rsidRPr="006810E6">
        <w:rPr>
          <w:rFonts w:cs="Times New Roman"/>
          <w:noProof/>
        </w:rPr>
        <w:t>)</w:t>
      </w:r>
      <w:r w:rsidR="00D20FAE" w:rsidRPr="006810E6">
        <w:rPr>
          <w:rFonts w:cs="Times New Roman"/>
        </w:rPr>
        <w:fldChar w:fldCharType="end"/>
      </w:r>
      <w:r w:rsidRPr="006810E6">
        <w:rPr>
          <w:rFonts w:cs="Times New Roman"/>
        </w:rPr>
        <w:t>.</w:t>
      </w:r>
      <w:r w:rsidRPr="006810E6">
        <w:t xml:space="preserve"> Reduced flooding frequency and flooding extent is thought to negatively impact the survival of adult turtles and their young </w:t>
      </w:r>
      <w:r w:rsidR="00D20FAE" w:rsidRPr="006810E6">
        <w:fldChar w:fldCharType="begin"/>
      </w:r>
      <w:r w:rsidR="006171E9" w:rsidRPr="006810E6">
        <w:instrText xml:space="preserve"> ADDIN EN.CITE &lt;EndNote&gt;&lt;Cite&gt;&lt;Author&gt;Chessman&lt;/Author&gt;&lt;Year&gt;2011&lt;/Year&gt;&lt;RecNum&gt;3208&lt;/RecNum&gt;&lt;DisplayText&gt;(Chessman 2011)&lt;/DisplayText&gt;&lt;record&gt;&lt;rec-number&gt;3208&lt;/rec-number&gt;&lt;foreign-keys&gt;&lt;key app="EN" db-id="vxxvsda2b05fxpeaw2dp552mtrd5trxdrf0s"&gt;3208&lt;/key&gt;&lt;/foreign-keys&gt;&lt;ref-type name="Journal Article"&gt;17&lt;/ref-type&gt;&lt;contributors&gt;&lt;authors&gt;&lt;author&gt;Chessman, Bruce C.&lt;/author&gt;&lt;/authors&gt;&lt;/contributors&gt;&lt;titles&gt;&lt;title&gt;Declines of freshwater turtles associated with climatic drying in Australia&amp;apos;s Murray-Darling Basin&lt;/title&gt;&lt;secondary-title&gt;Wildlife Research&lt;/secondary-title&gt;&lt;/titles&gt;&lt;periodical&gt;&lt;full-title&gt;Wildlife Research&lt;/full-title&gt;&lt;/periodical&gt;&lt;pages&gt;664-671&lt;/pages&gt;&lt;volume&gt;38&lt;/volume&gt;&lt;number&gt;8&lt;/number&gt;&lt;dates&gt;&lt;year&gt;2011&lt;/year&gt;&lt;/dates&gt;&lt;urls&gt;&lt;related-urls&gt;&lt;url&gt;http://www.publish.csiro.au/paper/WR11108&lt;/url&gt;&lt;/related-urls&gt;&lt;/urls&gt;&lt;electronic-resource-num&gt;http://dx.doi.org/10.1071/WR11108&lt;/electronic-resource-num&gt;&lt;/record&gt;&lt;/Cite&gt;&lt;/EndNote&gt;</w:instrText>
      </w:r>
      <w:r w:rsidR="00D20FAE" w:rsidRPr="006810E6">
        <w:fldChar w:fldCharType="separate"/>
      </w:r>
      <w:r w:rsidR="006171E9" w:rsidRPr="006810E6">
        <w:rPr>
          <w:noProof/>
        </w:rPr>
        <w:t>(</w:t>
      </w:r>
      <w:hyperlink w:anchor="_ENREF_24" w:tooltip="Chessman, 2011 #3208" w:history="1">
        <w:r w:rsidR="006810E6" w:rsidRPr="006810E6">
          <w:rPr>
            <w:noProof/>
          </w:rPr>
          <w:t>Chessman 2011</w:t>
        </w:r>
      </w:hyperlink>
      <w:r w:rsidR="006171E9" w:rsidRPr="006810E6">
        <w:rPr>
          <w:noProof/>
        </w:rPr>
        <w:t>)</w:t>
      </w:r>
      <w:r w:rsidR="00D20FAE" w:rsidRPr="006810E6">
        <w:fldChar w:fldCharType="end"/>
      </w:r>
      <w:r w:rsidR="007C304B" w:rsidRPr="006810E6">
        <w:rPr>
          <w:color w:val="222222"/>
          <w:shd w:val="clear" w:color="auto" w:fill="FFFFFF"/>
        </w:rPr>
        <w:t>.</w:t>
      </w:r>
    </w:p>
    <w:p w:rsidR="00D37895" w:rsidRPr="005A691B" w:rsidRDefault="00D37895" w:rsidP="00AD7858">
      <w:pPr>
        <w:pStyle w:val="BodyText1"/>
      </w:pPr>
      <w:r>
        <w:t>Three</w:t>
      </w:r>
      <w:r w:rsidR="007F53DE">
        <w:t xml:space="preserve"> key turtle</w:t>
      </w:r>
      <w:r w:rsidRPr="00BF39A6">
        <w:t xml:space="preserve"> species </w:t>
      </w:r>
      <w:r>
        <w:t>occur</w:t>
      </w:r>
      <w:r w:rsidRPr="00BF39A6">
        <w:t xml:space="preserve"> in the Murrumbidgee</w:t>
      </w:r>
      <w:r>
        <w:t xml:space="preserve"> Catchment:</w:t>
      </w:r>
      <w:r w:rsidRPr="00BF39A6">
        <w:t xml:space="preserve"> the </w:t>
      </w:r>
      <w:r>
        <w:t>b</w:t>
      </w:r>
      <w:r w:rsidRPr="00BF39A6">
        <w:t>road</w:t>
      </w:r>
      <w:r>
        <w:t>-</w:t>
      </w:r>
      <w:r w:rsidRPr="00BF39A6">
        <w:t>shell</w:t>
      </w:r>
      <w:r>
        <w:t xml:space="preserve">ed </w:t>
      </w:r>
      <w:r w:rsidRPr="00BF39A6">
        <w:t>turtle (</w:t>
      </w:r>
      <w:r w:rsidRPr="007C304B">
        <w:rPr>
          <w:i/>
          <w:color w:val="222222"/>
          <w:shd w:val="clear" w:color="auto" w:fill="FFFFFF"/>
        </w:rPr>
        <w:t xml:space="preserve">Chelodina </w:t>
      </w:r>
      <w:r w:rsidRPr="007C304B">
        <w:rPr>
          <w:i/>
        </w:rPr>
        <w:t>expansa</w:t>
      </w:r>
      <w:r w:rsidR="007F53DE">
        <w:t xml:space="preserve">, </w:t>
      </w:r>
      <w:r w:rsidRPr="007C304B">
        <w:t>listed as threatened in Victoria and considered to be near threatened in NSW), the eastern long-necked turtle (</w:t>
      </w:r>
      <w:r w:rsidRPr="007C304B">
        <w:rPr>
          <w:i/>
        </w:rPr>
        <w:t>Chelodina longicollis</w:t>
      </w:r>
      <w:r w:rsidRPr="007C304B">
        <w:t>)</w:t>
      </w:r>
      <w:r w:rsidR="00E54707">
        <w:t xml:space="preserve"> </w:t>
      </w:r>
      <w:r w:rsidRPr="00E54707">
        <w:t>and</w:t>
      </w:r>
      <w:r w:rsidR="004E135B" w:rsidRPr="004E135B">
        <w:rPr>
          <w:rStyle w:val="apple-converted-space"/>
          <w:rFonts w:cs="Calibri"/>
          <w:color w:val="222222"/>
          <w:shd w:val="clear" w:color="auto" w:fill="FFFFFF"/>
        </w:rPr>
        <w:t xml:space="preserve"> the Macquarie River turtle (</w:t>
      </w:r>
      <w:r w:rsidRPr="00E54707">
        <w:rPr>
          <w:i/>
          <w:color w:val="222222"/>
          <w:shd w:val="clear" w:color="auto" w:fill="FFFFFF"/>
        </w:rPr>
        <w:t>Emydura macquarii</w:t>
      </w:r>
      <w:r w:rsidRPr="00E54707">
        <w:rPr>
          <w:color w:val="222222"/>
          <w:shd w:val="clear" w:color="auto" w:fill="FFFFFF"/>
        </w:rPr>
        <w:t>)</w:t>
      </w:r>
      <w:r w:rsidRPr="00BF39A6">
        <w:rPr>
          <w:color w:val="222222"/>
          <w:shd w:val="clear" w:color="auto" w:fill="FFFFFF"/>
        </w:rPr>
        <w:t xml:space="preserve"> (</w:t>
      </w:r>
      <w:r w:rsidR="00D20FAE">
        <w:rPr>
          <w:color w:val="222222"/>
          <w:highlight w:val="yellow"/>
          <w:shd w:val="clear" w:color="auto" w:fill="FFFFFF"/>
        </w:rPr>
        <w:fldChar w:fldCharType="begin"/>
      </w:r>
      <w:r w:rsidR="006810E6">
        <w:rPr>
          <w:color w:val="222222"/>
          <w:shd w:val="clear" w:color="auto" w:fill="FFFFFF"/>
        </w:rPr>
        <w:instrText xml:space="preserve"> REF _Ref368995014 \h </w:instrText>
      </w:r>
      <w:r w:rsidR="00D20FAE">
        <w:rPr>
          <w:color w:val="222222"/>
          <w:highlight w:val="yellow"/>
          <w:shd w:val="clear" w:color="auto" w:fill="FFFFFF"/>
        </w:rPr>
      </w:r>
      <w:r w:rsidR="00D20FAE">
        <w:rPr>
          <w:color w:val="222222"/>
          <w:highlight w:val="yellow"/>
          <w:shd w:val="clear" w:color="auto" w:fill="FFFFFF"/>
        </w:rPr>
        <w:fldChar w:fldCharType="separate"/>
      </w:r>
      <w:r w:rsidR="00436595" w:rsidRPr="00B67554">
        <w:rPr>
          <w:b/>
        </w:rPr>
        <w:t xml:space="preserve">Plate </w:t>
      </w:r>
      <w:r w:rsidR="00436595">
        <w:rPr>
          <w:b/>
          <w:noProof/>
        </w:rPr>
        <w:t>17</w:t>
      </w:r>
      <w:r w:rsidR="00D20FAE">
        <w:rPr>
          <w:color w:val="222222"/>
          <w:highlight w:val="yellow"/>
          <w:shd w:val="clear" w:color="auto" w:fill="FFFFFF"/>
        </w:rPr>
        <w:fldChar w:fldCharType="end"/>
      </w:r>
      <w:r w:rsidRPr="00BF39A6">
        <w:rPr>
          <w:color w:val="222222"/>
          <w:shd w:val="clear" w:color="auto" w:fill="FFFFFF"/>
        </w:rPr>
        <w:t xml:space="preserve">). While all three species occur within the main river channel, wetlands are particularly important as feeding and nursery habitats for turtles </w:t>
      </w:r>
      <w:r w:rsidR="00D20FAE" w:rsidRPr="007F53DE">
        <w:rPr>
          <w:color w:val="222222"/>
          <w:shd w:val="clear" w:color="auto" w:fill="FFFFFF"/>
        </w:rPr>
        <w:fldChar w:fldCharType="begin"/>
      </w:r>
      <w:r w:rsidR="006171E9" w:rsidRPr="007F53DE">
        <w:rPr>
          <w:color w:val="222222"/>
          <w:shd w:val="clear" w:color="auto" w:fill="FFFFFF"/>
        </w:rPr>
        <w:instrText xml:space="preserve"> ADDIN EN.CITE &lt;EndNote&gt;&lt;Cite&gt;&lt;Author&gt;Chessman&lt;/Author&gt;&lt;Year&gt;1988&lt;/Year&gt;&lt;RecNum&gt;3205&lt;/RecNum&gt;&lt;DisplayText&gt;(Chessman 1988, Chessman 2011)&lt;/DisplayText&gt;&lt;record&gt;&lt;rec-number&gt;3205&lt;/rec-number&gt;&lt;foreign-keys&gt;&lt;key app="EN" db-id="vxxvsda2b05fxpeaw2dp552mtrd5trxdrf0s"&gt;3205&lt;/key&gt;&lt;/foreign-keys&gt;&lt;ref-type name="Journal Article"&gt;17&lt;/ref-type&gt;&lt;contributors&gt;&lt;authors&gt;&lt;author&gt;Chessman, BC&lt;/author&gt;&lt;/authors&gt;&lt;/contributors&gt;&lt;titles&gt;&lt;title&gt;Habitat Preferences of Fresh-Water Turtles in the Murray Valley, Victoria and New-South-Wales&lt;/title&gt;&lt;secondary-title&gt;Wildlife Research&lt;/secondary-title&gt;&lt;/titles&gt;&lt;periodical&gt;&lt;full-title&gt;Wildlife Research&lt;/full-title&gt;&lt;/periodical&gt;&lt;pages&gt;485-491&lt;/pages&gt;&lt;volume&gt;15&lt;/volume&gt;&lt;number&gt;5&lt;/number&gt;&lt;dates&gt;&lt;year&gt;1988&lt;/year&gt;&lt;/dates&gt;&lt;urls&gt;&lt;related-urls&gt;&lt;url&gt;http://www.publish.csiro.au/paper/WR9880485&lt;/url&gt;&lt;/related-urls&gt;&lt;/urls&gt;&lt;electronic-resource-num&gt;http://dx.doi.org/10.1071/WR9880485&lt;/electronic-resource-num&gt;&lt;/record&gt;&lt;/Cite&gt;&lt;Cite&gt;&lt;Author&gt;Chessman&lt;/Author&gt;&lt;Year&gt;2011&lt;/Year&gt;&lt;RecNum&gt;3208&lt;/RecNum&gt;&lt;record&gt;&lt;rec-number&gt;3208&lt;/rec-number&gt;&lt;foreign-keys&gt;&lt;key app="EN" db-id="vxxvsda2b05fxpeaw2dp552mtrd5trxdrf0s"&gt;3208&lt;/key&gt;&lt;/foreign-keys&gt;&lt;ref-type name="Journal Article"&gt;17&lt;/ref-type&gt;&lt;contributors&gt;&lt;authors&gt;&lt;author&gt;Chessman, Bruce C.&lt;/author&gt;&lt;/authors&gt;&lt;/contributors&gt;&lt;titles&gt;&lt;title&gt;Declines of freshwater turtles associated with climatic drying in Australia&amp;apos;s Murray-Darling Basin&lt;/title&gt;&lt;secondary-title&gt;Wildlife Research&lt;/secondary-title&gt;&lt;/titles&gt;&lt;periodical&gt;&lt;full-title&gt;Wildlife Research&lt;/full-title&gt;&lt;/periodical&gt;&lt;pages&gt;664-671&lt;/pages&gt;&lt;volume&gt;38&lt;/volume&gt;&lt;number&gt;8&lt;/number&gt;&lt;dates&gt;&lt;year&gt;2011&lt;/year&gt;&lt;/dates&gt;&lt;urls&gt;&lt;related-urls&gt;&lt;url&gt;http://www.publish.csiro.au/paper/WR11108&lt;/url&gt;&lt;/related-urls&gt;&lt;/urls&gt;&lt;electronic-resource-num&gt;http://dx.doi.org/10.1071/WR11108&lt;/electronic-resource-num&gt;&lt;/record&gt;&lt;/Cite&gt;&lt;/EndNote&gt;</w:instrText>
      </w:r>
      <w:r w:rsidR="00D20FAE" w:rsidRPr="007F53DE">
        <w:rPr>
          <w:color w:val="222222"/>
          <w:shd w:val="clear" w:color="auto" w:fill="FFFFFF"/>
        </w:rPr>
        <w:fldChar w:fldCharType="separate"/>
      </w:r>
      <w:r w:rsidR="006171E9" w:rsidRPr="007F53DE">
        <w:rPr>
          <w:noProof/>
          <w:color w:val="222222"/>
          <w:shd w:val="clear" w:color="auto" w:fill="FFFFFF"/>
        </w:rPr>
        <w:t>(</w:t>
      </w:r>
      <w:hyperlink w:anchor="_ENREF_23" w:tooltip="Chessman, 1988 #3205" w:history="1">
        <w:r w:rsidR="006810E6" w:rsidRPr="007F53DE">
          <w:rPr>
            <w:noProof/>
            <w:color w:val="222222"/>
            <w:shd w:val="clear" w:color="auto" w:fill="FFFFFF"/>
          </w:rPr>
          <w:t>Chessman 1988</w:t>
        </w:r>
      </w:hyperlink>
      <w:r w:rsidR="006171E9" w:rsidRPr="007F53DE">
        <w:rPr>
          <w:noProof/>
          <w:color w:val="222222"/>
          <w:shd w:val="clear" w:color="auto" w:fill="FFFFFF"/>
        </w:rPr>
        <w:t xml:space="preserve">, </w:t>
      </w:r>
      <w:hyperlink w:anchor="_ENREF_24" w:tooltip="Chessman, 2011 #3208" w:history="1">
        <w:r w:rsidR="006810E6" w:rsidRPr="007F53DE">
          <w:rPr>
            <w:noProof/>
            <w:color w:val="222222"/>
            <w:shd w:val="clear" w:color="auto" w:fill="FFFFFF"/>
          </w:rPr>
          <w:t>Chessman 2011</w:t>
        </w:r>
      </w:hyperlink>
      <w:r w:rsidR="006171E9" w:rsidRPr="007F53DE">
        <w:rPr>
          <w:noProof/>
          <w:color w:val="222222"/>
          <w:shd w:val="clear" w:color="auto" w:fill="FFFFFF"/>
        </w:rPr>
        <w:t>)</w:t>
      </w:r>
      <w:r w:rsidR="00D20FAE" w:rsidRPr="007F53DE">
        <w:rPr>
          <w:color w:val="222222"/>
          <w:shd w:val="clear" w:color="auto" w:fill="FFFFFF"/>
        </w:rPr>
        <w:fldChar w:fldCharType="end"/>
      </w:r>
      <w:r>
        <w:rPr>
          <w:color w:val="222222"/>
          <w:shd w:val="clear" w:color="auto" w:fill="FFFFFF"/>
        </w:rPr>
        <w:t>. In general, t</w:t>
      </w:r>
      <w:r w:rsidRPr="00BF39A6">
        <w:t xml:space="preserve">he distribution of freshwater turtles is determined by distance from the main river channel or permanent waterbodies. </w:t>
      </w:r>
      <w:r>
        <w:t>However, f</w:t>
      </w:r>
      <w:r w:rsidRPr="00BF39A6">
        <w:t xml:space="preserve">loodwaters can facilitate the movement of highly mobile species such as the </w:t>
      </w:r>
      <w:r>
        <w:t xml:space="preserve">eastern </w:t>
      </w:r>
      <w:r w:rsidRPr="00BF39A6">
        <w:t>long-necked turtle between permanent refugia and temporary wetland habitats</w:t>
      </w:r>
      <w:r>
        <w:t>,</w:t>
      </w:r>
      <w:r w:rsidRPr="00BF39A6">
        <w:t xml:space="preserve"> which</w:t>
      </w:r>
      <w:r>
        <w:t xml:space="preserve"> can</w:t>
      </w:r>
      <w:r w:rsidRPr="00BF39A6">
        <w:t xml:space="preserve"> have abundant food resources</w:t>
      </w:r>
      <w:r w:rsidR="00B74DE8">
        <w:t xml:space="preserve"> </w:t>
      </w:r>
      <w:r w:rsidR="00D20FAE">
        <w:fldChar w:fldCharType="begin"/>
      </w:r>
      <w:r w:rsidR="006171E9">
        <w:instrText xml:space="preserve"> ADDIN EN.CITE &lt;EndNote&gt;&lt;Cite&gt;&lt;Author&gt;Chessman&lt;/Author&gt;&lt;Year&gt;2011&lt;/Year&gt;&lt;RecNum&gt;3208&lt;/RecNum&gt;&lt;DisplayText&gt;(Chessman 2011)&lt;/DisplayText&gt;&lt;record&gt;&lt;rec-number&gt;3208&lt;/rec-number&gt;&lt;foreign-keys&gt;&lt;key app="EN" db-id="vxxvsda2b05fxpeaw2dp552mtrd5trxdrf0s"&gt;3208&lt;/key&gt;&lt;/foreign-keys&gt;&lt;ref-type name="Journal Article"&gt;17&lt;/ref-type&gt;&lt;contributors&gt;&lt;authors&gt;&lt;author&gt;Chessman, Bruce C.&lt;/author&gt;&lt;/authors&gt;&lt;/contributors&gt;&lt;titles&gt;&lt;title&gt;Declines of freshwater turtles associated with climatic drying in Australia&amp;apos;s Murray-Darling Basin&lt;/title&gt;&lt;secondary-title&gt;Wildlife Research&lt;/secondary-title&gt;&lt;/titles&gt;&lt;periodical&gt;&lt;full-title&gt;Wildlife Research&lt;/full-title&gt;&lt;/periodical&gt;&lt;pages&gt;664-671&lt;/pages&gt;&lt;volume&gt;38&lt;/volume&gt;&lt;number&gt;8&lt;/number&gt;&lt;dates&gt;&lt;year&gt;2011&lt;/year&gt;&lt;/dates&gt;&lt;urls&gt;&lt;related-urls&gt;&lt;url&gt;http://www.publish.csiro.au/paper/WR11108&lt;/url&gt;&lt;/related-urls&gt;&lt;/urls&gt;&lt;electronic-resource-num&gt;http://dx.doi.org/10.1071/WR11108&lt;/electronic-resource-num&gt;&lt;/record&gt;&lt;/Cite&gt;&lt;/EndNote&gt;</w:instrText>
      </w:r>
      <w:r w:rsidR="00D20FAE">
        <w:fldChar w:fldCharType="separate"/>
      </w:r>
      <w:r w:rsidR="006171E9">
        <w:rPr>
          <w:noProof/>
        </w:rPr>
        <w:t>(</w:t>
      </w:r>
      <w:hyperlink w:anchor="_ENREF_24" w:tooltip="Chessman, 2011 #3208" w:history="1">
        <w:r w:rsidR="006810E6">
          <w:rPr>
            <w:noProof/>
          </w:rPr>
          <w:t>Chessman 2011</w:t>
        </w:r>
      </w:hyperlink>
      <w:r w:rsidR="006171E9">
        <w:rPr>
          <w:noProof/>
        </w:rPr>
        <w:t>)</w:t>
      </w:r>
      <w:r w:rsidR="00D20FAE">
        <w:fldChar w:fldCharType="end"/>
      </w:r>
      <w:r w:rsidRPr="00BF39A6">
        <w:t>.</w:t>
      </w:r>
    </w:p>
    <w:p w:rsidR="00D37895" w:rsidRPr="009D1C4F" w:rsidRDefault="006810E6" w:rsidP="006810E6">
      <w:pPr>
        <w:pStyle w:val="Heading2"/>
      </w:pPr>
      <w:r>
        <w:t xml:space="preserve"> </w:t>
      </w:r>
      <w:bookmarkStart w:id="462" w:name="_Toc378168595"/>
      <w:r w:rsidR="00D37895" w:rsidRPr="009D1C4F">
        <w:t>Methods</w:t>
      </w:r>
      <w:bookmarkEnd w:id="462"/>
    </w:p>
    <w:p w:rsidR="00D37895" w:rsidRDefault="00D37895" w:rsidP="00AD7858">
      <w:pPr>
        <w:pStyle w:val="BodyText1"/>
        <w:rPr>
          <w:shd w:val="clear" w:color="auto" w:fill="FFFFFF"/>
        </w:rPr>
      </w:pPr>
      <w:r>
        <w:rPr>
          <w:shd w:val="clear" w:color="auto" w:fill="FFFFFF"/>
        </w:rPr>
        <w:t xml:space="preserve">Turtle populations were sampled using </w:t>
      </w:r>
      <w:r w:rsidRPr="00BF39A6">
        <w:rPr>
          <w:shd w:val="clear" w:color="auto" w:fill="FFFFFF"/>
        </w:rPr>
        <w:t>large fyke nets</w:t>
      </w:r>
      <w:r w:rsidR="007F53DE">
        <w:rPr>
          <w:shd w:val="clear" w:color="auto" w:fill="FFFFFF"/>
        </w:rPr>
        <w:t>,</w:t>
      </w:r>
      <w:r w:rsidRPr="00BF39A6">
        <w:rPr>
          <w:shd w:val="clear" w:color="auto" w:fill="FFFFFF"/>
        </w:rPr>
        <w:t xml:space="preserve"> which are set during the wetland</w:t>
      </w:r>
      <w:r>
        <w:rPr>
          <w:shd w:val="clear" w:color="auto" w:fill="FFFFFF"/>
        </w:rPr>
        <w:t xml:space="preserve"> fish and tadpole</w:t>
      </w:r>
      <w:r w:rsidRPr="00BF39A6">
        <w:rPr>
          <w:shd w:val="clear" w:color="auto" w:fill="FFFFFF"/>
        </w:rPr>
        <w:t xml:space="preserve"> surveys</w:t>
      </w:r>
      <w:r>
        <w:rPr>
          <w:shd w:val="clear" w:color="auto" w:fill="FFFFFF"/>
        </w:rPr>
        <w:t xml:space="preserve"> of the mid-Murrumbidgee wetlands only</w:t>
      </w:r>
      <w:r w:rsidRPr="00BF39A6">
        <w:rPr>
          <w:shd w:val="clear" w:color="auto" w:fill="FFFFFF"/>
        </w:rPr>
        <w:t xml:space="preserve">. </w:t>
      </w:r>
      <w:r>
        <w:rPr>
          <w:shd w:val="clear" w:color="auto" w:fill="FFFFFF"/>
        </w:rPr>
        <w:t xml:space="preserve">The large fyke nets </w:t>
      </w:r>
      <w:r w:rsidR="00A236EB">
        <w:rPr>
          <w:shd w:val="clear" w:color="auto" w:fill="FFFFFF"/>
        </w:rPr>
        <w:t>were</w:t>
      </w:r>
      <w:r w:rsidR="00A236EB" w:rsidRPr="00BF39A6">
        <w:rPr>
          <w:shd w:val="clear" w:color="auto" w:fill="FFFFFF"/>
        </w:rPr>
        <w:t xml:space="preserve"> </w:t>
      </w:r>
      <w:r>
        <w:rPr>
          <w:shd w:val="clear" w:color="auto" w:fill="FFFFFF"/>
        </w:rPr>
        <w:t>set up</w:t>
      </w:r>
      <w:r w:rsidRPr="00BF39A6">
        <w:rPr>
          <w:shd w:val="clear" w:color="auto" w:fill="FFFFFF"/>
        </w:rPr>
        <w:t xml:space="preserve"> so that turtles are able to access the water surface and</w:t>
      </w:r>
      <w:r>
        <w:rPr>
          <w:shd w:val="clear" w:color="auto" w:fill="FFFFFF"/>
        </w:rPr>
        <w:t>,</w:t>
      </w:r>
      <w:r w:rsidRPr="00BF39A6">
        <w:rPr>
          <w:shd w:val="clear" w:color="auto" w:fill="FFFFFF"/>
        </w:rPr>
        <w:t xml:space="preserve"> therefore</w:t>
      </w:r>
      <w:r>
        <w:rPr>
          <w:shd w:val="clear" w:color="auto" w:fill="FFFFFF"/>
        </w:rPr>
        <w:t>, are</w:t>
      </w:r>
      <w:r w:rsidRPr="00BF39A6">
        <w:rPr>
          <w:shd w:val="clear" w:color="auto" w:fill="FFFFFF"/>
        </w:rPr>
        <w:t xml:space="preserve"> not harmed while held in traps</w:t>
      </w:r>
      <w:r>
        <w:rPr>
          <w:shd w:val="clear" w:color="auto" w:fill="FFFFFF"/>
        </w:rPr>
        <w:t>. Water levels were only sufficient in the mid-Murrumbidgee wetlands for large fyke nets to be used during the August, October and December 2012 surveys</w:t>
      </w:r>
      <w:r>
        <w:rPr>
          <w:noProof/>
          <w:lang w:eastAsia="en-AU"/>
        </w:rPr>
        <w:t xml:space="preserve">. </w:t>
      </w:r>
      <w:r>
        <w:rPr>
          <w:shd w:val="clear" w:color="auto" w:fill="FFFFFF"/>
        </w:rPr>
        <w:t>As excluder grids were used on the small fyke nets deployed in the Lowbidgee wetlands</w:t>
      </w:r>
      <w:r w:rsidR="007F53DE">
        <w:rPr>
          <w:shd w:val="clear" w:color="auto" w:fill="FFFFFF"/>
        </w:rPr>
        <w:t>,</w:t>
      </w:r>
      <w:r>
        <w:rPr>
          <w:shd w:val="clear" w:color="auto" w:fill="FFFFFF"/>
        </w:rPr>
        <w:t xml:space="preserve"> we were not able to assess turtle populations in the Lowbidgee wetlands in 2012-13. </w:t>
      </w:r>
    </w:p>
    <w:p w:rsidR="00D37895" w:rsidRPr="009D1C4F" w:rsidRDefault="00D37895" w:rsidP="00AD7858">
      <w:pPr>
        <w:pStyle w:val="BodyText1"/>
        <w:rPr>
          <w:rFonts w:cs="Calibri"/>
          <w:color w:val="222222"/>
          <w:shd w:val="clear" w:color="auto" w:fill="FFFFFF"/>
        </w:rPr>
      </w:pPr>
      <w:r>
        <w:t>On retrieval of the nets, t</w:t>
      </w:r>
      <w:r w:rsidRPr="00BF39A6">
        <w:t xml:space="preserve">urtles </w:t>
      </w:r>
      <w:r>
        <w:t>were</w:t>
      </w:r>
      <w:r w:rsidRPr="00BF39A6">
        <w:t xml:space="preserve"> identified to species as per </w:t>
      </w:r>
      <w:r w:rsidR="00D20FAE">
        <w:fldChar w:fldCharType="begin"/>
      </w:r>
      <w:r w:rsidR="006171E9">
        <w:instrText xml:space="preserve"> ADDIN EN.CITE &lt;EndNote&gt;&lt;Cite&gt;&lt;Author&gt;Chessman&lt;/Author&gt;&lt;Year&gt;1988&lt;/Year&gt;&lt;RecNum&gt;3205&lt;/RecNum&gt;&lt;DisplayText&gt;(Chessman 1988)&lt;/DisplayText&gt;&lt;record&gt;&lt;rec-number&gt;3205&lt;/rec-number&gt;&lt;foreign-keys&gt;&lt;key app="EN" db-id="vxxvsda2b05fxpeaw2dp552mtrd5trxdrf0s"&gt;3205&lt;/key&gt;&lt;/foreign-keys&gt;&lt;ref-type name="Journal Article"&gt;17&lt;/ref-type&gt;&lt;contributors&gt;&lt;authors&gt;&lt;author&gt;Chessman, BC&lt;/author&gt;&lt;/authors&gt;&lt;/contributors&gt;&lt;titles&gt;&lt;title&gt;Habitat Preferences of Fresh-Water Turtles in the Murray Valley, Victoria and New-South-Wales&lt;/title&gt;&lt;secondary-title&gt;Wildlife Research&lt;/secondary-title&gt;&lt;/titles&gt;&lt;periodical&gt;&lt;full-title&gt;Wildlife Research&lt;/full-title&gt;&lt;/periodical&gt;&lt;pages&gt;485-491&lt;/pages&gt;&lt;volume&gt;15&lt;/volume&gt;&lt;number&gt;5&lt;/number&gt;&lt;dates&gt;&lt;year&gt;1988&lt;/year&gt;&lt;/dates&gt;&lt;urls&gt;&lt;related-urls&gt;&lt;url&gt;http://www.publish.csiro.au/paper/WR9880485&lt;/url&gt;&lt;/related-urls&gt;&lt;/urls&gt;&lt;electronic-resource-num&gt;http://dx.doi.org/10.1071/WR9880485&lt;/electronic-resource-num&gt;&lt;/record&gt;&lt;/Cite&gt;&lt;/EndNote&gt;</w:instrText>
      </w:r>
      <w:r w:rsidR="00D20FAE">
        <w:fldChar w:fldCharType="separate"/>
      </w:r>
      <w:r w:rsidR="006171E9">
        <w:rPr>
          <w:noProof/>
        </w:rPr>
        <w:t>(</w:t>
      </w:r>
      <w:hyperlink w:anchor="_ENREF_23" w:tooltip="Chessman, 1988 #3205" w:history="1">
        <w:r w:rsidR="006810E6">
          <w:rPr>
            <w:noProof/>
          </w:rPr>
          <w:t>Chessman 1988</w:t>
        </w:r>
      </w:hyperlink>
      <w:r w:rsidR="006171E9">
        <w:rPr>
          <w:noProof/>
        </w:rPr>
        <w:t>)</w:t>
      </w:r>
      <w:r w:rsidR="00D20FAE">
        <w:fldChar w:fldCharType="end"/>
      </w:r>
      <w:r w:rsidR="007C304B">
        <w:t xml:space="preserve"> </w:t>
      </w:r>
      <w:r>
        <w:t>and the length and width of each turtle’s</w:t>
      </w:r>
      <w:r w:rsidRPr="00BF39A6">
        <w:t xml:space="preserve"> </w:t>
      </w:r>
      <w:r>
        <w:t>shell was</w:t>
      </w:r>
      <w:r w:rsidRPr="00BF39A6">
        <w:t xml:space="preserve"> measured to the nearest mm</w:t>
      </w:r>
      <w:r>
        <w:t>, before each</w:t>
      </w:r>
      <w:r w:rsidRPr="00BF39A6">
        <w:rPr>
          <w:rFonts w:cs="Calibri"/>
          <w:color w:val="222222"/>
          <w:shd w:val="clear" w:color="auto" w:fill="FFFFFF"/>
        </w:rPr>
        <w:t xml:space="preserve"> turtle </w:t>
      </w:r>
      <w:r>
        <w:rPr>
          <w:rFonts w:cs="Calibri"/>
          <w:color w:val="222222"/>
          <w:shd w:val="clear" w:color="auto" w:fill="FFFFFF"/>
        </w:rPr>
        <w:t>was</w:t>
      </w:r>
      <w:r w:rsidRPr="00BF39A6">
        <w:rPr>
          <w:rFonts w:cs="Calibri"/>
          <w:color w:val="222222"/>
          <w:shd w:val="clear" w:color="auto" w:fill="FFFFFF"/>
        </w:rPr>
        <w:t xml:space="preserve"> released back into the wetland. </w:t>
      </w:r>
      <w:r>
        <w:t>By collecting i</w:t>
      </w:r>
      <w:r w:rsidRPr="00BF39A6">
        <w:t>nformation on size distributions of turtles</w:t>
      </w:r>
      <w:r w:rsidR="00256340">
        <w:t>,</w:t>
      </w:r>
      <w:r w:rsidRPr="00BF39A6">
        <w:t xml:space="preserve"> </w:t>
      </w:r>
      <w:r>
        <w:t>turtle</w:t>
      </w:r>
      <w:r w:rsidR="00256340">
        <w:t xml:space="preserve"> age</w:t>
      </w:r>
      <w:r>
        <w:t xml:space="preserve">, whether turtle populations </w:t>
      </w:r>
      <w:r w:rsidRPr="00BF39A6">
        <w:t>are breeding and levels of recruitment into local populations</w:t>
      </w:r>
      <w:r w:rsidR="00256340">
        <w:t xml:space="preserve"> can all be estimated</w:t>
      </w:r>
      <w:r w:rsidRPr="00BF39A6">
        <w:t>.</w:t>
      </w:r>
      <w:r>
        <w:t xml:space="preserve"> The presence of adults alone suggests a lack of successful recruitment of young turtles in recent years, which makes a population vulnerable to local extinction. </w:t>
      </w:r>
    </w:p>
    <w:p w:rsidR="00D37895" w:rsidRDefault="00D37895" w:rsidP="00D37895">
      <w:pPr>
        <w:rPr>
          <w:b/>
          <w:szCs w:val="20"/>
        </w:rPr>
      </w:pPr>
    </w:p>
    <w:p w:rsidR="00D37895" w:rsidRPr="009D1C4F" w:rsidRDefault="007C304B" w:rsidP="00C44F46">
      <w:pPr>
        <w:pStyle w:val="Heading2"/>
      </w:pPr>
      <w:r>
        <w:t xml:space="preserve"> </w:t>
      </w:r>
      <w:bookmarkStart w:id="463" w:name="_Toc370299252"/>
      <w:bookmarkStart w:id="464" w:name="_Toc370738867"/>
      <w:bookmarkStart w:id="465" w:name="_Toc378168596"/>
      <w:r w:rsidR="00D37895" w:rsidRPr="009D1C4F">
        <w:t>Results</w:t>
      </w:r>
      <w:bookmarkEnd w:id="463"/>
      <w:bookmarkEnd w:id="464"/>
      <w:bookmarkEnd w:id="465"/>
    </w:p>
    <w:p w:rsidR="00D37895" w:rsidRDefault="00D37895" w:rsidP="007C304B">
      <w:pPr>
        <w:pStyle w:val="BodyText1"/>
        <w:rPr>
          <w:color w:val="222222"/>
          <w:shd w:val="clear" w:color="auto" w:fill="FFFFFF"/>
        </w:rPr>
      </w:pPr>
      <w:r w:rsidRPr="009B3336">
        <w:t xml:space="preserve">We caught all three turtle species known to occur in the Murrumbidgee Catchment in the mid-Murrumbidgee wetlands during the 2012-13 surveys: the broad shelled-turtle, the eastern long-neck turtle </w:t>
      </w:r>
      <w:r w:rsidRPr="0032212D">
        <w:rPr>
          <w:rStyle w:val="apple-converted-space"/>
          <w:rFonts w:cs="Calibri"/>
          <w:color w:val="222222"/>
          <w:shd w:val="clear" w:color="auto" w:fill="FFFFFF"/>
        </w:rPr>
        <w:t>and the Macquarie River turtle</w:t>
      </w:r>
      <w:r w:rsidR="0032212D" w:rsidRPr="0032212D">
        <w:rPr>
          <w:rStyle w:val="apple-converted-space"/>
          <w:rFonts w:cs="Calibri"/>
          <w:color w:val="222222"/>
          <w:shd w:val="clear" w:color="auto" w:fill="FFFFFF"/>
        </w:rPr>
        <w:t xml:space="preserve"> (</w:t>
      </w:r>
      <w:fldSimple w:instr=" REF _Ref368995014  \* MERGEFORMAT ">
        <w:r w:rsidR="00436595" w:rsidRPr="00436595">
          <w:t xml:space="preserve">Plate </w:t>
        </w:r>
        <w:r w:rsidR="00436595" w:rsidRPr="00436595">
          <w:rPr>
            <w:noProof/>
          </w:rPr>
          <w:t>17</w:t>
        </w:r>
      </w:fldSimple>
      <w:r w:rsidR="0032212D" w:rsidRPr="0032212D">
        <w:rPr>
          <w:rStyle w:val="apple-converted-space"/>
          <w:rFonts w:cs="Calibri"/>
          <w:color w:val="222222"/>
          <w:shd w:val="clear" w:color="auto" w:fill="FFFFFF"/>
        </w:rPr>
        <w:t>)</w:t>
      </w:r>
      <w:r w:rsidRPr="0032212D">
        <w:rPr>
          <w:color w:val="222222"/>
          <w:shd w:val="clear" w:color="auto" w:fill="FFFFFF"/>
        </w:rPr>
        <w:t xml:space="preserve">. </w:t>
      </w:r>
      <w:r w:rsidRPr="0032212D">
        <w:rPr>
          <w:noProof/>
          <w:lang w:eastAsia="en-AU"/>
        </w:rPr>
        <w:t>The</w:t>
      </w:r>
      <w:r w:rsidRPr="009B3336">
        <w:rPr>
          <w:noProof/>
          <w:lang w:eastAsia="en-AU"/>
        </w:rPr>
        <w:t xml:space="preserve"> broad-shelled turtle was absent from the mid-Murrumbidgee wetlands during previous surveys in 2011-12 </w:t>
      </w:r>
      <w:r w:rsidR="00D20FAE">
        <w:rPr>
          <w:noProof/>
          <w:lang w:eastAsia="en-AU"/>
        </w:rPr>
        <w:fldChar w:fldCharType="begin"/>
      </w:r>
      <w:r w:rsidR="006171E9">
        <w:rPr>
          <w:noProof/>
          <w:lang w:eastAsia="en-AU"/>
        </w:rPr>
        <w:instrText xml:space="preserve"> ADDIN EN.CITE &lt;EndNote&gt;&lt;Cite&gt;&lt;Author&gt;Wassens&lt;/Author&gt;&lt;Year&gt;2012&lt;/Year&gt;&lt;RecNum&gt;3272&lt;/RecNum&gt;&lt;DisplayText&gt;(Wassens, Watts&lt;style face="italic"&gt; et al.&lt;/style&gt; 2012)&lt;/DisplayText&gt;&lt;record&gt;&lt;rec-number&gt;3272&lt;/rec-number&gt;&lt;foreign-keys&gt;&lt;key app="EN" db-id="vxxvsda2b05fxpeaw2dp552mtrd5trxdrf0s"&gt;3272&lt;/key&gt;&lt;/foreign-keys&gt;&lt;ref-type name="Book"&gt;6&lt;/ref-type&gt;&lt;contributors&gt;&lt;authors&gt;&lt;author&gt;Wassens, S.&lt;/author&gt;&lt;author&gt;Watts, R. J.&lt;/author&gt;&lt;author&gt;Spencer, J.A.&lt;/author&gt;&lt;author&gt;Howitt, J.&lt;/author&gt;&lt;author&gt;McCasker, N.A.&lt;/author&gt;&lt;author&gt;Griese, V.&lt;/author&gt;&lt;author&gt;Burns, A.&lt;/author&gt;&lt;author&gt;Croft, R.&lt;/author&gt;&lt;author&gt;Zander, A.&lt;/author&gt;&lt;author&gt;Amos, C.&lt;/author&gt;&lt;author&gt;Hall, A.&lt;/author&gt;&lt;/authors&gt;&lt;/contributors&gt;&lt;titles&gt;&lt;title&gt;Monitoring of ecosystem responses to the delivery of environmental water in the Murrumbidgee system&lt;/title&gt;&lt;/titles&gt;&lt;dates&gt;&lt;year&gt;2012&lt;/year&gt;&lt;/dates&gt;&lt;pub-location&gt;Albury&lt;/pub-location&gt;&lt;publisher&gt;Institute for Land, Water and Society, Charles Sturt University&lt;/publisher&gt;&lt;urls&gt;&lt;related-urls&gt;&lt;url&gt;http://www.environment.gov.au/ewater/publications/pubs/ecosystem-response-monitoring-murrumbidgee-2.pdf&lt;/url&gt;&lt;/related-urls&gt;&lt;/urls&gt;&lt;/record&gt;&lt;/Cite&gt;&lt;/EndNote&gt;</w:instrText>
      </w:r>
      <w:r w:rsidR="00D20FAE">
        <w:rPr>
          <w:noProof/>
          <w:lang w:eastAsia="en-AU"/>
        </w:rPr>
        <w:fldChar w:fldCharType="separate"/>
      </w:r>
      <w:r w:rsidR="006171E9">
        <w:rPr>
          <w:noProof/>
          <w:lang w:eastAsia="en-AU"/>
        </w:rPr>
        <w:t>(</w:t>
      </w:r>
      <w:hyperlink w:anchor="_ENREF_106" w:tooltip="Wassens, 2012 #3272" w:history="1">
        <w:r w:rsidR="006810E6">
          <w:rPr>
            <w:noProof/>
            <w:lang w:eastAsia="en-AU"/>
          </w:rPr>
          <w:t>Wassens, Watts</w:t>
        </w:r>
        <w:r w:rsidR="006810E6" w:rsidRPr="006171E9">
          <w:rPr>
            <w:i/>
            <w:noProof/>
            <w:lang w:eastAsia="en-AU"/>
          </w:rPr>
          <w:t xml:space="preserve"> et al.</w:t>
        </w:r>
        <w:r w:rsidR="006810E6">
          <w:rPr>
            <w:noProof/>
            <w:lang w:eastAsia="en-AU"/>
          </w:rPr>
          <w:t xml:space="preserve"> 2012</w:t>
        </w:r>
      </w:hyperlink>
      <w:r w:rsidR="006171E9">
        <w:rPr>
          <w:noProof/>
          <w:lang w:eastAsia="en-AU"/>
        </w:rPr>
        <w:t>)</w:t>
      </w:r>
      <w:r w:rsidR="00D20FAE">
        <w:rPr>
          <w:noProof/>
          <w:lang w:eastAsia="en-AU"/>
        </w:rPr>
        <w:fldChar w:fldCharType="end"/>
      </w:r>
      <w:r w:rsidRPr="0032212D">
        <w:rPr>
          <w:noProof/>
          <w:lang w:eastAsia="en-AU"/>
        </w:rPr>
        <w:t>.</w:t>
      </w:r>
      <w:r w:rsidRPr="009B3336">
        <w:rPr>
          <w:noProof/>
          <w:lang w:eastAsia="en-AU"/>
        </w:rPr>
        <w:t xml:space="preserve"> The 2012-13 surveys indicated that this species had colonised Euroley and Yarrada lagoons, sites located adjacent to the Murrumbidgee River. </w:t>
      </w:r>
    </w:p>
    <w:tbl>
      <w:tblPr>
        <w:tblW w:w="0" w:type="auto"/>
        <w:tblLook w:val="04A0"/>
      </w:tblPr>
      <w:tblGrid>
        <w:gridCol w:w="4716"/>
        <w:gridCol w:w="4310"/>
      </w:tblGrid>
      <w:tr w:rsidR="000E2ED7" w:rsidRPr="00A24656" w:rsidTr="00065510">
        <w:tc>
          <w:tcPr>
            <w:tcW w:w="4716" w:type="dxa"/>
          </w:tcPr>
          <w:p w:rsidR="000E2ED7" w:rsidRPr="00A24656" w:rsidRDefault="000E2ED7" w:rsidP="00065510">
            <w:pPr>
              <w:spacing w:after="0" w:line="240" w:lineRule="auto"/>
              <w:rPr>
                <w:rFonts w:cs="Calibri"/>
                <w:sz w:val="20"/>
                <w:szCs w:val="20"/>
              </w:rPr>
            </w:pPr>
            <w:r>
              <w:rPr>
                <w:rFonts w:cs="Calibri"/>
                <w:noProof/>
                <w:sz w:val="20"/>
                <w:szCs w:val="20"/>
                <w:lang w:eastAsia="en-AU"/>
              </w:rPr>
              <w:drawing>
                <wp:inline distT="0" distB="0" distL="0" distR="0">
                  <wp:extent cx="2514600" cy="1582420"/>
                  <wp:effectExtent l="19050" t="0" r="0" b="0"/>
                  <wp:docPr id="94" name="Picture 4" descr="IMGP0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P0799"/>
                          <pic:cNvPicPr>
                            <a:picLocks noChangeAspect="1" noChangeArrowheads="1"/>
                          </pic:cNvPicPr>
                        </pic:nvPicPr>
                        <pic:blipFill>
                          <a:blip r:embed="rId167" cstate="print"/>
                          <a:srcRect/>
                          <a:stretch>
                            <a:fillRect/>
                          </a:stretch>
                        </pic:blipFill>
                        <pic:spPr bwMode="auto">
                          <a:xfrm>
                            <a:off x="0" y="0"/>
                            <a:ext cx="2514600" cy="1582420"/>
                          </a:xfrm>
                          <a:prstGeom prst="rect">
                            <a:avLst/>
                          </a:prstGeom>
                          <a:noFill/>
                          <a:ln w="9525">
                            <a:noFill/>
                            <a:miter lim="800000"/>
                            <a:headEnd/>
                            <a:tailEnd/>
                          </a:ln>
                        </pic:spPr>
                      </pic:pic>
                    </a:graphicData>
                  </a:graphic>
                </wp:inline>
              </w:drawing>
            </w:r>
            <w:r w:rsidRPr="00A24656">
              <w:rPr>
                <w:rFonts w:cs="Calibri"/>
                <w:sz w:val="20"/>
                <w:szCs w:val="20"/>
              </w:rPr>
              <w:t xml:space="preserve"> </w:t>
            </w:r>
          </w:p>
          <w:p w:rsidR="000E2ED7" w:rsidRPr="00A24656" w:rsidRDefault="000E2ED7" w:rsidP="00065510">
            <w:pPr>
              <w:spacing w:after="0" w:line="240" w:lineRule="auto"/>
              <w:rPr>
                <w:rFonts w:cs="Calibri"/>
                <w:sz w:val="20"/>
                <w:szCs w:val="20"/>
              </w:rPr>
            </w:pPr>
            <w:r w:rsidRPr="00A24656">
              <w:rPr>
                <w:rFonts w:cs="Calibri"/>
                <w:sz w:val="20"/>
                <w:szCs w:val="20"/>
              </w:rPr>
              <w:t>Macquarie</w:t>
            </w:r>
            <w:r>
              <w:rPr>
                <w:rFonts w:cs="Calibri"/>
                <w:sz w:val="20"/>
                <w:szCs w:val="20"/>
              </w:rPr>
              <w:t xml:space="preserve"> River</w:t>
            </w:r>
            <w:r w:rsidRPr="00A24656">
              <w:rPr>
                <w:rFonts w:cs="Calibri"/>
                <w:sz w:val="20"/>
                <w:szCs w:val="20"/>
              </w:rPr>
              <w:t xml:space="preserve"> </w:t>
            </w:r>
            <w:r>
              <w:rPr>
                <w:rFonts w:cs="Calibri"/>
                <w:sz w:val="20"/>
                <w:szCs w:val="20"/>
              </w:rPr>
              <w:t>t</w:t>
            </w:r>
            <w:r w:rsidRPr="00A24656">
              <w:rPr>
                <w:rFonts w:cs="Calibri"/>
                <w:sz w:val="20"/>
                <w:szCs w:val="20"/>
              </w:rPr>
              <w:t>urtle (Juvenile)</w:t>
            </w:r>
          </w:p>
        </w:tc>
        <w:tc>
          <w:tcPr>
            <w:tcW w:w="4310" w:type="dxa"/>
          </w:tcPr>
          <w:p w:rsidR="000E2ED7" w:rsidRPr="00A24656" w:rsidRDefault="000E2ED7" w:rsidP="00065510">
            <w:pPr>
              <w:spacing w:after="0" w:line="240" w:lineRule="auto"/>
              <w:rPr>
                <w:rFonts w:cs="Calibri"/>
                <w:sz w:val="20"/>
                <w:szCs w:val="20"/>
                <w:lang w:eastAsia="en-AU"/>
              </w:rPr>
            </w:pPr>
            <w:r>
              <w:rPr>
                <w:rFonts w:cs="Calibri"/>
                <w:noProof/>
                <w:sz w:val="20"/>
                <w:szCs w:val="20"/>
                <w:lang w:eastAsia="en-AU"/>
              </w:rPr>
              <w:drawing>
                <wp:inline distT="0" distB="0" distL="0" distR="0">
                  <wp:extent cx="2075180" cy="1565275"/>
                  <wp:effectExtent l="19050" t="0" r="1270" b="0"/>
                  <wp:docPr id="95" name="Picture 3" descr="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49"/>
                          <pic:cNvPicPr>
                            <a:picLocks noChangeAspect="1" noChangeArrowheads="1"/>
                          </pic:cNvPicPr>
                        </pic:nvPicPr>
                        <pic:blipFill>
                          <a:blip r:embed="rId168" cstate="print"/>
                          <a:srcRect/>
                          <a:stretch>
                            <a:fillRect/>
                          </a:stretch>
                        </pic:blipFill>
                        <pic:spPr bwMode="auto">
                          <a:xfrm>
                            <a:off x="0" y="0"/>
                            <a:ext cx="2075180" cy="1565275"/>
                          </a:xfrm>
                          <a:prstGeom prst="rect">
                            <a:avLst/>
                          </a:prstGeom>
                          <a:noFill/>
                          <a:ln w="9525">
                            <a:noFill/>
                            <a:miter lim="800000"/>
                            <a:headEnd/>
                            <a:tailEnd/>
                          </a:ln>
                        </pic:spPr>
                      </pic:pic>
                    </a:graphicData>
                  </a:graphic>
                </wp:inline>
              </w:drawing>
            </w:r>
          </w:p>
          <w:p w:rsidR="000E2ED7" w:rsidRPr="00A24656" w:rsidRDefault="000E2ED7" w:rsidP="00065510">
            <w:pPr>
              <w:spacing w:after="0" w:line="240" w:lineRule="auto"/>
              <w:rPr>
                <w:rFonts w:cs="Calibri"/>
                <w:sz w:val="20"/>
                <w:szCs w:val="20"/>
              </w:rPr>
            </w:pPr>
            <w:r w:rsidRPr="00A24656">
              <w:rPr>
                <w:rFonts w:cs="Calibri"/>
                <w:sz w:val="20"/>
                <w:szCs w:val="20"/>
                <w:lang w:eastAsia="en-AU"/>
              </w:rPr>
              <w:t>Broad</w:t>
            </w:r>
            <w:r>
              <w:rPr>
                <w:rFonts w:cs="Calibri"/>
                <w:sz w:val="20"/>
                <w:szCs w:val="20"/>
                <w:lang w:eastAsia="en-AU"/>
              </w:rPr>
              <w:t>-</w:t>
            </w:r>
            <w:r w:rsidRPr="00A24656">
              <w:rPr>
                <w:rFonts w:cs="Calibri"/>
                <w:sz w:val="20"/>
                <w:szCs w:val="20"/>
                <w:lang w:eastAsia="en-AU"/>
              </w:rPr>
              <w:t>shell</w:t>
            </w:r>
            <w:r>
              <w:rPr>
                <w:rFonts w:cs="Calibri"/>
                <w:sz w:val="20"/>
                <w:szCs w:val="20"/>
                <w:lang w:eastAsia="en-AU"/>
              </w:rPr>
              <w:t>ed</w:t>
            </w:r>
            <w:r w:rsidRPr="00A24656">
              <w:rPr>
                <w:rFonts w:cs="Calibri"/>
                <w:sz w:val="20"/>
                <w:szCs w:val="20"/>
                <w:lang w:eastAsia="en-AU"/>
              </w:rPr>
              <w:t xml:space="preserve"> turtle</w:t>
            </w:r>
          </w:p>
        </w:tc>
      </w:tr>
      <w:tr w:rsidR="000E2ED7" w:rsidRPr="00A24656" w:rsidTr="00065510">
        <w:tc>
          <w:tcPr>
            <w:tcW w:w="4716" w:type="dxa"/>
          </w:tcPr>
          <w:p w:rsidR="000E2ED7" w:rsidRPr="00A24656" w:rsidRDefault="000E2ED7" w:rsidP="00065510">
            <w:pPr>
              <w:spacing w:after="0" w:line="240" w:lineRule="auto"/>
              <w:rPr>
                <w:rFonts w:cs="Calibri"/>
                <w:sz w:val="20"/>
                <w:szCs w:val="20"/>
                <w:lang w:eastAsia="en-AU"/>
              </w:rPr>
            </w:pPr>
            <w:r>
              <w:rPr>
                <w:rFonts w:cs="Calibri"/>
                <w:noProof/>
                <w:sz w:val="20"/>
                <w:szCs w:val="20"/>
                <w:lang w:eastAsia="en-AU"/>
              </w:rPr>
              <w:drawing>
                <wp:inline distT="0" distB="0" distL="0" distR="0">
                  <wp:extent cx="2496820" cy="1872615"/>
                  <wp:effectExtent l="19050" t="0" r="0" b="0"/>
                  <wp:docPr id="96" name="Picture 1" descr="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63"/>
                          <pic:cNvPicPr>
                            <a:picLocks noChangeAspect="1" noChangeArrowheads="1"/>
                          </pic:cNvPicPr>
                        </pic:nvPicPr>
                        <pic:blipFill>
                          <a:blip r:embed="rId169" cstate="print"/>
                          <a:srcRect/>
                          <a:stretch>
                            <a:fillRect/>
                          </a:stretch>
                        </pic:blipFill>
                        <pic:spPr bwMode="auto">
                          <a:xfrm>
                            <a:off x="0" y="0"/>
                            <a:ext cx="2496820" cy="1872615"/>
                          </a:xfrm>
                          <a:prstGeom prst="rect">
                            <a:avLst/>
                          </a:prstGeom>
                          <a:noFill/>
                          <a:ln w="9525">
                            <a:noFill/>
                            <a:miter lim="800000"/>
                            <a:headEnd/>
                            <a:tailEnd/>
                          </a:ln>
                        </pic:spPr>
                      </pic:pic>
                    </a:graphicData>
                  </a:graphic>
                </wp:inline>
              </w:drawing>
            </w:r>
            <w:r w:rsidRPr="00A24656">
              <w:rPr>
                <w:rFonts w:cs="Calibri"/>
                <w:sz w:val="20"/>
                <w:szCs w:val="20"/>
                <w:lang w:eastAsia="en-AU"/>
              </w:rPr>
              <w:t xml:space="preserve"> </w:t>
            </w:r>
          </w:p>
          <w:p w:rsidR="000E2ED7" w:rsidRPr="00A24656" w:rsidRDefault="000E2ED7" w:rsidP="00065510">
            <w:pPr>
              <w:spacing w:after="0" w:line="240" w:lineRule="auto"/>
              <w:rPr>
                <w:rFonts w:cs="Calibri"/>
                <w:sz w:val="20"/>
                <w:szCs w:val="20"/>
              </w:rPr>
            </w:pPr>
            <w:r w:rsidRPr="00A24656">
              <w:rPr>
                <w:rFonts w:cs="Calibri"/>
                <w:sz w:val="20"/>
                <w:szCs w:val="20"/>
                <w:lang w:eastAsia="en-AU"/>
              </w:rPr>
              <w:t>Eastern long-necked turtle</w:t>
            </w:r>
          </w:p>
        </w:tc>
        <w:tc>
          <w:tcPr>
            <w:tcW w:w="4310" w:type="dxa"/>
          </w:tcPr>
          <w:p w:rsidR="000E2ED7" w:rsidRPr="00A24656" w:rsidRDefault="000E2ED7" w:rsidP="00065510">
            <w:pPr>
              <w:spacing w:after="0" w:line="240" w:lineRule="auto"/>
              <w:rPr>
                <w:rFonts w:cs="Calibri"/>
                <w:sz w:val="20"/>
                <w:szCs w:val="20"/>
                <w:lang w:eastAsia="en-AU"/>
              </w:rPr>
            </w:pPr>
          </w:p>
        </w:tc>
      </w:tr>
    </w:tbl>
    <w:p w:rsidR="00B67554" w:rsidRDefault="00B67554" w:rsidP="00B67554">
      <w:pPr>
        <w:pStyle w:val="Caption"/>
        <w:jc w:val="both"/>
      </w:pPr>
      <w:bookmarkStart w:id="466" w:name="_Toc349811134"/>
    </w:p>
    <w:p w:rsidR="000E2ED7" w:rsidRPr="003B1428" w:rsidRDefault="00B67554" w:rsidP="00B67554">
      <w:pPr>
        <w:pStyle w:val="Caption1"/>
      </w:pPr>
      <w:bookmarkStart w:id="467" w:name="_Ref368995014"/>
      <w:bookmarkStart w:id="468" w:name="_Toc370738868"/>
      <w:r w:rsidRPr="00B67554">
        <w:rPr>
          <w:b/>
        </w:rPr>
        <w:t xml:space="preserve">Plate </w:t>
      </w:r>
      <w:r w:rsidR="00D20FAE" w:rsidRPr="00B67554">
        <w:rPr>
          <w:b/>
        </w:rPr>
        <w:fldChar w:fldCharType="begin"/>
      </w:r>
      <w:r w:rsidRPr="00B67554">
        <w:rPr>
          <w:b/>
        </w:rPr>
        <w:instrText xml:space="preserve"> SEQ Plate \* ARABIC </w:instrText>
      </w:r>
      <w:r w:rsidR="00D20FAE" w:rsidRPr="00B67554">
        <w:rPr>
          <w:b/>
        </w:rPr>
        <w:fldChar w:fldCharType="separate"/>
      </w:r>
      <w:r w:rsidR="00436595">
        <w:rPr>
          <w:b/>
          <w:noProof/>
        </w:rPr>
        <w:t>17</w:t>
      </w:r>
      <w:r w:rsidR="00D20FAE" w:rsidRPr="00B67554">
        <w:rPr>
          <w:b/>
        </w:rPr>
        <w:fldChar w:fldCharType="end"/>
      </w:r>
      <w:bookmarkEnd w:id="467"/>
      <w:r>
        <w:t xml:space="preserve"> </w:t>
      </w:r>
      <w:r w:rsidR="000E2ED7">
        <w:t xml:space="preserve">Freshwater turtles </w:t>
      </w:r>
      <w:r w:rsidR="000E2ED7" w:rsidRPr="00E01B5B">
        <w:t xml:space="preserve">recorded </w:t>
      </w:r>
      <w:r w:rsidR="000E2ED7">
        <w:t>during surveys of the mid-</w:t>
      </w:r>
      <w:r w:rsidR="000E2ED7" w:rsidRPr="00E01B5B">
        <w:t>Murrumbidgee</w:t>
      </w:r>
      <w:bookmarkEnd w:id="466"/>
      <w:r w:rsidR="000E2ED7">
        <w:t xml:space="preserve"> wetlands in 2012-13.</w:t>
      </w:r>
      <w:bookmarkEnd w:id="468"/>
    </w:p>
    <w:p w:rsidR="000E2ED7" w:rsidRDefault="000E2ED7" w:rsidP="00D37895">
      <w:pPr>
        <w:rPr>
          <w:rFonts w:cs="Calibri"/>
          <w:color w:val="222222"/>
          <w:sz w:val="20"/>
          <w:szCs w:val="20"/>
          <w:shd w:val="clear" w:color="auto" w:fill="FFFFFF"/>
        </w:rPr>
      </w:pPr>
    </w:p>
    <w:p w:rsidR="00D37895" w:rsidRPr="006B26D6" w:rsidRDefault="00D37895" w:rsidP="0032212D">
      <w:pPr>
        <w:pStyle w:val="BodyText1"/>
        <w:rPr>
          <w:shd w:val="clear" w:color="auto" w:fill="FFFFFF"/>
        </w:rPr>
      </w:pPr>
      <w:r>
        <w:rPr>
          <w:shd w:val="clear" w:color="auto" w:fill="FFFFFF"/>
        </w:rPr>
        <w:t xml:space="preserve">Almost twice as many turtles were caught in 2012-13 (16 turtles) compared to the 2011-12 (nine turtles) </w:t>
      </w:r>
      <w:r w:rsidRPr="0032212D">
        <w:rPr>
          <w:shd w:val="clear" w:color="auto" w:fill="FFFFFF"/>
        </w:rPr>
        <w:t>surveys (</w:t>
      </w:r>
      <w:fldSimple w:instr=" REF _Ref368995066  \* MERGEFORMAT ">
        <w:r w:rsidR="00436595" w:rsidRPr="00436595">
          <w:t xml:space="preserve">Figure </w:t>
        </w:r>
        <w:r w:rsidR="00436595" w:rsidRPr="00436595">
          <w:rPr>
            <w:noProof/>
          </w:rPr>
          <w:t>45</w:t>
        </w:r>
      </w:fldSimple>
      <w:r w:rsidRPr="0032212D">
        <w:rPr>
          <w:shd w:val="clear" w:color="auto" w:fill="FFFFFF"/>
        </w:rPr>
        <w:t>). In</w:t>
      </w:r>
      <w:r w:rsidRPr="0099583A">
        <w:rPr>
          <w:shd w:val="clear" w:color="auto" w:fill="FFFFFF"/>
        </w:rPr>
        <w:t xml:space="preserve"> total</w:t>
      </w:r>
      <w:r w:rsidR="00256340">
        <w:rPr>
          <w:shd w:val="clear" w:color="auto" w:fill="FFFFFF"/>
        </w:rPr>
        <w:t>,</w:t>
      </w:r>
      <w:r w:rsidRPr="0099583A">
        <w:rPr>
          <w:shd w:val="clear" w:color="auto" w:fill="FFFFFF"/>
        </w:rPr>
        <w:t xml:space="preserve"> eight turtles were caught during the October 2012 surveys and eight turtles during the December 2012 surveys. All three species were absent during surveys of the wetlands in August 2012 when water temperatures </w:t>
      </w:r>
      <w:r>
        <w:rPr>
          <w:shd w:val="clear" w:color="auto" w:fill="FFFFFF"/>
        </w:rPr>
        <w:t>were</w:t>
      </w:r>
      <w:r w:rsidRPr="0099583A">
        <w:rPr>
          <w:shd w:val="clear" w:color="auto" w:fill="FFFFFF"/>
        </w:rPr>
        <w:t xml:space="preserve"> low and</w:t>
      </w:r>
      <w:r>
        <w:rPr>
          <w:shd w:val="clear" w:color="auto" w:fill="FFFFFF"/>
        </w:rPr>
        <w:t xml:space="preserve"> at a time of year when</w:t>
      </w:r>
      <w:r w:rsidRPr="0099583A">
        <w:rPr>
          <w:shd w:val="clear" w:color="auto" w:fill="FFFFFF"/>
        </w:rPr>
        <w:t xml:space="preserve"> turtles are generally less active. </w:t>
      </w:r>
      <w:r>
        <w:rPr>
          <w:shd w:val="clear" w:color="auto" w:fill="FFFFFF"/>
        </w:rPr>
        <w:t>Turtles were most abundant</w:t>
      </w:r>
      <w:r w:rsidRPr="0099583A">
        <w:rPr>
          <w:shd w:val="clear" w:color="auto" w:fill="FFFFFF"/>
        </w:rPr>
        <w:t xml:space="preserve"> at Euroley lagoon where six turtles (2 broad-shelled turtles and four long-necked turtles) were caught in December 2012. No turtles were caught in Goor</w:t>
      </w:r>
      <w:r w:rsidR="00A236EB">
        <w:rPr>
          <w:shd w:val="clear" w:color="auto" w:fill="FFFFFF"/>
        </w:rPr>
        <w:t>a</w:t>
      </w:r>
      <w:r w:rsidRPr="0099583A">
        <w:rPr>
          <w:shd w:val="clear" w:color="auto" w:fill="FFFFFF"/>
        </w:rPr>
        <w:t xml:space="preserve">gool </w:t>
      </w:r>
      <w:r w:rsidR="00A236EB">
        <w:rPr>
          <w:shd w:val="clear" w:color="auto" w:fill="FFFFFF"/>
        </w:rPr>
        <w:t>L</w:t>
      </w:r>
      <w:r w:rsidRPr="0099583A">
        <w:rPr>
          <w:shd w:val="clear" w:color="auto" w:fill="FFFFFF"/>
        </w:rPr>
        <w:t>agoon during the 2012-13 surveys</w:t>
      </w:r>
      <w:r w:rsidRPr="006B26D6">
        <w:rPr>
          <w:shd w:val="clear" w:color="auto" w:fill="FFFFFF"/>
        </w:rPr>
        <w:t xml:space="preserve">).  </w:t>
      </w:r>
    </w:p>
    <w:p w:rsidR="00D37895" w:rsidRPr="00256340" w:rsidRDefault="00D37895" w:rsidP="0032212D">
      <w:pPr>
        <w:pStyle w:val="BodyText1"/>
        <w:rPr>
          <w:noProof/>
          <w:lang w:eastAsia="en-AU"/>
        </w:rPr>
      </w:pPr>
      <w:r w:rsidRPr="006B26D6">
        <w:rPr>
          <w:shd w:val="clear" w:color="auto" w:fill="FFFFFF"/>
        </w:rPr>
        <w:t xml:space="preserve">Based on information collected on size structure there was evidence of breeding in </w:t>
      </w:r>
      <w:r w:rsidRPr="006B26D6">
        <w:rPr>
          <w:noProof/>
          <w:lang w:eastAsia="en-AU"/>
        </w:rPr>
        <w:t xml:space="preserve">Macquarie River turtles in three of the five wetlands sampled (Yarrada, Sunshower and McKennas lagoons) in 2012-13. </w:t>
      </w:r>
      <w:r w:rsidRPr="006B26D6">
        <w:rPr>
          <w:shd w:val="clear" w:color="auto" w:fill="FFFFFF"/>
        </w:rPr>
        <w:t>We recorded small numbers of recently hatched Macquarie River turtles in both the 2011-12 (seven turtles) and 2012-13 (four turtles) surveys (</w:t>
      </w:r>
      <w:fldSimple w:instr=" REF _Ref368995083 \h  \* MERGEFORMAT ">
        <w:r w:rsidR="00436595" w:rsidRPr="00436595">
          <w:t xml:space="preserve">Figure </w:t>
        </w:r>
        <w:r w:rsidR="00436595" w:rsidRPr="00436595">
          <w:rPr>
            <w:noProof/>
          </w:rPr>
          <w:t>46</w:t>
        </w:r>
      </w:fldSimple>
      <w:r w:rsidRPr="006B26D6">
        <w:rPr>
          <w:shd w:val="clear" w:color="auto" w:fill="FFFFFF"/>
        </w:rPr>
        <w:t xml:space="preserve">). No adult Macquarie River turtles were caught during the 2012-13 surveys. </w:t>
      </w:r>
      <w:r w:rsidRPr="006B26D6">
        <w:rPr>
          <w:noProof/>
          <w:lang w:eastAsia="en-AU"/>
        </w:rPr>
        <w:t>Eastern long-</w:t>
      </w:r>
      <w:r w:rsidRPr="0099583A">
        <w:rPr>
          <w:noProof/>
          <w:lang w:eastAsia="en-AU"/>
        </w:rPr>
        <w:t>necked turtles were detected breeding in McKennas lagoon only</w:t>
      </w:r>
      <w:r>
        <w:rPr>
          <w:noProof/>
          <w:lang w:eastAsia="en-AU"/>
        </w:rPr>
        <w:t xml:space="preserve">, where a new hatchling (carapace 55 mm in length) </w:t>
      </w:r>
      <w:r w:rsidR="00A236EB">
        <w:rPr>
          <w:noProof/>
          <w:lang w:eastAsia="en-AU"/>
        </w:rPr>
        <w:t xml:space="preserve">was </w:t>
      </w:r>
      <w:r>
        <w:rPr>
          <w:noProof/>
          <w:lang w:eastAsia="en-AU"/>
        </w:rPr>
        <w:t>recorded in the December 2012 surveys</w:t>
      </w:r>
      <w:r w:rsidRPr="0099583A">
        <w:rPr>
          <w:noProof/>
          <w:lang w:eastAsia="en-AU"/>
        </w:rPr>
        <w:t xml:space="preserve">. </w:t>
      </w:r>
    </w:p>
    <w:p w:rsidR="004860C0" w:rsidRDefault="0087202F" w:rsidP="00256340">
      <w:pPr>
        <w:keepNext/>
        <w:jc w:val="left"/>
        <w:rPr>
          <w:rFonts w:cs="Calibri"/>
          <w:noProof/>
          <w:sz w:val="20"/>
          <w:szCs w:val="20"/>
          <w:lang w:eastAsia="en-AU"/>
        </w:rPr>
      </w:pPr>
      <w:r>
        <w:rPr>
          <w:rFonts w:cs="Calibri"/>
          <w:noProof/>
          <w:sz w:val="20"/>
          <w:szCs w:val="20"/>
          <w:lang w:eastAsia="en-AU"/>
        </w:rPr>
        <w:drawing>
          <wp:inline distT="0" distB="0" distL="0" distR="0">
            <wp:extent cx="3156585" cy="3984784"/>
            <wp:effectExtent l="19050" t="0" r="5715" b="0"/>
            <wp:docPr id="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srcRect/>
                    <a:stretch>
                      <a:fillRect/>
                    </a:stretch>
                  </pic:blipFill>
                  <pic:spPr bwMode="auto">
                    <a:xfrm>
                      <a:off x="0" y="0"/>
                      <a:ext cx="3156585" cy="3984784"/>
                    </a:xfrm>
                    <a:prstGeom prst="rect">
                      <a:avLst/>
                    </a:prstGeom>
                    <a:noFill/>
                    <a:ln w="9525">
                      <a:noFill/>
                      <a:miter lim="800000"/>
                      <a:headEnd/>
                      <a:tailEnd/>
                    </a:ln>
                  </pic:spPr>
                </pic:pic>
              </a:graphicData>
            </a:graphic>
          </wp:inline>
        </w:drawing>
      </w:r>
    </w:p>
    <w:p w:rsidR="004860C0" w:rsidRPr="00B67554" w:rsidRDefault="00B67554" w:rsidP="00B67554">
      <w:pPr>
        <w:pStyle w:val="Caption1"/>
        <w:rPr>
          <w:b/>
        </w:rPr>
      </w:pPr>
      <w:bookmarkStart w:id="469" w:name="_Ref368995066"/>
      <w:bookmarkStart w:id="470" w:name="_Ref368995059"/>
      <w:bookmarkStart w:id="471" w:name="_Toc370738869"/>
      <w:r w:rsidRPr="00B67554">
        <w:rPr>
          <w:b/>
        </w:rPr>
        <w:t xml:space="preserve">Figure </w:t>
      </w:r>
      <w:r w:rsidR="00D20FAE" w:rsidRPr="00B67554">
        <w:rPr>
          <w:b/>
        </w:rPr>
        <w:fldChar w:fldCharType="begin"/>
      </w:r>
      <w:r w:rsidRPr="00B67554">
        <w:rPr>
          <w:b/>
        </w:rPr>
        <w:instrText xml:space="preserve"> SEQ Figure \* ARABIC </w:instrText>
      </w:r>
      <w:r w:rsidR="00D20FAE" w:rsidRPr="00B67554">
        <w:rPr>
          <w:b/>
        </w:rPr>
        <w:fldChar w:fldCharType="separate"/>
      </w:r>
      <w:r w:rsidR="00436595">
        <w:rPr>
          <w:b/>
          <w:noProof/>
        </w:rPr>
        <w:t>45</w:t>
      </w:r>
      <w:r w:rsidR="00D20FAE" w:rsidRPr="00B67554">
        <w:rPr>
          <w:b/>
        </w:rPr>
        <w:fldChar w:fldCharType="end"/>
      </w:r>
      <w:bookmarkEnd w:id="469"/>
      <w:r>
        <w:t xml:space="preserve"> </w:t>
      </w:r>
      <w:r w:rsidR="004860C0">
        <w:rPr>
          <w:noProof/>
          <w:lang w:eastAsia="en-AU"/>
        </w:rPr>
        <w:t>Distribution of turtle species caught in the five wetlands sampled in the mid-Murrumbigdee wetlands in 2011-12 and 2012-13.</w:t>
      </w:r>
      <w:bookmarkEnd w:id="470"/>
      <w:bookmarkEnd w:id="471"/>
      <w:r w:rsidR="004860C0">
        <w:rPr>
          <w:noProof/>
          <w:lang w:eastAsia="en-AU"/>
        </w:rPr>
        <w:t xml:space="preserve"> </w:t>
      </w:r>
    </w:p>
    <w:p w:rsidR="00D37895" w:rsidRDefault="00D37895" w:rsidP="00D37895">
      <w:pPr>
        <w:rPr>
          <w:rFonts w:cs="Calibri"/>
          <w:noProof/>
          <w:sz w:val="20"/>
          <w:szCs w:val="20"/>
          <w:lang w:eastAsia="en-AU"/>
        </w:rPr>
      </w:pPr>
    </w:p>
    <w:p w:rsidR="00D37895" w:rsidRDefault="004B1AE2" w:rsidP="00D37895">
      <w:pPr>
        <w:autoSpaceDE w:val="0"/>
        <w:autoSpaceDN w:val="0"/>
        <w:adjustRightInd w:val="0"/>
        <w:spacing w:after="0" w:line="240" w:lineRule="auto"/>
        <w:jc w:val="left"/>
        <w:rPr>
          <w:rFonts w:ascii="Times New Roman" w:hAnsi="Times New Roman"/>
          <w:szCs w:val="24"/>
        </w:rPr>
      </w:pPr>
      <w:r>
        <w:rPr>
          <w:rFonts w:ascii="Times New Roman" w:hAnsi="Times New Roman"/>
          <w:noProof/>
          <w:szCs w:val="24"/>
          <w:lang w:eastAsia="en-AU"/>
        </w:rPr>
        <w:drawing>
          <wp:inline distT="0" distB="0" distL="0" distR="0">
            <wp:extent cx="3590925" cy="3067050"/>
            <wp:effectExtent l="19050" t="0" r="9525" b="0"/>
            <wp:docPr id="13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1" cstate="print"/>
                    <a:srcRect/>
                    <a:stretch>
                      <a:fillRect/>
                    </a:stretch>
                  </pic:blipFill>
                  <pic:spPr bwMode="auto">
                    <a:xfrm>
                      <a:off x="0" y="0"/>
                      <a:ext cx="3590925" cy="3067050"/>
                    </a:xfrm>
                    <a:prstGeom prst="rect">
                      <a:avLst/>
                    </a:prstGeom>
                    <a:noFill/>
                    <a:ln w="9525">
                      <a:noFill/>
                      <a:miter lim="800000"/>
                      <a:headEnd/>
                      <a:tailEnd/>
                    </a:ln>
                  </pic:spPr>
                </pic:pic>
              </a:graphicData>
            </a:graphic>
          </wp:inline>
        </w:drawing>
      </w:r>
    </w:p>
    <w:p w:rsidR="00D37895" w:rsidRPr="003A6C22" w:rsidRDefault="00D37895" w:rsidP="00256340">
      <w:pPr>
        <w:rPr>
          <w:b/>
          <w:sz w:val="20"/>
          <w:szCs w:val="20"/>
        </w:rPr>
      </w:pPr>
    </w:p>
    <w:p w:rsidR="00D37895" w:rsidRDefault="00B67554" w:rsidP="00B67554">
      <w:pPr>
        <w:pStyle w:val="Caption1"/>
      </w:pPr>
      <w:bookmarkStart w:id="472" w:name="_Ref368995083"/>
      <w:bookmarkStart w:id="473" w:name="_Toc370738870"/>
      <w:r w:rsidRPr="00B67554">
        <w:rPr>
          <w:b/>
        </w:rPr>
        <w:t xml:space="preserve">Figure </w:t>
      </w:r>
      <w:r w:rsidR="00D20FAE" w:rsidRPr="00B67554">
        <w:rPr>
          <w:b/>
        </w:rPr>
        <w:fldChar w:fldCharType="begin"/>
      </w:r>
      <w:r w:rsidRPr="00B67554">
        <w:rPr>
          <w:b/>
        </w:rPr>
        <w:instrText xml:space="preserve"> SEQ Figure \* ARABIC </w:instrText>
      </w:r>
      <w:r w:rsidR="00D20FAE" w:rsidRPr="00B67554">
        <w:rPr>
          <w:b/>
        </w:rPr>
        <w:fldChar w:fldCharType="separate"/>
      </w:r>
      <w:r w:rsidR="00436595">
        <w:rPr>
          <w:b/>
          <w:noProof/>
        </w:rPr>
        <w:t>46</w:t>
      </w:r>
      <w:r w:rsidR="00D20FAE" w:rsidRPr="00B67554">
        <w:rPr>
          <w:b/>
        </w:rPr>
        <w:fldChar w:fldCharType="end"/>
      </w:r>
      <w:bookmarkEnd w:id="472"/>
      <w:r>
        <w:t xml:space="preserve"> </w:t>
      </w:r>
      <w:r w:rsidR="00D37895" w:rsidRPr="008238C6">
        <w:t>Population size structure of three turtle species caught in the mid-Murrumbidgee wetlands in 2011-</w:t>
      </w:r>
      <w:r w:rsidR="00D37895">
        <w:t>12 and 2012-</w:t>
      </w:r>
      <w:r w:rsidR="00D37895" w:rsidRPr="008238C6">
        <w:t xml:space="preserve">13. Note that </w:t>
      </w:r>
      <w:r w:rsidR="00D37895" w:rsidRPr="008238C6">
        <w:rPr>
          <w:i/>
        </w:rPr>
        <w:t>C. expansa</w:t>
      </w:r>
      <w:r w:rsidR="00D37895" w:rsidRPr="008238C6">
        <w:t xml:space="preserve"> were caught in </w:t>
      </w:r>
      <w:r w:rsidR="00D37895">
        <w:t xml:space="preserve">the </w:t>
      </w:r>
      <w:r w:rsidR="00D37895" w:rsidRPr="008238C6">
        <w:t>2012-13</w:t>
      </w:r>
      <w:r w:rsidR="00D37895">
        <w:t xml:space="preserve"> surveys</w:t>
      </w:r>
      <w:r w:rsidR="00D37895" w:rsidRPr="008238C6">
        <w:t xml:space="preserve"> only.</w:t>
      </w:r>
      <w:bookmarkEnd w:id="473"/>
      <w:r w:rsidR="00D37895" w:rsidRPr="008238C6">
        <w:t xml:space="preserve"> </w:t>
      </w:r>
      <w:r w:rsidR="00D37895">
        <w:t xml:space="preserve"> </w:t>
      </w:r>
    </w:p>
    <w:p w:rsidR="004860C0" w:rsidRDefault="004860C0" w:rsidP="004860C0">
      <w:pPr>
        <w:rPr>
          <w:b/>
          <w:szCs w:val="20"/>
        </w:rPr>
      </w:pPr>
    </w:p>
    <w:p w:rsidR="004860C0" w:rsidRDefault="004860C0" w:rsidP="004860C0">
      <w:pPr>
        <w:rPr>
          <w:b/>
          <w:szCs w:val="20"/>
        </w:rPr>
      </w:pPr>
    </w:p>
    <w:p w:rsidR="004860C0" w:rsidRPr="006810E6" w:rsidRDefault="0032212D" w:rsidP="006810E6">
      <w:pPr>
        <w:pStyle w:val="Heading2"/>
      </w:pPr>
      <w:r w:rsidRPr="006810E6">
        <w:t xml:space="preserve"> </w:t>
      </w:r>
      <w:bookmarkStart w:id="474" w:name="_Toc370299253"/>
      <w:bookmarkStart w:id="475" w:name="_Toc370738871"/>
      <w:bookmarkStart w:id="476" w:name="_Toc378168597"/>
      <w:r w:rsidR="000E2ED7" w:rsidRPr="006810E6">
        <w:t>Discussion</w:t>
      </w:r>
      <w:bookmarkEnd w:id="474"/>
      <w:bookmarkEnd w:id="475"/>
      <w:bookmarkEnd w:id="476"/>
    </w:p>
    <w:p w:rsidR="004860C0" w:rsidRPr="009D1C4F" w:rsidRDefault="004860C0" w:rsidP="0032212D">
      <w:pPr>
        <w:pStyle w:val="BodyText1"/>
        <w:rPr>
          <w:b/>
        </w:rPr>
      </w:pPr>
      <w:r>
        <w:rPr>
          <w:shd w:val="clear" w:color="auto" w:fill="FFFFFF"/>
        </w:rPr>
        <w:t xml:space="preserve">Although the total number of turtles caught during the survey was low, the 2012-13 surveys indicated that freshwater turtles had expanded their range across the mid-Murrumbidgee wetlands colonising sites that had received </w:t>
      </w:r>
      <w:r w:rsidR="00DD04B2">
        <w:rPr>
          <w:shd w:val="clear" w:color="auto" w:fill="FFFFFF"/>
        </w:rPr>
        <w:t xml:space="preserve">Commonwealth </w:t>
      </w:r>
      <w:r>
        <w:rPr>
          <w:shd w:val="clear" w:color="auto" w:fill="FFFFFF"/>
        </w:rPr>
        <w:t xml:space="preserve">environmental water and natural floodwaters in 2011-12. Environmental water delivered to the wetlands in 2011 allowed turtles to colonise wetlands close to the river channel, namely Euroley and Yarrada lagoons. Following widespread natural flooding in March 2012, long-necked turtles and Macquarie River turtles were able to move further up the floodplain into wetlands such as </w:t>
      </w:r>
      <w:proofErr w:type="gramStart"/>
      <w:r>
        <w:rPr>
          <w:shd w:val="clear" w:color="auto" w:fill="FFFFFF"/>
        </w:rPr>
        <w:t>McKennas</w:t>
      </w:r>
      <w:proofErr w:type="gramEnd"/>
      <w:r>
        <w:rPr>
          <w:shd w:val="clear" w:color="auto" w:fill="FFFFFF"/>
        </w:rPr>
        <w:t xml:space="preserve"> lagoon and breed in these sites in spring 2012. Future environmental watering actions should target the reconnection of the mid-Murrumbidgee wetlands to support further turtle breeding and allow for the movement of juvenile turtles back to more permanent habitats. </w:t>
      </w:r>
    </w:p>
    <w:p w:rsidR="00256340" w:rsidRDefault="00256340">
      <w:pPr>
        <w:spacing w:after="0" w:line="240" w:lineRule="auto"/>
        <w:jc w:val="left"/>
        <w:rPr>
          <w:rFonts w:cs="Calibri"/>
          <w:color w:val="222222"/>
          <w:sz w:val="20"/>
          <w:szCs w:val="20"/>
          <w:shd w:val="clear" w:color="auto" w:fill="FFFFFF"/>
        </w:rPr>
      </w:pPr>
      <w:r>
        <w:rPr>
          <w:rFonts w:cs="Calibri"/>
          <w:color w:val="222222"/>
          <w:sz w:val="20"/>
          <w:szCs w:val="20"/>
          <w:shd w:val="clear" w:color="auto" w:fill="FFFFFF"/>
        </w:rPr>
        <w:br w:type="page"/>
      </w:r>
    </w:p>
    <w:p w:rsidR="00D37895" w:rsidRDefault="00D37895" w:rsidP="00D37895">
      <w:pPr>
        <w:rPr>
          <w:rFonts w:cs="Calibri"/>
          <w:noProof/>
        </w:rPr>
      </w:pPr>
    </w:p>
    <w:p w:rsidR="00717D8C" w:rsidRPr="0032212D" w:rsidRDefault="00717D8C" w:rsidP="0032212D">
      <w:pPr>
        <w:pStyle w:val="Heading1"/>
      </w:pPr>
      <w:bookmarkStart w:id="477" w:name="_Toc370299254"/>
      <w:bookmarkStart w:id="478" w:name="_Ref370725314"/>
      <w:bookmarkStart w:id="479" w:name="_Ref370725370"/>
      <w:bookmarkStart w:id="480" w:name="_Toc370738872"/>
      <w:bookmarkStart w:id="481" w:name="_Toc378168598"/>
      <w:r w:rsidRPr="0032212D">
        <w:t xml:space="preserve">Synthesis ecological responses to </w:t>
      </w:r>
      <w:r w:rsidR="008739FC">
        <w:t>Commonwealth</w:t>
      </w:r>
      <w:r w:rsidRPr="0032212D">
        <w:t xml:space="preserve"> environmental water</w:t>
      </w:r>
      <w:r w:rsidR="00935482" w:rsidRPr="0032212D">
        <w:t xml:space="preserve"> in wetlands</w:t>
      </w:r>
      <w:bookmarkEnd w:id="477"/>
      <w:bookmarkEnd w:id="478"/>
      <w:bookmarkEnd w:id="479"/>
      <w:bookmarkEnd w:id="480"/>
      <w:bookmarkEnd w:id="481"/>
    </w:p>
    <w:p w:rsidR="00717D8C" w:rsidRDefault="00717D8C" w:rsidP="00717D8C">
      <w:r>
        <w:t>We employed a monitoring framework that included ecosystem components that were expected to respond to Commonwealth environmental flows over a range of spatial and temporal scales. Wetland ecosystems are complex</w:t>
      </w:r>
      <w:r w:rsidR="00256340">
        <w:t>,</w:t>
      </w:r>
      <w:r>
        <w:t xml:space="preserve"> and their response to Commonwealth environmental watering actions can be facilitated or in some cases hindered by a range of parameters present in the wetland. For example, while water is the overriding influence on wetland ecosystems, a strong response by microinvertebrates following the delivery of Commonwealth environmental water can </w:t>
      </w:r>
      <w:r w:rsidR="00677A85">
        <w:t>facilitate native</w:t>
      </w:r>
      <w:r>
        <w:t xml:space="preserve"> fish recruitment. </w:t>
      </w:r>
    </w:p>
    <w:p w:rsidR="00717D8C" w:rsidRDefault="00256340" w:rsidP="0032212D">
      <w:pPr>
        <w:pStyle w:val="BodyText1"/>
      </w:pPr>
      <w:r>
        <w:t xml:space="preserve"> In previous sections</w:t>
      </w:r>
      <w:r w:rsidR="00717D8C" w:rsidRPr="00D16334">
        <w:rPr>
          <w:b/>
        </w:rPr>
        <w:t xml:space="preserve"> </w:t>
      </w:r>
      <w:r w:rsidR="00717D8C">
        <w:t>we considered the responses of individual taxonomic groups and ecosystem processes to environmental watering. In this section</w:t>
      </w:r>
      <w:r>
        <w:t>,</w:t>
      </w:r>
      <w:r w:rsidR="00717D8C">
        <w:t xml:space="preserve"> we draw together these individual responses </w:t>
      </w:r>
      <w:r w:rsidR="00677A85">
        <w:t xml:space="preserve">in wetlands </w:t>
      </w:r>
      <w:r w:rsidR="00717D8C">
        <w:t xml:space="preserve">to quantify the contribution of Commonwealth environmental watering actions in </w:t>
      </w:r>
      <w:r w:rsidR="00935482">
        <w:t xml:space="preserve">achieving watering objectives related to wetlands (Option 5). </w:t>
      </w:r>
      <w:r w:rsidR="00717D8C">
        <w:t>In this section</w:t>
      </w:r>
      <w:r>
        <w:t>,</w:t>
      </w:r>
      <w:r w:rsidR="00717D8C">
        <w:t xml:space="preserve"> we consider three hydrological parameters:</w:t>
      </w:r>
    </w:p>
    <w:p w:rsidR="00717D8C" w:rsidRDefault="00717D8C" w:rsidP="0032212D">
      <w:pPr>
        <w:pStyle w:val="BodyText1"/>
        <w:numPr>
          <w:ilvl w:val="0"/>
          <w:numId w:val="39"/>
        </w:numPr>
      </w:pPr>
      <w:r>
        <w:t>the number of days above the commence to fill levels for each region</w:t>
      </w:r>
      <w:r w:rsidR="00256340">
        <w:t>,</w:t>
      </w:r>
    </w:p>
    <w:p w:rsidR="00717D8C" w:rsidRDefault="00717D8C" w:rsidP="0032212D">
      <w:pPr>
        <w:pStyle w:val="BodyText1"/>
        <w:numPr>
          <w:ilvl w:val="0"/>
          <w:numId w:val="39"/>
        </w:numPr>
      </w:pPr>
      <w:r>
        <w:t>the cumulative number of days that the wetlands received water from 1 July 2012 (the start of the 2012-13 water year)</w:t>
      </w:r>
      <w:r w:rsidR="00256340">
        <w:t>, and</w:t>
      </w:r>
    </w:p>
    <w:p w:rsidR="00717D8C" w:rsidRDefault="00717D8C" w:rsidP="0032212D">
      <w:pPr>
        <w:pStyle w:val="BodyText1"/>
        <w:numPr>
          <w:ilvl w:val="0"/>
          <w:numId w:val="39"/>
        </w:numPr>
      </w:pPr>
      <w:proofErr w:type="gramStart"/>
      <w:r>
        <w:t>the</w:t>
      </w:r>
      <w:proofErr w:type="gramEnd"/>
      <w:r>
        <w:t xml:space="preserve"> number of years the wetland has received some water in the past decade.</w:t>
      </w:r>
    </w:p>
    <w:p w:rsidR="00717D8C" w:rsidRPr="006B6EA2" w:rsidRDefault="00717D8C" w:rsidP="00717D8C">
      <w:r>
        <w:t xml:space="preserve">We also consider water quality and vegetation parameters, and densities of predators and food availability.  Conceptual models for three key measured responses (frog breeding, small bodied native fish and microcrustacea) were constructed prior to the development of statistical models. A conceptual model is simply a visual representation of how we understand the ecological processes are interacting to influence a specific ecosystem response, given our knowledge of the system (which is based on past data from the system and other published studies). </w:t>
      </w:r>
    </w:p>
    <w:p w:rsidR="00014DDF" w:rsidRDefault="00014DDF">
      <w:pPr>
        <w:spacing w:after="0" w:line="240" w:lineRule="auto"/>
        <w:jc w:val="left"/>
        <w:rPr>
          <w:b/>
          <w:i/>
        </w:rPr>
      </w:pPr>
      <w:r>
        <w:rPr>
          <w:b/>
          <w:i/>
        </w:rPr>
        <w:br w:type="page"/>
      </w:r>
    </w:p>
    <w:p w:rsidR="00717D8C" w:rsidRDefault="00677A85" w:rsidP="00677A85">
      <w:pPr>
        <w:spacing w:after="0" w:line="240" w:lineRule="auto"/>
        <w:jc w:val="left"/>
        <w:rPr>
          <w:b/>
          <w:i/>
        </w:rPr>
      </w:pPr>
      <w:r>
        <w:rPr>
          <w:b/>
          <w:i/>
        </w:rPr>
        <w:t>S</w:t>
      </w:r>
      <w:r w:rsidR="00717D8C" w:rsidRPr="00C20F5D">
        <w:rPr>
          <w:b/>
          <w:i/>
        </w:rPr>
        <w:t>upporting breeding and recruitment of other native aquatic species, including frogs, turtles</w:t>
      </w:r>
      <w:r w:rsidR="00717D8C">
        <w:rPr>
          <w:b/>
          <w:i/>
        </w:rPr>
        <w:t xml:space="preserve"> and</w:t>
      </w:r>
      <w:r w:rsidR="00717D8C" w:rsidRPr="00C20F5D">
        <w:rPr>
          <w:b/>
          <w:i/>
        </w:rPr>
        <w:t xml:space="preserve"> invertebrate</w:t>
      </w:r>
      <w:r w:rsidR="00717D8C">
        <w:rPr>
          <w:b/>
          <w:i/>
        </w:rPr>
        <w:t>s</w:t>
      </w:r>
    </w:p>
    <w:p w:rsidR="00717D8C" w:rsidRDefault="00717D8C" w:rsidP="00717D8C">
      <w:pPr>
        <w:pStyle w:val="BodyText1"/>
      </w:pPr>
      <w:r>
        <w:t>To identify the importance of flow on native species breeding and recruitment</w:t>
      </w:r>
      <w:r w:rsidR="00256340">
        <w:t>,</w:t>
      </w:r>
      <w:r>
        <w:t xml:space="preserve"> we developed a conceptual model to describe the interaction between flow, predator densities, vegetation and water quality parameters needed to</w:t>
      </w:r>
      <w:r w:rsidR="007D138C">
        <w:t xml:space="preserve"> </w:t>
      </w:r>
      <w:r>
        <w:t xml:space="preserve">influence breeding outcomes in </w:t>
      </w:r>
      <w:r w:rsidR="00256340">
        <w:t xml:space="preserve">the </w:t>
      </w:r>
      <w:r>
        <w:t>spotted and barking marsh frog</w:t>
      </w:r>
      <w:r w:rsidR="00256340">
        <w:t>s</w:t>
      </w:r>
      <w:r>
        <w:t xml:space="preserve"> (</w:t>
      </w:r>
      <w:r w:rsidRPr="00B810EC">
        <w:rPr>
          <w:i/>
        </w:rPr>
        <w:t>Limnodynastes</w:t>
      </w:r>
      <w:r>
        <w:t xml:space="preserve"> spp.)</w:t>
      </w:r>
      <w:r w:rsidR="00256340">
        <w:t>,</w:t>
      </w:r>
      <w:r>
        <w:t xml:space="preserve"> measured in terms of total abundance of their tadpoles </w:t>
      </w:r>
      <w:r w:rsidRPr="00B7715F">
        <w:t>(</w:t>
      </w:r>
      <w:fldSimple w:instr=" REF _Ref370292432  \* MERGEFORMAT ">
        <w:r w:rsidR="00436595" w:rsidRPr="00436595">
          <w:t xml:space="preserve">Figure </w:t>
        </w:r>
        <w:r w:rsidR="00436595" w:rsidRPr="00436595">
          <w:rPr>
            <w:noProof/>
          </w:rPr>
          <w:t>47</w:t>
        </w:r>
      </w:fldSimple>
      <w:r w:rsidRPr="00B7715F">
        <w:t xml:space="preserve">). </w:t>
      </w:r>
    </w:p>
    <w:p w:rsidR="00717D8C" w:rsidRDefault="00717D8C" w:rsidP="00717D8C">
      <w:pPr>
        <w:pStyle w:val="BodyText1"/>
      </w:pPr>
      <w:r>
        <w:t>Overall, the number of days over the commence to fill levels in the wetlands in the 30 days prior to sampling (High-flow.days.30d) had a positive effect on frog breeding (i.e</w:t>
      </w:r>
      <w:r w:rsidR="00EC4478">
        <w:t>. the total number of tadpoles)</w:t>
      </w:r>
      <w:r w:rsidR="00256340">
        <w:t xml:space="preserve"> </w:t>
      </w:r>
      <w:r>
        <w:t xml:space="preserve">(effect size z =12.1), </w:t>
      </w:r>
      <w:r w:rsidR="00EC4478">
        <w:t>that is there were more tadpoles on average at wetlands that</w:t>
      </w:r>
      <w:r w:rsidR="00014DDF">
        <w:t xml:space="preserve"> had received</w:t>
      </w:r>
      <w:r w:rsidR="00EC4478">
        <w:t xml:space="preserve"> water </w:t>
      </w:r>
      <w:r w:rsidR="00014DDF">
        <w:t xml:space="preserve">for a larger number of days than at wetlands that did not receive water or that received water for a few days only. </w:t>
      </w:r>
      <w:r w:rsidR="00EC4478">
        <w:t xml:space="preserve"> While</w:t>
      </w:r>
      <w:r>
        <w:t xml:space="preserve"> the number of years that the wetland had been dry in the previous decade has a negative ef</w:t>
      </w:r>
      <w:r w:rsidR="0052528C">
        <w:t xml:space="preserve">fect on frog breeding, </w:t>
      </w:r>
      <w:r>
        <w:t>i.e. the longer the wetland had been dry the smaller the frog breeding r</w:t>
      </w:r>
      <w:r w:rsidR="0052528C">
        <w:t>esponse (</w:t>
      </w:r>
      <w:r w:rsidR="00EC4478">
        <w:t xml:space="preserve">effect size z = -9.5). </w:t>
      </w:r>
      <w:r>
        <w:t xml:space="preserve"> </w:t>
      </w:r>
    </w:p>
    <w:p w:rsidR="00717D8C" w:rsidRDefault="00717D8C" w:rsidP="00717D8C">
      <w:pPr>
        <w:pStyle w:val="BodyText1"/>
      </w:pPr>
      <w:r>
        <w:t>Interestingly, the number of adult frogs did not affect the recruitment outcomes</w:t>
      </w:r>
      <w:r w:rsidR="0052528C">
        <w:t>,</w:t>
      </w:r>
      <w:r w:rsidR="00014DDF">
        <w:t xml:space="preserve"> and a</w:t>
      </w:r>
      <w:r>
        <w:t xml:space="preserve"> large number of adult frogs present in a wetland did not guarantee a strong breeding response. This finding was most likely driven by wetlands in the mid-Murrumbidgee region where a large adult population was produced following the 2011-12 Commonwealth environmental watering actions</w:t>
      </w:r>
      <w:r w:rsidR="00014DDF">
        <w:t xml:space="preserve"> (see Wassens et al 2012 for details). These adults</w:t>
      </w:r>
      <w:r>
        <w:t xml:space="preserve"> </w:t>
      </w:r>
      <w:r w:rsidR="00014DDF">
        <w:t>were</w:t>
      </w:r>
      <w:r>
        <w:t xml:space="preserve"> unable to breed in 2012-13</w:t>
      </w:r>
      <w:r w:rsidR="0052528C">
        <w:t>,</w:t>
      </w:r>
      <w:r>
        <w:t xml:space="preserve"> because the wetlands did not receive any Commonwealth environmental water.  While introduced gambusia are often listed a key tadpole predator they had no effect on tadpole abundance in the wetlands, and numbers of native predatory carp gudgeon had </w:t>
      </w:r>
      <w:r w:rsidR="00014DDF">
        <w:t>a</w:t>
      </w:r>
      <w:r>
        <w:t xml:space="preserve"> weak positive association with tadpole abundance. </w:t>
      </w:r>
    </w:p>
    <w:p w:rsidR="00717D8C" w:rsidRDefault="00717D8C" w:rsidP="00717D8C">
      <w:pPr>
        <w:pStyle w:val="BodyText1"/>
        <w:rPr>
          <w:b/>
          <w:i/>
        </w:rPr>
      </w:pPr>
      <w:r>
        <w:t xml:space="preserve">The key message that can be drawn from this model is that, at least in the short term, wetlands that have been dry for extended periods prior to receiving Commonwealth environmental water can be expected to have lower frog recruitment levels than wetlands that have been targeted with environmental water for longer </w:t>
      </w:r>
      <w:r w:rsidR="00B200A8">
        <w:t xml:space="preserve">more frequent </w:t>
      </w:r>
      <w:r>
        <w:t>periods. With this in mind</w:t>
      </w:r>
      <w:r w:rsidR="0052528C">
        <w:t>,</w:t>
      </w:r>
      <w:r>
        <w:t xml:space="preserve"> it is still clear that the </w:t>
      </w:r>
      <w:r w:rsidRPr="00C20F5D">
        <w:rPr>
          <w:b/>
        </w:rPr>
        <w:t xml:space="preserve">Commonwealth environmental </w:t>
      </w:r>
      <w:r>
        <w:rPr>
          <w:b/>
        </w:rPr>
        <w:t xml:space="preserve">watering in 2012-13 </w:t>
      </w:r>
      <w:r w:rsidRPr="00C20F5D">
        <w:rPr>
          <w:b/>
        </w:rPr>
        <w:t>made a</w:t>
      </w:r>
      <w:r>
        <w:rPr>
          <w:b/>
        </w:rPr>
        <w:t xml:space="preserve"> significant </w:t>
      </w:r>
      <w:r w:rsidRPr="00C20F5D">
        <w:rPr>
          <w:b/>
        </w:rPr>
        <w:t>contribution to achieving the objective of</w:t>
      </w:r>
      <w:r>
        <w:t xml:space="preserve"> </w:t>
      </w:r>
      <w:r w:rsidRPr="00C20F5D">
        <w:rPr>
          <w:b/>
          <w:i/>
        </w:rPr>
        <w:t>Supporting breeding and recruitment of other native aquatic species</w:t>
      </w:r>
      <w:r>
        <w:rPr>
          <w:b/>
          <w:i/>
        </w:rPr>
        <w:t xml:space="preserve"> (</w:t>
      </w:r>
      <w:r w:rsidRPr="00C20F5D">
        <w:rPr>
          <w:b/>
          <w:i/>
        </w:rPr>
        <w:t>frogs</w:t>
      </w:r>
      <w:r>
        <w:rPr>
          <w:b/>
          <w:i/>
        </w:rPr>
        <w:t xml:space="preserve">). </w:t>
      </w:r>
      <w:r w:rsidRPr="00B810EC">
        <w:t>This was achieved b</w:t>
      </w:r>
      <w:r w:rsidRPr="0055242D">
        <w:t>oth by maintaining import</w:t>
      </w:r>
      <w:r>
        <w:t>ant</w:t>
      </w:r>
      <w:r w:rsidRPr="0055242D">
        <w:t xml:space="preserve"> habitat variables </w:t>
      </w:r>
      <w:r>
        <w:t xml:space="preserve">for frog breeding, </w:t>
      </w:r>
      <w:r w:rsidRPr="0055242D">
        <w:t>such as aquatic vegetation</w:t>
      </w:r>
      <w:r>
        <w:t>,</w:t>
      </w:r>
      <w:r w:rsidRPr="0055242D">
        <w:t xml:space="preserve"> and by providing flow conditions suitable for breeding</w:t>
      </w:r>
      <w:r>
        <w:t xml:space="preserve"> and the survival of tadpoles</w:t>
      </w:r>
      <w:r w:rsidRPr="0055242D">
        <w:t xml:space="preserve">. The positive impact of </w:t>
      </w:r>
      <w:r>
        <w:t>C</w:t>
      </w:r>
      <w:r w:rsidRPr="0055242D">
        <w:t>ommonwealth environmental watering on wetland fauna is likely to increase over time as natural wetting and drying patterns are restored.</w:t>
      </w:r>
    </w:p>
    <w:p w:rsidR="00717D8C" w:rsidRDefault="00717D8C" w:rsidP="00717D8C"/>
    <w:p w:rsidR="0052528C" w:rsidRDefault="0052528C" w:rsidP="00717D8C"/>
    <w:p w:rsidR="00717D8C" w:rsidRDefault="00A151D1" w:rsidP="00717D8C">
      <w:r>
        <w:rPr>
          <w:noProof/>
          <w:lang w:eastAsia="en-AU"/>
        </w:rPr>
        <w:drawing>
          <wp:inline distT="0" distB="0" distL="0" distR="0">
            <wp:extent cx="5732145" cy="4213225"/>
            <wp:effectExtent l="19050" t="0" r="1905" b="0"/>
            <wp:docPr id="104" name="Picture 103" descr="Pictur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5.png"/>
                    <pic:cNvPicPr/>
                  </pic:nvPicPr>
                  <pic:blipFill>
                    <a:blip r:embed="rId172" cstate="print"/>
                    <a:stretch>
                      <a:fillRect/>
                    </a:stretch>
                  </pic:blipFill>
                  <pic:spPr>
                    <a:xfrm>
                      <a:off x="0" y="0"/>
                      <a:ext cx="5732145" cy="4213225"/>
                    </a:xfrm>
                    <a:prstGeom prst="rect">
                      <a:avLst/>
                    </a:prstGeom>
                  </pic:spPr>
                </pic:pic>
              </a:graphicData>
            </a:graphic>
          </wp:inline>
        </w:drawing>
      </w:r>
    </w:p>
    <w:p w:rsidR="00717D8C" w:rsidRPr="006F0B71" w:rsidRDefault="00717D8C" w:rsidP="00717D8C">
      <w:pPr>
        <w:pStyle w:val="Caption1"/>
      </w:pPr>
      <w:bookmarkStart w:id="482" w:name="_Ref370292432"/>
      <w:bookmarkStart w:id="483" w:name="_Toc370738873"/>
      <w:r w:rsidRPr="006F0B71">
        <w:rPr>
          <w:b/>
        </w:rPr>
        <w:t xml:space="preserve">Figure </w:t>
      </w:r>
      <w:r w:rsidR="00D20FAE" w:rsidRPr="006F0B71">
        <w:rPr>
          <w:b/>
        </w:rPr>
        <w:fldChar w:fldCharType="begin"/>
      </w:r>
      <w:r w:rsidRPr="006F0B71">
        <w:rPr>
          <w:b/>
        </w:rPr>
        <w:instrText xml:space="preserve"> SEQ Figure \* ARABIC </w:instrText>
      </w:r>
      <w:r w:rsidR="00D20FAE" w:rsidRPr="006F0B71">
        <w:rPr>
          <w:b/>
        </w:rPr>
        <w:fldChar w:fldCharType="separate"/>
      </w:r>
      <w:r w:rsidR="00436595">
        <w:rPr>
          <w:b/>
          <w:noProof/>
        </w:rPr>
        <w:t>47</w:t>
      </w:r>
      <w:r w:rsidR="00D20FAE" w:rsidRPr="006F0B71">
        <w:rPr>
          <w:b/>
        </w:rPr>
        <w:fldChar w:fldCharType="end"/>
      </w:r>
      <w:bookmarkEnd w:id="482"/>
      <w:r w:rsidRPr="006F0B71">
        <w:t xml:space="preserve"> Conceptual mode</w:t>
      </w:r>
      <w:r>
        <w:t>l</w:t>
      </w:r>
      <w:r w:rsidRPr="006F0B71">
        <w:t xml:space="preserve"> with effect sizes (</w:t>
      </w:r>
      <w:r w:rsidR="0052528C">
        <w:t xml:space="preserve">number inside </w:t>
      </w:r>
      <w:r w:rsidRPr="006F0B71">
        <w:t xml:space="preserve">brick coloured boxes) </w:t>
      </w:r>
      <w:r>
        <w:t>for barking/spotted marsh frog breeding in wetlands through the Murrumbidgee.</w:t>
      </w:r>
      <w:r w:rsidR="00BA39DE">
        <w:t xml:space="preserve"> Positive </w:t>
      </w:r>
      <w:r w:rsidR="0052528C">
        <w:t>effect sizes</w:t>
      </w:r>
      <w:r w:rsidR="00BA39DE">
        <w:t xml:space="preserve"> indicate </w:t>
      </w:r>
      <w:r w:rsidR="00B200A8">
        <w:t xml:space="preserve">a </w:t>
      </w:r>
      <w:r w:rsidR="00BA39DE">
        <w:t xml:space="preserve">positive relationship between the response variable and the </w:t>
      </w:r>
      <w:r w:rsidR="0052528C">
        <w:t>explanatory variable(s)</w:t>
      </w:r>
      <w:r w:rsidR="00BA39DE">
        <w:t xml:space="preserve"> while negative numbers indicate a negative relationship</w:t>
      </w:r>
      <w:r w:rsidR="00B200A8">
        <w:t>.</w:t>
      </w:r>
      <w:r w:rsidR="00BA39DE">
        <w:t xml:space="preserve"> </w:t>
      </w:r>
      <w:r w:rsidR="00B200A8">
        <w:t>T</w:t>
      </w:r>
      <w:r w:rsidR="00BA39DE">
        <w:t xml:space="preserve">he </w:t>
      </w:r>
      <w:r w:rsidR="0052528C">
        <w:t xml:space="preserve">magnitude </w:t>
      </w:r>
      <w:r w:rsidR="00BA39DE">
        <w:t xml:space="preserve">of the </w:t>
      </w:r>
      <w:r w:rsidR="0052528C">
        <w:t xml:space="preserve">effect size </w:t>
      </w:r>
      <w:r w:rsidR="00BA39DE">
        <w:t>represents the strength of the relationships.</w:t>
      </w:r>
      <w:bookmarkEnd w:id="483"/>
      <w:r w:rsidR="00BA39DE">
        <w:t xml:space="preserve"> </w:t>
      </w:r>
    </w:p>
    <w:p w:rsidR="00717D8C" w:rsidRDefault="00717D8C" w:rsidP="00717D8C">
      <w:pPr>
        <w:rPr>
          <w:b/>
        </w:rPr>
      </w:pPr>
    </w:p>
    <w:p w:rsidR="00717D8C" w:rsidRDefault="00717D8C" w:rsidP="0052528C">
      <w:pPr>
        <w:keepNext/>
        <w:rPr>
          <w:b/>
        </w:rPr>
      </w:pPr>
      <w:r>
        <w:rPr>
          <w:b/>
          <w:noProof/>
          <w:lang w:eastAsia="en-AU"/>
        </w:rPr>
        <w:drawing>
          <wp:inline distT="0" distB="0" distL="0" distR="0">
            <wp:extent cx="5731510" cy="3225800"/>
            <wp:effectExtent l="19050" t="0" r="2540" b="0"/>
            <wp:docPr id="51" name="Picture 112" descr="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562.JPG"/>
                    <pic:cNvPicPr>
                      <a:picLocks noChangeAspect="1" noChangeArrowheads="1"/>
                    </pic:cNvPicPr>
                  </pic:nvPicPr>
                  <pic:blipFill>
                    <a:blip r:embed="rId173" cstate="print"/>
                    <a:srcRect/>
                    <a:stretch>
                      <a:fillRect/>
                    </a:stretch>
                  </pic:blipFill>
                  <pic:spPr bwMode="auto">
                    <a:xfrm>
                      <a:off x="0" y="0"/>
                      <a:ext cx="5731510" cy="3225800"/>
                    </a:xfrm>
                    <a:prstGeom prst="rect">
                      <a:avLst/>
                    </a:prstGeom>
                    <a:noFill/>
                    <a:ln w="9525">
                      <a:noFill/>
                      <a:miter lim="800000"/>
                      <a:headEnd/>
                      <a:tailEnd/>
                    </a:ln>
                  </pic:spPr>
                </pic:pic>
              </a:graphicData>
            </a:graphic>
          </wp:inline>
        </w:drawing>
      </w:r>
    </w:p>
    <w:p w:rsidR="00717D8C" w:rsidRDefault="00717D8C" w:rsidP="00717D8C">
      <w:pPr>
        <w:pStyle w:val="Caption1"/>
      </w:pPr>
      <w:bookmarkStart w:id="484" w:name="_Toc370738874"/>
      <w:r w:rsidRPr="006F0B71">
        <w:rPr>
          <w:b/>
        </w:rPr>
        <w:t xml:space="preserve">Plate </w:t>
      </w:r>
      <w:r w:rsidR="00D20FAE" w:rsidRPr="006F0B71">
        <w:rPr>
          <w:b/>
        </w:rPr>
        <w:fldChar w:fldCharType="begin"/>
      </w:r>
      <w:r w:rsidRPr="006F0B71">
        <w:rPr>
          <w:b/>
        </w:rPr>
        <w:instrText xml:space="preserve"> SEQ Plate \* ARABIC </w:instrText>
      </w:r>
      <w:r w:rsidR="00D20FAE" w:rsidRPr="006F0B71">
        <w:rPr>
          <w:b/>
        </w:rPr>
        <w:fldChar w:fldCharType="separate"/>
      </w:r>
      <w:r w:rsidR="00436595">
        <w:rPr>
          <w:b/>
          <w:noProof/>
        </w:rPr>
        <w:t>18</w:t>
      </w:r>
      <w:r w:rsidR="00D20FAE" w:rsidRPr="006F0B71">
        <w:rPr>
          <w:b/>
        </w:rPr>
        <w:fldChar w:fldCharType="end"/>
      </w:r>
      <w:r>
        <w:t xml:space="preserve"> </w:t>
      </w:r>
      <w:r w:rsidRPr="006F0B71">
        <w:t>Recently metamorphosed barking marsh frog</w:t>
      </w:r>
      <w:r>
        <w:t>;</w:t>
      </w:r>
      <w:r w:rsidRPr="006F0B71">
        <w:t xml:space="preserve"> this species is sensitive to prolonged dry periods and requires inflows into wetlands to trigger breeding.</w:t>
      </w:r>
      <w:bookmarkEnd w:id="484"/>
    </w:p>
    <w:p w:rsidR="00717D8C" w:rsidRDefault="00717D8C" w:rsidP="00717D8C"/>
    <w:p w:rsidR="004D709E" w:rsidRDefault="004D709E">
      <w:pPr>
        <w:spacing w:after="0" w:line="240" w:lineRule="auto"/>
        <w:jc w:val="left"/>
        <w:rPr>
          <w:b/>
        </w:rPr>
      </w:pPr>
    </w:p>
    <w:p w:rsidR="00717D8C" w:rsidRDefault="00717D8C" w:rsidP="004D709E">
      <w:pPr>
        <w:pStyle w:val="Heading3"/>
      </w:pPr>
      <w:bookmarkStart w:id="485" w:name="_Toc370299255"/>
      <w:bookmarkStart w:id="486" w:name="_Toc370738875"/>
      <w:bookmarkStart w:id="487" w:name="_Toc370739438"/>
      <w:bookmarkStart w:id="488" w:name="_Toc378168599"/>
      <w:r w:rsidRPr="00C20F5D">
        <w:t xml:space="preserve">Supporting habitat requirements </w:t>
      </w:r>
      <w:r>
        <w:t>for fish</w:t>
      </w:r>
      <w:r w:rsidR="004D709E">
        <w:t>-Microcrustacea</w:t>
      </w:r>
      <w:bookmarkEnd w:id="485"/>
      <w:bookmarkEnd w:id="486"/>
      <w:bookmarkEnd w:id="487"/>
      <w:bookmarkEnd w:id="488"/>
    </w:p>
    <w:p w:rsidR="00717D8C" w:rsidRDefault="00717D8C" w:rsidP="00717D8C">
      <w:pPr>
        <w:pStyle w:val="BodyText1"/>
      </w:pPr>
      <w:r>
        <w:t xml:space="preserve">Microcrustacea are a critical food source for larval fish and play an important role in wetland food chains. The conceptual model developed for microcrustacea was similar in many respects to the model developed for frog breeding, with components related to flow, water quality and vegetation parameters, and gambusia densities. We expected all these variables to interact to influence the </w:t>
      </w:r>
      <w:r w:rsidRPr="004D709E">
        <w:t>densities of key microcrustacean taxa; copepods, cladocerans and ostracods (</w:t>
      </w:r>
      <w:fldSimple w:instr=" REF _Ref370292602  \* MERGEFORMAT ">
        <w:r w:rsidR="00436595" w:rsidRPr="00436595">
          <w:t xml:space="preserve">Figure </w:t>
        </w:r>
        <w:r w:rsidR="00436595" w:rsidRPr="00436595">
          <w:rPr>
            <w:noProof/>
          </w:rPr>
          <w:t>48</w:t>
        </w:r>
      </w:fldSimple>
      <w:r w:rsidRPr="004D709E">
        <w:t>).</w:t>
      </w:r>
    </w:p>
    <w:p w:rsidR="00717D8C" w:rsidRDefault="00717D8C" w:rsidP="00717D8C">
      <w:pPr>
        <w:pStyle w:val="BodyText1"/>
      </w:pPr>
      <w:r>
        <w:t>The total density of microcrustacea increased with the increasing number of days that the wetland had received water over the 30 days prior to sampling (effect size z</w:t>
      </w:r>
      <w:r w:rsidR="0052528C">
        <w:t> </w:t>
      </w:r>
      <w:r>
        <w:t>=</w:t>
      </w:r>
      <w:r w:rsidR="0052528C">
        <w:t> </w:t>
      </w:r>
      <w:r>
        <w:t>3), and dramatically decreased with increasing number of years that the wetland had been dry in the previous decade (effect size</w:t>
      </w:r>
      <w:r w:rsidR="00014DDF">
        <w:t xml:space="preserve"> z</w:t>
      </w:r>
      <w:r w:rsidR="0052528C">
        <w:t> </w:t>
      </w:r>
      <w:r>
        <w:t>=</w:t>
      </w:r>
      <w:r w:rsidR="0052528C">
        <w:t> </w:t>
      </w:r>
      <w:r>
        <w:t>-14.8). Although gambusia diet includes microcrustaceans, in this study they had a positive effect on the density of microcrustaceans (effect size</w:t>
      </w:r>
      <w:r w:rsidR="00014DDF">
        <w:t xml:space="preserve"> z</w:t>
      </w:r>
      <w:r w:rsidR="0052528C">
        <w:t> </w:t>
      </w:r>
      <w:r>
        <w:t>=</w:t>
      </w:r>
      <w:r w:rsidR="0052528C">
        <w:t> </w:t>
      </w:r>
      <w:r>
        <w:t>12.9). Declining water quality as wetlands dr</w:t>
      </w:r>
      <w:r w:rsidR="005938B1">
        <w:t>ied</w:t>
      </w:r>
      <w:r>
        <w:t xml:space="preserve"> had a strong negative effect on density of microcrustaceans (effect size</w:t>
      </w:r>
      <w:r w:rsidR="00014DDF">
        <w:t xml:space="preserve"> z</w:t>
      </w:r>
      <w:r w:rsidR="0052528C">
        <w:t> </w:t>
      </w:r>
      <w:r>
        <w:t>=</w:t>
      </w:r>
      <w:r w:rsidR="0052528C">
        <w:t> -16.6).</w:t>
      </w:r>
    </w:p>
    <w:p w:rsidR="004D709E" w:rsidRDefault="00717D8C" w:rsidP="00717D8C">
      <w:pPr>
        <w:pStyle w:val="BodyText1"/>
      </w:pPr>
      <w:r>
        <w:t>Some of the key messages that can be drawn from the microcrustacean model are similar to those for breeding frogs; firstly</w:t>
      </w:r>
      <w:r w:rsidR="0052528C">
        <w:t>,</w:t>
      </w:r>
      <w:r>
        <w:t xml:space="preserve"> that flows in the 30 days prior to sampling promote higher densities of microcrustaceans</w:t>
      </w:r>
      <w:r w:rsidR="0052528C">
        <w:t>;</w:t>
      </w:r>
      <w:r>
        <w:t xml:space="preserve"> and</w:t>
      </w:r>
      <w:r w:rsidR="0052528C">
        <w:t>,</w:t>
      </w:r>
      <w:r>
        <w:t xml:space="preserve"> secondly, that</w:t>
      </w:r>
      <w:r w:rsidR="0052528C">
        <w:t>,</w:t>
      </w:r>
      <w:r>
        <w:t xml:space="preserve"> at least in the short term, wetlands that have been dry for extended periods prior to receiving Commonwealth environmental water can be expected to have lower densities of microcrustaceans than wetlands that have been targeted with environmental water for longer periods. The response of microcrustaceans to declining water quality as wetlands </w:t>
      </w:r>
      <w:r w:rsidR="00014DDF">
        <w:t>dry</w:t>
      </w:r>
      <w:r>
        <w:t xml:space="preserve"> highlights the need to manage the timing of drying when fish and other fauna are relying on microcrustaceans for food. The </w:t>
      </w:r>
      <w:r w:rsidRPr="00C20F5D">
        <w:rPr>
          <w:b/>
        </w:rPr>
        <w:t xml:space="preserve">Commonwealth environmental </w:t>
      </w:r>
      <w:r>
        <w:rPr>
          <w:b/>
        </w:rPr>
        <w:t xml:space="preserve">watering in 2012-13 </w:t>
      </w:r>
      <w:r w:rsidRPr="00C20F5D">
        <w:rPr>
          <w:b/>
        </w:rPr>
        <w:t>made a</w:t>
      </w:r>
      <w:r>
        <w:rPr>
          <w:b/>
        </w:rPr>
        <w:t xml:space="preserve"> significant </w:t>
      </w:r>
      <w:r w:rsidRPr="00C20F5D">
        <w:rPr>
          <w:b/>
        </w:rPr>
        <w:t>contribution to achieving the objective of</w:t>
      </w:r>
      <w:r>
        <w:t xml:space="preserve"> </w:t>
      </w:r>
      <w:r w:rsidRPr="00C20F5D">
        <w:rPr>
          <w:b/>
          <w:i/>
        </w:rPr>
        <w:t>Supporting breeding and recruitment of other native aquatic species</w:t>
      </w:r>
      <w:r w:rsidR="0052528C">
        <w:rPr>
          <w:b/>
          <w:i/>
        </w:rPr>
        <w:t xml:space="preserve"> (invertebrates)</w:t>
      </w:r>
      <w:r>
        <w:rPr>
          <w:b/>
          <w:i/>
        </w:rPr>
        <w:t xml:space="preserve"> </w:t>
      </w:r>
      <w:r w:rsidRPr="0055242D">
        <w:t xml:space="preserve">by </w:t>
      </w:r>
      <w:r>
        <w:t>inundating productive and regularly flooded wetlands</w:t>
      </w:r>
      <w:r w:rsidR="0052528C">
        <w:t>,</w:t>
      </w:r>
      <w:r>
        <w:t xml:space="preserve"> while also restoring flows to habitats that had remained dry for many decades</w:t>
      </w:r>
      <w:r w:rsidR="00024A82">
        <w:t>. This</w:t>
      </w:r>
      <w:r>
        <w:t xml:space="preserve"> </w:t>
      </w:r>
      <w:r w:rsidR="00024A82">
        <w:t>should have helped</w:t>
      </w:r>
      <w:r>
        <w:t xml:space="preserve"> to restore the egg bank in the lake system, which contributes unique biodiversity</w:t>
      </w:r>
      <w:r w:rsidR="00024A82">
        <w:t xml:space="preserve"> to the Murrumbidgee system</w:t>
      </w:r>
      <w:r w:rsidRPr="0055242D">
        <w:t xml:space="preserve">. </w:t>
      </w:r>
      <w:r>
        <w:t>In these systems</w:t>
      </w:r>
      <w:r w:rsidR="0052528C">
        <w:t>,</w:t>
      </w:r>
      <w:r>
        <w:t xml:space="preserve"> t</w:t>
      </w:r>
      <w:r w:rsidRPr="0055242D">
        <w:t xml:space="preserve">he positive impact of </w:t>
      </w:r>
      <w:r>
        <w:t>C</w:t>
      </w:r>
      <w:r w:rsidRPr="0055242D">
        <w:t>ommonwealth environmental watering on wetland fauna is likely to increase over time as natural wetting and drying patterns are restored</w:t>
      </w:r>
      <w:r>
        <w:t xml:space="preserve"> and egg banks recover</w:t>
      </w:r>
      <w:r w:rsidRPr="0055242D">
        <w:t>.</w:t>
      </w:r>
    </w:p>
    <w:p w:rsidR="00717D8C" w:rsidRPr="00E81800" w:rsidRDefault="00717D8C" w:rsidP="00717D8C">
      <w:pPr>
        <w:pStyle w:val="BodyText1"/>
      </w:pPr>
    </w:p>
    <w:p w:rsidR="00717D8C" w:rsidRDefault="00A151D1" w:rsidP="00717D8C">
      <w:r>
        <w:rPr>
          <w:noProof/>
          <w:lang w:eastAsia="en-AU"/>
        </w:rPr>
        <w:drawing>
          <wp:inline distT="0" distB="0" distL="0" distR="0">
            <wp:extent cx="5732145" cy="4352925"/>
            <wp:effectExtent l="19050" t="0" r="1905" b="0"/>
            <wp:docPr id="105" name="Picture 104" descr="Pictu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6.png"/>
                    <pic:cNvPicPr/>
                  </pic:nvPicPr>
                  <pic:blipFill>
                    <a:blip r:embed="rId174" cstate="print"/>
                    <a:stretch>
                      <a:fillRect/>
                    </a:stretch>
                  </pic:blipFill>
                  <pic:spPr>
                    <a:xfrm>
                      <a:off x="0" y="0"/>
                      <a:ext cx="5732145" cy="4352925"/>
                    </a:xfrm>
                    <a:prstGeom prst="rect">
                      <a:avLst/>
                    </a:prstGeom>
                  </pic:spPr>
                </pic:pic>
              </a:graphicData>
            </a:graphic>
          </wp:inline>
        </w:drawing>
      </w:r>
    </w:p>
    <w:p w:rsidR="0032212D" w:rsidRPr="006F0B71" w:rsidRDefault="004D709E" w:rsidP="004D709E">
      <w:pPr>
        <w:pStyle w:val="Caption1"/>
      </w:pPr>
      <w:bookmarkStart w:id="489" w:name="_Ref370292602"/>
      <w:bookmarkStart w:id="490" w:name="_Toc370738876"/>
      <w:r w:rsidRPr="004D709E">
        <w:rPr>
          <w:b/>
        </w:rPr>
        <w:t xml:space="preserve">Figure </w:t>
      </w:r>
      <w:r w:rsidR="00D20FAE" w:rsidRPr="004D709E">
        <w:rPr>
          <w:b/>
        </w:rPr>
        <w:fldChar w:fldCharType="begin"/>
      </w:r>
      <w:r w:rsidRPr="004D709E">
        <w:rPr>
          <w:b/>
        </w:rPr>
        <w:instrText xml:space="preserve"> SEQ Figure \* ARABIC </w:instrText>
      </w:r>
      <w:r w:rsidR="00D20FAE" w:rsidRPr="004D709E">
        <w:rPr>
          <w:b/>
        </w:rPr>
        <w:fldChar w:fldCharType="separate"/>
      </w:r>
      <w:r w:rsidR="00436595">
        <w:rPr>
          <w:b/>
          <w:noProof/>
        </w:rPr>
        <w:t>48</w:t>
      </w:r>
      <w:r w:rsidR="00D20FAE" w:rsidRPr="004D709E">
        <w:rPr>
          <w:b/>
        </w:rPr>
        <w:fldChar w:fldCharType="end"/>
      </w:r>
      <w:bookmarkEnd w:id="489"/>
      <w:r>
        <w:t xml:space="preserve"> </w:t>
      </w:r>
      <w:r w:rsidR="0032212D" w:rsidRPr="006F0B71">
        <w:t>Conceptual mode</w:t>
      </w:r>
      <w:r w:rsidR="0032212D">
        <w:t>l</w:t>
      </w:r>
      <w:r w:rsidR="0032212D" w:rsidRPr="006F0B71">
        <w:t xml:space="preserve"> with effect sizes (</w:t>
      </w:r>
      <w:r w:rsidR="00545B8B">
        <w:t xml:space="preserve">numbers inside the </w:t>
      </w:r>
      <w:r w:rsidR="0032212D" w:rsidRPr="006F0B71">
        <w:t xml:space="preserve">brick coloured boxes) </w:t>
      </w:r>
      <w:r w:rsidR="0032212D">
        <w:t xml:space="preserve">for </w:t>
      </w:r>
      <w:r>
        <w:t xml:space="preserve">total microcrustacean </w:t>
      </w:r>
      <w:r w:rsidR="0032212D">
        <w:t xml:space="preserve">in wetlands through the Murrumbidgee. Positive </w:t>
      </w:r>
      <w:r w:rsidR="00545B8B" w:rsidRPr="006F0B71">
        <w:t>effect sizes</w:t>
      </w:r>
      <w:r w:rsidR="0032212D">
        <w:t xml:space="preserve"> indicate </w:t>
      </w:r>
      <w:r w:rsidR="00B200A8">
        <w:t>a</w:t>
      </w:r>
      <w:r w:rsidR="0032212D">
        <w:t xml:space="preserve"> positive relationship between the response variable and the </w:t>
      </w:r>
      <w:r w:rsidR="00545B8B">
        <w:t>explanatory variable(s),</w:t>
      </w:r>
      <w:r w:rsidR="0032212D">
        <w:t xml:space="preserve"> while negative </w:t>
      </w:r>
      <w:r w:rsidR="00545B8B" w:rsidRPr="006F0B71">
        <w:t xml:space="preserve">effect sizes </w:t>
      </w:r>
      <w:r w:rsidR="0032212D">
        <w:t xml:space="preserve">indicate a negative relationship, the </w:t>
      </w:r>
      <w:r w:rsidR="00545B8B">
        <w:t xml:space="preserve">magnitude </w:t>
      </w:r>
      <w:r w:rsidR="0032212D">
        <w:t xml:space="preserve">of the </w:t>
      </w:r>
      <w:r w:rsidR="00545B8B" w:rsidRPr="006F0B71">
        <w:t xml:space="preserve">effect sizes </w:t>
      </w:r>
      <w:r w:rsidR="0032212D">
        <w:t>represents the strength of the relationships.</w:t>
      </w:r>
      <w:bookmarkEnd w:id="490"/>
      <w:r w:rsidR="0032212D">
        <w:t xml:space="preserve"> </w:t>
      </w:r>
    </w:p>
    <w:p w:rsidR="004D709E" w:rsidRDefault="004D709E">
      <w:pPr>
        <w:spacing w:after="0" w:line="240" w:lineRule="auto"/>
        <w:jc w:val="left"/>
        <w:rPr>
          <w:rFonts w:eastAsia="Times New Roman"/>
          <w:iCs/>
          <w:color w:val="076028"/>
          <w:kern w:val="32"/>
          <w:sz w:val="24"/>
          <w:szCs w:val="26"/>
        </w:rPr>
      </w:pPr>
      <w:r>
        <w:br w:type="page"/>
      </w:r>
    </w:p>
    <w:p w:rsidR="00717D8C" w:rsidRPr="0060488F" w:rsidRDefault="00717D8C" w:rsidP="004D709E">
      <w:pPr>
        <w:pStyle w:val="Heading3"/>
      </w:pPr>
      <w:bookmarkStart w:id="491" w:name="_Toc370299256"/>
      <w:bookmarkStart w:id="492" w:name="_Toc370738877"/>
      <w:bookmarkStart w:id="493" w:name="_Toc370739439"/>
      <w:bookmarkStart w:id="494" w:name="_Toc378168600"/>
      <w:r w:rsidRPr="0060488F">
        <w:t>Supporting breeding and recruitment by native fish</w:t>
      </w:r>
      <w:r>
        <w:t xml:space="preserve"> (</w:t>
      </w:r>
      <w:r w:rsidRPr="0060488F">
        <w:t>wetlands)</w:t>
      </w:r>
      <w:bookmarkEnd w:id="491"/>
      <w:bookmarkEnd w:id="492"/>
      <w:bookmarkEnd w:id="493"/>
      <w:bookmarkEnd w:id="494"/>
    </w:p>
    <w:p w:rsidR="009A2B56" w:rsidRDefault="00717D8C" w:rsidP="00C8761D">
      <w:pPr>
        <w:pStyle w:val="BodyText1"/>
      </w:pPr>
      <w:r>
        <w:t xml:space="preserve">Water is a critical factor for fish and the Commonwealth environmental watering actions which filled the Western Lakes facilitated significant recruitment of native carp gudgeon. It is however interesting to consider how the flow parameters that were </w:t>
      </w:r>
      <w:r w:rsidRPr="00E6486C">
        <w:t>important for frogs and microcrustacea affect this common and widespread native fish</w:t>
      </w:r>
      <w:r w:rsidR="00E6486C" w:rsidRPr="00E6486C">
        <w:t xml:space="preserve"> (</w:t>
      </w:r>
      <w:fldSimple w:instr=" REF _Ref370292774  \* MERGEFORMAT ">
        <w:r w:rsidR="00436595" w:rsidRPr="00436595">
          <w:t xml:space="preserve">Figure </w:t>
        </w:r>
        <w:r w:rsidR="00436595" w:rsidRPr="00436595">
          <w:rPr>
            <w:noProof/>
          </w:rPr>
          <w:t>49</w:t>
        </w:r>
      </w:fldSimple>
      <w:r w:rsidR="00E6486C" w:rsidRPr="00E6486C">
        <w:t>)</w:t>
      </w:r>
      <w:r w:rsidRPr="00E6486C">
        <w:t>. Considering the conceptual model there is a clear positive relationship between the</w:t>
      </w:r>
      <w:r>
        <w:t xml:space="preserve"> abundance of carp gudgeon and food availability (total density</w:t>
      </w:r>
      <w:r w:rsidRPr="00CB5EEF">
        <w:t xml:space="preserve"> </w:t>
      </w:r>
      <w:r>
        <w:t>of microcrustacea) and microcrustacea size.</w:t>
      </w:r>
      <w:r w:rsidR="00C8761D">
        <w:t xml:space="preserve"> Carp gudgeon consume a range of microinvertebrates,</w:t>
      </w:r>
      <w:r w:rsidR="009A2B56">
        <w:t xml:space="preserve"> </w:t>
      </w:r>
      <w:r w:rsidR="00D20FAE">
        <w:fldChar w:fldCharType="begin"/>
      </w:r>
      <w:r w:rsidR="006171E9">
        <w:instrText xml:space="preserve"> ADDIN EN.CITE &lt;EndNote&gt;&lt;Cite&gt;&lt;Author&gt;Balcombe&lt;/Author&gt;&lt;Year&gt;2006&lt;/Year&gt;&lt;RecNum&gt;2710&lt;/RecNum&gt;&lt;DisplayText&gt;(Balcombe and Humphries 2006)&lt;/DisplayText&gt;&lt;record&gt;&lt;rec-number&gt;2710&lt;/rec-number&gt;&lt;foreign-keys&gt;&lt;key app="EN" db-id="vxxvsda2b05fxpeaw2dp552mtrd5trxdrf0s"&gt;2710&lt;/key&gt;&lt;/foreign-keys&gt;&lt;ref-type name="Journal Article"&gt;17&lt;/ref-type&gt;&lt;contributors&gt;&lt;authors&gt;&lt;author&gt;Balcombe, S R&lt;/author&gt;&lt;author&gt;Humphries, P&lt;/author&gt;&lt;/authors&gt;&lt;/contributors&gt;&lt;titles&gt;&lt;title&gt;&lt;style face="normal" font="default" size="100%"&gt;Diet of the western carp gudgeon (&lt;/style&gt;&lt;style face="italic" font="default" size="100%"&gt;Hypseleotris klunzingeri &lt;/style&gt;&lt;style face="normal" font="default" size="100%"&gt;Ogilby) in an Australian floodplain lake: the role of water level stability&lt;/style&gt;&lt;/title&gt;&lt;secondary-title&gt;Journal of Fish Biology&lt;/secondary-title&gt;&lt;/titles&gt;&lt;periodical&gt;&lt;full-title&gt;Journal of Fish Biology&lt;/full-title&gt;&lt;/periodical&gt;&lt;pages&gt;1484-1493&lt;/pages&gt;&lt;volume&gt;68&lt;/volume&gt;&lt;keywords&gt;&lt;keyword&gt;billabong&lt;/keyword&gt;&lt;keyword&gt;diet&lt;/keyword&gt;&lt;keyword&gt;food resources temporal variability&lt;/keyword&gt;&lt;keyword&gt;Hypseleotris&lt;/keyword&gt;&lt;keyword&gt;water levels&lt;/keyword&gt;&lt;/keywords&gt;&lt;dates&gt;&lt;year&gt;2006&lt;/year&gt;&lt;/dates&gt;&lt;call-num&gt;Elec file&lt;/call-num&gt;&lt;urls&gt;&lt;/urls&gt;&lt;/record&gt;&lt;/Cite&gt;&lt;/EndNote&gt;</w:instrText>
      </w:r>
      <w:r w:rsidR="00D20FAE">
        <w:fldChar w:fldCharType="separate"/>
      </w:r>
      <w:r w:rsidR="006171E9">
        <w:rPr>
          <w:noProof/>
        </w:rPr>
        <w:t>(</w:t>
      </w:r>
      <w:hyperlink w:anchor="_ENREF_10" w:tooltip="Balcombe, 2006 #2710" w:history="1">
        <w:r w:rsidR="006810E6">
          <w:rPr>
            <w:noProof/>
          </w:rPr>
          <w:t>Balcombe and Humphries 2006</w:t>
        </w:r>
      </w:hyperlink>
      <w:r w:rsidR="006171E9">
        <w:rPr>
          <w:noProof/>
        </w:rPr>
        <w:t>)</w:t>
      </w:r>
      <w:r w:rsidR="00D20FAE">
        <w:fldChar w:fldCharType="end"/>
      </w:r>
      <w:r w:rsidR="009A2B56">
        <w:t xml:space="preserve"> </w:t>
      </w:r>
      <w:r w:rsidR="00C8761D">
        <w:t xml:space="preserve">and can actively structure </w:t>
      </w:r>
      <w:r w:rsidR="009A2B56" w:rsidRPr="009A2B56">
        <w:t>microcrustacea</w:t>
      </w:r>
      <w:r w:rsidR="00C8761D">
        <w:t xml:space="preserve"> communities through selective predation</w:t>
      </w:r>
      <w:r w:rsidR="009A2B56">
        <w:t xml:space="preserve"> with some </w:t>
      </w:r>
      <w:r w:rsidR="009A2B56" w:rsidRPr="009A2B56">
        <w:t>microcrustacea</w:t>
      </w:r>
      <w:r w:rsidR="009A2B56">
        <w:t xml:space="preserve"> taxa </w:t>
      </w:r>
      <w:r w:rsidR="009A2B56" w:rsidRPr="009A2B56">
        <w:t xml:space="preserve">such as </w:t>
      </w:r>
      <w:r w:rsidR="009A2B56" w:rsidRPr="009A2B56">
        <w:rPr>
          <w:i/>
        </w:rPr>
        <w:t xml:space="preserve">Copepod nauplii </w:t>
      </w:r>
      <w:r w:rsidR="009A2B56" w:rsidRPr="009A2B56">
        <w:t>increasing in abundance in the presence of carp gudgeon</w:t>
      </w:r>
      <w:r w:rsidR="009A2B56">
        <w:t xml:space="preserve"> </w:t>
      </w:r>
      <w:r w:rsidR="00D20FAE">
        <w:fldChar w:fldCharType="begin"/>
      </w:r>
      <w:r w:rsidR="006171E9">
        <w:instrText xml:space="preserve"> ADDIN EN.CITE &lt;EndNote&gt;&lt;Cite&gt;&lt;Author&gt;Nielsen&lt;/Author&gt;&lt;Year&gt;2000&lt;/Year&gt;&lt;RecNum&gt;3422&lt;/RecNum&gt;&lt;DisplayText&gt;(Nielsen, Hillman&lt;style face="italic"&gt; et al.&lt;/style&gt; 2000)&lt;/DisplayText&gt;&lt;record&gt;&lt;rec-number&gt;3422&lt;/rec-number&gt;&lt;foreign-keys&gt;&lt;key app="EN" db-id="vxxvsda2b05fxpeaw2dp552mtrd5trxdrf0s"&gt;3422&lt;/key&gt;&lt;/foreign-keys&gt;&lt;ref-type name="Journal Article"&gt;17&lt;/ref-type&gt;&lt;contributors&gt;&lt;authors&gt;&lt;author&gt;Nielsen, D. L.&lt;/author&gt;&lt;author&gt;Hillman, T. J.&lt;/author&gt;&lt;author&gt;Smith, F. J.&lt;/author&gt;&lt;author&gt;Shiel, R. J.&lt;/author&gt;&lt;/authors&gt;&lt;/contributors&gt;&lt;titles&gt;&lt;title&gt;The influence of a planktivorous fish on zooplankton assemblages in experimental billabongs&lt;/title&gt;&lt;secondary-title&gt;Hydrobiologia&lt;/secondary-title&gt;&lt;alt-title&gt;Hydrobiologia&lt;/alt-title&gt;&lt;/titles&gt;&lt;periodical&gt;&lt;full-title&gt;Hydrobiologia&lt;/full-title&gt;&lt;/periodical&gt;&lt;alt-periodical&gt;&lt;full-title&gt;Hydrobiologia&lt;/full-title&gt;&lt;/alt-periodical&gt;&lt;pages&gt;1-9&lt;/pages&gt;&lt;volume&gt;434&lt;/volume&gt;&lt;number&gt;1-3&lt;/number&gt;&lt;dates&gt;&lt;year&gt;2000&lt;/year&gt;&lt;pub-dates&gt;&lt;date&gt;2000/09/01&lt;/date&gt;&lt;/pub-dates&gt;&lt;/dates&gt;&lt;publisher&gt;Kluwer Academic Publishers&lt;/publisher&gt;&lt;isbn&gt;0018-8158&lt;/isbn&gt;&lt;urls&gt;&lt;related-urls&gt;&lt;url&gt;http://dx.doi.org/10.1023/A%3A1004008800955&lt;/url&gt;&lt;/related-urls&gt;&lt;/urls&gt;&lt;electronic-resource-num&gt;10.1023/A:1004008800955&lt;/electronic-resource-num&gt;&lt;language&gt;English&lt;/language&gt;&lt;/record&gt;&lt;/Cite&gt;&lt;/EndNote&gt;</w:instrText>
      </w:r>
      <w:r w:rsidR="00D20FAE">
        <w:fldChar w:fldCharType="separate"/>
      </w:r>
      <w:r w:rsidR="006171E9">
        <w:rPr>
          <w:noProof/>
        </w:rPr>
        <w:t>(</w:t>
      </w:r>
      <w:hyperlink w:anchor="_ENREF_74" w:tooltip="Nielsen, 2000 #3422" w:history="1">
        <w:r w:rsidR="006810E6">
          <w:rPr>
            <w:noProof/>
          </w:rPr>
          <w:t>Nielsen, Hillman</w:t>
        </w:r>
        <w:r w:rsidR="006810E6" w:rsidRPr="006171E9">
          <w:rPr>
            <w:i/>
            <w:noProof/>
          </w:rPr>
          <w:t xml:space="preserve"> et al.</w:t>
        </w:r>
        <w:r w:rsidR="006810E6">
          <w:rPr>
            <w:noProof/>
          </w:rPr>
          <w:t xml:space="preserve"> 2000</w:t>
        </w:r>
      </w:hyperlink>
      <w:r w:rsidR="006171E9">
        <w:rPr>
          <w:noProof/>
        </w:rPr>
        <w:t>)</w:t>
      </w:r>
      <w:r w:rsidR="00D20FAE">
        <w:fldChar w:fldCharType="end"/>
      </w:r>
      <w:r w:rsidR="009A2B56">
        <w:t>.</w:t>
      </w:r>
    </w:p>
    <w:p w:rsidR="00D95C35" w:rsidRDefault="009A2B56" w:rsidP="008D6296">
      <w:pPr>
        <w:pStyle w:val="BodyText1"/>
      </w:pPr>
      <w:r>
        <w:t>U</w:t>
      </w:r>
      <w:r w:rsidR="00717D8C" w:rsidRPr="009A2B56">
        <w:t>n</w:t>
      </w:r>
      <w:r w:rsidR="00844A49" w:rsidRPr="009A2B56">
        <w:t>like tadpoles</w:t>
      </w:r>
      <w:r w:rsidR="00D1083D" w:rsidRPr="009A2B56">
        <w:t xml:space="preserve"> and microcrustacea</w:t>
      </w:r>
      <w:r w:rsidR="00844A49" w:rsidRPr="009A2B56">
        <w:t xml:space="preserve">, </w:t>
      </w:r>
      <w:r w:rsidR="00D1083D" w:rsidRPr="009A2B56">
        <w:t>which</w:t>
      </w:r>
      <w:r w:rsidR="00844A49" w:rsidRPr="009A2B56">
        <w:t xml:space="preserve"> increased in </w:t>
      </w:r>
      <w:r w:rsidR="00D1083D" w:rsidRPr="009A2B56">
        <w:t xml:space="preserve">abundance </w:t>
      </w:r>
      <w:r w:rsidR="00844A49" w:rsidRPr="009A2B56">
        <w:t>with increasing</w:t>
      </w:r>
      <w:r w:rsidR="00844A49">
        <w:t xml:space="preserve"> </w:t>
      </w:r>
      <w:r w:rsidR="00D1083D">
        <w:t>connection to the river, carp gudgeon abundances actually decreased with increasing connection (e.g high flow days in 30 effect size z = -100 and cumulative flow from July 12  effect size z = -25.2) and increased with increasing number of years dry</w:t>
      </w:r>
      <w:r w:rsidR="00FC369E">
        <w:t xml:space="preserve">. As seen in section 2, </w:t>
      </w:r>
      <w:r w:rsidR="00D95C35">
        <w:t>c</w:t>
      </w:r>
      <w:r w:rsidR="00FC369E">
        <w:t xml:space="preserve">arp </w:t>
      </w:r>
      <w:r w:rsidR="00D95C35">
        <w:t>g</w:t>
      </w:r>
      <w:r w:rsidR="00FC369E">
        <w:t xml:space="preserve">udgeon </w:t>
      </w:r>
      <w:r w:rsidR="00D95C35">
        <w:t xml:space="preserve">quickly colonised the Western Lakes and </w:t>
      </w:r>
      <w:r w:rsidR="008D6296">
        <w:t>thrived</w:t>
      </w:r>
      <w:r w:rsidR="00D95C35">
        <w:t xml:space="preserve"> in an environment that was largely free of competition or predation by other native and introduced fish.</w:t>
      </w:r>
      <w:r w:rsidR="00283292">
        <w:t xml:space="preserve"> Similar booms in productivity of </w:t>
      </w:r>
      <w:r w:rsidR="00C8761D">
        <w:t>carp</w:t>
      </w:r>
      <w:r w:rsidR="00283292">
        <w:t xml:space="preserve"> gu</w:t>
      </w:r>
      <w:r w:rsidR="00C8761D">
        <w:t xml:space="preserve">dgeon </w:t>
      </w:r>
      <w:r w:rsidR="00283292">
        <w:t xml:space="preserve">have been recorded elsewhere e.g </w:t>
      </w:r>
      <w:r w:rsidR="00D20FAE">
        <w:fldChar w:fldCharType="begin"/>
      </w:r>
      <w:r w:rsidR="006171E9">
        <w:instrText xml:space="preserve"> ADDIN EN.CITE &lt;EndNote&gt;&lt;Cite&gt;&lt;Author&gt;Puckridge&lt;/Author&gt;&lt;Year&gt;2000&lt;/Year&gt;&lt;RecNum&gt;3421&lt;/RecNum&gt;&lt;DisplayText&gt;(Puckridge, Walker&lt;style face="italic"&gt; et al.&lt;/style&gt; 2000)&lt;/DisplayText&gt;&lt;record&gt;&lt;rec-number&gt;3421&lt;/rec-number&gt;&lt;foreign-keys&gt;&lt;key app="EN" db-id="vxxvsda2b05fxpeaw2dp552mtrd5trxdrf0s"&gt;3421&lt;/key&gt;&lt;/foreign-keys&gt;&lt;ref-type name="Journal Article"&gt;17&lt;/ref-type&gt;&lt;contributors&gt;&lt;authors&gt;&lt;author&gt;Puckridge, J.T. &lt;/author&gt;&lt;author&gt;Walker, K.F. &lt;/author&gt;&lt;author&gt;Costelloe, J.F. &lt;/author&gt;&lt;/authors&gt;&lt;/contributors&gt;&lt;titles&gt;&lt;title&gt;Hydrological persistence and the ecology of dryland rivers&lt;/title&gt;&lt;secondary-title&gt;Regulated rivers: Research &amp;amp; management&lt;/secondary-title&gt;&lt;/titles&gt;&lt;periodical&gt;&lt;full-title&gt;Regulated Rivers: Research &amp;amp; Management&lt;/full-title&gt;&lt;/periodical&gt;&lt;pages&gt;385–402&lt;/pages&gt;&lt;volume&gt;16&lt;/volume&gt;&lt;dates&gt;&lt;year&gt;2000&lt;/year&gt;&lt;/dates&gt;&lt;urls&gt;&lt;/urls&gt;&lt;/record&gt;&lt;/Cite&gt;&lt;/EndNote&gt;</w:instrText>
      </w:r>
      <w:r w:rsidR="00D20FAE">
        <w:fldChar w:fldCharType="separate"/>
      </w:r>
      <w:r w:rsidR="006171E9">
        <w:rPr>
          <w:noProof/>
        </w:rPr>
        <w:t>(</w:t>
      </w:r>
      <w:hyperlink w:anchor="_ENREF_79" w:tooltip="Puckridge, 2000 #3421" w:history="1">
        <w:r w:rsidR="006810E6">
          <w:rPr>
            <w:noProof/>
          </w:rPr>
          <w:t>Puckridge, Walker</w:t>
        </w:r>
        <w:r w:rsidR="006810E6" w:rsidRPr="006171E9">
          <w:rPr>
            <w:i/>
            <w:noProof/>
          </w:rPr>
          <w:t xml:space="preserve"> et al.</w:t>
        </w:r>
        <w:r w:rsidR="006810E6">
          <w:rPr>
            <w:noProof/>
          </w:rPr>
          <w:t xml:space="preserve"> 2000</w:t>
        </w:r>
      </w:hyperlink>
      <w:r w:rsidR="006171E9">
        <w:rPr>
          <w:noProof/>
        </w:rPr>
        <w:t>)</w:t>
      </w:r>
      <w:r w:rsidR="00D20FAE">
        <w:fldChar w:fldCharType="end"/>
      </w:r>
      <w:r w:rsidR="008D6296">
        <w:t xml:space="preserve">. The colonisation and recruitment of </w:t>
      </w:r>
      <w:r w:rsidR="00D95C35">
        <w:t xml:space="preserve">carp gudgeon </w:t>
      </w:r>
      <w:r w:rsidR="008D6296">
        <w:t>demonstrates a</w:t>
      </w:r>
      <w:r w:rsidR="00D95C35">
        <w:t xml:space="preserve"> short-term positive outcome from Commonwealth </w:t>
      </w:r>
      <w:r w:rsidR="00B200A8">
        <w:t>e</w:t>
      </w:r>
      <w:r w:rsidR="00D95C35">
        <w:t xml:space="preserve">nvironmental </w:t>
      </w:r>
      <w:r w:rsidR="00B200A8">
        <w:t>w</w:t>
      </w:r>
      <w:r w:rsidR="00D95C35">
        <w:t>ater delivery.</w:t>
      </w:r>
    </w:p>
    <w:p w:rsidR="00D95C35" w:rsidRDefault="00D95C35" w:rsidP="00717D8C">
      <w:pPr>
        <w:pStyle w:val="BodyText1"/>
      </w:pPr>
    </w:p>
    <w:p w:rsidR="00717D8C" w:rsidRDefault="00717D8C" w:rsidP="00717D8C">
      <w:pPr>
        <w:pStyle w:val="BodyText1"/>
      </w:pPr>
      <w:r>
        <w:t xml:space="preserve"> </w:t>
      </w:r>
    </w:p>
    <w:p w:rsidR="00717D8C" w:rsidRDefault="00717D8C" w:rsidP="00717D8C">
      <w:pPr>
        <w:pStyle w:val="TOCHeading"/>
        <w:rPr>
          <w:lang w:eastAsia="zh-CN" w:bidi="th-TH"/>
        </w:rPr>
      </w:pPr>
    </w:p>
    <w:p w:rsidR="00717D8C" w:rsidRPr="00E6486C" w:rsidRDefault="00A151D1" w:rsidP="00717D8C">
      <w:pPr>
        <w:rPr>
          <w:b/>
          <w:lang w:eastAsia="zh-CN" w:bidi="th-TH"/>
        </w:rPr>
      </w:pPr>
      <w:r>
        <w:rPr>
          <w:b/>
          <w:noProof/>
          <w:lang w:eastAsia="en-AU"/>
        </w:rPr>
        <w:drawing>
          <wp:inline distT="0" distB="0" distL="0" distR="0">
            <wp:extent cx="5732145" cy="4305935"/>
            <wp:effectExtent l="19050" t="0" r="1905" b="0"/>
            <wp:docPr id="121" name="Picture 120" descr="Pictur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7.png"/>
                    <pic:cNvPicPr/>
                  </pic:nvPicPr>
                  <pic:blipFill>
                    <a:blip r:embed="rId175" cstate="print"/>
                    <a:stretch>
                      <a:fillRect/>
                    </a:stretch>
                  </pic:blipFill>
                  <pic:spPr>
                    <a:xfrm>
                      <a:off x="0" y="0"/>
                      <a:ext cx="5732145" cy="4305935"/>
                    </a:xfrm>
                    <a:prstGeom prst="rect">
                      <a:avLst/>
                    </a:prstGeom>
                  </pic:spPr>
                </pic:pic>
              </a:graphicData>
            </a:graphic>
          </wp:inline>
        </w:drawing>
      </w:r>
    </w:p>
    <w:p w:rsidR="00E6486C" w:rsidRPr="006F0B71" w:rsidRDefault="00E6486C" w:rsidP="00E6486C">
      <w:pPr>
        <w:pStyle w:val="Caption1"/>
      </w:pPr>
      <w:bookmarkStart w:id="495" w:name="_Ref370292774"/>
      <w:bookmarkStart w:id="496" w:name="_Toc370738878"/>
      <w:r w:rsidRPr="00E6486C">
        <w:rPr>
          <w:b/>
        </w:rPr>
        <w:t xml:space="preserve">Figure </w:t>
      </w:r>
      <w:r w:rsidR="00D20FAE" w:rsidRPr="00E6486C">
        <w:rPr>
          <w:b/>
        </w:rPr>
        <w:fldChar w:fldCharType="begin"/>
      </w:r>
      <w:r w:rsidRPr="00E6486C">
        <w:rPr>
          <w:b/>
        </w:rPr>
        <w:instrText xml:space="preserve"> SEQ Figure \* ARABIC </w:instrText>
      </w:r>
      <w:r w:rsidR="00D20FAE" w:rsidRPr="00E6486C">
        <w:rPr>
          <w:b/>
        </w:rPr>
        <w:fldChar w:fldCharType="separate"/>
      </w:r>
      <w:r w:rsidR="00436595">
        <w:rPr>
          <w:b/>
          <w:noProof/>
        </w:rPr>
        <w:t>49</w:t>
      </w:r>
      <w:r w:rsidR="00D20FAE" w:rsidRPr="00E6486C">
        <w:rPr>
          <w:b/>
        </w:rPr>
        <w:fldChar w:fldCharType="end"/>
      </w:r>
      <w:bookmarkEnd w:id="495"/>
      <w:proofErr w:type="gramStart"/>
      <w:r>
        <w:t xml:space="preserve"> </w:t>
      </w:r>
      <w:r w:rsidRPr="006F0B71">
        <w:t>Conceptual mode</w:t>
      </w:r>
      <w:r>
        <w:t>l</w:t>
      </w:r>
      <w:proofErr w:type="gramEnd"/>
      <w:r w:rsidRPr="006F0B71">
        <w:t xml:space="preserve"> with effect sizes (brick coloured boxes) </w:t>
      </w:r>
      <w:r>
        <w:t xml:space="preserve">for carp gudgeon in wetlands through the Murrumbidgee. Positive numbers indicate </w:t>
      </w:r>
      <w:r w:rsidR="00B200A8">
        <w:t>a</w:t>
      </w:r>
      <w:r>
        <w:t xml:space="preserve"> positive relationship between the response variable and the parameter while negative numbers indicate a negative relationship, the size of the number represents the strength of the relationships.</w:t>
      </w:r>
      <w:bookmarkEnd w:id="496"/>
      <w:r>
        <w:t xml:space="preserve"> </w:t>
      </w:r>
    </w:p>
    <w:p w:rsidR="00A67F52" w:rsidRDefault="00A67F52">
      <w:pPr>
        <w:spacing w:after="0" w:line="240" w:lineRule="auto"/>
        <w:jc w:val="left"/>
        <w:rPr>
          <w:rFonts w:eastAsia="Times New Roman"/>
          <w:iCs/>
          <w:color w:val="076028"/>
          <w:kern w:val="32"/>
          <w:sz w:val="24"/>
          <w:szCs w:val="26"/>
        </w:rPr>
      </w:pPr>
    </w:p>
    <w:p w:rsidR="00A67F52" w:rsidRPr="0060488F" w:rsidRDefault="00A67F52" w:rsidP="00A67F52">
      <w:pPr>
        <w:pStyle w:val="Heading3"/>
      </w:pPr>
      <w:bookmarkStart w:id="497" w:name="_Toc370738879"/>
      <w:bookmarkStart w:id="498" w:name="_Toc370739440"/>
      <w:bookmarkStart w:id="499" w:name="_Toc378168601"/>
      <w:r w:rsidRPr="0060488F">
        <w:t>Supporting breeding and recruitment by native fish</w:t>
      </w:r>
      <w:r>
        <w:t xml:space="preserve"> (Rivers</w:t>
      </w:r>
      <w:r w:rsidRPr="0060488F">
        <w:t>)</w:t>
      </w:r>
      <w:bookmarkEnd w:id="497"/>
      <w:bookmarkEnd w:id="498"/>
      <w:bookmarkEnd w:id="499"/>
    </w:p>
    <w:p w:rsidR="0094475A" w:rsidRDefault="0094475A" w:rsidP="0094475A">
      <w:pPr>
        <w:pStyle w:val="BodyText1"/>
      </w:pPr>
      <w:r>
        <w:t>To identify the importance of flow on breeding and recruitment by native fish in the Murrumbidgee River we developed a conceptual model to help describe the combined effects of flow, water level, nutrients, and water quality parameters needed to influence breeding outcomes in cod larvae (</w:t>
      </w:r>
      <w:r>
        <w:rPr>
          <w:i/>
        </w:rPr>
        <w:t>Maccullochella</w:t>
      </w:r>
      <w:r>
        <w:t xml:space="preserve"> spp.)</w:t>
      </w:r>
      <w:r w:rsidR="00545B8B">
        <w:t>,</w:t>
      </w:r>
      <w:r>
        <w:t xml:space="preserve"> measured in terms of catch per unit effort in drift nets (</w:t>
      </w:r>
      <w:fldSimple w:instr=" REF _Ref370292432 ">
        <w:r w:rsidR="00436595" w:rsidRPr="006F0B71">
          <w:rPr>
            <w:b/>
          </w:rPr>
          <w:t xml:space="preserve">Figure </w:t>
        </w:r>
        <w:r w:rsidR="00436595">
          <w:rPr>
            <w:b/>
            <w:noProof/>
          </w:rPr>
          <w:t>47</w:t>
        </w:r>
      </w:fldSimple>
      <w:r>
        <w:t>). In addition to these ecological parameters, the model also included our control site at Old Man Creek (no Commonwealth environmental flow) versus the treatment sites in the Murrumbidgee River (</w:t>
      </w:r>
      <w:r w:rsidR="00545B8B">
        <w:t xml:space="preserve">which </w:t>
      </w:r>
      <w:r>
        <w:t>received Commonwealth environmental flow</w:t>
      </w:r>
      <w:r w:rsidRPr="00A151D1">
        <w:t>) (</w:t>
      </w:r>
      <w:fldSimple w:instr=" REF _Ref370292432  \* MERGEFORMAT ">
        <w:r w:rsidR="00436595" w:rsidRPr="00436595">
          <w:t xml:space="preserve">Figure </w:t>
        </w:r>
        <w:r w:rsidR="00436595" w:rsidRPr="00436595">
          <w:rPr>
            <w:noProof/>
          </w:rPr>
          <w:t>47</w:t>
        </w:r>
      </w:fldSimple>
      <w:r w:rsidRPr="00A151D1">
        <w:t>).</w:t>
      </w:r>
    </w:p>
    <w:p w:rsidR="0094475A" w:rsidRDefault="0094475A" w:rsidP="0094475A">
      <w:pPr>
        <w:pStyle w:val="BodyText1"/>
      </w:pPr>
      <w:r>
        <w:t xml:space="preserve">Significantly higher abundances were observed at the river sites, Berry Jerry (effect size z = 4.95), Narrandera (effect size z = 5.50), and Euroley (effect size z = 5.74), all </w:t>
      </w:r>
      <w:r w:rsidR="00545B8B">
        <w:t xml:space="preserve">of </w:t>
      </w:r>
      <w:r>
        <w:t>which received environmental water, compared to Old Man Creek</w:t>
      </w:r>
      <w:r w:rsidR="00545B8B">
        <w:t>,</w:t>
      </w:r>
      <w:r>
        <w:t xml:space="preserve"> which did not receive environmental water. Water quality measures had the strongest effect on cod larvae. Two water quality parameters showed a strong positive relationship with the abundance of larvae; turbidity (effect size z = 9.05), and temperature (effect size z = 8.11). Microcrustacean total density also had a positive effect on abundance of cod larvae (effect size z = 3.69). Dissolved oxygen concentrations did not contribute to explaining observed variation in recruitment outcomes and were therefore excluded from the final model. This was likely a combined effect of both a strong negative correlation with water temperature (r = </w:t>
      </w:r>
      <w:r>
        <w:noBreakHyphen/>
        <w:t>0.83) which resulted in model co-linearity and due to oxygen levels in the river</w:t>
      </w:r>
      <w:r w:rsidRPr="00C67AA1">
        <w:t xml:space="preserve"> </w:t>
      </w:r>
      <w:r>
        <w:t>remaining relatively stable throughout the environmental watering event. Similarly, discharge was excluded from the final model which was correlated with water levels (r = </w:t>
      </w:r>
      <w:r>
        <w:noBreakHyphen/>
        <w:t>0.8</w:t>
      </w:r>
      <w:r w:rsidR="003D5E67">
        <w:t>5), which had a negative effect</w:t>
      </w:r>
      <w:r>
        <w:t xml:space="preserve"> on abundance of larvae.</w:t>
      </w:r>
    </w:p>
    <w:p w:rsidR="0094475A" w:rsidRDefault="0094475A" w:rsidP="0094475A">
      <w:pPr>
        <w:pStyle w:val="BodyText1"/>
      </w:pPr>
      <w:r>
        <w:t xml:space="preserve">The key findings that are drawn from this model is that, at least in the short term, river sites that receive Commonwealth environmental water can be expected to have higher cod spawning levels compared with sites such as Old Man Creek that were not targeted with environmental water. </w:t>
      </w:r>
      <w:proofErr w:type="gramStart"/>
      <w:r>
        <w:t xml:space="preserve">The </w:t>
      </w:r>
      <w:r w:rsidRPr="00C20F5D">
        <w:rPr>
          <w:b/>
        </w:rPr>
        <w:t xml:space="preserve">Commonwealth environmental </w:t>
      </w:r>
      <w:r>
        <w:rPr>
          <w:b/>
        </w:rPr>
        <w:t xml:space="preserve">watering in 2012-13 </w:t>
      </w:r>
      <w:r w:rsidRPr="00C20F5D">
        <w:rPr>
          <w:b/>
        </w:rPr>
        <w:t>made a</w:t>
      </w:r>
      <w:r>
        <w:rPr>
          <w:b/>
        </w:rPr>
        <w:t xml:space="preserve"> significant </w:t>
      </w:r>
      <w:r w:rsidRPr="00C20F5D">
        <w:rPr>
          <w:b/>
        </w:rPr>
        <w:t>contribution to achieving the objective of</w:t>
      </w:r>
      <w:r>
        <w:t xml:space="preserve"> </w:t>
      </w:r>
      <w:r w:rsidR="009744DD">
        <w:rPr>
          <w:b/>
          <w:i/>
        </w:rPr>
        <w:t>s</w:t>
      </w:r>
      <w:r w:rsidRPr="00C20F5D">
        <w:rPr>
          <w:b/>
          <w:i/>
        </w:rPr>
        <w:t xml:space="preserve">upporting breeding </w:t>
      </w:r>
      <w:r>
        <w:rPr>
          <w:b/>
          <w:i/>
        </w:rPr>
        <w:t xml:space="preserve">in </w:t>
      </w:r>
      <w:r w:rsidRPr="00C20F5D">
        <w:rPr>
          <w:b/>
          <w:i/>
        </w:rPr>
        <w:t xml:space="preserve">native </w:t>
      </w:r>
      <w:r>
        <w:rPr>
          <w:b/>
          <w:i/>
        </w:rPr>
        <w:t>fish.</w:t>
      </w:r>
      <w:proofErr w:type="gramEnd"/>
      <w:r>
        <w:rPr>
          <w:b/>
          <w:i/>
        </w:rPr>
        <w:t xml:space="preserve"> </w:t>
      </w:r>
      <w:r w:rsidRPr="00B810EC">
        <w:t>This was achieved b</w:t>
      </w:r>
      <w:r w:rsidRPr="0055242D">
        <w:t>oth by maintaining import</w:t>
      </w:r>
      <w:r>
        <w:t>ant</w:t>
      </w:r>
      <w:r w:rsidRPr="0055242D">
        <w:t xml:space="preserve"> </w:t>
      </w:r>
      <w:r>
        <w:t>water levels, water quality conditions and nutrient levels that supported microcrustacean densities required</w:t>
      </w:r>
      <w:r w:rsidRPr="0055242D">
        <w:t xml:space="preserve"> </w:t>
      </w:r>
      <w:r>
        <w:t>for larval survival</w:t>
      </w:r>
      <w:r w:rsidRPr="0055242D">
        <w:t xml:space="preserve">. The positive impact of </w:t>
      </w:r>
      <w:r>
        <w:t>C</w:t>
      </w:r>
      <w:r w:rsidRPr="0055242D">
        <w:t xml:space="preserve">ommonwealth environmental watering on </w:t>
      </w:r>
      <w:r>
        <w:t>fish spawning</w:t>
      </w:r>
      <w:r w:rsidRPr="0055242D">
        <w:t xml:space="preserve"> is likely to increase over time as </w:t>
      </w:r>
      <w:r>
        <w:t>connectivity between the river and wetlands are restored, providing further boosts in productivity with</w:t>
      </w:r>
      <w:r w:rsidR="003D5E67">
        <w:t>in</w:t>
      </w:r>
      <w:r>
        <w:t xml:space="preserve"> the river and </w:t>
      </w:r>
      <w:r w:rsidR="003D5E67">
        <w:t xml:space="preserve">providing </w:t>
      </w:r>
      <w:r>
        <w:t>access for some species to wetland nursery habitats</w:t>
      </w:r>
      <w:r w:rsidRPr="0055242D">
        <w:t>.</w:t>
      </w:r>
    </w:p>
    <w:p w:rsidR="00B200A8" w:rsidRDefault="00B200A8" w:rsidP="00B200A8">
      <w:pPr>
        <w:pStyle w:val="BodyText1"/>
      </w:pPr>
    </w:p>
    <w:p w:rsidR="0094475A" w:rsidRPr="0094475A" w:rsidRDefault="0094475A" w:rsidP="0094475A">
      <w:pPr>
        <w:pStyle w:val="TOCHeading"/>
        <w:rPr>
          <w:lang w:eastAsia="zh-CN" w:bidi="th-TH"/>
        </w:rPr>
      </w:pPr>
    </w:p>
    <w:p w:rsidR="00024A82" w:rsidRDefault="009744DD">
      <w:pPr>
        <w:spacing w:after="0" w:line="240" w:lineRule="auto"/>
        <w:jc w:val="left"/>
        <w:rPr>
          <w:rFonts w:eastAsia="Times New Roman"/>
          <w:color w:val="07601F"/>
          <w:kern w:val="32"/>
          <w:sz w:val="32"/>
          <w:szCs w:val="32"/>
        </w:rPr>
      </w:pPr>
      <w:r>
        <w:rPr>
          <w:rFonts w:eastAsia="Times New Roman"/>
          <w:noProof/>
          <w:color w:val="07601F"/>
          <w:kern w:val="32"/>
          <w:sz w:val="32"/>
          <w:szCs w:val="32"/>
          <w:lang w:eastAsia="en-AU"/>
        </w:rPr>
        <w:drawing>
          <wp:inline distT="0" distB="0" distL="0" distR="0">
            <wp:extent cx="5732145" cy="4215130"/>
            <wp:effectExtent l="19050" t="0" r="1905" b="0"/>
            <wp:docPr id="127" name="Picture 126" descr="Pict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9.png"/>
                    <pic:cNvPicPr/>
                  </pic:nvPicPr>
                  <pic:blipFill>
                    <a:blip r:embed="rId176" cstate="print"/>
                    <a:stretch>
                      <a:fillRect/>
                    </a:stretch>
                  </pic:blipFill>
                  <pic:spPr>
                    <a:xfrm>
                      <a:off x="0" y="0"/>
                      <a:ext cx="5732145" cy="4215130"/>
                    </a:xfrm>
                    <a:prstGeom prst="rect">
                      <a:avLst/>
                    </a:prstGeom>
                  </pic:spPr>
                </pic:pic>
              </a:graphicData>
            </a:graphic>
          </wp:inline>
        </w:drawing>
      </w:r>
    </w:p>
    <w:p w:rsidR="00A67F52" w:rsidRDefault="00A67F52">
      <w:pPr>
        <w:spacing w:after="0" w:line="240" w:lineRule="auto"/>
        <w:jc w:val="left"/>
        <w:rPr>
          <w:rFonts w:eastAsia="Times New Roman"/>
          <w:color w:val="07601F"/>
          <w:kern w:val="32"/>
          <w:sz w:val="32"/>
          <w:szCs w:val="32"/>
        </w:rPr>
      </w:pPr>
    </w:p>
    <w:p w:rsidR="00DD476B" w:rsidRPr="006F0B71" w:rsidRDefault="00DD476B" w:rsidP="00DD476B">
      <w:pPr>
        <w:pStyle w:val="Caption1"/>
      </w:pPr>
      <w:bookmarkStart w:id="500" w:name="_Toc370738880"/>
      <w:bookmarkStart w:id="501" w:name="_Toc370299257"/>
      <w:r w:rsidRPr="00E6486C">
        <w:rPr>
          <w:b/>
        </w:rPr>
        <w:t xml:space="preserve">Figure </w:t>
      </w:r>
      <w:r>
        <w:rPr>
          <w:b/>
        </w:rPr>
        <w:t>45</w:t>
      </w:r>
      <w:r>
        <w:t xml:space="preserve"> </w:t>
      </w:r>
      <w:bookmarkEnd w:id="500"/>
      <w:r w:rsidR="0094475A" w:rsidRPr="006F0B71">
        <w:t>Conceptual mode</w:t>
      </w:r>
      <w:r w:rsidR="0094475A">
        <w:t>l</w:t>
      </w:r>
      <w:r w:rsidR="0094475A" w:rsidRPr="006F0B71">
        <w:t xml:space="preserve"> with effect sizes (</w:t>
      </w:r>
      <w:r w:rsidR="003D5E67">
        <w:t xml:space="preserve">numbers in </w:t>
      </w:r>
      <w:r w:rsidR="0094475A" w:rsidRPr="006F0B71">
        <w:t xml:space="preserve">brick coloured boxes) </w:t>
      </w:r>
      <w:r w:rsidR="0094475A">
        <w:t>for larval cod (</w:t>
      </w:r>
      <w:r w:rsidR="0094475A">
        <w:rPr>
          <w:i/>
        </w:rPr>
        <w:t xml:space="preserve">Maccullochella </w:t>
      </w:r>
      <w:r w:rsidR="0094475A">
        <w:t xml:space="preserve">spp.) in the Murrumbidgee River. Positive </w:t>
      </w:r>
      <w:r w:rsidR="003D5E67" w:rsidRPr="006F0B71">
        <w:t xml:space="preserve">effect sizes </w:t>
      </w:r>
      <w:r w:rsidR="0094475A">
        <w:t xml:space="preserve">indicate a positive relationship between the response variable and the </w:t>
      </w:r>
      <w:r w:rsidR="003D5E67">
        <w:t>explanatory variable(s)</w:t>
      </w:r>
      <w:r w:rsidR="0094475A">
        <w:t xml:space="preserve"> while negative </w:t>
      </w:r>
      <w:r w:rsidR="003D5E67" w:rsidRPr="006F0B71">
        <w:t xml:space="preserve">effect sizes </w:t>
      </w:r>
      <w:r w:rsidR="0094475A">
        <w:t xml:space="preserve">indicate a negative relationship; the magnitudes of the </w:t>
      </w:r>
      <w:r w:rsidR="003D5E67" w:rsidRPr="006F0B71">
        <w:t>effect sizes</w:t>
      </w:r>
      <w:r w:rsidR="0094475A">
        <w:t xml:space="preserve"> indicate the relative strengths of the relationships.</w:t>
      </w:r>
      <w:r>
        <w:t xml:space="preserve"> </w:t>
      </w:r>
    </w:p>
    <w:p w:rsidR="00A67F52" w:rsidRDefault="00A67F52">
      <w:pPr>
        <w:spacing w:after="0" w:line="240" w:lineRule="auto"/>
        <w:jc w:val="left"/>
        <w:rPr>
          <w:rFonts w:eastAsia="Times New Roman"/>
          <w:b/>
          <w:bCs/>
          <w:color w:val="07601F"/>
          <w:kern w:val="32"/>
          <w:sz w:val="32"/>
          <w:szCs w:val="32"/>
        </w:rPr>
      </w:pPr>
      <w:r>
        <w:br w:type="page"/>
      </w:r>
    </w:p>
    <w:p w:rsidR="000B066B" w:rsidRDefault="00717D8C" w:rsidP="00D145E4">
      <w:pPr>
        <w:pStyle w:val="Heading1"/>
      </w:pPr>
      <w:bookmarkStart w:id="502" w:name="_Toc370738881"/>
      <w:bookmarkStart w:id="503" w:name="_Toc378168602"/>
      <w:r w:rsidRPr="00E6486C">
        <w:t>Conclusions</w:t>
      </w:r>
      <w:bookmarkEnd w:id="501"/>
      <w:bookmarkEnd w:id="502"/>
      <w:bookmarkEnd w:id="503"/>
    </w:p>
    <w:p w:rsidR="00D145E4" w:rsidRPr="00A67F52" w:rsidRDefault="00D145E4" w:rsidP="000B066B">
      <w:pPr>
        <w:pStyle w:val="BodyText1"/>
      </w:pPr>
      <w:r w:rsidRPr="00A67F52">
        <w:t>To conclude, two Commonwealth environmental watering actions were assessed. In the Murrumbidgee River</w:t>
      </w:r>
      <w:r w:rsidR="003D5E67">
        <w:t>,</w:t>
      </w:r>
      <w:r w:rsidRPr="00A67F52">
        <w:t xml:space="preserve"> </w:t>
      </w:r>
      <w:r w:rsidR="00024A82">
        <w:t xml:space="preserve">the watering actions </w:t>
      </w:r>
      <w:r w:rsidRPr="00A67F52">
        <w:t>coincided with a peak in native fish movement and spawning activity. Models developed to describe the rel</w:t>
      </w:r>
      <w:r w:rsidR="00024A82">
        <w:t>ati</w:t>
      </w:r>
      <w:r w:rsidRPr="00A67F52">
        <w:t>ve importance of ecological parameters including flow</w:t>
      </w:r>
      <w:r w:rsidR="00024A82">
        <w:t>,</w:t>
      </w:r>
      <w:r w:rsidRPr="00A67F52">
        <w:t xml:space="preserve"> identified water temperature, turbidity and microcrustacea abundance as key predictors of larval abundance. As these models were developed using data drawn from a single watering action it is difficult to </w:t>
      </w:r>
      <w:r w:rsidR="00024A82">
        <w:t>make</w:t>
      </w:r>
      <w:r w:rsidR="00024A82" w:rsidRPr="00A67F52">
        <w:t xml:space="preserve"> </w:t>
      </w:r>
      <w:r w:rsidRPr="00A67F52">
        <w:t>definitive conclusions on the success of the water management strategy which focused on maintaining stable, slightly elevated water levels with the view of increasing the availability of nest sites.  Monitoring activities through 2013-14 and beyond will allow us to refine water management strategies to optimise the positive benefits of Commonwealth environmental water outcomes for native fish.</w:t>
      </w:r>
    </w:p>
    <w:p w:rsidR="00D145E4" w:rsidRDefault="00D145E4" w:rsidP="00D145E4">
      <w:pPr>
        <w:pStyle w:val="BodyText1"/>
      </w:pPr>
      <w:r w:rsidRPr="00A67F52">
        <w:t>The second watering action targeted the Western Lakes</w:t>
      </w:r>
      <w:r w:rsidR="00024A82">
        <w:t>.</w:t>
      </w:r>
      <w:r w:rsidRPr="00A67F52">
        <w:t xml:space="preserve"> </w:t>
      </w:r>
      <w:r w:rsidR="00024A82">
        <w:t>T</w:t>
      </w:r>
      <w:r w:rsidRPr="00A67F52">
        <w:t>hese wetlands had been dry for an extended period of time prior to refilling with Commonwealth environmental water. Overall</w:t>
      </w:r>
      <w:r w:rsidR="003D5E67">
        <w:t>,</w:t>
      </w:r>
      <w:r w:rsidRPr="00A67F52">
        <w:t xml:space="preserve"> the Western Lakes were a productive environment for microcrustaceans, small bodied native fish and waterbirds. Breeding activity by floodplain fauna such as frogs</w:t>
      </w:r>
      <w:r w:rsidR="00024A82">
        <w:t xml:space="preserve"> was</w:t>
      </w:r>
      <w:r w:rsidRPr="00A67F52">
        <w:t xml:space="preserve"> limited because these taxa have a strong preference for areas that are more frequently inundated and have a higher percentage cover of aquatic vegetation</w:t>
      </w:r>
      <w:r w:rsidR="00A67F52">
        <w:t>.</w:t>
      </w:r>
    </w:p>
    <w:p w:rsidR="00082036" w:rsidRPr="00BB74DA" w:rsidRDefault="00082036" w:rsidP="00082036">
      <w:pPr>
        <w:pStyle w:val="bodytext10"/>
        <w:rPr>
          <w:b/>
          <w:bCs/>
        </w:rPr>
      </w:pPr>
      <w:r w:rsidRPr="00BB74DA">
        <w:rPr>
          <w:b/>
          <w:bCs/>
        </w:rPr>
        <w:t xml:space="preserve">Implications for future environmental watering in the Murrumbidgee river system </w:t>
      </w:r>
    </w:p>
    <w:p w:rsidR="00082036" w:rsidRDefault="00082036" w:rsidP="00082036">
      <w:pPr>
        <w:pStyle w:val="bodytext10"/>
      </w:pPr>
      <w:r w:rsidRPr="00BB74DA">
        <w:t>Two key Commonwealth environmental watering actions were undertaken in the Murrumbidgee river system in 2012-13, 1) in-channel fresh flows from October to December 2012, targeting native large bodied fish, and 2) watering action targeted the Western Lakes system west of the Lowbidgee floodplain.</w:t>
      </w:r>
      <w:r>
        <w:t xml:space="preserve"> </w:t>
      </w:r>
    </w:p>
    <w:p w:rsidR="00082036" w:rsidRPr="00BB74DA" w:rsidRDefault="00082036" w:rsidP="00082036">
      <w:pPr>
        <w:pStyle w:val="bodytext10"/>
      </w:pPr>
      <w:r w:rsidRPr="00BB74DA">
        <w:t>With respect to in-channel fresh flows, the timing of environmental water delivery coincided with known breeding season of the target species (Murray cod) and triggered movement patterns that were consistent with known spawning behaviours.  There were also clear changes in fish community composition before and after the environmental release associated with large scale movement of fish throughout the middle reaches of the Murrumbidgee River.  The key assumption underpinning the Commonwealth environmental release was that a substantial rise in water level would increase the availability of nest locations for Murray cod leading to increased breeding activity and larval abundance. However we did not identify a clear, direct relationship between river height or discharge and larval abundance. While nest availability for Murray cod is important, differences in larval abundances between monitoring locations may indicate that other factors, such as adult abundance and channel morph</w:t>
      </w:r>
      <w:r>
        <w:t>ology played a stronger role tha</w:t>
      </w:r>
      <w:r w:rsidRPr="00BB74DA">
        <w:t xml:space="preserve">n discharge or river height. Given this, it may be possible to achieve similar spawning outcomes using smaller volumes of water provided that water levels are stable during the breeding period so that nests are not exposed. </w:t>
      </w:r>
    </w:p>
    <w:p w:rsidR="00082036" w:rsidRPr="005B288B" w:rsidRDefault="00082036" w:rsidP="00082036">
      <w:pPr>
        <w:spacing w:before="100" w:beforeAutospacing="1"/>
      </w:pPr>
      <w:r w:rsidRPr="00BB74DA">
        <w:t>The second watering action targeted the Western Lakes and other wetlands across the Lowbidgee floodplain. Overall the positive outcomes of Commonwealth environmental watering varied between different wetland areas, for example the Western Lakes provided important habitat for waterbirds and contained significantly higher diversity</w:t>
      </w:r>
      <w:r>
        <w:t xml:space="preserve"> and abundance of waterbirds tha</w:t>
      </w:r>
      <w:r w:rsidRPr="00BB74DA">
        <w:t xml:space="preserve">n other wetlands in Murrumbidgee which in comparison were drying down over 2012-13. River red gum spike rush wetlands adjacent to the Western Lakes were also important in supporting frog breeding and recruitment. In this respect Commonwealth environmental watering </w:t>
      </w:r>
      <w:r>
        <w:t xml:space="preserve">actions that support a diversity of wetland types and aquatic communities can help to maximise biodiversity outcomes across the region. </w:t>
      </w:r>
    </w:p>
    <w:p w:rsidR="00A67F52" w:rsidRDefault="00A67F52">
      <w:pPr>
        <w:spacing w:after="0" w:line="240" w:lineRule="auto"/>
        <w:jc w:val="left"/>
        <w:rPr>
          <w:rFonts w:ascii="Cambria" w:eastAsia="Times New Roman" w:hAnsi="Cambria"/>
          <w:b/>
          <w:bCs/>
          <w:kern w:val="32"/>
          <w:sz w:val="32"/>
          <w:szCs w:val="32"/>
          <w:lang w:eastAsia="zh-CN" w:bidi="th-TH"/>
        </w:rPr>
      </w:pPr>
      <w:r>
        <w:rPr>
          <w:lang w:eastAsia="zh-CN" w:bidi="th-TH"/>
        </w:rPr>
        <w:br w:type="page"/>
      </w:r>
    </w:p>
    <w:p w:rsidR="00E1766B" w:rsidRDefault="0068274C">
      <w:pPr>
        <w:pStyle w:val="Heading1"/>
      </w:pPr>
      <w:bookmarkStart w:id="504" w:name="_Toc349811141"/>
      <w:bookmarkStart w:id="505" w:name="_Toc353887399"/>
      <w:bookmarkStart w:id="506" w:name="_Toc370299258"/>
      <w:bookmarkStart w:id="507" w:name="_Toc370738882"/>
      <w:bookmarkStart w:id="508" w:name="_Toc378168603"/>
      <w:r>
        <w:t>Acknowledgements</w:t>
      </w:r>
      <w:bookmarkEnd w:id="504"/>
      <w:bookmarkEnd w:id="505"/>
      <w:bookmarkEnd w:id="506"/>
      <w:bookmarkEnd w:id="507"/>
      <w:bookmarkEnd w:id="508"/>
    </w:p>
    <w:p w:rsidR="0068274C" w:rsidRPr="00C149FD" w:rsidRDefault="0068274C" w:rsidP="0068274C">
      <w:r w:rsidRPr="00C149FD">
        <w:t xml:space="preserve">This monitoring project was commissioned and funded by Commonwealth Environmental Water Office with additional in-kind support from the NSW Office of Environment and Heritage and the Murrumbidgee Catchment Management Authority. We would like to thank the landowners providing access to their properties. The field team are: Carmen Amos, Vanessa </w:t>
      </w:r>
      <w:r w:rsidR="00356BBF">
        <w:t>Cain</w:t>
      </w:r>
      <w:r w:rsidRPr="00C149FD">
        <w:t xml:space="preserve">, Alyssa </w:t>
      </w:r>
      <w:r w:rsidR="00356BBF">
        <w:t>Trotter</w:t>
      </w:r>
      <w:r w:rsidRPr="00C149FD">
        <w:t>, Kendal Krause, Kelsie Redman, James Dwyer, James Abel, Manu Saunders (CSU), Richard Allman, Jo Ocock, Matthew Smith, David Bishop, Gabriel Shaw (OEH), Paul Doyle, Andrew Lowes, Iwona Conlan and Ben Wolfenden (CEWO</w:t>
      </w:r>
      <w:r w:rsidR="00356BBF">
        <w:t xml:space="preserve">) and Marty Hill, Jack Simpson, Rohan Rehwinkel, Chris Smith, Jarrod McPherson, Jamie Hutchison (NSW DPI). Processing of larval drift samples was completed by Alyssa Trotter and Sarah Talbot. Ian Wooden supervised acoustic tag surgery and assisted with movement data collation and analysis. </w:t>
      </w:r>
      <w:r w:rsidR="003700B7">
        <w:t>Waterbird surveys of the Western Lakes region were conducted by Peter Ewin and in the Redbank and Nimmie-Caira wetlands by Rick Webster, Richard Allman, David Bishop and David Parker (OEH)</w:t>
      </w:r>
      <w:r w:rsidR="007B729E">
        <w:t xml:space="preserve">. </w:t>
      </w:r>
      <w:r w:rsidR="00356BBF">
        <w:t xml:space="preserve">Amy Jansen undertook analysis of vegetation data. </w:t>
      </w:r>
      <w:r w:rsidRPr="00C149FD">
        <w:t>James Maguire and Paul Childs (OEH) provided field si</w:t>
      </w:r>
      <w:r>
        <w:t xml:space="preserve">te advice and flow information. </w:t>
      </w:r>
      <w:r w:rsidR="007B729E">
        <w:t xml:space="preserve">Processing of microcrustacea samples was undertaken by </w:t>
      </w:r>
      <w:r>
        <w:t>Martin Forrest</w:t>
      </w:r>
      <w:r w:rsidR="00356BBF">
        <w:t>, Jordan Iles</w:t>
      </w:r>
      <w:r>
        <w:t xml:space="preserve"> and Luke McPhan</w:t>
      </w:r>
      <w:r w:rsidR="0085590E">
        <w:t xml:space="preserve"> (UNSW)</w:t>
      </w:r>
      <w:r>
        <w:t xml:space="preserve">. </w:t>
      </w:r>
      <w:r w:rsidRPr="00C149FD">
        <w:t xml:space="preserve">On-ground surveys are approved under NPWS scientific licenses S12700 and S13080. Waterbird surveys are approved by the OEH Animal Ethics Committee (AEC No. 091214/01). </w:t>
      </w:r>
      <w:r w:rsidR="00356BBF">
        <w:t>Wetland f</w:t>
      </w:r>
      <w:r w:rsidRPr="00C149FD">
        <w:t xml:space="preserve">ish sampling was carried out under NSW Fisheries license P11/0043-1.0 (CSU) and Charles Sturt University Animal Care and Ethics approval (ACEC 11/040). </w:t>
      </w:r>
      <w:proofErr w:type="gramStart"/>
      <w:r w:rsidR="00356BBF">
        <w:t>and</w:t>
      </w:r>
      <w:proofErr w:type="gramEnd"/>
      <w:r w:rsidR="00356BBF">
        <w:t xml:space="preserve"> river fish sampling was carried out under the Department of Primary Industries (Fisheries) Animal Care and Ethics Committee approval (ACEC 12/13)</w:t>
      </w:r>
      <w:r w:rsidR="00356BBF" w:rsidRPr="00C149FD">
        <w:t>.</w:t>
      </w:r>
    </w:p>
    <w:p w:rsidR="009E2C5C" w:rsidRDefault="009E2C5C">
      <w:pPr>
        <w:spacing w:after="0" w:line="240" w:lineRule="auto"/>
        <w:jc w:val="left"/>
      </w:pPr>
      <w:r>
        <w:br w:type="page"/>
      </w:r>
    </w:p>
    <w:p w:rsidR="009E2C5C" w:rsidRDefault="009E2C5C" w:rsidP="009E2C5C">
      <w:pPr>
        <w:pStyle w:val="Heading1"/>
      </w:pPr>
      <w:bookmarkStart w:id="509" w:name="_Toc370738883"/>
      <w:bookmarkStart w:id="510" w:name="_Toc378168604"/>
      <w:r>
        <w:t>References</w:t>
      </w:r>
      <w:bookmarkEnd w:id="509"/>
      <w:bookmarkEnd w:id="510"/>
    </w:p>
    <w:p w:rsidR="00610529" w:rsidRDefault="00610529" w:rsidP="00610529">
      <w:pPr>
        <w:pStyle w:val="BodyText1"/>
      </w:pPr>
      <w:proofErr w:type="gramStart"/>
      <w:r>
        <w:t>Adams, N. S., Beeman, J. W. and Eiler, J. H., Eds. (2012).</w:t>
      </w:r>
      <w:proofErr w:type="gramEnd"/>
      <w:r>
        <w:t xml:space="preserve"> Telemetry Techniques: A User Guide for Fisheries Research. Maryland, American Fisheries Society.</w:t>
      </w:r>
    </w:p>
    <w:p w:rsidR="00610529" w:rsidRDefault="00610529" w:rsidP="00610529">
      <w:pPr>
        <w:pStyle w:val="BodyText1"/>
      </w:pPr>
      <w:proofErr w:type="gramStart"/>
      <w:r>
        <w:t>Agostinho, A. A., Gomes, L. C. and Pelicice, F. M. (2007).</w:t>
      </w:r>
      <w:proofErr w:type="gramEnd"/>
      <w:r>
        <w:t xml:space="preserve"> </w:t>
      </w:r>
      <w:proofErr w:type="gramStart"/>
      <w:r>
        <w:t>Ecology and management of fish resources in reservoirs in Brazil.</w:t>
      </w:r>
      <w:proofErr w:type="gramEnd"/>
      <w:r>
        <w:t xml:space="preserve"> </w:t>
      </w:r>
      <w:proofErr w:type="gramStart"/>
      <w:r>
        <w:t>Eduem.</w:t>
      </w:r>
      <w:proofErr w:type="gramEnd"/>
    </w:p>
    <w:p w:rsidR="00610529" w:rsidRDefault="00610529" w:rsidP="00610529">
      <w:pPr>
        <w:pStyle w:val="BodyText1"/>
      </w:pPr>
      <w:r>
        <w:t xml:space="preserve">Anderson, H. K. (1915). </w:t>
      </w:r>
      <w:proofErr w:type="gramStart"/>
      <w:r>
        <w:t>"Rescue Operations on the Murrumbidgee River."</w:t>
      </w:r>
      <w:proofErr w:type="gramEnd"/>
      <w:r>
        <w:t xml:space="preserve"> The Australian Zoologist 1: 157-160.</w:t>
      </w:r>
    </w:p>
    <w:p w:rsidR="00610529" w:rsidRDefault="00610529" w:rsidP="00610529">
      <w:pPr>
        <w:pStyle w:val="BodyText1"/>
      </w:pPr>
      <w:proofErr w:type="gramStart"/>
      <w:r>
        <w:t>Anderson, J. R., Morison, A. K. and Ray, D. J. (1992).</w:t>
      </w:r>
      <w:proofErr w:type="gramEnd"/>
      <w:r>
        <w:t xml:space="preserve"> "Age and Growth of Murray Cod, Maccullochella peelii (</w:t>
      </w:r>
      <w:proofErr w:type="gramStart"/>
      <w:r>
        <w:t>Perciformes :</w:t>
      </w:r>
      <w:proofErr w:type="gramEnd"/>
      <w:r>
        <w:t xml:space="preserve"> Percichthyidae), in the Lower Murray-Darling Basin, Australia, from Thin-Sectioned Otoliths." Australian Journal of Marine and Freshwater Research 43: 983-1013.</w:t>
      </w:r>
    </w:p>
    <w:p w:rsidR="00610529" w:rsidRDefault="00610529" w:rsidP="00610529">
      <w:pPr>
        <w:pStyle w:val="BodyText1"/>
      </w:pPr>
      <w:proofErr w:type="gramStart"/>
      <w:r>
        <w:t>ANZECC water quality guidelines (2000).</w:t>
      </w:r>
      <w:proofErr w:type="gramEnd"/>
      <w:r>
        <w:t xml:space="preserve"> Australia and New Zealand guidelines for fresh and marine water quality </w:t>
      </w:r>
    </w:p>
    <w:p w:rsidR="00610529" w:rsidRDefault="00610529" w:rsidP="00610529">
      <w:pPr>
        <w:pStyle w:val="BodyText1"/>
      </w:pPr>
      <w:proofErr w:type="gramStart"/>
      <w:r>
        <w:t>Australian and New Zealand environment and conservation council and Agriculture and resource management council of Australia and New Zealand.</w:t>
      </w:r>
      <w:proofErr w:type="gramEnd"/>
      <w:r>
        <w:t xml:space="preserve"> 4A.</w:t>
      </w:r>
    </w:p>
    <w:p w:rsidR="00610529" w:rsidRDefault="00610529" w:rsidP="00610529">
      <w:pPr>
        <w:pStyle w:val="BodyText1"/>
      </w:pPr>
      <w:proofErr w:type="gramStart"/>
      <w:r>
        <w:t>ASTM (1993).</w:t>
      </w:r>
      <w:proofErr w:type="gramEnd"/>
      <w:r>
        <w:t xml:space="preserve"> </w:t>
      </w:r>
      <w:proofErr w:type="gramStart"/>
      <w:r>
        <w:t>Annual Book of ASTM Standards.</w:t>
      </w:r>
      <w:proofErr w:type="gramEnd"/>
      <w:r>
        <w:t xml:space="preserve"> D 4779-93: Standard Test Methods for Total, Organic and Inorganic Carbon in High Purity Water by Ultraviolet (UV) or Persulfate Oxidation, or Both, and Infrared Detection. </w:t>
      </w:r>
      <w:proofErr w:type="gramStart"/>
      <w:r>
        <w:t>Philadelphia, PA, American Society for Testing and Materials.</w:t>
      </w:r>
      <w:proofErr w:type="gramEnd"/>
    </w:p>
    <w:p w:rsidR="00610529" w:rsidRDefault="00610529" w:rsidP="00610529">
      <w:pPr>
        <w:pStyle w:val="BodyText1"/>
      </w:pPr>
      <w:r>
        <w:t>Balcombe, S., Lobegeiger, J., Marshall, S., Marshall, J., Ly, D. and Jones, D. (2012). "Fish body condition and recruitment success reflect antecedent flows in an Australian dryland river." Fisheries Science 78(4): 841-847.</w:t>
      </w:r>
    </w:p>
    <w:p w:rsidR="00610529" w:rsidRDefault="00610529" w:rsidP="00610529">
      <w:pPr>
        <w:pStyle w:val="BodyText1"/>
      </w:pPr>
      <w:proofErr w:type="gramStart"/>
      <w:r>
        <w:t>Balcombe, S. R., Bunn, S. E., McKenzie-Smith, F. J. and Davies, P. M. (2005).</w:t>
      </w:r>
      <w:proofErr w:type="gramEnd"/>
      <w:r>
        <w:t xml:space="preserve"> </w:t>
      </w:r>
      <w:proofErr w:type="gramStart"/>
      <w:r>
        <w:t>"Variability of fish diets between dry and flood periods in an arid zone floodplain river."</w:t>
      </w:r>
      <w:proofErr w:type="gramEnd"/>
      <w:r>
        <w:t xml:space="preserve"> Journal of Fish Biology 67: 1552-1567.</w:t>
      </w:r>
    </w:p>
    <w:p w:rsidR="00610529" w:rsidRDefault="00610529" w:rsidP="00610529">
      <w:pPr>
        <w:pStyle w:val="BodyText1"/>
      </w:pPr>
      <w:proofErr w:type="gramStart"/>
      <w:r>
        <w:t>Balcombe, S. R. and Humphries, P. (2006).</w:t>
      </w:r>
      <w:proofErr w:type="gramEnd"/>
      <w:r>
        <w:t xml:space="preserve"> "Diet of the western carp gudgeon (Hypseleotris klunzingeri Ogilby) in an Australian floodplain lake: the role of water level stability." Journal of Fish Biology 68: 1484-1493.</w:t>
      </w:r>
    </w:p>
    <w:p w:rsidR="00610529" w:rsidRDefault="00610529" w:rsidP="00610529">
      <w:pPr>
        <w:pStyle w:val="BodyText1"/>
      </w:pPr>
      <w:proofErr w:type="gramStart"/>
      <w:r>
        <w:t>Baldwin, D., Rees, G., Wilson, J., Colloff, M., Whitworth, K., Pitman, T. and Wallace, T. (2013).</w:t>
      </w:r>
      <w:proofErr w:type="gramEnd"/>
      <w:r>
        <w:t xml:space="preserve"> </w:t>
      </w:r>
      <w:proofErr w:type="gramStart"/>
      <w:r>
        <w:t>"Provisioning of bioavailable carbon between the wet and dry phases in a semi-arid floodplain."</w:t>
      </w:r>
      <w:proofErr w:type="gramEnd"/>
      <w:r>
        <w:t xml:space="preserve"> Oecologia 172(2): 539-550.</w:t>
      </w:r>
    </w:p>
    <w:p w:rsidR="00610529" w:rsidRDefault="00610529" w:rsidP="00610529">
      <w:pPr>
        <w:pStyle w:val="BodyText1"/>
      </w:pPr>
      <w:proofErr w:type="gramStart"/>
      <w:r>
        <w:t>Baldwin, D. S. and Mitchell, A. M. (2000).</w:t>
      </w:r>
      <w:proofErr w:type="gramEnd"/>
      <w:r>
        <w:t xml:space="preserve"> "The effects of drying and re-flooding on the sediment and soil nutrient dynamics of lowland river–floodplain systems: a synthesis." Regulated Rivers: Research &amp; Management 16(5): 457-467.</w:t>
      </w:r>
    </w:p>
    <w:p w:rsidR="00610529" w:rsidRDefault="00610529" w:rsidP="00610529">
      <w:pPr>
        <w:pStyle w:val="BodyText1"/>
      </w:pPr>
      <w:proofErr w:type="gramStart"/>
      <w:r>
        <w:t>Baldwin, D. S., Nielsen, D. L., Bowen, P. M. and Williams, J. (2005).</w:t>
      </w:r>
      <w:proofErr w:type="gramEnd"/>
      <w:r>
        <w:t xml:space="preserve"> </w:t>
      </w:r>
      <w:proofErr w:type="gramStart"/>
      <w:r>
        <w:t>Recommended Methods for Monitoring Floodplains and Wetlands.</w:t>
      </w:r>
      <w:proofErr w:type="gramEnd"/>
      <w:r>
        <w:t xml:space="preserve"> Canberra, Murray-Darling Basin Commission.</w:t>
      </w:r>
    </w:p>
    <w:p w:rsidR="00610529" w:rsidRDefault="00610529" w:rsidP="00610529">
      <w:pPr>
        <w:pStyle w:val="BodyText1"/>
      </w:pPr>
      <w:r>
        <w:t xml:space="preserve">Beesley, L., Price, A., King, A., Gawne, B., Nielsen, D. L., Koehn, J. D., Meredith, S., Vilizzi, L. and Hladyz, S. (2011). </w:t>
      </w:r>
      <w:proofErr w:type="gramStart"/>
      <w:r>
        <w:t>Watering floodplain wetlands in the Murray-Darling Basin for native fish.</w:t>
      </w:r>
      <w:proofErr w:type="gramEnd"/>
      <w:r>
        <w:t xml:space="preserve"> Canberra, National Water Commission </w:t>
      </w:r>
    </w:p>
    <w:p w:rsidR="00610529" w:rsidRDefault="00610529" w:rsidP="00610529">
      <w:pPr>
        <w:pStyle w:val="BodyText1"/>
      </w:pPr>
      <w:proofErr w:type="gramStart"/>
      <w:r>
        <w:t>Biggs, B. J. F., Smith, R. A. and Duncan, M. J. (1999).</w:t>
      </w:r>
      <w:proofErr w:type="gramEnd"/>
      <w:r>
        <w:t xml:space="preserve"> "Velocity and sediment disturbance of periphyton in headwater streams: biomass and metabolism." Journal of the North American Benthological Society 18(2): 222-241.</w:t>
      </w:r>
    </w:p>
    <w:p w:rsidR="00610529" w:rsidRDefault="00610529" w:rsidP="00610529">
      <w:pPr>
        <w:pStyle w:val="BodyText1"/>
      </w:pPr>
      <w:proofErr w:type="gramStart"/>
      <w:r>
        <w:t>Brandis, K., Ryall, S. and Kingsford, R. T. (2011).</w:t>
      </w:r>
      <w:proofErr w:type="gramEnd"/>
      <w:r>
        <w:t xml:space="preserve"> </w:t>
      </w:r>
      <w:proofErr w:type="gramStart"/>
      <w:r>
        <w:t>Lowbidgee 2010/2011 Colonial Waterbird Breeding.</w:t>
      </w:r>
      <w:proofErr w:type="gramEnd"/>
      <w:r>
        <w:t xml:space="preserve"> Sydney Final report prepared for the Lowbidgee League. </w:t>
      </w:r>
      <w:proofErr w:type="gramStart"/>
      <w:r>
        <w:t>Australian Wetlands and Rivers Centre, University of New South Wales.</w:t>
      </w:r>
      <w:proofErr w:type="gramEnd"/>
    </w:p>
    <w:p w:rsidR="00610529" w:rsidRDefault="00610529" w:rsidP="00610529">
      <w:pPr>
        <w:pStyle w:val="BodyText1"/>
      </w:pPr>
      <w:r>
        <w:t xml:space="preserve">Bren, L. J. (1992). </w:t>
      </w:r>
      <w:proofErr w:type="gramStart"/>
      <w:r>
        <w:t>"Tree invasion of an intermittent wetland in relation to changes in the flooding frequency of the River Murray, Australia."</w:t>
      </w:r>
      <w:proofErr w:type="gramEnd"/>
      <w:r>
        <w:t xml:space="preserve"> Australian Journal of Ecology 17(4): 395-408.</w:t>
      </w:r>
    </w:p>
    <w:p w:rsidR="00610529" w:rsidRDefault="00610529" w:rsidP="00610529">
      <w:pPr>
        <w:pStyle w:val="BodyText1"/>
      </w:pPr>
      <w:proofErr w:type="gramStart"/>
      <w:r>
        <w:t>Briggs, S. V. and Thornton, S. A. (1999).</w:t>
      </w:r>
      <w:proofErr w:type="gramEnd"/>
      <w:r>
        <w:t xml:space="preserve"> </w:t>
      </w:r>
      <w:proofErr w:type="gramStart"/>
      <w:r>
        <w:t>"Management of water regimes in River Red Gum Eucalyptus camaldulensis wetlands for waterbird breeding."</w:t>
      </w:r>
      <w:proofErr w:type="gramEnd"/>
      <w:r>
        <w:t xml:space="preserve"> Australian Zoologist 31(1): 187-197.</w:t>
      </w:r>
    </w:p>
    <w:p w:rsidR="00610529" w:rsidRDefault="00610529" w:rsidP="00610529">
      <w:pPr>
        <w:pStyle w:val="BodyText1"/>
      </w:pPr>
      <w:proofErr w:type="gramStart"/>
      <w:r>
        <w:t>Brock, M. A. and Casanova, M. T. (1997).</w:t>
      </w:r>
      <w:proofErr w:type="gramEnd"/>
      <w:r>
        <w:t xml:space="preserve"> Plant life at the edge of wetlands: ecological responses to wetting and drying patterns. Frontiers in ecology: building the links. N. Klomp and I. Lunt. Oxford, UK.</w:t>
      </w:r>
    </w:p>
    <w:p w:rsidR="00610529" w:rsidRDefault="00610529" w:rsidP="00610529">
      <w:pPr>
        <w:pStyle w:val="BodyText1"/>
      </w:pPr>
      <w:proofErr w:type="gramStart"/>
      <w:r>
        <w:t>Brock, M. A., Nielsen, D. L., Shiel, R. J., Green, J. D. and Langley, J. D. (2003).</w:t>
      </w:r>
      <w:proofErr w:type="gramEnd"/>
      <w:r>
        <w:t xml:space="preserve"> "Drought and aquatic community resilience: the role of eggs and seeds in sediments of temporary wetlands." Freshwater Biology 48(7): 1207-1218.</w:t>
      </w:r>
    </w:p>
    <w:p w:rsidR="00610529" w:rsidRDefault="00610529" w:rsidP="00610529">
      <w:pPr>
        <w:pStyle w:val="BodyText1"/>
      </w:pPr>
      <w:proofErr w:type="gramStart"/>
      <w:r>
        <w:t>Butler, G. L., Mackay, B., Rowland, S. J. and Pease, B. C. (2009).</w:t>
      </w:r>
      <w:proofErr w:type="gramEnd"/>
      <w:r>
        <w:t xml:space="preserve"> </w:t>
      </w:r>
      <w:proofErr w:type="gramStart"/>
      <w:r>
        <w:t>"Retention of intra-peritoneal transmitters and post-operative recovery of four Australian native fish species."</w:t>
      </w:r>
      <w:proofErr w:type="gramEnd"/>
      <w:r>
        <w:t xml:space="preserve"> Marine and Freshwater Research 60(4): 361-370.</w:t>
      </w:r>
    </w:p>
    <w:p w:rsidR="00610529" w:rsidRDefault="00610529" w:rsidP="00610529">
      <w:pPr>
        <w:pStyle w:val="BodyText1"/>
      </w:pPr>
      <w:r>
        <w:t>Cadwallader, P. L. (1977). JO Langtry's 1949-50 Murray River investigations, Fisheries and Wildlife Division, Victoria.</w:t>
      </w:r>
    </w:p>
    <w:p w:rsidR="00610529" w:rsidRDefault="00610529" w:rsidP="00610529">
      <w:pPr>
        <w:pStyle w:val="BodyText1"/>
      </w:pPr>
      <w:proofErr w:type="gramStart"/>
      <w:r>
        <w:t>Chessman, B. (1988).</w:t>
      </w:r>
      <w:proofErr w:type="gramEnd"/>
      <w:r>
        <w:t xml:space="preserve"> </w:t>
      </w:r>
      <w:proofErr w:type="gramStart"/>
      <w:r>
        <w:t>"Habitat Preferences of Fresh-Water Turtles in the Murray Valley, Victoria and New-South-Wales."</w:t>
      </w:r>
      <w:proofErr w:type="gramEnd"/>
      <w:r>
        <w:t xml:space="preserve"> Wildlife Research 15(5): 485-491.</w:t>
      </w:r>
    </w:p>
    <w:p w:rsidR="00610529" w:rsidRDefault="00610529" w:rsidP="00610529">
      <w:pPr>
        <w:pStyle w:val="BodyText1"/>
      </w:pPr>
      <w:proofErr w:type="gramStart"/>
      <w:r>
        <w:t>Chessman, B. C. (2011).</w:t>
      </w:r>
      <w:proofErr w:type="gramEnd"/>
      <w:r>
        <w:t xml:space="preserve"> "Declines of freshwater turtles associated with climatic drying in Australia's Murray-Darling Basin." Wildlife Research 38(8): 664-671.</w:t>
      </w:r>
    </w:p>
    <w:p w:rsidR="00610529" w:rsidRDefault="00610529" w:rsidP="00610529">
      <w:pPr>
        <w:pStyle w:val="BodyText1"/>
      </w:pPr>
      <w:proofErr w:type="gramStart"/>
      <w:r>
        <w:t>Christidis, L. and Boles, W. (2008).</w:t>
      </w:r>
      <w:proofErr w:type="gramEnd"/>
      <w:r>
        <w:t xml:space="preserve"> </w:t>
      </w:r>
      <w:proofErr w:type="gramStart"/>
      <w:r>
        <w:t>Systematics and Taxonomy of Australian Birds.</w:t>
      </w:r>
      <w:proofErr w:type="gramEnd"/>
      <w:r>
        <w:t xml:space="preserve"> </w:t>
      </w:r>
      <w:proofErr w:type="gramStart"/>
      <w:r>
        <w:t>Colllingwood, Australia, CSIRO Publishing.</w:t>
      </w:r>
      <w:proofErr w:type="gramEnd"/>
    </w:p>
    <w:p w:rsidR="00610529" w:rsidRDefault="00610529" w:rsidP="00610529">
      <w:pPr>
        <w:pStyle w:val="BodyText1"/>
      </w:pPr>
      <w:r>
        <w:t xml:space="preserve">Clements, S., Jepsen, D., Karnowski, M. and Schreck, C. B. (2005). </w:t>
      </w:r>
      <w:proofErr w:type="gramStart"/>
      <w:r>
        <w:t>"Optimization of an Acoustic Telemetry Array for Detecting Transmitter-Implanted Fish."</w:t>
      </w:r>
      <w:proofErr w:type="gramEnd"/>
      <w:r>
        <w:t xml:space="preserve"> North American Journal of Fisheries Management 25(2): 429-436.</w:t>
      </w:r>
    </w:p>
    <w:p w:rsidR="00610529" w:rsidRDefault="00610529" w:rsidP="00610529">
      <w:pPr>
        <w:pStyle w:val="BodyText1"/>
      </w:pPr>
      <w:r>
        <w:t xml:space="preserve">Copp, G. (1992). </w:t>
      </w:r>
      <w:proofErr w:type="gramStart"/>
      <w:r>
        <w:t>"Comparative microhabitat use of cyprinid larvae and juveniles in a lotic floodplain channel."</w:t>
      </w:r>
      <w:proofErr w:type="gramEnd"/>
      <w:r>
        <w:t xml:space="preserve"> Environmental Biology of Fishes 33(1-2): 181-193.</w:t>
      </w:r>
    </w:p>
    <w:p w:rsidR="00610529" w:rsidRDefault="00610529" w:rsidP="00610529">
      <w:pPr>
        <w:pStyle w:val="BodyText1"/>
      </w:pPr>
      <w:proofErr w:type="gramStart"/>
      <w:r>
        <w:t>Cushing, D. H. (1990).</w:t>
      </w:r>
      <w:proofErr w:type="gramEnd"/>
      <w:r>
        <w:t xml:space="preserve"> Plankton Production and Year-class Strength in Fish Populations: an Update of the Match/Mismatch Hypothesis. </w:t>
      </w:r>
      <w:proofErr w:type="gramStart"/>
      <w:r>
        <w:t>Advances in Marine Biology.</w:t>
      </w:r>
      <w:proofErr w:type="gramEnd"/>
      <w:r>
        <w:t xml:space="preserve"> J. H. S. Blaxter and A. J. Southward, Academic Press. Volume 26: 249-293.</w:t>
      </w:r>
    </w:p>
    <w:p w:rsidR="00610529" w:rsidRDefault="00610529" w:rsidP="00610529">
      <w:pPr>
        <w:pStyle w:val="BodyText1"/>
      </w:pPr>
      <w:proofErr w:type="gramStart"/>
      <w:r>
        <w:t>Davis, J. A. and Barmuta, L. A. (1989).</w:t>
      </w:r>
      <w:proofErr w:type="gramEnd"/>
      <w:r>
        <w:t xml:space="preserve"> "An ecologically useful classification of mean and near-bed flows in streams and rivers." Freshwater Biology 21(2): 271-282.</w:t>
      </w:r>
    </w:p>
    <w:p w:rsidR="00610529" w:rsidRDefault="00610529" w:rsidP="00610529">
      <w:pPr>
        <w:pStyle w:val="BodyText1"/>
      </w:pPr>
      <w:proofErr w:type="gramStart"/>
      <w:r>
        <w:t>Devries, D. R., Stein, R. A. and Bremigan, M. T. (1998).</w:t>
      </w:r>
      <w:proofErr w:type="gramEnd"/>
      <w:r>
        <w:t xml:space="preserve"> "Prey selection by larval fishes as influenced by available zooplankton and gap limitation." Transactions of the American Fisheries Society 127(6): 1040-1050.</w:t>
      </w:r>
    </w:p>
    <w:p w:rsidR="00610529" w:rsidRDefault="00610529" w:rsidP="00610529">
      <w:pPr>
        <w:pStyle w:val="BodyText1"/>
      </w:pPr>
      <w:proofErr w:type="gramStart"/>
      <w:r>
        <w:t>Eaton, A. D., Clesceri, L. S., Rice, E. W. and Greenberg, A. E. (2005).</w:t>
      </w:r>
      <w:proofErr w:type="gramEnd"/>
      <w:r>
        <w:t xml:space="preserve"> </w:t>
      </w:r>
      <w:proofErr w:type="gramStart"/>
      <w:r>
        <w:t>Standard methods for examination of water &amp; wastewater.</w:t>
      </w:r>
      <w:proofErr w:type="gramEnd"/>
      <w:r>
        <w:t xml:space="preserve"> </w:t>
      </w:r>
      <w:proofErr w:type="gramStart"/>
      <w:r>
        <w:t>Centennial edition.</w:t>
      </w:r>
      <w:proofErr w:type="gramEnd"/>
      <w:r>
        <w:t xml:space="preserve"> </w:t>
      </w:r>
      <w:proofErr w:type="gramStart"/>
      <w:r>
        <w:t>Washington, USA, American Public Health Associatio.</w:t>
      </w:r>
      <w:proofErr w:type="gramEnd"/>
    </w:p>
    <w:p w:rsidR="00610529" w:rsidRDefault="00610529" w:rsidP="00610529">
      <w:pPr>
        <w:pStyle w:val="BodyText1"/>
      </w:pPr>
      <w:proofErr w:type="gramStart"/>
      <w:r>
        <w:t>Eaton, A. D., Clesceri, L. S., Rice, E. W. and Greenberg, A. E. (2005).</w:t>
      </w:r>
      <w:proofErr w:type="gramEnd"/>
      <w:r>
        <w:t xml:space="preserve"> </w:t>
      </w:r>
      <w:proofErr w:type="gramStart"/>
      <w:r>
        <w:t>Standard Methods for the Examination of Water &amp; Wasterwater.</w:t>
      </w:r>
      <w:proofErr w:type="gramEnd"/>
      <w:r>
        <w:t xml:space="preserve"> . Washington, D.C, American Public Health Association.</w:t>
      </w:r>
    </w:p>
    <w:p w:rsidR="00610529" w:rsidRDefault="00610529" w:rsidP="00610529">
      <w:pPr>
        <w:pStyle w:val="BodyText1"/>
      </w:pPr>
      <w:proofErr w:type="gramStart"/>
      <w:r>
        <w:t>Environment Australia (2001).</w:t>
      </w:r>
      <w:proofErr w:type="gramEnd"/>
      <w:r>
        <w:t xml:space="preserve"> </w:t>
      </w:r>
      <w:proofErr w:type="gramStart"/>
      <w:r>
        <w:t>A Directory of Important Wetlands in Australia.</w:t>
      </w:r>
      <w:proofErr w:type="gramEnd"/>
      <w:r>
        <w:t xml:space="preserve"> </w:t>
      </w:r>
      <w:proofErr w:type="gramStart"/>
      <w:r>
        <w:t>Canberra.,</w:t>
      </w:r>
      <w:proofErr w:type="gramEnd"/>
      <w:r>
        <w:t xml:space="preserve"> Environment Australia.</w:t>
      </w:r>
    </w:p>
    <w:p w:rsidR="00610529" w:rsidRDefault="00610529" w:rsidP="00610529">
      <w:pPr>
        <w:pStyle w:val="BodyText1"/>
      </w:pPr>
      <w:proofErr w:type="gramStart"/>
      <w:r>
        <w:t>Forsyth, D., Koehn, J., MacKenzie, D. and Stuart, I. (2013).</w:t>
      </w:r>
      <w:proofErr w:type="gramEnd"/>
      <w:r>
        <w:t xml:space="preserve"> "Population dynamics of invading freshwater fish: common carp (Cyprinus carpio) in the Murray-Darling Basin, Australia." Biological Invasions 15(2): 341-354.</w:t>
      </w:r>
    </w:p>
    <w:p w:rsidR="00610529" w:rsidRDefault="00610529" w:rsidP="00610529">
      <w:pPr>
        <w:pStyle w:val="BodyText1"/>
      </w:pPr>
      <w:proofErr w:type="gramStart"/>
      <w:r>
        <w:t>Gilligan, D. M. (2005).</w:t>
      </w:r>
      <w:proofErr w:type="gramEnd"/>
      <w:r>
        <w:t xml:space="preserve"> Fish communities of the Murrumbidgee catchment: status and trends. New South Wales Department of Primary Industries: Cronulla Fisheries Centre.</w:t>
      </w:r>
    </w:p>
    <w:p w:rsidR="00610529" w:rsidRDefault="00610529" w:rsidP="00610529">
      <w:pPr>
        <w:pStyle w:val="BodyText1"/>
      </w:pPr>
      <w:proofErr w:type="gramStart"/>
      <w:r>
        <w:t>Hladyz, S., Watkins, S. C., Whitworth, K. L. and Baldwin, D. S. (2011).</w:t>
      </w:r>
      <w:proofErr w:type="gramEnd"/>
      <w:r>
        <w:t xml:space="preserve"> "Flows and hypoxic blackwater events in managed ephemeral river channels." Journal of Hydrology 401(1–2): 117-125.</w:t>
      </w:r>
    </w:p>
    <w:p w:rsidR="00610529" w:rsidRDefault="00610529" w:rsidP="00610529">
      <w:pPr>
        <w:pStyle w:val="BodyText1"/>
      </w:pPr>
      <w:proofErr w:type="gramStart"/>
      <w:r>
        <w:t>Hosomi, M. and Sudo, R. (1986).</w:t>
      </w:r>
      <w:proofErr w:type="gramEnd"/>
      <w:r>
        <w:t xml:space="preserve"> </w:t>
      </w:r>
      <w:proofErr w:type="gramStart"/>
      <w:r>
        <w:t>"Simultaneous determination of total nitrogen and total phosphorus in freshwater samples using persulfate digestion."</w:t>
      </w:r>
      <w:proofErr w:type="gramEnd"/>
      <w:r>
        <w:t xml:space="preserve"> International Journal of Environmental Studies 27(3-4): 267-275.</w:t>
      </w:r>
    </w:p>
    <w:p w:rsidR="00610529" w:rsidRDefault="00610529" w:rsidP="00610529">
      <w:pPr>
        <w:pStyle w:val="BodyText1"/>
      </w:pPr>
      <w:proofErr w:type="gramStart"/>
      <w:r>
        <w:t>Howitt, J. A., Baldwin, D. S., Rees, G. N. and Williams, J. L. (2007).</w:t>
      </w:r>
      <w:proofErr w:type="gramEnd"/>
      <w:r>
        <w:t xml:space="preserve"> "Modelling blackwater: Predicting water quality during flooding of lowland river forests." Ecological Modelling 203(3-4): 229-242.</w:t>
      </w:r>
    </w:p>
    <w:p w:rsidR="00610529" w:rsidRDefault="00610529" w:rsidP="00610529">
      <w:pPr>
        <w:pStyle w:val="BodyText1"/>
      </w:pPr>
      <w:r>
        <w:t xml:space="preserve">Humphries, P. (1996). </w:t>
      </w:r>
      <w:proofErr w:type="gramStart"/>
      <w:r>
        <w:t>"Aquatic macrophytes, macroinvertebrate associations and water levels in a lowland Tasmanian river."</w:t>
      </w:r>
      <w:proofErr w:type="gramEnd"/>
      <w:r>
        <w:t xml:space="preserve"> Hydrobiologia 321(3): 219-233.</w:t>
      </w:r>
    </w:p>
    <w:p w:rsidR="00610529" w:rsidRDefault="00610529" w:rsidP="00610529">
      <w:pPr>
        <w:pStyle w:val="BodyText1"/>
      </w:pPr>
      <w:r>
        <w:t>Humphries, P. (2005). "Spawning time and early life history of Murray cod, Maccullochella peelii (Mitchell) in an Australian river." Environmental Biology of Fishes 72: 393-407.</w:t>
      </w:r>
    </w:p>
    <w:p w:rsidR="00610529" w:rsidRDefault="00610529" w:rsidP="00610529">
      <w:pPr>
        <w:pStyle w:val="BodyText1"/>
      </w:pPr>
      <w:proofErr w:type="gramStart"/>
      <w:r>
        <w:t>Humphries, P., King, A. J. and Koehn, J. D. (1999).</w:t>
      </w:r>
      <w:proofErr w:type="gramEnd"/>
      <w:r>
        <w:t xml:space="preserve"> "Fish, Flows and Flood Plains: Links between Freshwater Fishes and their Environment in the Murray-Darling River System, Australia." Environmental Biology of Fishes 56(1): 129-151.</w:t>
      </w:r>
    </w:p>
    <w:p w:rsidR="00610529" w:rsidRDefault="00610529" w:rsidP="00610529">
      <w:pPr>
        <w:pStyle w:val="BodyText1"/>
      </w:pPr>
      <w:proofErr w:type="gramStart"/>
      <w:r>
        <w:t>Humphries, P., Serafinia, L. and King, A. J. (2002).</w:t>
      </w:r>
      <w:proofErr w:type="gramEnd"/>
      <w:r>
        <w:t xml:space="preserve"> "River regulation and fish larvae: variation through space and time." Freshwater Biology 47: 1307-1331.</w:t>
      </w:r>
    </w:p>
    <w:p w:rsidR="00610529" w:rsidRDefault="00610529" w:rsidP="00610529">
      <w:pPr>
        <w:pStyle w:val="BodyText1"/>
      </w:pPr>
      <w:proofErr w:type="gramStart"/>
      <w:r>
        <w:t>Jackson, D. A., Peres-Neto, P. R. and Olden, J. D. (2001).</w:t>
      </w:r>
      <w:proofErr w:type="gramEnd"/>
      <w:r>
        <w:t xml:space="preserve"> "What controls who is where in freshwater fish communities the roles of biotic, abiotic, and spatial factors." Canadian Journal of Fisheries and Aquatic Sciences 58(1): 157-170.</w:t>
      </w:r>
    </w:p>
    <w:p w:rsidR="00610529" w:rsidRDefault="00610529" w:rsidP="00610529">
      <w:pPr>
        <w:pStyle w:val="BodyText1"/>
      </w:pPr>
      <w:proofErr w:type="gramStart"/>
      <w:r>
        <w:t>Jenkins, K. M. and Boulton, A. J. (2003).</w:t>
      </w:r>
      <w:proofErr w:type="gramEnd"/>
      <w:r>
        <w:t xml:space="preserve"> "Connectivity in a dryland river: short-term aquatic microinvertebrate recruitment following floodplain inundation." Ecology 84(10): 2708-2723.</w:t>
      </w:r>
    </w:p>
    <w:p w:rsidR="00610529" w:rsidRDefault="00610529" w:rsidP="00610529">
      <w:pPr>
        <w:pStyle w:val="BodyText1"/>
      </w:pPr>
      <w:proofErr w:type="gramStart"/>
      <w:r>
        <w:t>Jenkins, K. M. and Boulton, A. J. (2007).</w:t>
      </w:r>
      <w:proofErr w:type="gramEnd"/>
      <w:r>
        <w:t xml:space="preserve"> "Detecting impacts and setting restoration targets in arid-zone rivers: aquatic micro-invertebrate responses to reduced floodplain inundation." Journal of Applied Ecology 44(4): 823-832.</w:t>
      </w:r>
    </w:p>
    <w:p w:rsidR="00610529" w:rsidRDefault="00610529" w:rsidP="00610529">
      <w:pPr>
        <w:pStyle w:val="BodyText1"/>
      </w:pPr>
      <w:proofErr w:type="gramStart"/>
      <w:r>
        <w:t>Jenkins, K. M., Iles, J., Smith, J., Kingsford, R. T., Forrest, M. and Rayner, T. (2013).</w:t>
      </w:r>
      <w:proofErr w:type="gramEnd"/>
      <w:r>
        <w:t xml:space="preserve"> </w:t>
      </w:r>
      <w:proofErr w:type="gramStart"/>
      <w:r>
        <w:t>Monitoring of ecosystem responses to the delivery of environmental water in the Lower Murrumbidgee River and wetlands, 2011-2012, Australian Wetlands, Rivers and Landscapes Centre.</w:t>
      </w:r>
      <w:proofErr w:type="gramEnd"/>
      <w:r>
        <w:t xml:space="preserve"> </w:t>
      </w:r>
      <w:proofErr w:type="gramStart"/>
      <w:r>
        <w:t>Prepared for Commonwealth Environmental Water.</w:t>
      </w:r>
      <w:proofErr w:type="gramEnd"/>
    </w:p>
    <w:p w:rsidR="00610529" w:rsidRDefault="00610529" w:rsidP="00610529">
      <w:pPr>
        <w:pStyle w:val="BodyText1"/>
      </w:pPr>
      <w:proofErr w:type="gramStart"/>
      <w:r>
        <w:t>Jones, M. J. and Stuart, I. G. (2007).</w:t>
      </w:r>
      <w:proofErr w:type="gramEnd"/>
      <w:r>
        <w:t xml:space="preserve"> "Movements and habitat use of common carp (Cyprinus carpio) and Murray cod (Maccullochella peelii peelii) juveniles in a large lowland Australian river." Ecology of Freshwater Fish 16(2): 210-220.</w:t>
      </w:r>
    </w:p>
    <w:p w:rsidR="00610529" w:rsidRDefault="00610529" w:rsidP="00610529">
      <w:pPr>
        <w:pStyle w:val="BodyText1"/>
      </w:pPr>
      <w:proofErr w:type="gramStart"/>
      <w:r>
        <w:t>Kent, K., Earl, G., Mullins, B., Lunt, I. and R., W. (2002).</w:t>
      </w:r>
      <w:proofErr w:type="gramEnd"/>
      <w:r>
        <w:t xml:space="preserve"> </w:t>
      </w:r>
      <w:proofErr w:type="gramStart"/>
      <w:r>
        <w:t>Native vegetation guide for the Riverina Albury-Wodonga, Charles Sturt University, Berrigan Shire and Native Dog Landcare Group.</w:t>
      </w:r>
      <w:proofErr w:type="gramEnd"/>
      <w:r>
        <w:t xml:space="preserve"> .</w:t>
      </w:r>
    </w:p>
    <w:p w:rsidR="00610529" w:rsidRDefault="00610529" w:rsidP="00610529">
      <w:pPr>
        <w:pStyle w:val="BodyText1"/>
      </w:pPr>
      <w:proofErr w:type="gramStart"/>
      <w:r>
        <w:t>Killick, R. and Eckley, I. A. (2010).</w:t>
      </w:r>
      <w:proofErr w:type="gramEnd"/>
      <w:r>
        <w:t xml:space="preserve"> "Changepoint: Analysis of Changepoint Models. </w:t>
      </w:r>
      <w:proofErr w:type="gramStart"/>
      <w:r>
        <w:t>R package version 1.0.".</w:t>
      </w:r>
      <w:proofErr w:type="gramEnd"/>
    </w:p>
    <w:p w:rsidR="00610529" w:rsidRDefault="00610529" w:rsidP="00610529">
      <w:pPr>
        <w:pStyle w:val="BodyText1"/>
      </w:pPr>
      <w:r>
        <w:t xml:space="preserve">King, A. J. (2004). </w:t>
      </w:r>
      <w:proofErr w:type="gramStart"/>
      <w:r>
        <w:t>"Density and distribution of potential prey for larval fish in the main channel of a floodplain river: pelagic versus epibenthic meiofauna."</w:t>
      </w:r>
      <w:proofErr w:type="gramEnd"/>
      <w:r>
        <w:t xml:space="preserve"> River Research and Applications 20(8): 883-897.</w:t>
      </w:r>
    </w:p>
    <w:p w:rsidR="00610529" w:rsidRDefault="00610529" w:rsidP="00610529">
      <w:pPr>
        <w:pStyle w:val="BodyText1"/>
      </w:pPr>
      <w:proofErr w:type="gramStart"/>
      <w:r>
        <w:t>King, A. J., Crook, D. A., Koster, W. M., Mahoney, J. and Tonkin, Z. (2005).</w:t>
      </w:r>
      <w:proofErr w:type="gramEnd"/>
      <w:r>
        <w:t xml:space="preserve"> "Comparison of larval fish </w:t>
      </w:r>
      <w:proofErr w:type="gramStart"/>
      <w:r>
        <w:t>drift</w:t>
      </w:r>
      <w:proofErr w:type="gramEnd"/>
      <w:r>
        <w:t xml:space="preserve"> in the Lower Goulburn and mid-Murray Rivers." Ecological Management &amp; Restoration 6(2): 136-139.</w:t>
      </w:r>
    </w:p>
    <w:p w:rsidR="00610529" w:rsidRDefault="00610529" w:rsidP="00610529">
      <w:pPr>
        <w:pStyle w:val="BodyText1"/>
      </w:pPr>
      <w:proofErr w:type="gramStart"/>
      <w:r>
        <w:t>King, A. J., Humphries, P. and Lake, P. S. (2003).</w:t>
      </w:r>
      <w:proofErr w:type="gramEnd"/>
      <w:r>
        <w:t xml:space="preserve"> "Fish recruitment on floodplains: the roles of patterns of flooding and life history characteristics." Canadian Journal of Fisheries and Aquatic Sciences 60(7): 773-786.</w:t>
      </w:r>
    </w:p>
    <w:p w:rsidR="00610529" w:rsidRDefault="00610529" w:rsidP="00610529">
      <w:pPr>
        <w:pStyle w:val="BodyText1"/>
      </w:pPr>
      <w:proofErr w:type="gramStart"/>
      <w:r>
        <w:t>King, A. J., Tonkin, Z. and Mahoney, J. (2009).</w:t>
      </w:r>
      <w:proofErr w:type="gramEnd"/>
      <w:r>
        <w:t xml:space="preserve"> "Environmental flow enhances native fish spawning and recruitment in the Murray River, Australia." River Research and Applications 25(10): 1205-1218.</w:t>
      </w:r>
    </w:p>
    <w:p w:rsidR="00610529" w:rsidRDefault="00610529" w:rsidP="00610529">
      <w:pPr>
        <w:pStyle w:val="BodyText1"/>
      </w:pPr>
      <w:r>
        <w:t xml:space="preserve">Kingsford, R. T. (1999). </w:t>
      </w:r>
      <w:proofErr w:type="gramStart"/>
      <w:r>
        <w:t>"Aerial survey of waterbirds on wetlands as a measure of river and floodplain health."</w:t>
      </w:r>
      <w:proofErr w:type="gramEnd"/>
      <w:r>
        <w:t xml:space="preserve"> Freshwater Biology 41: 425-438.</w:t>
      </w:r>
    </w:p>
    <w:p w:rsidR="00610529" w:rsidRDefault="00610529" w:rsidP="00610529">
      <w:pPr>
        <w:pStyle w:val="BodyText1"/>
      </w:pPr>
      <w:proofErr w:type="gramStart"/>
      <w:r>
        <w:t>Kingsford, R. T. and Auld, K. M. (2005).</w:t>
      </w:r>
      <w:proofErr w:type="gramEnd"/>
      <w:r>
        <w:t xml:space="preserve"> </w:t>
      </w:r>
      <w:proofErr w:type="gramStart"/>
      <w:r>
        <w:t>"Waterbird breeding and environmental flow management in the Macquarie Marshes, arid Australia."</w:t>
      </w:r>
      <w:proofErr w:type="gramEnd"/>
      <w:r>
        <w:t xml:space="preserve"> River Research and Applications 21(2-3): 187-200.</w:t>
      </w:r>
    </w:p>
    <w:p w:rsidR="00610529" w:rsidRDefault="00610529" w:rsidP="00610529">
      <w:pPr>
        <w:pStyle w:val="BodyText1"/>
      </w:pPr>
      <w:proofErr w:type="gramStart"/>
      <w:r>
        <w:t>Kingsford, R. T., Brandis, K., Thomas, R. F., Crighton, P., Knowles, E. and Gale, E. (2004).</w:t>
      </w:r>
      <w:proofErr w:type="gramEnd"/>
      <w:r>
        <w:t xml:space="preserve"> </w:t>
      </w:r>
      <w:proofErr w:type="gramStart"/>
      <w:r>
        <w:t>"Classifying landform at broad spatial scales: the distribution and conservation of wetlands in New South Wales, Australia."</w:t>
      </w:r>
      <w:proofErr w:type="gramEnd"/>
      <w:r>
        <w:t xml:space="preserve"> Marine and Freshwater Research 55(1): 17-31.</w:t>
      </w:r>
    </w:p>
    <w:p w:rsidR="00610529" w:rsidRDefault="00610529" w:rsidP="00610529">
      <w:pPr>
        <w:pStyle w:val="BodyText1"/>
      </w:pPr>
      <w:proofErr w:type="gramStart"/>
      <w:r>
        <w:t>Kingsford, R. T. and Norman, F. I. (2002).</w:t>
      </w:r>
      <w:proofErr w:type="gramEnd"/>
      <w:r>
        <w:t xml:space="preserve"> </w:t>
      </w:r>
      <w:proofErr w:type="gramStart"/>
      <w:r>
        <w:t>"Australian waterbirds - products of the continent's ecology."</w:t>
      </w:r>
      <w:proofErr w:type="gramEnd"/>
      <w:r>
        <w:t xml:space="preserve"> Emu 102: 47-69.</w:t>
      </w:r>
    </w:p>
    <w:p w:rsidR="00610529" w:rsidRDefault="00610529" w:rsidP="00610529">
      <w:pPr>
        <w:pStyle w:val="BodyText1"/>
      </w:pPr>
      <w:proofErr w:type="gramStart"/>
      <w:r>
        <w:t>Kingsford, R. T. and Porter, J. L. (2011).</w:t>
      </w:r>
      <w:proofErr w:type="gramEnd"/>
      <w:r>
        <w:t xml:space="preserve"> </w:t>
      </w:r>
      <w:proofErr w:type="gramStart"/>
      <w:r>
        <w:t>Survey of waterbird communities of the Hydrological Indicator Sites – October-November 2010.</w:t>
      </w:r>
      <w:proofErr w:type="gramEnd"/>
      <w:r>
        <w:t xml:space="preserve"> </w:t>
      </w:r>
      <w:proofErr w:type="gramStart"/>
      <w:r>
        <w:t>Canberra, Australian Wetlands and Rivers Centre, School of Biological, Earth and Environmental Sciences, University of New South Wales.</w:t>
      </w:r>
      <w:proofErr w:type="gramEnd"/>
      <w:r>
        <w:t xml:space="preserve"> Report to the Murray-Darling Basin Authority.</w:t>
      </w:r>
    </w:p>
    <w:p w:rsidR="00610529" w:rsidRDefault="00610529" w:rsidP="00610529">
      <w:pPr>
        <w:pStyle w:val="BodyText1"/>
      </w:pPr>
      <w:proofErr w:type="gramStart"/>
      <w:r>
        <w:t>Kingsford, R. T., Porter, J. L. and Halse, S. A. (2012).</w:t>
      </w:r>
      <w:proofErr w:type="gramEnd"/>
      <w:r>
        <w:t xml:space="preserve"> </w:t>
      </w:r>
      <w:proofErr w:type="gramStart"/>
      <w:r>
        <w:t>National Waterbird Assessment.</w:t>
      </w:r>
      <w:proofErr w:type="gramEnd"/>
      <w:r>
        <w:t xml:space="preserve"> </w:t>
      </w:r>
      <w:proofErr w:type="gramStart"/>
      <w:r>
        <w:t>Waterlines Report, 74.</w:t>
      </w:r>
      <w:proofErr w:type="gramEnd"/>
      <w:r>
        <w:t xml:space="preserve"> Canberra, National Water Commission.</w:t>
      </w:r>
    </w:p>
    <w:p w:rsidR="00610529" w:rsidRDefault="00610529" w:rsidP="00610529">
      <w:pPr>
        <w:pStyle w:val="BodyText1"/>
      </w:pPr>
      <w:proofErr w:type="gramStart"/>
      <w:r>
        <w:t>Kingsford, R. T. and Thomas, R. F. (2004).</w:t>
      </w:r>
      <w:proofErr w:type="gramEnd"/>
      <w:r>
        <w:t xml:space="preserve"> </w:t>
      </w:r>
      <w:proofErr w:type="gramStart"/>
      <w:r>
        <w:t>"Destruction of wetlands and waterbird populations by dams and irrigation on the Murrumbidgee River in arid Australia."</w:t>
      </w:r>
      <w:proofErr w:type="gramEnd"/>
      <w:r>
        <w:t xml:space="preserve"> Environmental Management 34(3): 383-396.</w:t>
      </w:r>
    </w:p>
    <w:p w:rsidR="00610529" w:rsidRDefault="00610529" w:rsidP="00610529">
      <w:pPr>
        <w:pStyle w:val="BodyText1"/>
      </w:pPr>
      <w:proofErr w:type="gramStart"/>
      <w:r>
        <w:t>Knowles, L., Iles, J., Lu, Y., Kobayashi, T. and Wen, L. (2012).</w:t>
      </w:r>
      <w:proofErr w:type="gramEnd"/>
      <w:r>
        <w:t xml:space="preserve"> </w:t>
      </w:r>
      <w:proofErr w:type="gramStart"/>
      <w:r>
        <w:t>"Phosphorus dynamics in an ephemeral wetland ecosystem after re-flooding."</w:t>
      </w:r>
      <w:proofErr w:type="gramEnd"/>
      <w:r>
        <w:t xml:space="preserve"> Environmental Modelling &amp; Software 35(0): 31-37.</w:t>
      </w:r>
    </w:p>
    <w:p w:rsidR="00610529" w:rsidRDefault="00610529" w:rsidP="00610529">
      <w:pPr>
        <w:pStyle w:val="BodyText1"/>
      </w:pPr>
      <w:proofErr w:type="gramStart"/>
      <w:r>
        <w:t>Kobayashi, T. and Church, A. G. (2003).</w:t>
      </w:r>
      <w:proofErr w:type="gramEnd"/>
      <w:r>
        <w:t xml:space="preserve"> </w:t>
      </w:r>
      <w:proofErr w:type="gramStart"/>
      <w:r>
        <w:t>"Role of nutrients and zooplankton grazing on phytoplankton growth in a temperate reservoir in New South Wales, Australia."</w:t>
      </w:r>
      <w:proofErr w:type="gramEnd"/>
      <w:r>
        <w:t xml:space="preserve"> Marine and Freshwater Research 54(5): 609-618.</w:t>
      </w:r>
    </w:p>
    <w:p w:rsidR="00610529" w:rsidRDefault="00610529" w:rsidP="00610529">
      <w:pPr>
        <w:pStyle w:val="BodyText1"/>
      </w:pPr>
      <w:proofErr w:type="gramStart"/>
      <w:r>
        <w:t>Kobayashi, T., Iles, J. and Knowles, L. (2011).</w:t>
      </w:r>
      <w:proofErr w:type="gramEnd"/>
      <w:r>
        <w:t xml:space="preserve"> "Are the faecal pellets of kangaroos (Macropus spp.) a source of nutrients and carbon in an inland floodplain wetland during flooding? </w:t>
      </w:r>
      <w:proofErr w:type="gramStart"/>
      <w:r>
        <w:t>A preliminary experimental inundation study in the Macquarie Marshes, New South Wales."</w:t>
      </w:r>
      <w:proofErr w:type="gramEnd"/>
      <w:r>
        <w:t xml:space="preserve"> Australian Zoologist 35(3): 458-462.</w:t>
      </w:r>
    </w:p>
    <w:p w:rsidR="00610529" w:rsidRDefault="00610529" w:rsidP="00610529">
      <w:pPr>
        <w:pStyle w:val="BodyText1"/>
      </w:pPr>
      <w:r>
        <w:t>Kobayashi, T., Ralph, T., Ryder, D. and Hunter, S. (2013). "Gross primary productivity of phytoplankton and planktonic respiration in inland floodplain wetlands of southeast Australia: habitat-dependent patterns and regulating processes." Ecological Research: 1-11.</w:t>
      </w:r>
    </w:p>
    <w:p w:rsidR="00610529" w:rsidRDefault="00610529" w:rsidP="00610529">
      <w:pPr>
        <w:pStyle w:val="BodyText1"/>
      </w:pPr>
      <w:r>
        <w:t xml:space="preserve">Kobayashi, T., Ryder, D., Gordon, G., Shannon, I., Ingleton, T., Carpenter, M. and Jacobs, S. (2009). </w:t>
      </w:r>
      <w:proofErr w:type="gramStart"/>
      <w:r>
        <w:t>"Short-term response of nutrients, carbon and planktonic microbial communities to floodplain wetland inundation."</w:t>
      </w:r>
      <w:proofErr w:type="gramEnd"/>
      <w:r>
        <w:t xml:space="preserve"> Aquatic Ecology 43(4): 843-858.</w:t>
      </w:r>
    </w:p>
    <w:p w:rsidR="00610529" w:rsidRDefault="00610529" w:rsidP="00610529">
      <w:pPr>
        <w:pStyle w:val="BodyText1"/>
      </w:pPr>
      <w:proofErr w:type="gramStart"/>
      <w:r>
        <w:t>Koehn, J. D. and Harrington, D. J. (2006).</w:t>
      </w:r>
      <w:proofErr w:type="gramEnd"/>
      <w:r>
        <w:t xml:space="preserve"> </w:t>
      </w:r>
      <w:proofErr w:type="gramStart"/>
      <w:r>
        <w:t>"Environmental conditions and timing for the spawning of Murray cod (Maccullochella peelii peelii) and the endangered trout cod (M. macquariensis) in southeastern Australian rivers."</w:t>
      </w:r>
      <w:proofErr w:type="gramEnd"/>
      <w:r>
        <w:t xml:space="preserve"> River Research and Applications 22(3): 327-342.</w:t>
      </w:r>
    </w:p>
    <w:p w:rsidR="00610529" w:rsidRDefault="00610529" w:rsidP="00610529">
      <w:pPr>
        <w:pStyle w:val="BodyText1"/>
      </w:pPr>
      <w:r>
        <w:t xml:space="preserve">Koehn, J. D., McKenzie, J. A., O’Mahony, D. J., Nicol, S. J., O’Connor, J. P. and O’Connor, W. G. (2009). </w:t>
      </w:r>
      <w:proofErr w:type="gramStart"/>
      <w:r>
        <w:t>"Movements of Murray cod (Maccullochella peelii peelii) in a large Australian lowland river."</w:t>
      </w:r>
      <w:proofErr w:type="gramEnd"/>
      <w:r>
        <w:t xml:space="preserve"> Ecology of Freshwater Fish 18(4): 594-602.</w:t>
      </w:r>
    </w:p>
    <w:p w:rsidR="00610529" w:rsidRDefault="00610529" w:rsidP="00610529">
      <w:pPr>
        <w:pStyle w:val="BodyText1"/>
      </w:pPr>
      <w:proofErr w:type="gramStart"/>
      <w:r>
        <w:t>Koehn, J. D. and Nicol, S. J. (1996).</w:t>
      </w:r>
      <w:proofErr w:type="gramEnd"/>
      <w:r>
        <w:t xml:space="preserve"> </w:t>
      </w:r>
      <w:proofErr w:type="gramStart"/>
      <w:r>
        <w:t>Habitat and movement requirements of fish.</w:t>
      </w:r>
      <w:proofErr w:type="gramEnd"/>
      <w:r>
        <w:t xml:space="preserve"> </w:t>
      </w:r>
      <w:proofErr w:type="gramStart"/>
      <w:r>
        <w:t>Processings of the 1996 Riverine Enviroment Forum, Brisbane, Queensland, Murray Darling Basin Commission.</w:t>
      </w:r>
      <w:proofErr w:type="gramEnd"/>
    </w:p>
    <w:p w:rsidR="00610529" w:rsidRDefault="00610529" w:rsidP="00610529">
      <w:pPr>
        <w:pStyle w:val="BodyText1"/>
      </w:pPr>
      <w:proofErr w:type="gramStart"/>
      <w:r>
        <w:t>Lourival, R., Drechsler, M., Watts, M. E., Game, E. T. and Possingham, H. P. (2011).</w:t>
      </w:r>
      <w:proofErr w:type="gramEnd"/>
      <w:r>
        <w:t xml:space="preserve"> "Planning for reserve adequacy in dynamic landscapes; maximizing future representation of vegetation communities under flood disturbance in the Pantanal wetland." Diversity and Distributions 17(2): 297-310.</w:t>
      </w:r>
    </w:p>
    <w:p w:rsidR="00610529" w:rsidRDefault="00610529" w:rsidP="00610529">
      <w:pPr>
        <w:pStyle w:val="BodyText1"/>
      </w:pPr>
      <w:proofErr w:type="gramStart"/>
      <w:r>
        <w:t>Lucas, M. C., Mercer, T., Batley, E., Frear, P. A., Peirson, G., Duncan, A. and Kubecka, J. (1998).</w:t>
      </w:r>
      <w:proofErr w:type="gramEnd"/>
      <w:r>
        <w:t xml:space="preserve"> </w:t>
      </w:r>
      <w:proofErr w:type="gramStart"/>
      <w:r>
        <w:t>"Spatio–temporal variations in the distribution and abundance of fish in the Yorkshire Ouse system."</w:t>
      </w:r>
      <w:proofErr w:type="gramEnd"/>
      <w:r>
        <w:t xml:space="preserve"> Science of </w:t>
      </w:r>
      <w:proofErr w:type="gramStart"/>
      <w:r>
        <w:t>The</w:t>
      </w:r>
      <w:proofErr w:type="gramEnd"/>
      <w:r>
        <w:t xml:space="preserve"> Total Environment 210–211(0): 437-455.</w:t>
      </w:r>
    </w:p>
    <w:p w:rsidR="00610529" w:rsidRDefault="00610529" w:rsidP="00610529">
      <w:pPr>
        <w:pStyle w:val="BodyText1"/>
      </w:pPr>
      <w:proofErr w:type="gramStart"/>
      <w:r>
        <w:t>MDBC (2004).</w:t>
      </w:r>
      <w:proofErr w:type="gramEnd"/>
      <w:r>
        <w:t xml:space="preserve"> </w:t>
      </w:r>
      <w:proofErr w:type="gramStart"/>
      <w:r>
        <w:t>Fish Theme Pilot Audit Technical Report - Sustainable RIvers Audit.</w:t>
      </w:r>
      <w:proofErr w:type="gramEnd"/>
      <w:r>
        <w:t xml:space="preserve"> MDBC Publication 06/04. Murray-Darling Basin Commisson: Canberra.</w:t>
      </w:r>
    </w:p>
    <w:p w:rsidR="00610529" w:rsidRDefault="00610529" w:rsidP="00610529">
      <w:pPr>
        <w:pStyle w:val="BodyText1"/>
      </w:pPr>
      <w:r>
        <w:t xml:space="preserve">Murray, P. (2008). </w:t>
      </w:r>
      <w:proofErr w:type="gramStart"/>
      <w:r>
        <w:t>Murrumbidgee wetlands resource book.</w:t>
      </w:r>
      <w:proofErr w:type="gramEnd"/>
      <w:r>
        <w:t xml:space="preserve"> New South Wales, Murrumbidgee Catchment Management Authority.</w:t>
      </w:r>
    </w:p>
    <w:p w:rsidR="00610529" w:rsidRDefault="00610529" w:rsidP="00610529">
      <w:pPr>
        <w:pStyle w:val="BodyText1"/>
      </w:pPr>
      <w:proofErr w:type="gramStart"/>
      <w:r>
        <w:t>Murrumbidgee Catchment Management Authority (2009).</w:t>
      </w:r>
      <w:proofErr w:type="gramEnd"/>
      <w:r>
        <w:t xml:space="preserve"> Lower Murrumbidgee Floodplain: Natural resource management plan. Wagga Wagga, Murrumbidgee Catchment Management Authority</w:t>
      </w:r>
    </w:p>
    <w:p w:rsidR="00610529" w:rsidRDefault="00610529" w:rsidP="00610529">
      <w:pPr>
        <w:pStyle w:val="BodyText1"/>
      </w:pPr>
    </w:p>
    <w:p w:rsidR="00610529" w:rsidRDefault="00610529" w:rsidP="00610529">
      <w:pPr>
        <w:pStyle w:val="BodyText1"/>
      </w:pPr>
      <w:proofErr w:type="gramStart"/>
      <w:r>
        <w:t>Nielsen, D. L., Hillman, T. J., Smith, F. J. and Shiel, R. J. (2000).</w:t>
      </w:r>
      <w:proofErr w:type="gramEnd"/>
      <w:r>
        <w:t xml:space="preserve"> </w:t>
      </w:r>
      <w:proofErr w:type="gramStart"/>
      <w:r>
        <w:t>"The influence of a planktivorous fish on zooplankton assemblages in experimental billabongs."</w:t>
      </w:r>
      <w:proofErr w:type="gramEnd"/>
      <w:r>
        <w:t xml:space="preserve"> Hydrobiologia 434(1-3): 1-9.</w:t>
      </w:r>
    </w:p>
    <w:p w:rsidR="00610529" w:rsidRDefault="00610529" w:rsidP="00610529">
      <w:pPr>
        <w:pStyle w:val="BodyText1"/>
      </w:pPr>
      <w:proofErr w:type="gramStart"/>
      <w:r>
        <w:t>NSW National Parks and Wildlife Service (2003).</w:t>
      </w:r>
      <w:proofErr w:type="gramEnd"/>
      <w:r>
        <w:t xml:space="preserve"> The Bioregions of New South Wales: their biodiversity, conservation and history. </w:t>
      </w:r>
      <w:proofErr w:type="gramStart"/>
      <w:r>
        <w:t>Hurstville.,</w:t>
      </w:r>
      <w:proofErr w:type="gramEnd"/>
      <w:r>
        <w:t xml:space="preserve"> NSW National Parks and Wildlife Service.</w:t>
      </w:r>
    </w:p>
    <w:p w:rsidR="00610529" w:rsidRDefault="00610529" w:rsidP="00610529">
      <w:pPr>
        <w:pStyle w:val="BodyText1"/>
      </w:pPr>
      <w:proofErr w:type="gramStart"/>
      <w:r>
        <w:t>O'Connor, J. P., O'Mahony, D. J. and O'Mahony, J. M. (2005).</w:t>
      </w:r>
      <w:proofErr w:type="gramEnd"/>
      <w:r>
        <w:t xml:space="preserve"> </w:t>
      </w:r>
      <w:proofErr w:type="gramStart"/>
      <w:r>
        <w:t>"Movements of Macquaria ambigua, in the Murray River, south-eastern Australia."</w:t>
      </w:r>
      <w:proofErr w:type="gramEnd"/>
      <w:r>
        <w:t xml:space="preserve"> Journal of Fish Biology 66(2): 392-403.</w:t>
      </w:r>
    </w:p>
    <w:p w:rsidR="00610529" w:rsidRDefault="00610529" w:rsidP="00610529">
      <w:pPr>
        <w:pStyle w:val="BodyText1"/>
      </w:pPr>
      <w:proofErr w:type="gramStart"/>
      <w:r>
        <w:t>Peterson, C. G. and Stevenson, R. J. (1992).</w:t>
      </w:r>
      <w:proofErr w:type="gramEnd"/>
      <w:r>
        <w:t xml:space="preserve"> "Resistance and Resilience of Lotic Algal Communities: Importance of Disturbance Timing and Current." Ecology 73(4): 1445-1461.</w:t>
      </w:r>
    </w:p>
    <w:p w:rsidR="00610529" w:rsidRDefault="00610529" w:rsidP="00610529">
      <w:pPr>
        <w:pStyle w:val="BodyText1"/>
      </w:pPr>
      <w:proofErr w:type="gramStart"/>
      <w:r>
        <w:t>Pothoven, S. A., Nalepa, T. F., Schneeberger, P. J. and Brandt, S. B. (2001).</w:t>
      </w:r>
      <w:proofErr w:type="gramEnd"/>
      <w:r>
        <w:t xml:space="preserve"> "Changes in Diet and Body Condition of Lake Whitefish in Southern Lake Michigan Associated with Changes in Benthos." North American Journal of Fisheries Management 21(4): 876-883.</w:t>
      </w:r>
    </w:p>
    <w:p w:rsidR="00610529" w:rsidRDefault="00610529" w:rsidP="00610529">
      <w:pPr>
        <w:pStyle w:val="BodyText1"/>
      </w:pPr>
      <w:proofErr w:type="gramStart"/>
      <w:r>
        <w:t>Puckridge, J. T., Walker, K. F. and Costelloe, J. F. (2000).</w:t>
      </w:r>
      <w:proofErr w:type="gramEnd"/>
      <w:r>
        <w:t xml:space="preserve"> "Hydrological persistence and the ecology of </w:t>
      </w:r>
      <w:proofErr w:type="gramStart"/>
      <w:r>
        <w:t>dryland rivers</w:t>
      </w:r>
      <w:proofErr w:type="gramEnd"/>
      <w:r>
        <w:t xml:space="preserve">." </w:t>
      </w:r>
      <w:proofErr w:type="gramStart"/>
      <w:r>
        <w:t>Regulated Rivers: Research &amp; Management 16: 385–402.</w:t>
      </w:r>
      <w:proofErr w:type="gramEnd"/>
    </w:p>
    <w:p w:rsidR="00610529" w:rsidRDefault="00610529" w:rsidP="00610529">
      <w:pPr>
        <w:pStyle w:val="BodyText1"/>
      </w:pPr>
      <w:proofErr w:type="gramStart"/>
      <w:r>
        <w:t>Raiche, G. and Magis, D. (2010).</w:t>
      </w:r>
      <w:proofErr w:type="gramEnd"/>
      <w:r>
        <w:t xml:space="preserve"> "</w:t>
      </w:r>
      <w:proofErr w:type="gramStart"/>
      <w:r>
        <w:t>nFactors</w:t>
      </w:r>
      <w:proofErr w:type="gramEnd"/>
      <w:r>
        <w:t>: Parallel analysis and non graphical solutions to the Cattell’s scree test. R package Version 2.3.1."</w:t>
      </w:r>
    </w:p>
    <w:p w:rsidR="00610529" w:rsidRDefault="00610529" w:rsidP="00610529">
      <w:pPr>
        <w:pStyle w:val="BodyText1"/>
      </w:pPr>
      <w:proofErr w:type="gramStart"/>
      <w:r>
        <w:t>Reid, M. and Capon, S. (2011).</w:t>
      </w:r>
      <w:proofErr w:type="gramEnd"/>
      <w:r>
        <w:t xml:space="preserve"> </w:t>
      </w:r>
      <w:proofErr w:type="gramStart"/>
      <w:r>
        <w:t>"Role of the soil seed bank in vegetation responses to environmental flows on a drought-affected floodplain."</w:t>
      </w:r>
      <w:proofErr w:type="gramEnd"/>
      <w:r>
        <w:t xml:space="preserve"> River Systems 19(3): 249-259.</w:t>
      </w:r>
    </w:p>
    <w:p w:rsidR="00610529" w:rsidRDefault="00610529" w:rsidP="00610529">
      <w:pPr>
        <w:pStyle w:val="BodyText1"/>
      </w:pPr>
      <w:proofErr w:type="gramStart"/>
      <w:r>
        <w:t>Reynolds, C. S. and Irish, A. E. (1997).</w:t>
      </w:r>
      <w:proofErr w:type="gramEnd"/>
      <w:r>
        <w:t xml:space="preserve"> </w:t>
      </w:r>
      <w:proofErr w:type="gramStart"/>
      <w:r>
        <w:t>"Modelling phytoplankton dynamics in lakes and reservoirs: the problem of in-situ growth rates."</w:t>
      </w:r>
      <w:proofErr w:type="gramEnd"/>
      <w:r>
        <w:t xml:space="preserve"> Hydrobiologia 349(1-3): 5-17.</w:t>
      </w:r>
    </w:p>
    <w:p w:rsidR="00610529" w:rsidRDefault="00610529" w:rsidP="00610529">
      <w:pPr>
        <w:pStyle w:val="BodyText1"/>
      </w:pPr>
      <w:r>
        <w:t>Reynolds, L. (1983). "Migration patterns of five fish species in the Murray-Darling River system." Marine and Freshwater Research 34(6): 857-871.</w:t>
      </w:r>
    </w:p>
    <w:p w:rsidR="00610529" w:rsidRDefault="00610529" w:rsidP="00610529">
      <w:pPr>
        <w:pStyle w:val="BodyText1"/>
      </w:pPr>
      <w:r>
        <w:t>Ritchie, R. (2006). "Consistent Sets of Spectrophotometric Chlorophyll Equations for Acetone, Methanol and Ethanol Solvents." Photosynthesis Research 89(1): 27-41.</w:t>
      </w:r>
    </w:p>
    <w:p w:rsidR="00610529" w:rsidRDefault="00610529" w:rsidP="00610529">
      <w:pPr>
        <w:pStyle w:val="BodyText1"/>
      </w:pPr>
      <w:proofErr w:type="gramStart"/>
      <w:r>
        <w:t>Rizkalla, C. and Swihart, R. (2006).</w:t>
      </w:r>
      <w:proofErr w:type="gramEnd"/>
      <w:r>
        <w:t xml:space="preserve"> "Community structure and differential responses of aquatic turtles to agriculturally induced habitat fragmentation." Landscape Ecology 21(8): 1361-1375.</w:t>
      </w:r>
    </w:p>
    <w:p w:rsidR="00610529" w:rsidRDefault="00610529" w:rsidP="00610529">
      <w:pPr>
        <w:pStyle w:val="BodyText1"/>
      </w:pPr>
      <w:proofErr w:type="gramStart"/>
      <w:r>
        <w:t>Robertson, A. I., Bunn, S. E., Walker, K. F. and Boon, P. I. (1999).</w:t>
      </w:r>
      <w:proofErr w:type="gramEnd"/>
      <w:r>
        <w:t xml:space="preserve"> "Sources, sinks and transformations of organic carbon in Australian </w:t>
      </w:r>
      <w:proofErr w:type="gramStart"/>
      <w:r>
        <w:t>floodplain rivers</w:t>
      </w:r>
      <w:proofErr w:type="gramEnd"/>
      <w:r>
        <w:t>." Marine and Freshwater Research 50(8): 813-829.</w:t>
      </w:r>
    </w:p>
    <w:p w:rsidR="00610529" w:rsidRDefault="00610529" w:rsidP="00610529">
      <w:pPr>
        <w:pStyle w:val="BodyText1"/>
      </w:pPr>
      <w:r>
        <w:t>Rolls, R. J., Growns, I. O., Khan, T. A., Wilson, G. G., Ellison, T. L., Prior, A. and Waring, C. C. (2013). "Fish recruitment in rivers with modified discharge depends on the interacting effects of flow and thermal regimes." Freshwater Biology 58(9): 1804-1819.</w:t>
      </w:r>
    </w:p>
    <w:p w:rsidR="00610529" w:rsidRDefault="00610529" w:rsidP="00610529">
      <w:pPr>
        <w:pStyle w:val="BodyText1"/>
      </w:pPr>
      <w:proofErr w:type="gramStart"/>
      <w:r>
        <w:t>Rourke, M. L., McPartlan, H. C., Ingram, B. A. and Taylor, A. C. (2009).</w:t>
      </w:r>
      <w:proofErr w:type="gramEnd"/>
      <w:r>
        <w:t xml:space="preserve"> "Polygamy and low effective population size in a captive Murray cod (Maccullochella peelii peelii) population: genetic implications for wild restocking programs." Marine and Freshwater Research 60(8): 873-883.</w:t>
      </w:r>
    </w:p>
    <w:p w:rsidR="00610529" w:rsidRDefault="00610529" w:rsidP="00610529">
      <w:pPr>
        <w:pStyle w:val="BodyText1"/>
      </w:pPr>
      <w:r>
        <w:t xml:space="preserve">Rowland, S. J. (1983). </w:t>
      </w:r>
      <w:proofErr w:type="gramStart"/>
      <w:r>
        <w:t>"Spawning of the Australian freshwater fish Murray cod, Maccullochella peeli (Mitchell), in earthen ponds."</w:t>
      </w:r>
      <w:proofErr w:type="gramEnd"/>
      <w:r>
        <w:t xml:space="preserve"> Journal of Fish Biology 23: 525-534.</w:t>
      </w:r>
    </w:p>
    <w:p w:rsidR="00610529" w:rsidRDefault="00610529" w:rsidP="00610529">
      <w:pPr>
        <w:pStyle w:val="BodyText1"/>
      </w:pPr>
      <w:proofErr w:type="gramStart"/>
      <w:r>
        <w:t>Ryder, D. S. (2004).</w:t>
      </w:r>
      <w:proofErr w:type="gramEnd"/>
      <w:r>
        <w:t xml:space="preserve"> </w:t>
      </w:r>
      <w:proofErr w:type="gramStart"/>
      <w:r>
        <w:t>"Response of Epixylic Biofilm Metabolism to Water Level Variability in a Regulated Floodplain River."</w:t>
      </w:r>
      <w:proofErr w:type="gramEnd"/>
      <w:r>
        <w:t xml:space="preserve"> Journal of the North American Benthological Society 23(2): 214-223.</w:t>
      </w:r>
    </w:p>
    <w:p w:rsidR="00610529" w:rsidRDefault="00610529" w:rsidP="00610529">
      <w:pPr>
        <w:pStyle w:val="BodyText1"/>
      </w:pPr>
      <w:proofErr w:type="gramStart"/>
      <w:r>
        <w:t>Schludermann, E., Tritthart, M., Humphries, P. and Keckeis, H. (2012).</w:t>
      </w:r>
      <w:proofErr w:type="gramEnd"/>
      <w:r>
        <w:t xml:space="preserve"> "Dispersal and retention of larval fish in a potential nursery habitat of a large temperate river: an experimental study." Canadian Journal of Fisheries and Aquatic Sciences 69(8): 1302-1315.</w:t>
      </w:r>
    </w:p>
    <w:p w:rsidR="00610529" w:rsidRDefault="00610529" w:rsidP="00610529">
      <w:pPr>
        <w:pStyle w:val="BodyText1"/>
      </w:pPr>
      <w:r>
        <w:t xml:space="preserve">Scott, A. (1997). Relationships between waterbird ecology and river flows in the Murray-Darling Basin: Technical Report 5/97. </w:t>
      </w:r>
      <w:proofErr w:type="gramStart"/>
      <w:r>
        <w:t>Canberra, CSIRO Land and Water.</w:t>
      </w:r>
      <w:proofErr w:type="gramEnd"/>
    </w:p>
    <w:p w:rsidR="00610529" w:rsidRDefault="00610529" w:rsidP="00610529">
      <w:pPr>
        <w:pStyle w:val="BodyText1"/>
      </w:pPr>
      <w:r>
        <w:t xml:space="preserve">Spencer, J., Thomas, R., Wassens, S., Lu, Y., Wen, L., Iles, J., Kobayashi, Y., Hunter, S., Ling, J. and Saintilan, N. (2011). </w:t>
      </w:r>
      <w:proofErr w:type="gramStart"/>
      <w:r>
        <w:t>Environmental flow monitoring in the Lowbidgee wetlands and Macquarie Marshes in 2009-10.</w:t>
      </w:r>
      <w:proofErr w:type="gramEnd"/>
      <w:r>
        <w:t xml:space="preserve"> Testing wetland resilience: monitoring the response of iconic wetlands to re-flooding following historic drought project. </w:t>
      </w:r>
      <w:proofErr w:type="gramStart"/>
      <w:r>
        <w:t>Sydney, NSW Department of Environment, Climate Change and Water.</w:t>
      </w:r>
      <w:proofErr w:type="gramEnd"/>
    </w:p>
    <w:p w:rsidR="00610529" w:rsidRDefault="00610529" w:rsidP="00610529">
      <w:pPr>
        <w:pStyle w:val="BodyText1"/>
      </w:pPr>
      <w:r>
        <w:t xml:space="preserve">Spencer, J. A. and Wassens, S. (2010). Monitoring the responses of waterbirds, fish and frogs to environmental flows in the Lowbidgee wetlands from 2008–10. </w:t>
      </w:r>
      <w:proofErr w:type="gramStart"/>
      <w:r>
        <w:t>Final report for the NSW Rivers Environmental Restoration Program.</w:t>
      </w:r>
      <w:proofErr w:type="gramEnd"/>
      <w:r>
        <w:t xml:space="preserve"> </w:t>
      </w:r>
      <w:proofErr w:type="gramStart"/>
      <w:r>
        <w:t>Rivers and Wetland Unit.</w:t>
      </w:r>
      <w:proofErr w:type="gramEnd"/>
      <w:r>
        <w:t xml:space="preserve"> Sydney and Wagga Wagga., NSW Department of Environment, Climate Change and Water  and Institute for Land, Water and Society, Charles Sturt University.</w:t>
      </w:r>
    </w:p>
    <w:p w:rsidR="00610529" w:rsidRDefault="00610529" w:rsidP="00610529">
      <w:pPr>
        <w:pStyle w:val="BodyText1"/>
      </w:pPr>
      <w:r>
        <w:t xml:space="preserve">Spencer, J. A., Wassens, S., Thomas, R. F., Lu, Y., Iles, J., Hunter, S. and Kobayashi, Y. (2011). Summary report on results of flow monitoring in the Lowbidgee wetlands in 2010-11., NSW Office of Environment and Heritage, Sydney, and Charles Sturt University, Wagga </w:t>
      </w:r>
    </w:p>
    <w:p w:rsidR="00610529" w:rsidRDefault="00610529" w:rsidP="00610529">
      <w:pPr>
        <w:pStyle w:val="BodyText1"/>
      </w:pPr>
      <w:proofErr w:type="gramStart"/>
      <w:r>
        <w:t>Sutherland, L., Ryder, D. S. and Watts, R. J. (2002).</w:t>
      </w:r>
      <w:proofErr w:type="gramEnd"/>
      <w:r>
        <w:t xml:space="preserve"> Ecological Assessment of Cyclic Release Patterns from Dartmouth Dam to the Mitta Mitta River, Victoria. Report to the Murray Darling Basin Commission. Wagga Wagga, CSU, Johnstone Centre -Environmental Consultancy report # 27.</w:t>
      </w:r>
    </w:p>
    <w:p w:rsidR="00610529" w:rsidRDefault="00610529" w:rsidP="00610529">
      <w:pPr>
        <w:pStyle w:val="BodyText1"/>
      </w:pPr>
      <w:proofErr w:type="gramStart"/>
      <w:r>
        <w:t>Tilman, D., Kilham, S. S. and Kilham, P. (1982).</w:t>
      </w:r>
      <w:proofErr w:type="gramEnd"/>
      <w:r>
        <w:t xml:space="preserve"> "Phytoplankton Community Ecology: The Role of Limiting Nutrients." Annual Review of Ecology and Systematics 13: 349-372.</w:t>
      </w:r>
    </w:p>
    <w:p w:rsidR="00610529" w:rsidRDefault="00610529" w:rsidP="00610529">
      <w:pPr>
        <w:pStyle w:val="BodyText1"/>
      </w:pPr>
      <w:proofErr w:type="gramStart"/>
      <w:r>
        <w:t>Tuckett, R. E., Merritt, D. J., Hay, F. R., Hopper, S. D. and Dixon, K. W. (2010).</w:t>
      </w:r>
      <w:proofErr w:type="gramEnd"/>
      <w:r>
        <w:t xml:space="preserve"> "Dormancy, germination and seed bank storage: a study in support of ex situ conservation of macrophytes of southwest Australian temporary pools." Freshwater Biology 55(5): 1118-1129.</w:t>
      </w:r>
    </w:p>
    <w:p w:rsidR="00610529" w:rsidRDefault="00610529" w:rsidP="00610529">
      <w:pPr>
        <w:pStyle w:val="BodyText1"/>
      </w:pPr>
      <w:proofErr w:type="gramStart"/>
      <w:r>
        <w:t>Uehlinger, U., Kawecka, B. and Robinson, C. T. (2003).</w:t>
      </w:r>
      <w:proofErr w:type="gramEnd"/>
      <w:r>
        <w:t xml:space="preserve"> </w:t>
      </w:r>
      <w:proofErr w:type="gramStart"/>
      <w:r>
        <w:t>"Effects of experimental floods on periphyton and stream metabolism below a high dam in the Swiss Alps (River Spöl)."</w:t>
      </w:r>
      <w:proofErr w:type="gramEnd"/>
      <w:r>
        <w:t xml:space="preserve"> Aquatic Sciences - Research </w:t>
      </w:r>
      <w:proofErr w:type="gramStart"/>
      <w:r>
        <w:t>Across</w:t>
      </w:r>
      <w:proofErr w:type="gramEnd"/>
      <w:r>
        <w:t xml:space="preserve"> Boundaries 65(3): 199-209.</w:t>
      </w:r>
    </w:p>
    <w:p w:rsidR="00610529" w:rsidRDefault="00610529" w:rsidP="00610529">
      <w:pPr>
        <w:pStyle w:val="BodyText1"/>
      </w:pPr>
      <w:proofErr w:type="gramStart"/>
      <w:r>
        <w:t>Uehlinger, U. R. S., BÜhrer, H. and Reichert, P. (1996).</w:t>
      </w:r>
      <w:proofErr w:type="gramEnd"/>
      <w:r>
        <w:t xml:space="preserve"> "Periphyton dynamics in a floodprone prealpine river: evaluation of significant processes by modelling." Freshwater Biology 36(2): 249-263.</w:t>
      </w:r>
    </w:p>
    <w:p w:rsidR="00610529" w:rsidRDefault="00610529" w:rsidP="00610529">
      <w:pPr>
        <w:pStyle w:val="BodyText1"/>
      </w:pPr>
      <w:r>
        <w:t xml:space="preserve">Utne-Palm, A. C. (2002). </w:t>
      </w:r>
      <w:proofErr w:type="gramStart"/>
      <w:r>
        <w:t>"Visual feeding of fish in a turbid environment: Physical and behavioural aspects."</w:t>
      </w:r>
      <w:proofErr w:type="gramEnd"/>
      <w:r>
        <w:t xml:space="preserve"> Marine and Freshwater Behaviour and Physiology 35(1-2): 111-128.</w:t>
      </w:r>
    </w:p>
    <w:p w:rsidR="00610529" w:rsidRDefault="00610529" w:rsidP="00610529">
      <w:pPr>
        <w:pStyle w:val="BodyText1"/>
      </w:pPr>
      <w:proofErr w:type="gramStart"/>
      <w:r>
        <w:t>Warfe, D. and Barmuta, L. (2006).</w:t>
      </w:r>
      <w:proofErr w:type="gramEnd"/>
      <w:r>
        <w:t xml:space="preserve"> "Habitat structural complexity mediates food web dynamics in a freshwater macrophyte community." Oecologia 150(1): 141-154.</w:t>
      </w:r>
    </w:p>
    <w:p w:rsidR="00610529" w:rsidRDefault="00610529" w:rsidP="00610529">
      <w:pPr>
        <w:pStyle w:val="BodyText1"/>
      </w:pPr>
      <w:r>
        <w:t xml:space="preserve">Wassens, S. and Amos, C. (2011). Assessing the resilience of frog communities within River Red Gum forest: Report to New South Wales Office of Environment and Heritage. </w:t>
      </w:r>
      <w:proofErr w:type="gramStart"/>
      <w:r>
        <w:t>Albury, Institute of Land, Water and Society.</w:t>
      </w:r>
      <w:proofErr w:type="gramEnd"/>
    </w:p>
    <w:p w:rsidR="00610529" w:rsidRDefault="00610529" w:rsidP="00610529">
      <w:pPr>
        <w:pStyle w:val="BodyText1"/>
      </w:pPr>
      <w:r>
        <w:t>Wassens, S., Hall, A., Osborne, W. and Watts, R. J. (2010). "Habitat characteristics predict occupancy patterns of the endangered amphibian Litoria raniformis in flow-regulated flood plain wetlands." Austral Ecology 35(8): 944-955.</w:t>
      </w:r>
    </w:p>
    <w:p w:rsidR="00610529" w:rsidRDefault="00610529" w:rsidP="00610529">
      <w:pPr>
        <w:pStyle w:val="BodyText1"/>
      </w:pPr>
      <w:r>
        <w:t xml:space="preserve">Wassens, S., Watts, R., Howitt, J., Spencer, J., Zander, A. and Hall, A. (2011). </w:t>
      </w:r>
      <w:proofErr w:type="gramStart"/>
      <w:r>
        <w:t>Monitoring of ecosystem responses to the delivery of environmental water in the Murrumbidgee system.</w:t>
      </w:r>
      <w:proofErr w:type="gramEnd"/>
      <w:r>
        <w:t xml:space="preserve"> Report to DSEWPaC. Albury, Institute of land, Water and Society. </w:t>
      </w:r>
      <w:proofErr w:type="gramStart"/>
      <w:r>
        <w:t>Report 1.</w:t>
      </w:r>
      <w:proofErr w:type="gramEnd"/>
      <w:r>
        <w:t xml:space="preserve"> .</w:t>
      </w:r>
    </w:p>
    <w:p w:rsidR="00610529" w:rsidRDefault="00610529" w:rsidP="00610529">
      <w:pPr>
        <w:pStyle w:val="BodyText1"/>
      </w:pPr>
      <w:r>
        <w:t xml:space="preserve">Wassens, S., Watts, R. J., Spencer, J. A., Howitt, J., McCasker, N. A., Griese, V., Burns, A., Croft, R., Zander, A., Amos, C. and Hall, A. (2012). </w:t>
      </w:r>
      <w:proofErr w:type="gramStart"/>
      <w:r>
        <w:t>Monitoring of ecosystem responses to the delivery of environmental water in the Murrumbidgee system.</w:t>
      </w:r>
      <w:proofErr w:type="gramEnd"/>
      <w:r>
        <w:t xml:space="preserve"> Albury, Institute for Land, Water and Society, Charles Sturt University.</w:t>
      </w:r>
    </w:p>
    <w:p w:rsidR="00610529" w:rsidRDefault="00610529" w:rsidP="00610529">
      <w:pPr>
        <w:pStyle w:val="BodyText1"/>
      </w:pPr>
      <w:r>
        <w:t xml:space="preserve">Watts, R. J., Nye, E. R., Thompson, L. A., Ryder, D. S., Burns, A. and Lightfoot, K. ( 2005). Environmental monitoring of the Mitta Mitta River associated with the major transfer of water resources from Dartmouth Reservoir to Hume Reservoir 2004/2005.Report to the Murray Darling Basin Commission. Wagga Wagga., Charles Sturt University, Johnstone Centre-Environmental Consultancy </w:t>
      </w:r>
    </w:p>
    <w:p w:rsidR="00610529" w:rsidRDefault="00610529" w:rsidP="00610529">
      <w:pPr>
        <w:pStyle w:val="BodyText1"/>
      </w:pPr>
      <w:proofErr w:type="gramStart"/>
      <w:r>
        <w:t>Watts, R. J., Ryder, D. S. and Allan, C. (2009).</w:t>
      </w:r>
      <w:proofErr w:type="gramEnd"/>
      <w:r>
        <w:t xml:space="preserve"> Environmental monitoring of variable flow trials conducted at Dartmouth Dam, 2001/02-07/08 - Synthesis of key findings and operational recommendations. Albury, NSW, Charles Stut </w:t>
      </w:r>
      <w:proofErr w:type="gramStart"/>
      <w:r>
        <w:t>Univeristy  ILWS</w:t>
      </w:r>
      <w:proofErr w:type="gramEnd"/>
      <w:r>
        <w:t xml:space="preserve"> Report No. 50. .</w:t>
      </w:r>
    </w:p>
    <w:p w:rsidR="00610529" w:rsidRDefault="00610529" w:rsidP="00610529">
      <w:pPr>
        <w:pStyle w:val="BodyText1"/>
      </w:pPr>
      <w:r>
        <w:t xml:space="preserve">Watts, R. J., Ryder, D. S., Allan, C. and Commens, S. (2010). </w:t>
      </w:r>
      <w:proofErr w:type="gramStart"/>
      <w:r>
        <w:t>"Using river-scale experiments to inform variable releases from large dams: a case study of emergent adaptive management."</w:t>
      </w:r>
      <w:proofErr w:type="gramEnd"/>
      <w:r>
        <w:t xml:space="preserve"> Marine and Freshwater Research 61(7): 786-797.</w:t>
      </w:r>
    </w:p>
    <w:p w:rsidR="00610529" w:rsidRDefault="00610529" w:rsidP="00610529">
      <w:pPr>
        <w:pStyle w:val="BodyText1"/>
      </w:pPr>
      <w:r>
        <w:t xml:space="preserve">Watts, R. J., Ryder, D. S., Burns, A., Zander, A., Wilson, A. L. and Dehaan, R. </w:t>
      </w:r>
      <w:proofErr w:type="gramStart"/>
      <w:r>
        <w:t>( 2008</w:t>
      </w:r>
      <w:proofErr w:type="gramEnd"/>
      <w:r>
        <w:t>). Monitoring of a pulsed release in the Mitta Mitta River, Victoria, during the bulk water transfer from Dartmouth Dam to Hume Dam 2007-08, Institute for Land Water and Society Report No. 45.</w:t>
      </w:r>
    </w:p>
    <w:p w:rsidR="00610529" w:rsidRDefault="00610529" w:rsidP="00610529">
      <w:pPr>
        <w:pStyle w:val="BodyText1"/>
      </w:pPr>
      <w:proofErr w:type="gramStart"/>
      <w:r>
        <w:t>Wen, L., Ling, J., Saintilan, N. and Rogers, K. (2009).</w:t>
      </w:r>
      <w:proofErr w:type="gramEnd"/>
      <w:r>
        <w:t xml:space="preserve"> </w:t>
      </w:r>
      <w:proofErr w:type="gramStart"/>
      <w:r>
        <w:t>"An investigation of the hydrological requirements of River Red Gum (Eucalyptus camaldulensis) Forest, using Classification and Regression Tree modelling."</w:t>
      </w:r>
      <w:proofErr w:type="gramEnd"/>
      <w:r>
        <w:t xml:space="preserve"> Ecohydrology 2(2): 143-155.</w:t>
      </w:r>
    </w:p>
    <w:p w:rsidR="00610529" w:rsidRDefault="00610529" w:rsidP="00610529">
      <w:pPr>
        <w:pStyle w:val="BodyText1"/>
      </w:pPr>
      <w:r>
        <w:t xml:space="preserve">Wetzel, R. G. and Likens, G. E. (2000). </w:t>
      </w:r>
      <w:proofErr w:type="gramStart"/>
      <w:r>
        <w:t>Composition and Biomass of Phytoplankton.</w:t>
      </w:r>
      <w:proofErr w:type="gramEnd"/>
      <w:r>
        <w:t xml:space="preserve"> Limnological Analyses, Springer New York: 147-174.</w:t>
      </w:r>
    </w:p>
    <w:p w:rsidR="00610529" w:rsidRDefault="00610529" w:rsidP="00610529">
      <w:pPr>
        <w:pStyle w:val="BodyText1"/>
      </w:pPr>
    </w:p>
    <w:p w:rsidR="008F6D38" w:rsidRDefault="00257956">
      <w:pPr>
        <w:pStyle w:val="Heading1"/>
        <w:numPr>
          <w:ilvl w:val="0"/>
          <w:numId w:val="0"/>
        </w:numPr>
      </w:pPr>
      <w:r>
        <w:br w:type="page"/>
      </w:r>
      <w:bookmarkStart w:id="511" w:name="_Toc370299259"/>
      <w:bookmarkStart w:id="512" w:name="_Ref370369868"/>
      <w:bookmarkStart w:id="513" w:name="_Ref370369970"/>
      <w:bookmarkStart w:id="514" w:name="_Toc370738884"/>
      <w:bookmarkStart w:id="515" w:name="_Toc378168605"/>
      <w:r w:rsidR="00784387">
        <w:t>A</w:t>
      </w:r>
      <w:r w:rsidR="00784387" w:rsidRPr="00734C7D">
        <w:t>ppendix</w:t>
      </w:r>
      <w:r w:rsidR="00784387" w:rsidRPr="00C909C4">
        <w:t xml:space="preserve"> </w:t>
      </w:r>
      <w:r w:rsidR="00AB7B17">
        <w:t>1</w:t>
      </w:r>
      <w:r w:rsidR="00784387">
        <w:t xml:space="preserve"> Data analysis</w:t>
      </w:r>
      <w:bookmarkEnd w:id="511"/>
      <w:bookmarkEnd w:id="512"/>
      <w:bookmarkEnd w:id="513"/>
      <w:bookmarkEnd w:id="514"/>
      <w:bookmarkEnd w:id="515"/>
      <w:r w:rsidR="009854A1">
        <w:t xml:space="preserve"> </w:t>
      </w:r>
    </w:p>
    <w:p w:rsidR="007244C9" w:rsidRDefault="007244C9" w:rsidP="007244C9">
      <w:pPr>
        <w:autoSpaceDE w:val="0"/>
        <w:autoSpaceDN w:val="0"/>
        <w:adjustRightInd w:val="0"/>
        <w:rPr>
          <w:rFonts w:cs="Calibri"/>
          <w:b/>
          <w:lang w:val="en-US"/>
        </w:rPr>
      </w:pPr>
    </w:p>
    <w:p w:rsidR="007244C9" w:rsidRPr="007244C9" w:rsidRDefault="00505588" w:rsidP="007244C9">
      <w:pPr>
        <w:autoSpaceDE w:val="0"/>
        <w:autoSpaceDN w:val="0"/>
        <w:adjustRightInd w:val="0"/>
        <w:rPr>
          <w:b/>
        </w:rPr>
      </w:pPr>
      <w:r w:rsidRPr="00505588">
        <w:rPr>
          <w:rFonts w:cs="Calibri"/>
          <w:b/>
          <w:lang w:val="en-US"/>
        </w:rPr>
        <w:t>PERMANOVA</w:t>
      </w:r>
      <w:r w:rsidR="00FB6448">
        <w:rPr>
          <w:rFonts w:cs="Calibri"/>
          <w:b/>
          <w:lang w:val="en-US"/>
        </w:rPr>
        <w:t xml:space="preserve"> and analysis of similarities (ANOSIM)</w:t>
      </w:r>
    </w:p>
    <w:p w:rsidR="007244C9" w:rsidRPr="009D0CF4" w:rsidRDefault="007244C9" w:rsidP="007244C9">
      <w:pPr>
        <w:autoSpaceDE w:val="0"/>
        <w:autoSpaceDN w:val="0"/>
        <w:adjustRightInd w:val="0"/>
      </w:pPr>
      <w:r w:rsidRPr="009D0CF4">
        <w:t>Trends across time were explored graphically with wetland</w:t>
      </w:r>
      <w:r>
        <w:t>s</w:t>
      </w:r>
      <w:r w:rsidRPr="009D0CF4">
        <w:t xml:space="preserve"> grouped by geographic region. Permanova </w:t>
      </w:r>
      <w:r w:rsidRPr="009D0CF4">
        <w:rPr>
          <w:rFonts w:cs="Calibri"/>
          <w:lang w:val="en-US"/>
        </w:rPr>
        <w:t xml:space="preserve">(Anderson 2001) </w:t>
      </w:r>
      <w:r w:rsidRPr="009D0CF4">
        <w:t xml:space="preserve">was used to test differences among wetland regions, microhabitat and time for 11 dependent variables; taxon richness, cladoceran richness, both density and length of total microcrustaceans, copepods, cladocerans and ostracods, community composition and cladoceran community composition. </w:t>
      </w:r>
      <w:r>
        <w:rPr>
          <w:rFonts w:cs="Calibri"/>
          <w:lang w:val="en-US"/>
        </w:rPr>
        <w:t>Pair wise comparisons were done for the significant main effects</w:t>
      </w:r>
      <w:r w:rsidRPr="009D0CF4">
        <w:rPr>
          <w:rFonts w:cs="Calibri"/>
          <w:lang w:val="en-US"/>
        </w:rPr>
        <w:t xml:space="preserve"> using PERMANOVA (Anderson 2001). The taxa that characterised each factor (i.e. </w:t>
      </w:r>
      <w:r>
        <w:rPr>
          <w:rFonts w:cs="Calibri"/>
          <w:lang w:val="en-US"/>
        </w:rPr>
        <w:t>region, microhabitat and time</w:t>
      </w:r>
      <w:r w:rsidRPr="009D0CF4">
        <w:rPr>
          <w:rFonts w:cs="Calibri"/>
          <w:lang w:val="en-US"/>
        </w:rPr>
        <w:t>) were identified using SIMPER (Similarity Percentages, Clarke and Warwick 2001).</w:t>
      </w:r>
      <w:r>
        <w:rPr>
          <w:rFonts w:cs="Calibri"/>
          <w:lang w:val="en-US"/>
        </w:rPr>
        <w:t xml:space="preserve"> For the community composition analysis a</w:t>
      </w:r>
      <w:r w:rsidRPr="009D0CF4">
        <w:rPr>
          <w:rFonts w:cs="Calibri"/>
          <w:lang w:val="en-US"/>
        </w:rPr>
        <w:t xml:space="preserve"> species matrix of the entire </w:t>
      </w:r>
      <w:r>
        <w:rPr>
          <w:rFonts w:cs="Calibri"/>
          <w:lang w:val="en-US"/>
        </w:rPr>
        <w:t>microcrustacean and cladoceran</w:t>
      </w:r>
      <w:r w:rsidRPr="009D0CF4">
        <w:rPr>
          <w:rFonts w:cs="Calibri"/>
          <w:lang w:val="en-US"/>
        </w:rPr>
        <w:t xml:space="preserve"> assemblage</w:t>
      </w:r>
      <w:r>
        <w:rPr>
          <w:rFonts w:cs="Calibri"/>
          <w:lang w:val="en-US"/>
        </w:rPr>
        <w:t>s</w:t>
      </w:r>
      <w:r w:rsidRPr="009D0CF4">
        <w:rPr>
          <w:rFonts w:cs="Calibri"/>
          <w:lang w:val="en-US"/>
        </w:rPr>
        <w:t xml:space="preserve"> at </w:t>
      </w:r>
      <w:r>
        <w:rPr>
          <w:rFonts w:cs="Calibri"/>
          <w:lang w:val="en-US"/>
        </w:rPr>
        <w:t>regions and microhabitats</w:t>
      </w:r>
      <w:r w:rsidRPr="009D0CF4">
        <w:rPr>
          <w:rFonts w:cs="Calibri"/>
          <w:lang w:val="en-US"/>
        </w:rPr>
        <w:t xml:space="preserve"> across time </w:t>
      </w:r>
      <w:r>
        <w:rPr>
          <w:rFonts w:cs="Calibri"/>
          <w:lang w:val="en-US"/>
        </w:rPr>
        <w:t>were</w:t>
      </w:r>
      <w:r w:rsidRPr="009D0CF4">
        <w:rPr>
          <w:rFonts w:cs="Calibri"/>
          <w:lang w:val="en-US"/>
        </w:rPr>
        <w:t xml:space="preserve"> examined using non‐metric multidimensional scaling (NMDS) computed with PRIMER (Clarke and Warwick 2001) on a Bray‐ Curtis similarity matrix of </w:t>
      </w:r>
      <w:r>
        <w:rPr>
          <w:rFonts w:cs="Calibri"/>
          <w:lang w:val="en-US"/>
        </w:rPr>
        <w:t>log</w:t>
      </w:r>
      <w:r w:rsidRPr="009D0CF4">
        <w:rPr>
          <w:rFonts w:cs="Calibri"/>
          <w:lang w:val="en-US"/>
        </w:rPr>
        <w:t xml:space="preserve"> transformed data. </w:t>
      </w:r>
      <w:r>
        <w:rPr>
          <w:rFonts w:cs="Calibri"/>
          <w:lang w:val="en-US"/>
        </w:rPr>
        <w:t>We focused our analysis of taxonomic and community patterns on both the overall species list and also the cladoceran taxa which accounted for 14 of the 18 taxa identified.</w:t>
      </w:r>
    </w:p>
    <w:p w:rsidR="00716AE0" w:rsidRDefault="00716AE0" w:rsidP="00716AE0">
      <w:r>
        <w:t xml:space="preserve">Fish </w:t>
      </w:r>
      <w:r w:rsidRPr="00205B62">
        <w:t>community data was analysed using Plymouth Routines in Multivariate</w:t>
      </w:r>
      <w:r>
        <w:t xml:space="preserve"> Ecological Research (PRIMER). Analyses were performed on both fish abundance and biomass data for sites sampled on the Murrumbidgee River to determine changes before and after the delivery of Commonwealth environmental water. Wetland fish communities were analysed to detect changes in abundance over time using data collected during five sampling occasions (August-October-December-February-April) as well as across wetland regions (mid-Murrumbidgee, Lowbidgee and Western Lakes).</w:t>
      </w:r>
    </w:p>
    <w:p w:rsidR="00716AE0" w:rsidRDefault="00716AE0" w:rsidP="00716AE0">
      <w:r w:rsidRPr="00205B62">
        <w:t>Visual representations of</w:t>
      </w:r>
      <w:r>
        <w:t xml:space="preserve"> fish abundance and biomass</w:t>
      </w:r>
      <w:r w:rsidRPr="00205B62">
        <w:t xml:space="preserve"> were captured using Principal Components Analysis. Eigenvalues were calculated for a pre-specified </w:t>
      </w:r>
      <w:r>
        <w:t>five</w:t>
      </w:r>
      <w:r w:rsidRPr="00205B62">
        <w:t xml:space="preserve"> principal components which were used to plot fish community contributions in 2</w:t>
      </w:r>
      <w:r>
        <w:t>-</w:t>
      </w:r>
      <w:r w:rsidRPr="00205B62">
        <w:t>dimensional space. A vector analysis was used to demonstrate</w:t>
      </w:r>
      <w:r>
        <w:t xml:space="preserve"> how</w:t>
      </w:r>
      <w:r w:rsidRPr="00205B62">
        <w:t xml:space="preserve"> species </w:t>
      </w:r>
      <w:r>
        <w:t>contributed</w:t>
      </w:r>
      <w:r w:rsidRPr="00205B62">
        <w:t xml:space="preserve"> to any observed groupings.  Statistic</w:t>
      </w:r>
      <w:r w:rsidR="00A86F0C">
        <w:t>al</w:t>
      </w:r>
      <w:r w:rsidRPr="00205B62">
        <w:t xml:space="preserve"> differences in Bray-Curtis transformed </w:t>
      </w:r>
      <w:r>
        <w:t xml:space="preserve">fish </w:t>
      </w:r>
      <w:r w:rsidRPr="00205B62">
        <w:t xml:space="preserve">abundances and biomass </w:t>
      </w:r>
      <w:r>
        <w:t xml:space="preserve">data </w:t>
      </w:r>
      <w:r w:rsidRPr="00205B62">
        <w:t>were investigated using two</w:t>
      </w:r>
      <w:r>
        <w:t>-</w:t>
      </w:r>
      <w:r w:rsidRPr="00205B62">
        <w:t>way crossed Analysis of Similarities (ANOSIM) using region (upper, middle</w:t>
      </w:r>
      <w:r>
        <w:t xml:space="preserve"> and</w:t>
      </w:r>
      <w:r w:rsidRPr="00205B62">
        <w:t xml:space="preserve"> lower</w:t>
      </w:r>
      <w:r>
        <w:t xml:space="preserve"> Murrumbidgee River and O</w:t>
      </w:r>
      <w:r w:rsidRPr="00205B62">
        <w:t xml:space="preserve">ld </w:t>
      </w:r>
      <w:r>
        <w:t>M</w:t>
      </w:r>
      <w:r w:rsidRPr="00205B62">
        <w:t xml:space="preserve">an </w:t>
      </w:r>
      <w:r>
        <w:t>C</w:t>
      </w:r>
      <w:r w:rsidRPr="00205B62">
        <w:t xml:space="preserve">reek) and </w:t>
      </w:r>
      <w:r>
        <w:t>sampling period</w:t>
      </w:r>
      <w:r w:rsidRPr="00205B62">
        <w:t xml:space="preserve"> (before or after) as factors. A total of 999 Monte Carlo Randomisations were used to calculate probabilities. Similarity Percentages (SIMPER) analysis was used to determine the contribution of individual species to any significant differences identified by ANOSIM. All tests were consi</w:t>
      </w:r>
      <w:r>
        <w:t xml:space="preserve">dered significant at probability values less than 0.05. </w:t>
      </w:r>
    </w:p>
    <w:p w:rsidR="00716AE0" w:rsidRDefault="00716AE0" w:rsidP="00716AE0">
      <w:r>
        <w:t>Length-frequency distributions of fish species with high abundances were analysed using a Kolmogorov-Smirnov goodness of fit test to determine whether there were significantly larger or smaller individuals (length) among sampling trips (as an indicator of potential recruitment). Tests were considered significant at probability values less than 0.01.</w:t>
      </w:r>
    </w:p>
    <w:p w:rsidR="007244C9" w:rsidRDefault="007244C9" w:rsidP="00784387"/>
    <w:p w:rsidR="00784387" w:rsidRPr="007244C9" w:rsidRDefault="00505588" w:rsidP="00784387">
      <w:pPr>
        <w:rPr>
          <w:b/>
          <w:i/>
        </w:rPr>
      </w:pPr>
      <w:r w:rsidRPr="00505588">
        <w:rPr>
          <w:b/>
          <w:i/>
        </w:rPr>
        <w:t>Change point analysis</w:t>
      </w:r>
    </w:p>
    <w:p w:rsidR="00784387" w:rsidRDefault="00784387" w:rsidP="00784387">
      <w:r w:rsidRPr="00734C7D">
        <w:t xml:space="preserve">The approach </w:t>
      </w:r>
      <w:r>
        <w:t xml:space="preserve">to </w:t>
      </w:r>
      <w:r w:rsidRPr="00734C7D">
        <w:t>fitting a Bayesian Poisson change</w:t>
      </w:r>
      <w:r>
        <w:t xml:space="preserve"> </w:t>
      </w:r>
      <w:r w:rsidRPr="00734C7D">
        <w:t>point model generates a sample from the posterior distribution of a Poisson regression model with multiple change</w:t>
      </w:r>
      <w:r>
        <w:t xml:space="preserve"> </w:t>
      </w:r>
      <w:r w:rsidRPr="00734C7D">
        <w:t xml:space="preserve">points using the Markov chain Monte Carlo method of Chib (1998). We then compared the models based on the Bayes factors, the ratio of marginal likelihoods, enabling us to identify the most likely number of states observed in Mac-CPUE. </w:t>
      </w:r>
      <w:r w:rsidRPr="00FD266A">
        <w:t xml:space="preserve">A </w:t>
      </w:r>
      <w:r w:rsidRPr="00F54888">
        <w:t>Bayes factor</w:t>
      </w:r>
      <w:r>
        <w:t xml:space="preserve"> </w:t>
      </w:r>
      <w:r w:rsidRPr="00FD266A">
        <w:t xml:space="preserve">value &gt; 1 means that model </w:t>
      </w:r>
      <w:r>
        <w:t xml:space="preserve">is </w:t>
      </w:r>
      <w:r w:rsidRPr="00FD266A">
        <w:t xml:space="preserve">more strongly supported by the data under consideration than </w:t>
      </w:r>
      <w:r>
        <w:t xml:space="preserve">an alternative model. </w:t>
      </w:r>
      <w:r w:rsidRPr="00734C7D">
        <w:t xml:space="preserve">We also present the posterior state probabilities indicating the significant shifts in Mac-CPUE. </w:t>
      </w:r>
    </w:p>
    <w:p w:rsidR="009854A1" w:rsidRDefault="009854A1" w:rsidP="00784387">
      <w:pPr>
        <w:rPr>
          <w:i/>
        </w:rPr>
      </w:pPr>
    </w:p>
    <w:p w:rsidR="00FB6448" w:rsidRDefault="00FB6448">
      <w:pPr>
        <w:spacing w:after="0" w:line="240" w:lineRule="auto"/>
        <w:jc w:val="left"/>
        <w:rPr>
          <w:b/>
          <w:i/>
        </w:rPr>
      </w:pPr>
      <w:r>
        <w:rPr>
          <w:b/>
          <w:i/>
        </w:rPr>
        <w:br w:type="page"/>
      </w:r>
    </w:p>
    <w:p w:rsidR="00784387" w:rsidRPr="007244C9" w:rsidRDefault="00505588" w:rsidP="00784387">
      <w:pPr>
        <w:rPr>
          <w:b/>
          <w:i/>
        </w:rPr>
      </w:pPr>
      <w:r w:rsidRPr="00505588">
        <w:rPr>
          <w:b/>
          <w:i/>
        </w:rPr>
        <w:t>Generalised linear regression</w:t>
      </w:r>
    </w:p>
    <w:p w:rsidR="00784387" w:rsidRDefault="00784387" w:rsidP="00784387">
      <w:r>
        <w:t>We reduced the number of nutrient</w:t>
      </w:r>
      <w:r w:rsidR="009854A1">
        <w:t xml:space="preserve">, </w:t>
      </w:r>
      <w:r>
        <w:t>chlorophyll</w:t>
      </w:r>
      <w:r w:rsidR="009854A1">
        <w:t>, water quality and vegetation</w:t>
      </w:r>
      <w:r>
        <w:t xml:space="preserve"> indices by analysing the number of factors to retain as a principal component by examining the Kaiser-Guttman rule, the parallel analysis, and Scree Test. The Kaiser-Guttman rule states that the number of factors is equal to the number of eigenvalues greater than 1. This is because each of those factors will 1) account for at least as much variance as one of the original variables, and 2) have a positive value for coefficient alpha. The Scree Test is used by drawing a line graph to show the relationship between the number of the factor (on the x-axis) and the value of the eigenvalue (on the y-axis). </w:t>
      </w:r>
      <w:r w:rsidRPr="000047C4">
        <w:t>The acceleration factor (AF) corresponds to a numerical solution to the elbow of the scree plot</w:t>
      </w:r>
      <w:r>
        <w:t xml:space="preserve"> while the </w:t>
      </w:r>
      <w:r w:rsidRPr="000047C4">
        <w:t>optimal coordinates (OC) corresponds to an extrapolation of the preceding eigenvalue by a regression line between the eigenvalue coordinates and the last eigenvalue coordinates</w:t>
      </w:r>
      <w:r>
        <w:t xml:space="preserve">. We carried out this analysis using the </w:t>
      </w:r>
      <w:r w:rsidRPr="00694A08">
        <w:t>nFactors</w:t>
      </w:r>
      <w:r w:rsidRPr="00273126">
        <w:t xml:space="preserve"> </w:t>
      </w:r>
      <w:r w:rsidRPr="00734C7D">
        <w:t>package</w:t>
      </w:r>
      <w:r>
        <w:t xml:space="preserve"> </w:t>
      </w:r>
      <w:r w:rsidR="00B5695C">
        <w:t>(</w:t>
      </w:r>
      <w:r w:rsidR="00273903">
        <w:t>Raiche, 2010</w:t>
      </w:r>
      <w:r w:rsidR="00B5695C">
        <w:t xml:space="preserve">) </w:t>
      </w:r>
      <w:r w:rsidRPr="00734C7D">
        <w:t>available within R software(R Development Core Team, 2012)</w:t>
      </w:r>
      <w:r>
        <w:t>.</w:t>
      </w:r>
      <w:r w:rsidRPr="00953ED8">
        <w:t xml:space="preserve"> </w:t>
      </w:r>
    </w:p>
    <w:p w:rsidR="00024DC2" w:rsidRDefault="00024DC2">
      <w:pPr>
        <w:spacing w:after="0" w:line="240" w:lineRule="auto"/>
        <w:jc w:val="left"/>
      </w:pPr>
    </w:p>
    <w:p w:rsidR="00784387" w:rsidRDefault="00784387" w:rsidP="00784387">
      <w:r>
        <w:t xml:space="preserve">Explicitly our Generalised Linear Model has the properties </w:t>
      </w:r>
      <w:proofErr w:type="gramStart"/>
      <w:r>
        <w:t>of :</w:t>
      </w:r>
      <w:proofErr w:type="gramEnd"/>
    </w:p>
    <w:p w:rsidR="00784387" w:rsidRPr="00942A21" w:rsidRDefault="00784387" w:rsidP="00784387">
      <w:pPr>
        <w:rPr>
          <w:rFonts w:ascii="Cambria Math" w:hAnsi="Cambria Math"/>
        </w:rPr>
      </w:pPr>
      <w:r>
        <w:t xml:space="preserve">1. Distribution: </w:t>
      </w:r>
      <m:oMath>
        <m:sSub>
          <m:sSubPr>
            <m:ctrlPr>
              <w:rPr>
                <w:rFonts w:ascii="Cambria Math" w:hAnsi="Cambria Math"/>
                <w:i/>
              </w:rPr>
            </m:ctrlPr>
          </m:sSubPr>
          <m:e>
            <m:r>
              <w:rPr>
                <w:rFonts w:ascii="Cambria Math" w:hAnsi="Cambria Math"/>
              </w:rPr>
              <m:t>MacCPUE</m:t>
            </m:r>
          </m:e>
          <m:sub>
            <m:r>
              <w:rPr>
                <w:rFonts w:ascii="Cambria Math" w:hAnsi="Cambria Math"/>
              </w:rPr>
              <m:t>i</m:t>
            </m:r>
          </m:sub>
        </m:sSub>
        <m:r>
          <w:rPr>
            <w:rFonts w:ascii="Cambria Math" w:hAnsi="Cambria Math"/>
          </w:rPr>
          <m:t xml:space="preserve"> ~ Poisson(</m:t>
        </m:r>
        <m:sSub>
          <m:sSubPr>
            <m:ctrlPr>
              <w:rPr>
                <w:rFonts w:ascii="Cambria Math" w:hAnsi="Cambria Math"/>
                <w:i/>
              </w:rPr>
            </m:ctrlPr>
          </m:sSubPr>
          <m:e>
            <m:r>
              <w:rPr>
                <w:rFonts w:ascii="Cambria Math" w:hAnsi="Cambria Math"/>
              </w:rPr>
              <m:t>λ</m:t>
            </m:r>
          </m:e>
          <m:sub>
            <m:r>
              <w:rPr>
                <w:rFonts w:ascii="Cambria Math" w:hAnsi="Cambria Math"/>
              </w:rPr>
              <m:t>i</m:t>
            </m:r>
          </m:sub>
        </m:sSub>
        <m:r>
          <w:rPr>
            <w:rFonts w:ascii="Cambria Math" w:hAnsi="Cambria Math"/>
          </w:rPr>
          <m:t>)</m:t>
        </m:r>
      </m:oMath>
    </w:p>
    <w:p w:rsidR="00784387" w:rsidRPr="0092596C" w:rsidRDefault="00784387" w:rsidP="00784387">
      <w:r>
        <w:t xml:space="preserve">2. Link function: log, i.e., </w:t>
      </w:r>
      <m:oMath>
        <m:func>
          <m:funcPr>
            <m:ctrlPr>
              <w:rPr>
                <w:rFonts w:ascii="Cambria Math" w:hAnsi="Cambria Math"/>
                <w:i/>
              </w:rPr>
            </m:ctrlPr>
          </m:funcPr>
          <m:fName>
            <m:r>
              <m:rPr>
                <m:sty m:val="p"/>
              </m:rPr>
              <w:rPr>
                <w:rFonts w:ascii="Cambria Math" w:hAnsi="Cambria Math"/>
              </w:rPr>
              <m:t>log</m:t>
            </m:r>
          </m:fName>
          <m:e>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e>
            </m:d>
          </m:e>
        </m:func>
        <m:r>
          <w:rPr>
            <w:rFonts w:ascii="Cambria Math" w:hAnsi="Cambria Math"/>
          </w:rPr>
          <m:t>=</m:t>
        </m:r>
        <m:func>
          <m:funcPr>
            <m:ctrlPr>
              <w:rPr>
                <w:rFonts w:ascii="Cambria Math" w:hAnsi="Cambria Math"/>
                <w:i/>
              </w:rPr>
            </m:ctrlPr>
          </m:funcPr>
          <m:fName>
            <m:r>
              <m:rPr>
                <m:sty m:val="p"/>
              </m:rPr>
              <w:rPr>
                <w:rFonts w:ascii="Cambria Math" w:hAnsi="Cambria Math"/>
              </w:rPr>
              <m:t>log</m:t>
            </m:r>
          </m:fName>
          <m:e>
            <m:r>
              <w:rPr>
                <w:rFonts w:ascii="Cambria Math" w:hAnsi="Cambria Math"/>
              </w:rPr>
              <m:t>(E(</m:t>
            </m:r>
          </m:e>
        </m:func>
      </m:oMath>
      <w:proofErr w:type="gramStart"/>
      <w:r>
        <w:t>log(</w:t>
      </w:r>
      <m:oMath>
        <w:proofErr w:type="gramEnd"/>
        <m:sSub>
          <m:sSubPr>
            <m:ctrlPr>
              <w:rPr>
                <w:rFonts w:ascii="Cambria Math" w:hAnsi="Cambria Math"/>
                <w:i/>
              </w:rPr>
            </m:ctrlPr>
          </m:sSubPr>
          <m:e>
            <m:r>
              <w:rPr>
                <w:rFonts w:ascii="Cambria Math" w:hAnsi="Cambria Math"/>
              </w:rPr>
              <m:t>MacCPUE</m:t>
            </m:r>
          </m:e>
          <m:sub>
            <m:r>
              <w:rPr>
                <w:rFonts w:ascii="Cambria Math" w:hAnsi="Cambria Math"/>
              </w:rPr>
              <m:t>i</m:t>
            </m:r>
          </m:sub>
        </m:sSub>
        <m:r>
          <w:rPr>
            <w:rFonts w:ascii="Cambria Math" w:hAnsi="Cambria Math"/>
          </w:rPr>
          <m:t>))=linear predictor</m:t>
        </m:r>
      </m:oMath>
    </w:p>
    <w:p w:rsidR="00784387" w:rsidRPr="0092596C" w:rsidRDefault="00784387" w:rsidP="00784387">
      <w:r>
        <w:t xml:space="preserve">3. Linear predictor: </w:t>
      </w:r>
      <m:oMath>
        <m:r>
          <w:rPr>
            <w:rFonts w:ascii="Cambria Math" w:hAnsi="Cambria Math"/>
          </w:rPr>
          <m:t>L</m:t>
        </m:r>
        <m:func>
          <m:funcPr>
            <m:ctrlPr>
              <w:rPr>
                <w:rFonts w:ascii="Cambria Math" w:hAnsi="Cambria Math"/>
                <w:i/>
              </w:rPr>
            </m:ctrlPr>
          </m:funcPr>
          <m:fName>
            <m:r>
              <m:rPr>
                <m:sty m:val="p"/>
              </m:rPr>
              <w:rPr>
                <w:rFonts w:ascii="Cambria Math" w:hAnsi="Cambria Math"/>
              </w:rPr>
              <m:t>log</m:t>
            </m:r>
          </m:fName>
          <m:e>
            <m:d>
              <m:dPr>
                <m:ctrlPr>
                  <w:rPr>
                    <w:rFonts w:ascii="Cambria Math" w:hAnsi="Cambria Math"/>
                    <w:i/>
                  </w:rPr>
                </m:ctrlPr>
              </m:dPr>
              <m:e>
                <m:sSub>
                  <m:sSubPr>
                    <m:ctrlPr>
                      <w:rPr>
                        <w:rFonts w:ascii="Cambria Math" w:hAnsi="Cambria Math"/>
                        <w:i/>
                      </w:rPr>
                    </m:ctrlPr>
                  </m:sSubPr>
                  <m:e>
                    <m:r>
                      <w:rPr>
                        <w:rFonts w:ascii="Cambria Math" w:hAnsi="Cambria Math"/>
                      </w:rPr>
                      <m:t>λ</m:t>
                    </m:r>
                  </m:e>
                  <m:sub>
                    <m:r>
                      <w:rPr>
                        <w:rFonts w:ascii="Cambria Math" w:hAnsi="Cambria Math"/>
                      </w:rPr>
                      <m:t>i</m:t>
                    </m:r>
                  </m:sub>
                </m:sSub>
              </m:e>
            </m:d>
          </m:e>
        </m:func>
        <m:r>
          <w:rPr>
            <w:rFonts w:ascii="Cambria Math" w:hAnsi="Cambria Math"/>
          </w:rPr>
          <m:t xml:space="preserve">= β1*Turbidity + β2*temp + β3*Nut.Comp.1 + β4*Water.level + β5*EC +  β6*Discharge + β7*pH + β8*Chla.Comp.1+ β9*Zoops + Site + α. </m:t>
        </m:r>
      </m:oMath>
    </w:p>
    <w:p w:rsidR="00784387" w:rsidRDefault="00784387" w:rsidP="00784387">
      <w:r>
        <w:t>Our approach was to examine all possible combination using all possible predictor combinations. We then followed a model selection process examining model performance using the second-order Akaike Information Criterion (AICc) (Burnham and Anderson 2002). AICc (second order information criterion) takes into account sample size by increasing the relative penalty for model complexity with small data sets. It is defined as:</w:t>
      </w:r>
    </w:p>
    <w:p w:rsidR="00784387" w:rsidRDefault="00784387" w:rsidP="00784387">
      <w:r>
        <w:t>AICc = -2*(</w:t>
      </w:r>
      <w:proofErr w:type="gramStart"/>
      <w:r>
        <w:t>ln(</w:t>
      </w:r>
      <w:proofErr w:type="gramEnd"/>
      <w:r>
        <w:t>likelihood)) + 2 K * (n / ( n - K - 1))</w:t>
      </w:r>
    </w:p>
    <w:p w:rsidR="00784387" w:rsidRDefault="00784387" w:rsidP="00784387">
      <w:proofErr w:type="gramStart"/>
      <w:r>
        <w:t>where</w:t>
      </w:r>
      <w:proofErr w:type="gramEnd"/>
      <w:r>
        <w:t xml:space="preserve"> likelihood is the probability of the data given a model, K is the number of free parameters in the model and n is the sample size. The model with the lowest AICc reflects the best-fitting model, and all supported hypotheses (i.e., predictor variables) included within 2 AICc units (ΔAICc &lt;2) of the top-supported model are considered comparable (Burnham and Anderson 2002). Predictor coefficients were weighted and averaged for all models that are within ΔAICc &lt;2.</w:t>
      </w:r>
    </w:p>
    <w:p w:rsidR="00784387" w:rsidRDefault="00784387" w:rsidP="00784387">
      <w:pPr>
        <w:spacing w:after="0" w:line="240" w:lineRule="auto"/>
        <w:jc w:val="left"/>
        <w:rPr>
          <w:rFonts w:ascii="Calibri" w:eastAsia="Times New Roman" w:hAnsi="Calibri"/>
          <w:b/>
          <w:bCs/>
        </w:rPr>
      </w:pPr>
      <w:r>
        <w:br w:type="page"/>
      </w:r>
    </w:p>
    <w:p w:rsidR="00E1766B" w:rsidRDefault="00CB4AD5">
      <w:pPr>
        <w:pStyle w:val="NoSpacing"/>
      </w:pPr>
      <w:r>
        <w:t xml:space="preserve"> </w:t>
      </w:r>
    </w:p>
    <w:p w:rsidR="00E1766B" w:rsidRDefault="00B67554" w:rsidP="00AB7B17">
      <w:pPr>
        <w:pStyle w:val="Heading1"/>
        <w:numPr>
          <w:ilvl w:val="0"/>
          <w:numId w:val="0"/>
        </w:numPr>
      </w:pPr>
      <w:bookmarkStart w:id="516" w:name="_Toc370299260"/>
      <w:bookmarkStart w:id="517" w:name="_Ref370370415"/>
      <w:bookmarkStart w:id="518" w:name="_Ref370370434"/>
      <w:bookmarkStart w:id="519" w:name="_Toc370738885"/>
      <w:bookmarkStart w:id="520" w:name="_Toc378168606"/>
      <w:proofErr w:type="gramStart"/>
      <w:r>
        <w:t>A</w:t>
      </w:r>
      <w:r w:rsidRPr="00510245">
        <w:t>ppendix</w:t>
      </w:r>
      <w:r w:rsidR="00C909C4" w:rsidRPr="00C909C4">
        <w:t xml:space="preserve"> </w:t>
      </w:r>
      <w:r>
        <w:t>2.</w:t>
      </w:r>
      <w:proofErr w:type="gramEnd"/>
      <w:r>
        <w:t xml:space="preserve"> </w:t>
      </w:r>
      <w:r w:rsidR="00C909C4">
        <w:t>Details of Acoustic Array</w:t>
      </w:r>
      <w:bookmarkEnd w:id="516"/>
      <w:bookmarkEnd w:id="517"/>
      <w:bookmarkEnd w:id="518"/>
      <w:bookmarkEnd w:id="519"/>
      <w:bookmarkEnd w:id="520"/>
    </w:p>
    <w:p w:rsidR="00C26BC6" w:rsidRPr="00762EE0" w:rsidRDefault="00C26BC6" w:rsidP="00C26BC6">
      <w:r w:rsidRPr="0093630F">
        <w:t>VR2W acoustic receivers are submerged, single channel (</w:t>
      </w:r>
      <w:proofErr w:type="gramStart"/>
      <w:r w:rsidRPr="0093630F">
        <w:t>69kHz</w:t>
      </w:r>
      <w:proofErr w:type="gramEnd"/>
      <w:r w:rsidRPr="0093630F">
        <w:t>), omni-directional receivers that record date, time and identity of acoustic tagged fish swimming within the detection range of the receiver units. This acoustic array provides coverage of approximately 77 kilometres of river with a mean distance of 4.5 kilometres between receivers. At each site, receivers were located to maximise detection ability by selecting a location that offered the least impediment to reception (i.e. clear of snags or underwater barriers). Receivers were attached to a concrete anchor with a short length of 6mm stainless steel wire, with a float to keep the wire and receiver upright. The concrete anchor with receiver unit attached and float was submerged in the deepest water possible at each site, and an additional length of wire was strung to a nearby tree on the bank to ensure receivers were not swept downstream during the delivery of the flow. Receivers provided continuous monitoring of acoustic tagged fish movement throughout the study period, with data retrieval conducted quarterly (January 2013, April 2013, July 2013) outsi</w:t>
      </w:r>
      <w:r>
        <w:t xml:space="preserve">de of the flow delivery phase. </w:t>
      </w:r>
    </w:p>
    <w:p w:rsidR="00C26BC6" w:rsidRDefault="00C26BC6" w:rsidP="00C26BC6">
      <w:pPr>
        <w:rPr>
          <w:i/>
        </w:rPr>
      </w:pPr>
    </w:p>
    <w:p w:rsidR="00C26BC6" w:rsidRDefault="00C26BC6" w:rsidP="00C26BC6">
      <w:pPr>
        <w:rPr>
          <w:i/>
        </w:rPr>
      </w:pPr>
      <w:r>
        <w:rPr>
          <w:i/>
        </w:rPr>
        <w:t>Data analysis</w:t>
      </w:r>
    </w:p>
    <w:p w:rsidR="00C26BC6" w:rsidRDefault="00C26BC6" w:rsidP="00C26BC6">
      <w:r w:rsidRPr="0093630F">
        <w:t>Data was downloaded from acoustic receivers in January, April and July 2013. Data was stored in a purpose built SQL database. Prior to analyses, single detections were removed (Clements et al 2005) and the detection data were then ground truthed using Eonfusion software (Myriax Software Pty. Ltd.) by reviewing fish track movement to identify and exclude false detections (detections that fall out of sequence). All remaining detection data was plotted on the Murrumbidgee River network to generate time series movement video files. The same data file was uploaded to Eonfusion to calculate a range of movement metrics. Movement metrics were calculated on a daily basis to correlate with flow parameters (discharge ML/day, water level (metres) and temperature (</w:t>
      </w:r>
      <w:r w:rsidRPr="0093630F">
        <w:rPr>
          <w:rFonts w:cs="Calibri"/>
        </w:rPr>
        <w:t>°</w:t>
      </w:r>
      <w:r w:rsidRPr="0093630F">
        <w:t>C). Detections for each transmitter at each receiver was not independent, therefore location and movement metrics were calculated for each transmitter based on time. When a fish was not detected within the set time frame, the location of the fish was assigned evenly to the last known and next known receiver location. If a fish was not detected again during the study period, it was excluded from the analyses. For each tagged fish, a range of movement metrics are calculated, including directional movement (upstream and downstream), daily displacement, cumulative displacement, activity (aggregate daily movement), and travel time between acoustic receivers. Flow parameters (daily discharge (ML/day), water level (m) and temperature (</w:t>
      </w:r>
      <w:r w:rsidRPr="0093630F">
        <w:rPr>
          <w:rFonts w:cs="Calibri"/>
        </w:rPr>
        <w:t>°</w:t>
      </w:r>
      <w:r w:rsidRPr="0093630F">
        <w:t xml:space="preserve">C)) were used from the Narrandera gauge as it represents the middle mark of the sampling river reach and therefore can be applied to all detections within the reach. Discharge data was overlayed on movement graphs to detect associations between environmental water delivery and possible spawning related movement. As this is the first year of fish movement data collection, statistics are not able to be applied to the data to determine if there is a significant increase or decrease in Murray cod movement during their spawning period which also coincides with period in which environmental water was delivered. In future years, data will be collected on movement patterns during the Murray cod spawning season that does not coincide with environmental water delivery, and can therefore  be compared to the 2012/13 data to suggest whether the delivery of water directly influenced the type and amount of movement. Movement data collected in 2012/13 will be assessed to determine whether possible spawning related movements occurred during the environmental water delivery period. </w:t>
      </w:r>
    </w:p>
    <w:p w:rsidR="00C26BC6" w:rsidRPr="0093630F" w:rsidRDefault="00C26BC6" w:rsidP="00C26BC6">
      <w:pPr>
        <w:spacing w:after="0"/>
      </w:pPr>
    </w:p>
    <w:p w:rsidR="00C909C4" w:rsidRDefault="00C909C4">
      <w:pPr>
        <w:spacing w:after="0" w:line="240" w:lineRule="auto"/>
        <w:jc w:val="left"/>
        <w:rPr>
          <w:rFonts w:eastAsia="Times New Roman"/>
          <w:sz w:val="20"/>
          <w:szCs w:val="24"/>
        </w:rPr>
      </w:pPr>
      <w:r>
        <w:br w:type="page"/>
      </w:r>
    </w:p>
    <w:p w:rsidR="00E1766B" w:rsidRDefault="00C26BC6">
      <w:pPr>
        <w:pStyle w:val="Appendix"/>
      </w:pPr>
      <w:bookmarkStart w:id="521" w:name="_Toc370738886"/>
      <w:r>
        <w:t xml:space="preserve">Details of native fish </w:t>
      </w:r>
      <w:r w:rsidRPr="009F0070">
        <w:t>with acoustic tags in 2012/13 (Sex: M=male, F=female, U=unknown). Star (*) next to species name indicates fish was detected during study period. Hash (#) indicates fish that are</w:t>
      </w:r>
      <w:r>
        <w:t xml:space="preserve"> known </w:t>
      </w:r>
      <w:r w:rsidRPr="009F0070">
        <w:t xml:space="preserve">to have been removed from the tagged population by </w:t>
      </w:r>
      <w:r>
        <w:t>anglers (external tag numbers are reported).</w:t>
      </w:r>
      <w:bookmarkEnd w:id="521"/>
    </w:p>
    <w:tbl>
      <w:tblPr>
        <w:tblStyle w:val="TableGrid"/>
        <w:tblpPr w:leftFromText="180" w:rightFromText="180" w:vertAnchor="text" w:tblpY="1"/>
        <w:tblW w:w="9180" w:type="dxa"/>
        <w:tblLayout w:type="fixed"/>
        <w:tblLook w:val="00A0"/>
      </w:tblPr>
      <w:tblGrid>
        <w:gridCol w:w="1242"/>
        <w:gridCol w:w="1701"/>
        <w:gridCol w:w="851"/>
        <w:gridCol w:w="1134"/>
        <w:gridCol w:w="567"/>
        <w:gridCol w:w="992"/>
        <w:gridCol w:w="2693"/>
      </w:tblGrid>
      <w:tr w:rsidR="00C26BC6" w:rsidRPr="00A04D68" w:rsidTr="00C909C4">
        <w:trPr>
          <w:cnfStyle w:val="100000000000"/>
        </w:trPr>
        <w:tc>
          <w:tcPr>
            <w:tcW w:w="1242" w:type="dxa"/>
          </w:tcPr>
          <w:p w:rsidR="00C26BC6" w:rsidRPr="00472305" w:rsidRDefault="00C26BC6" w:rsidP="006F4423">
            <w:pPr>
              <w:spacing w:after="0" w:line="240" w:lineRule="auto"/>
              <w:jc w:val="center"/>
              <w:rPr>
                <w:rFonts w:cs="Calibri"/>
                <w:b/>
                <w:bCs/>
                <w:sz w:val="20"/>
                <w:szCs w:val="20"/>
                <w:lang w:eastAsia="en-AU"/>
              </w:rPr>
            </w:pPr>
            <w:r w:rsidRPr="00472305">
              <w:rPr>
                <w:rFonts w:cs="Calibri"/>
                <w:b/>
                <w:bCs/>
                <w:sz w:val="20"/>
                <w:szCs w:val="20"/>
                <w:lang w:eastAsia="en-AU"/>
              </w:rPr>
              <w:t>Tag date</w:t>
            </w:r>
          </w:p>
        </w:tc>
        <w:tc>
          <w:tcPr>
            <w:tcW w:w="1701" w:type="dxa"/>
          </w:tcPr>
          <w:p w:rsidR="00C26BC6" w:rsidRPr="00472305" w:rsidRDefault="00C26BC6" w:rsidP="006F4423">
            <w:pPr>
              <w:spacing w:after="0" w:line="240" w:lineRule="auto"/>
              <w:jc w:val="center"/>
              <w:rPr>
                <w:rFonts w:cs="Calibri"/>
                <w:b/>
                <w:bCs/>
                <w:sz w:val="20"/>
                <w:szCs w:val="20"/>
                <w:lang w:eastAsia="en-AU"/>
              </w:rPr>
            </w:pPr>
            <w:r w:rsidRPr="00472305">
              <w:rPr>
                <w:rFonts w:cs="Calibri"/>
                <w:b/>
                <w:bCs/>
                <w:sz w:val="20"/>
                <w:szCs w:val="20"/>
                <w:lang w:eastAsia="en-AU"/>
              </w:rPr>
              <w:t>Species</w:t>
            </w:r>
          </w:p>
        </w:tc>
        <w:tc>
          <w:tcPr>
            <w:tcW w:w="851" w:type="dxa"/>
          </w:tcPr>
          <w:p w:rsidR="00C26BC6" w:rsidRPr="00472305" w:rsidRDefault="00C26BC6" w:rsidP="006F4423">
            <w:pPr>
              <w:spacing w:after="0" w:line="240" w:lineRule="auto"/>
              <w:jc w:val="center"/>
              <w:rPr>
                <w:rFonts w:cs="Calibri"/>
                <w:b/>
                <w:bCs/>
                <w:sz w:val="18"/>
                <w:szCs w:val="18"/>
                <w:lang w:eastAsia="en-AU"/>
              </w:rPr>
            </w:pPr>
            <w:r w:rsidRPr="00472305">
              <w:rPr>
                <w:rFonts w:cs="Calibri"/>
                <w:b/>
                <w:bCs/>
                <w:sz w:val="18"/>
                <w:szCs w:val="18"/>
                <w:lang w:eastAsia="en-AU"/>
              </w:rPr>
              <w:t>Length (mm)</w:t>
            </w:r>
          </w:p>
        </w:tc>
        <w:tc>
          <w:tcPr>
            <w:tcW w:w="1134" w:type="dxa"/>
          </w:tcPr>
          <w:p w:rsidR="00C26BC6" w:rsidRPr="00472305" w:rsidRDefault="00C26BC6" w:rsidP="006F4423">
            <w:pPr>
              <w:spacing w:after="0" w:line="240" w:lineRule="auto"/>
              <w:jc w:val="center"/>
              <w:rPr>
                <w:rFonts w:cs="Calibri"/>
                <w:b/>
                <w:bCs/>
                <w:sz w:val="20"/>
                <w:szCs w:val="20"/>
                <w:lang w:eastAsia="en-AU"/>
              </w:rPr>
            </w:pPr>
            <w:r w:rsidRPr="00472305">
              <w:rPr>
                <w:rFonts w:cs="Calibri"/>
                <w:b/>
                <w:bCs/>
                <w:sz w:val="20"/>
                <w:szCs w:val="20"/>
                <w:lang w:eastAsia="en-AU"/>
              </w:rPr>
              <w:t>Weight (g)</w:t>
            </w:r>
          </w:p>
        </w:tc>
        <w:tc>
          <w:tcPr>
            <w:tcW w:w="567" w:type="dxa"/>
          </w:tcPr>
          <w:p w:rsidR="00C26BC6" w:rsidRPr="00472305" w:rsidRDefault="00C26BC6" w:rsidP="006F4423">
            <w:pPr>
              <w:spacing w:after="0" w:line="240" w:lineRule="auto"/>
              <w:jc w:val="center"/>
              <w:rPr>
                <w:rFonts w:cs="Calibri"/>
                <w:b/>
                <w:bCs/>
                <w:sz w:val="20"/>
                <w:szCs w:val="20"/>
                <w:lang w:eastAsia="en-AU"/>
              </w:rPr>
            </w:pPr>
            <w:r w:rsidRPr="00472305">
              <w:rPr>
                <w:rFonts w:cs="Calibri"/>
                <w:b/>
                <w:bCs/>
                <w:sz w:val="20"/>
                <w:szCs w:val="20"/>
                <w:lang w:eastAsia="en-AU"/>
              </w:rPr>
              <w:t>Sex</w:t>
            </w:r>
          </w:p>
        </w:tc>
        <w:tc>
          <w:tcPr>
            <w:tcW w:w="992" w:type="dxa"/>
          </w:tcPr>
          <w:p w:rsidR="00C26BC6" w:rsidRPr="00472305" w:rsidRDefault="00C26BC6" w:rsidP="006F4423">
            <w:pPr>
              <w:spacing w:after="0" w:line="240" w:lineRule="auto"/>
              <w:jc w:val="center"/>
              <w:rPr>
                <w:rFonts w:cs="Calibri"/>
                <w:b/>
                <w:bCs/>
                <w:sz w:val="20"/>
                <w:szCs w:val="20"/>
                <w:lang w:eastAsia="en-AU"/>
              </w:rPr>
            </w:pPr>
            <w:r w:rsidRPr="00472305">
              <w:rPr>
                <w:rFonts w:cs="Calibri"/>
                <w:b/>
                <w:bCs/>
                <w:sz w:val="20"/>
                <w:szCs w:val="20"/>
                <w:lang w:eastAsia="en-AU"/>
              </w:rPr>
              <w:t>Tag No.</w:t>
            </w:r>
          </w:p>
        </w:tc>
        <w:tc>
          <w:tcPr>
            <w:tcW w:w="2693" w:type="dxa"/>
          </w:tcPr>
          <w:p w:rsidR="00C26BC6" w:rsidRPr="00472305" w:rsidRDefault="00C26BC6" w:rsidP="006F4423">
            <w:pPr>
              <w:spacing w:after="0" w:line="240" w:lineRule="auto"/>
              <w:jc w:val="center"/>
              <w:rPr>
                <w:rFonts w:cs="Calibri"/>
                <w:b/>
                <w:bCs/>
                <w:sz w:val="20"/>
                <w:szCs w:val="20"/>
                <w:lang w:eastAsia="en-AU"/>
              </w:rPr>
            </w:pPr>
            <w:r w:rsidRPr="00472305">
              <w:rPr>
                <w:rFonts w:cs="Calibri"/>
                <w:b/>
                <w:bCs/>
                <w:sz w:val="20"/>
                <w:szCs w:val="20"/>
                <w:lang w:eastAsia="en-AU"/>
              </w:rPr>
              <w:t>Tag Location</w:t>
            </w:r>
          </w:p>
        </w:tc>
      </w:tr>
      <w:tr w:rsidR="00C26BC6" w:rsidRPr="00A04D68" w:rsidTr="00C909C4">
        <w:tc>
          <w:tcPr>
            <w:tcW w:w="2943" w:type="dxa"/>
            <w:gridSpan w:val="2"/>
          </w:tcPr>
          <w:p w:rsidR="00C26BC6" w:rsidRPr="00472305" w:rsidRDefault="00C26BC6" w:rsidP="006F4423">
            <w:pPr>
              <w:spacing w:after="0" w:line="240" w:lineRule="auto"/>
              <w:jc w:val="center"/>
              <w:rPr>
                <w:rFonts w:cs="Calibri"/>
                <w:b/>
                <w:bCs/>
                <w:sz w:val="20"/>
                <w:szCs w:val="20"/>
                <w:lang w:eastAsia="en-AU"/>
              </w:rPr>
            </w:pPr>
            <w:r w:rsidRPr="00472305">
              <w:rPr>
                <w:rFonts w:cs="Calibri"/>
                <w:bCs/>
                <w:i/>
                <w:sz w:val="20"/>
                <w:szCs w:val="20"/>
                <w:lang w:eastAsia="en-AU"/>
              </w:rPr>
              <w:t>September 2012</w:t>
            </w:r>
          </w:p>
        </w:tc>
        <w:tc>
          <w:tcPr>
            <w:tcW w:w="851" w:type="dxa"/>
          </w:tcPr>
          <w:p w:rsidR="00C26BC6" w:rsidRPr="00472305" w:rsidRDefault="00C26BC6" w:rsidP="006F4423">
            <w:pPr>
              <w:spacing w:after="0" w:line="240" w:lineRule="auto"/>
              <w:jc w:val="center"/>
              <w:rPr>
                <w:rFonts w:cs="Calibri"/>
                <w:b/>
                <w:bCs/>
                <w:sz w:val="20"/>
                <w:szCs w:val="20"/>
                <w:lang w:eastAsia="en-AU"/>
              </w:rPr>
            </w:pPr>
          </w:p>
        </w:tc>
        <w:tc>
          <w:tcPr>
            <w:tcW w:w="1134" w:type="dxa"/>
          </w:tcPr>
          <w:p w:rsidR="00C26BC6" w:rsidRPr="00472305" w:rsidRDefault="00C26BC6" w:rsidP="006F4423">
            <w:pPr>
              <w:spacing w:after="0" w:line="240" w:lineRule="auto"/>
              <w:jc w:val="center"/>
              <w:rPr>
                <w:rFonts w:cs="Calibri"/>
                <w:b/>
                <w:bCs/>
                <w:sz w:val="20"/>
                <w:szCs w:val="20"/>
                <w:lang w:eastAsia="en-AU"/>
              </w:rPr>
            </w:pPr>
          </w:p>
        </w:tc>
        <w:tc>
          <w:tcPr>
            <w:tcW w:w="567" w:type="dxa"/>
          </w:tcPr>
          <w:p w:rsidR="00C26BC6" w:rsidRPr="00472305" w:rsidRDefault="00C26BC6" w:rsidP="006F4423">
            <w:pPr>
              <w:spacing w:after="0" w:line="240" w:lineRule="auto"/>
              <w:jc w:val="center"/>
              <w:rPr>
                <w:rFonts w:cs="Calibri"/>
                <w:b/>
                <w:bCs/>
                <w:sz w:val="20"/>
                <w:szCs w:val="20"/>
                <w:lang w:eastAsia="en-AU"/>
              </w:rPr>
            </w:pPr>
          </w:p>
        </w:tc>
        <w:tc>
          <w:tcPr>
            <w:tcW w:w="992" w:type="dxa"/>
          </w:tcPr>
          <w:p w:rsidR="00C26BC6" w:rsidRPr="00472305" w:rsidRDefault="00C26BC6" w:rsidP="006F4423">
            <w:pPr>
              <w:spacing w:after="0" w:line="240" w:lineRule="auto"/>
              <w:jc w:val="center"/>
              <w:rPr>
                <w:rFonts w:cs="Calibri"/>
                <w:b/>
                <w:bCs/>
                <w:sz w:val="20"/>
                <w:szCs w:val="20"/>
                <w:lang w:eastAsia="en-AU"/>
              </w:rPr>
            </w:pPr>
          </w:p>
        </w:tc>
        <w:tc>
          <w:tcPr>
            <w:tcW w:w="2693" w:type="dxa"/>
          </w:tcPr>
          <w:p w:rsidR="00C26BC6" w:rsidRPr="00472305" w:rsidRDefault="00C26BC6" w:rsidP="006F4423">
            <w:pPr>
              <w:spacing w:after="0" w:line="240" w:lineRule="auto"/>
              <w:jc w:val="center"/>
              <w:rPr>
                <w:rFonts w:cs="Calibri"/>
                <w:b/>
                <w:bCs/>
                <w:sz w:val="20"/>
                <w:szCs w:val="20"/>
                <w:lang w:eastAsia="en-AU"/>
              </w:rPr>
            </w:pP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600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3,214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29992</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505</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1,774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30002</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528</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2,034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30004</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705</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5,204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30007</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540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2,104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30008</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715</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5,838</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30010</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532</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2,074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30011</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12-Sep-12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516</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1,960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30013</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12-Sep-12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580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2,810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30015</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12-Sep-12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545</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2,248</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30016</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13-Sep-12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525</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2,484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30017</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13-Sep-12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730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7,734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30018</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13-Sep-12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592</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2,908</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30019</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13-Sep-12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590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3,048</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30020</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528</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1,885</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29993</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NFC Pump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591</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2,784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29995</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NFC Pump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549</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2,292</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29996</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NFC Pump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514</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1,796</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30024</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NFC Pump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593</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3,062</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30025</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NFC Pump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640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4,264</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30026</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NFC Pump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13-Sep-12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Trout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475</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1,426</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30022</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13-Sep-12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Trout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564</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2,442</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30021</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Trout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396</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852</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29994</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NFC Pump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Trout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480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1,552</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30023</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NFC Pump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Golden perch</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445</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1,402</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U</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30003</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Golden perch</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431</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1,250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30005</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Golden perch</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374</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798</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U</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30006</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Golden perch</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380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870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30009</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10-Sep-12</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Golden perch</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470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1,520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U</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30012</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Station</w:t>
            </w:r>
          </w:p>
        </w:tc>
      </w:tr>
      <w:tr w:rsidR="00C26BC6" w:rsidRPr="00A04D68" w:rsidTr="00C909C4">
        <w:tc>
          <w:tcPr>
            <w:tcW w:w="2943" w:type="dxa"/>
            <w:gridSpan w:val="2"/>
          </w:tcPr>
          <w:p w:rsidR="00C26BC6" w:rsidRPr="00472305" w:rsidRDefault="00C26BC6" w:rsidP="006F4423">
            <w:pPr>
              <w:spacing w:after="0" w:line="240" w:lineRule="auto"/>
              <w:rPr>
                <w:rFonts w:cs="Calibri"/>
                <w:i/>
                <w:sz w:val="20"/>
                <w:szCs w:val="20"/>
              </w:rPr>
            </w:pPr>
          </w:p>
          <w:p w:rsidR="00C26BC6" w:rsidRPr="00472305" w:rsidRDefault="00C26BC6" w:rsidP="006F4423">
            <w:pPr>
              <w:spacing w:after="0" w:line="240" w:lineRule="auto"/>
              <w:rPr>
                <w:rFonts w:cs="Calibri"/>
                <w:sz w:val="20"/>
                <w:szCs w:val="20"/>
              </w:rPr>
            </w:pPr>
            <w:r w:rsidRPr="00472305">
              <w:rPr>
                <w:rFonts w:cs="Calibri"/>
                <w:i/>
                <w:sz w:val="20"/>
                <w:szCs w:val="20"/>
              </w:rPr>
              <w:t>March 2013</w:t>
            </w:r>
          </w:p>
        </w:tc>
        <w:tc>
          <w:tcPr>
            <w:tcW w:w="851" w:type="dxa"/>
          </w:tcPr>
          <w:p w:rsidR="00C26BC6" w:rsidRPr="00472305" w:rsidRDefault="00C26BC6" w:rsidP="006F4423">
            <w:pPr>
              <w:spacing w:after="0" w:line="240" w:lineRule="auto"/>
              <w:jc w:val="right"/>
              <w:rPr>
                <w:rFonts w:cs="Calibri"/>
                <w:sz w:val="20"/>
                <w:szCs w:val="20"/>
              </w:rPr>
            </w:pPr>
          </w:p>
        </w:tc>
        <w:tc>
          <w:tcPr>
            <w:tcW w:w="1134" w:type="dxa"/>
          </w:tcPr>
          <w:p w:rsidR="00C26BC6" w:rsidRPr="00472305" w:rsidRDefault="00C26BC6" w:rsidP="006F4423">
            <w:pPr>
              <w:spacing w:after="0" w:line="240" w:lineRule="auto"/>
              <w:jc w:val="right"/>
              <w:rPr>
                <w:rFonts w:cs="Calibri"/>
                <w:sz w:val="20"/>
                <w:szCs w:val="20"/>
              </w:rPr>
            </w:pPr>
          </w:p>
        </w:tc>
        <w:tc>
          <w:tcPr>
            <w:tcW w:w="567" w:type="dxa"/>
          </w:tcPr>
          <w:p w:rsidR="00C26BC6" w:rsidRPr="00472305" w:rsidRDefault="00C26BC6" w:rsidP="006F4423">
            <w:pPr>
              <w:spacing w:after="0" w:line="240" w:lineRule="auto"/>
              <w:rPr>
                <w:rFonts w:cs="Calibri"/>
                <w:sz w:val="20"/>
                <w:szCs w:val="20"/>
              </w:rPr>
            </w:pPr>
          </w:p>
        </w:tc>
        <w:tc>
          <w:tcPr>
            <w:tcW w:w="992" w:type="dxa"/>
          </w:tcPr>
          <w:p w:rsidR="00C26BC6" w:rsidRPr="00472305" w:rsidRDefault="00C26BC6" w:rsidP="006F4423">
            <w:pPr>
              <w:spacing w:after="0" w:line="240" w:lineRule="auto"/>
              <w:jc w:val="right"/>
              <w:rPr>
                <w:rFonts w:cs="Calibri"/>
                <w:sz w:val="20"/>
                <w:szCs w:val="20"/>
              </w:rPr>
            </w:pPr>
          </w:p>
        </w:tc>
        <w:tc>
          <w:tcPr>
            <w:tcW w:w="2693" w:type="dxa"/>
          </w:tcPr>
          <w:p w:rsidR="00C26BC6" w:rsidRPr="00472305" w:rsidRDefault="00C26BC6" w:rsidP="006F4423">
            <w:pPr>
              <w:spacing w:after="0" w:line="240" w:lineRule="auto"/>
              <w:rPr>
                <w:rFonts w:cs="Calibri"/>
                <w:sz w:val="20"/>
                <w:szCs w:val="20"/>
              </w:rPr>
            </w:pP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600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2,890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U</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29822</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761</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6,835</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29823</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654</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3,620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U</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29824</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922</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&gt;17,000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29825</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730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4,925</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29998</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746</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5,885</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29999</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722</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4,855</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M</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30000</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Trout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511</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1,510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30001</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Trout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543</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1,940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29860</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Silver perch*</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368</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915</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29997</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600</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2,890</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U</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29822</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r w:rsidR="00C26BC6" w:rsidRPr="00A04D68" w:rsidTr="00C909C4">
        <w:tc>
          <w:tcPr>
            <w:tcW w:w="124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07-Mar-13</w:t>
            </w:r>
          </w:p>
        </w:tc>
        <w:tc>
          <w:tcPr>
            <w:tcW w:w="1701" w:type="dxa"/>
          </w:tcPr>
          <w:p w:rsidR="00C26BC6" w:rsidRPr="00472305" w:rsidRDefault="00C26BC6" w:rsidP="006F4423">
            <w:pPr>
              <w:spacing w:after="0" w:line="240" w:lineRule="auto"/>
              <w:rPr>
                <w:rFonts w:cs="Calibri"/>
                <w:sz w:val="20"/>
                <w:szCs w:val="20"/>
              </w:rPr>
            </w:pPr>
            <w:r w:rsidRPr="00472305">
              <w:rPr>
                <w:rFonts w:cs="Calibri"/>
                <w:sz w:val="20"/>
                <w:szCs w:val="20"/>
              </w:rPr>
              <w:t>Murray cod</w:t>
            </w:r>
          </w:p>
        </w:tc>
        <w:tc>
          <w:tcPr>
            <w:tcW w:w="851"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761</w:t>
            </w:r>
          </w:p>
        </w:tc>
        <w:tc>
          <w:tcPr>
            <w:tcW w:w="1134"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6,835</w:t>
            </w:r>
          </w:p>
        </w:tc>
        <w:tc>
          <w:tcPr>
            <w:tcW w:w="567" w:type="dxa"/>
          </w:tcPr>
          <w:p w:rsidR="00C26BC6" w:rsidRPr="00472305" w:rsidRDefault="00C26BC6" w:rsidP="006F4423">
            <w:pPr>
              <w:spacing w:after="0" w:line="240" w:lineRule="auto"/>
              <w:rPr>
                <w:rFonts w:cs="Calibri"/>
                <w:sz w:val="20"/>
                <w:szCs w:val="20"/>
              </w:rPr>
            </w:pPr>
            <w:r w:rsidRPr="00472305">
              <w:rPr>
                <w:rFonts w:cs="Calibri"/>
                <w:sz w:val="20"/>
                <w:szCs w:val="20"/>
              </w:rPr>
              <w:t>F</w:t>
            </w:r>
          </w:p>
        </w:tc>
        <w:tc>
          <w:tcPr>
            <w:tcW w:w="992" w:type="dxa"/>
          </w:tcPr>
          <w:p w:rsidR="00C26BC6" w:rsidRPr="00472305" w:rsidRDefault="00C26BC6" w:rsidP="006F4423">
            <w:pPr>
              <w:spacing w:after="0" w:line="240" w:lineRule="auto"/>
              <w:jc w:val="right"/>
              <w:rPr>
                <w:rFonts w:cs="Calibri"/>
                <w:sz w:val="20"/>
                <w:szCs w:val="20"/>
              </w:rPr>
            </w:pPr>
            <w:r w:rsidRPr="00472305">
              <w:rPr>
                <w:rFonts w:cs="Calibri"/>
                <w:sz w:val="20"/>
                <w:szCs w:val="20"/>
              </w:rPr>
              <w:t>29823</w:t>
            </w:r>
          </w:p>
        </w:tc>
        <w:tc>
          <w:tcPr>
            <w:tcW w:w="2693" w:type="dxa"/>
          </w:tcPr>
          <w:p w:rsidR="00C26BC6" w:rsidRPr="00472305" w:rsidRDefault="00C26BC6" w:rsidP="006F4423">
            <w:pPr>
              <w:spacing w:after="0" w:line="240" w:lineRule="auto"/>
              <w:rPr>
                <w:rFonts w:cs="Calibri"/>
                <w:sz w:val="20"/>
                <w:szCs w:val="20"/>
              </w:rPr>
            </w:pPr>
            <w:r w:rsidRPr="00472305">
              <w:rPr>
                <w:rFonts w:cs="Calibri"/>
                <w:sz w:val="20"/>
                <w:szCs w:val="20"/>
              </w:rPr>
              <w:t>Buckingbong Boat Ramp</w:t>
            </w:r>
          </w:p>
        </w:tc>
      </w:tr>
    </w:tbl>
    <w:p w:rsidR="00E1766B" w:rsidRDefault="00942A21" w:rsidP="00AB7B17">
      <w:pPr>
        <w:pStyle w:val="Heading1"/>
        <w:numPr>
          <w:ilvl w:val="0"/>
          <w:numId w:val="0"/>
        </w:numPr>
      </w:pPr>
      <w:bookmarkStart w:id="522" w:name="_Toc370299261"/>
      <w:bookmarkStart w:id="523" w:name="_Ref370369894"/>
      <w:bookmarkStart w:id="524" w:name="_Toc370738887"/>
      <w:bookmarkStart w:id="525" w:name="_Toc378168607"/>
      <w:proofErr w:type="gramStart"/>
      <w:r w:rsidRPr="002C71AC">
        <w:t xml:space="preserve">Appendix </w:t>
      </w:r>
      <w:r w:rsidR="002C71AC">
        <w:t>3</w:t>
      </w:r>
      <w:r w:rsidR="00B67554" w:rsidRPr="002C71AC">
        <w:t>.</w:t>
      </w:r>
      <w:proofErr w:type="gramEnd"/>
      <w:r w:rsidR="00B67554" w:rsidRPr="002C71AC">
        <w:t xml:space="preserve"> </w:t>
      </w:r>
      <w:r w:rsidR="003517E7" w:rsidRPr="002C71AC">
        <w:t>V</w:t>
      </w:r>
      <w:r w:rsidR="00517E91" w:rsidRPr="002C71AC">
        <w:t>egetation functional groups- repeated</w:t>
      </w:r>
      <w:r w:rsidR="00517E91">
        <w:t xml:space="preserve"> measures analysis of variance</w:t>
      </w:r>
      <w:bookmarkEnd w:id="522"/>
      <w:bookmarkEnd w:id="523"/>
      <w:bookmarkEnd w:id="524"/>
      <w:bookmarkEnd w:id="5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25"/>
        <w:gridCol w:w="5587"/>
        <w:gridCol w:w="2330"/>
      </w:tblGrid>
      <w:tr w:rsidR="001773D8" w:rsidRPr="001773D8" w:rsidTr="001773D8">
        <w:tc>
          <w:tcPr>
            <w:tcW w:w="1325" w:type="dxa"/>
            <w:shd w:val="clear" w:color="auto" w:fill="86B29E"/>
          </w:tcPr>
          <w:p w:rsidR="00942A21" w:rsidRPr="001773D8" w:rsidRDefault="00942A21" w:rsidP="001773D8">
            <w:pPr>
              <w:pStyle w:val="Tabletext"/>
              <w:rPr>
                <w:b/>
              </w:rPr>
            </w:pPr>
            <w:r w:rsidRPr="001773D8">
              <w:rPr>
                <w:b/>
              </w:rPr>
              <w:t>Functional group</w:t>
            </w:r>
          </w:p>
        </w:tc>
        <w:tc>
          <w:tcPr>
            <w:tcW w:w="5587" w:type="dxa"/>
            <w:shd w:val="clear" w:color="auto" w:fill="86B29E"/>
          </w:tcPr>
          <w:p w:rsidR="00942A21" w:rsidRPr="001773D8" w:rsidRDefault="00942A21" w:rsidP="001773D8">
            <w:pPr>
              <w:pStyle w:val="Tabletext"/>
              <w:rPr>
                <w:b/>
              </w:rPr>
            </w:pPr>
            <w:r w:rsidRPr="001773D8">
              <w:rPr>
                <w:b/>
              </w:rPr>
              <w:t>ANOVA results</w:t>
            </w:r>
          </w:p>
        </w:tc>
        <w:tc>
          <w:tcPr>
            <w:tcW w:w="2330" w:type="dxa"/>
            <w:shd w:val="clear" w:color="auto" w:fill="86B29E"/>
          </w:tcPr>
          <w:p w:rsidR="00942A21" w:rsidRPr="001773D8" w:rsidRDefault="00942A21" w:rsidP="001773D8">
            <w:pPr>
              <w:pStyle w:val="Tabletext"/>
              <w:rPr>
                <w:b/>
              </w:rPr>
            </w:pPr>
            <w:r w:rsidRPr="001773D8">
              <w:rPr>
                <w:b/>
              </w:rPr>
              <w:t>Interpretation</w:t>
            </w:r>
          </w:p>
        </w:tc>
      </w:tr>
      <w:tr w:rsidR="00942A21" w:rsidTr="001773D8">
        <w:tc>
          <w:tcPr>
            <w:tcW w:w="1325" w:type="dxa"/>
          </w:tcPr>
          <w:p w:rsidR="00942A21" w:rsidRDefault="00942A21" w:rsidP="001773D8">
            <w:pPr>
              <w:pStyle w:val="Tabletext"/>
            </w:pPr>
            <w:r>
              <w:t>Tdr*</w:t>
            </w: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414"/>
              <w:gridCol w:w="972"/>
              <w:gridCol w:w="1057"/>
              <w:gridCol w:w="1057"/>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414" w:type="dxa"/>
                </w:tcPr>
                <w:p w:rsidR="00942A21" w:rsidRPr="00350EBD" w:rsidRDefault="00942A21" w:rsidP="001C7575">
                  <w:pPr>
                    <w:pStyle w:val="Tabletext"/>
                    <w:rPr>
                      <w:sz w:val="16"/>
                      <w:szCs w:val="16"/>
                    </w:rPr>
                  </w:pPr>
                  <w:r w:rsidRPr="00350EBD">
                    <w:rPr>
                      <w:sz w:val="16"/>
                      <w:szCs w:val="16"/>
                    </w:rPr>
                    <w:t>df</w:t>
                  </w:r>
                </w:p>
              </w:tc>
              <w:tc>
                <w:tcPr>
                  <w:tcW w:w="972" w:type="dxa"/>
                </w:tcPr>
                <w:p w:rsidR="00942A21" w:rsidRPr="00350EBD" w:rsidRDefault="00942A21" w:rsidP="001C7575">
                  <w:pPr>
                    <w:pStyle w:val="Tabletext"/>
                    <w:rPr>
                      <w:sz w:val="16"/>
                      <w:szCs w:val="16"/>
                    </w:rPr>
                  </w:pPr>
                  <w:r w:rsidRPr="00350EBD">
                    <w:rPr>
                      <w:sz w:val="16"/>
                      <w:szCs w:val="16"/>
                    </w:rPr>
                    <w:t>MS</w:t>
                  </w:r>
                </w:p>
              </w:tc>
              <w:tc>
                <w:tcPr>
                  <w:tcW w:w="1057" w:type="dxa"/>
                </w:tcPr>
                <w:p w:rsidR="00942A21" w:rsidRPr="00350EBD" w:rsidRDefault="00942A21" w:rsidP="001C7575">
                  <w:pPr>
                    <w:pStyle w:val="Tabletext"/>
                    <w:rPr>
                      <w:sz w:val="16"/>
                      <w:szCs w:val="16"/>
                    </w:rPr>
                  </w:pPr>
                  <w:r w:rsidRPr="00350EBD">
                    <w:rPr>
                      <w:sz w:val="16"/>
                      <w:szCs w:val="16"/>
                    </w:rPr>
                    <w:t>Pseudo-F</w:t>
                  </w:r>
                </w:p>
              </w:tc>
              <w:tc>
                <w:tcPr>
                  <w:tcW w:w="1057"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414" w:type="dxa"/>
                </w:tcPr>
                <w:p w:rsidR="00942A21" w:rsidRPr="00350EBD" w:rsidRDefault="00942A21" w:rsidP="001C7575">
                  <w:pPr>
                    <w:pStyle w:val="Tabletext"/>
                    <w:rPr>
                      <w:sz w:val="16"/>
                      <w:szCs w:val="16"/>
                    </w:rPr>
                  </w:pPr>
                  <w:r w:rsidRPr="00350EBD">
                    <w:rPr>
                      <w:sz w:val="16"/>
                      <w:szCs w:val="16"/>
                    </w:rPr>
                    <w:t>2</w:t>
                  </w:r>
                </w:p>
              </w:tc>
              <w:tc>
                <w:tcPr>
                  <w:tcW w:w="972" w:type="dxa"/>
                </w:tcPr>
                <w:p w:rsidR="00942A21" w:rsidRPr="00350EBD" w:rsidRDefault="00942A21" w:rsidP="001C7575">
                  <w:pPr>
                    <w:pStyle w:val="Tabletext"/>
                    <w:rPr>
                      <w:sz w:val="16"/>
                      <w:szCs w:val="16"/>
                    </w:rPr>
                  </w:pPr>
                  <w:r w:rsidRPr="00350EBD">
                    <w:rPr>
                      <w:sz w:val="16"/>
                      <w:szCs w:val="16"/>
                    </w:rPr>
                    <w:t>45.5</w:t>
                  </w:r>
                </w:p>
              </w:tc>
              <w:tc>
                <w:tcPr>
                  <w:tcW w:w="1057" w:type="dxa"/>
                </w:tcPr>
                <w:p w:rsidR="00942A21" w:rsidRPr="00350EBD" w:rsidRDefault="00942A21" w:rsidP="001C7575">
                  <w:pPr>
                    <w:pStyle w:val="Tabletext"/>
                    <w:rPr>
                      <w:sz w:val="16"/>
                      <w:szCs w:val="16"/>
                    </w:rPr>
                  </w:pPr>
                  <w:r w:rsidRPr="00350EBD">
                    <w:rPr>
                      <w:sz w:val="16"/>
                      <w:szCs w:val="16"/>
                    </w:rPr>
                    <w:t>3.85</w:t>
                  </w:r>
                </w:p>
              </w:tc>
              <w:tc>
                <w:tcPr>
                  <w:tcW w:w="1057" w:type="dxa"/>
                </w:tcPr>
                <w:p w:rsidR="00942A21" w:rsidRPr="00350EBD" w:rsidRDefault="00942A21" w:rsidP="001C7575">
                  <w:pPr>
                    <w:pStyle w:val="Tabletext"/>
                    <w:rPr>
                      <w:sz w:val="16"/>
                      <w:szCs w:val="16"/>
                    </w:rPr>
                  </w:pPr>
                  <w:r w:rsidRPr="00350EBD">
                    <w:rPr>
                      <w:sz w:val="16"/>
                      <w:szCs w:val="16"/>
                    </w:rPr>
                    <w:t>0.0284</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414" w:type="dxa"/>
                </w:tcPr>
                <w:p w:rsidR="00942A21" w:rsidRPr="00350EBD" w:rsidRDefault="00942A21" w:rsidP="001C7575">
                  <w:pPr>
                    <w:pStyle w:val="Tabletext"/>
                    <w:rPr>
                      <w:sz w:val="16"/>
                      <w:szCs w:val="16"/>
                    </w:rPr>
                  </w:pPr>
                  <w:r w:rsidRPr="00350EBD">
                    <w:rPr>
                      <w:sz w:val="16"/>
                      <w:szCs w:val="16"/>
                    </w:rPr>
                    <w:t>20</w:t>
                  </w:r>
                </w:p>
              </w:tc>
              <w:tc>
                <w:tcPr>
                  <w:tcW w:w="972" w:type="dxa"/>
                </w:tcPr>
                <w:p w:rsidR="00942A21" w:rsidRPr="00350EBD" w:rsidRDefault="00942A21" w:rsidP="001C7575">
                  <w:pPr>
                    <w:pStyle w:val="Tabletext"/>
                    <w:rPr>
                      <w:sz w:val="16"/>
                      <w:szCs w:val="16"/>
                    </w:rPr>
                  </w:pPr>
                  <w:r w:rsidRPr="00350EBD">
                    <w:rPr>
                      <w:sz w:val="16"/>
                      <w:szCs w:val="16"/>
                    </w:rPr>
                    <w:t>11.8</w:t>
                  </w:r>
                </w:p>
              </w:tc>
              <w:tc>
                <w:tcPr>
                  <w:tcW w:w="1057" w:type="dxa"/>
                </w:tcPr>
                <w:p w:rsidR="00942A21" w:rsidRPr="00350EBD" w:rsidRDefault="00942A21" w:rsidP="001C7575">
                  <w:pPr>
                    <w:pStyle w:val="Tabletext"/>
                    <w:rPr>
                      <w:sz w:val="16"/>
                      <w:szCs w:val="16"/>
                    </w:rPr>
                  </w:pPr>
                </w:p>
              </w:tc>
              <w:tc>
                <w:tcPr>
                  <w:tcW w:w="1057" w:type="dxa"/>
                </w:tcPr>
                <w:p w:rsidR="00942A21" w:rsidRPr="00350EBD" w:rsidRDefault="00942A21" w:rsidP="001C7575">
                  <w:pPr>
                    <w:pStyle w:val="Tabletext"/>
                    <w:rPr>
                      <w:sz w:val="16"/>
                      <w:szCs w:val="16"/>
                    </w:rPr>
                  </w:pP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2010-11 vs 2011-12</w:t>
                  </w:r>
                </w:p>
              </w:tc>
              <w:tc>
                <w:tcPr>
                  <w:tcW w:w="414" w:type="dxa"/>
                </w:tcPr>
                <w:p w:rsidR="00942A21" w:rsidRPr="00350EBD" w:rsidRDefault="00942A21" w:rsidP="001C7575">
                  <w:pPr>
                    <w:pStyle w:val="Tabletext"/>
                    <w:rPr>
                      <w:sz w:val="16"/>
                      <w:szCs w:val="16"/>
                    </w:rPr>
                  </w:pPr>
                  <w:r w:rsidRPr="00350EBD">
                    <w:rPr>
                      <w:sz w:val="16"/>
                      <w:szCs w:val="16"/>
                    </w:rPr>
                    <w:t>1</w:t>
                  </w:r>
                </w:p>
              </w:tc>
              <w:tc>
                <w:tcPr>
                  <w:tcW w:w="972" w:type="dxa"/>
                </w:tcPr>
                <w:p w:rsidR="00942A21" w:rsidRPr="00350EBD" w:rsidRDefault="00942A21" w:rsidP="001C7575">
                  <w:pPr>
                    <w:pStyle w:val="Tabletext"/>
                    <w:rPr>
                      <w:sz w:val="16"/>
                      <w:szCs w:val="16"/>
                    </w:rPr>
                  </w:pPr>
                  <w:r w:rsidRPr="00350EBD">
                    <w:rPr>
                      <w:sz w:val="16"/>
                      <w:szCs w:val="16"/>
                    </w:rPr>
                    <w:t>11.3</w:t>
                  </w:r>
                </w:p>
              </w:tc>
              <w:tc>
                <w:tcPr>
                  <w:tcW w:w="1057" w:type="dxa"/>
                </w:tcPr>
                <w:p w:rsidR="00942A21" w:rsidRPr="00350EBD" w:rsidRDefault="00942A21" w:rsidP="001C7575">
                  <w:pPr>
                    <w:pStyle w:val="Tabletext"/>
                    <w:rPr>
                      <w:sz w:val="16"/>
                      <w:szCs w:val="16"/>
                    </w:rPr>
                  </w:pPr>
                  <w:r w:rsidRPr="00350EBD">
                    <w:rPr>
                      <w:sz w:val="16"/>
                      <w:szCs w:val="16"/>
                    </w:rPr>
                    <w:t>3.59</w:t>
                  </w:r>
                </w:p>
              </w:tc>
              <w:tc>
                <w:tcPr>
                  <w:tcW w:w="1057" w:type="dxa"/>
                </w:tcPr>
                <w:p w:rsidR="00942A21" w:rsidRPr="00350EBD" w:rsidRDefault="00942A21" w:rsidP="001C7575">
                  <w:pPr>
                    <w:pStyle w:val="Tabletext"/>
                    <w:rPr>
                      <w:sz w:val="16"/>
                      <w:szCs w:val="16"/>
                    </w:rPr>
                  </w:pPr>
                  <w:r w:rsidRPr="00350EBD">
                    <w:rPr>
                      <w:sz w:val="16"/>
                      <w:szCs w:val="16"/>
                    </w:rPr>
                    <w:t>0.1024</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2011-12 vs 2012-13</w:t>
                  </w:r>
                </w:p>
              </w:tc>
              <w:tc>
                <w:tcPr>
                  <w:tcW w:w="414" w:type="dxa"/>
                </w:tcPr>
                <w:p w:rsidR="00942A21" w:rsidRPr="00350EBD" w:rsidRDefault="00942A21" w:rsidP="001C7575">
                  <w:pPr>
                    <w:pStyle w:val="Tabletext"/>
                    <w:rPr>
                      <w:sz w:val="16"/>
                      <w:szCs w:val="16"/>
                    </w:rPr>
                  </w:pPr>
                  <w:r w:rsidRPr="00350EBD">
                    <w:rPr>
                      <w:sz w:val="16"/>
                      <w:szCs w:val="16"/>
                    </w:rPr>
                    <w:t>1</w:t>
                  </w:r>
                </w:p>
              </w:tc>
              <w:tc>
                <w:tcPr>
                  <w:tcW w:w="972" w:type="dxa"/>
                </w:tcPr>
                <w:p w:rsidR="00942A21" w:rsidRPr="00350EBD" w:rsidRDefault="00942A21" w:rsidP="001C7575">
                  <w:pPr>
                    <w:pStyle w:val="Tabletext"/>
                    <w:rPr>
                      <w:sz w:val="16"/>
                      <w:szCs w:val="16"/>
                    </w:rPr>
                  </w:pPr>
                  <w:r w:rsidRPr="00350EBD">
                    <w:rPr>
                      <w:sz w:val="16"/>
                      <w:szCs w:val="16"/>
                    </w:rPr>
                    <w:t>36.6</w:t>
                  </w:r>
                </w:p>
              </w:tc>
              <w:tc>
                <w:tcPr>
                  <w:tcW w:w="1057" w:type="dxa"/>
                </w:tcPr>
                <w:p w:rsidR="00942A21" w:rsidRPr="00350EBD" w:rsidRDefault="00942A21" w:rsidP="001C7575">
                  <w:pPr>
                    <w:pStyle w:val="Tabletext"/>
                    <w:rPr>
                      <w:sz w:val="16"/>
                      <w:szCs w:val="16"/>
                    </w:rPr>
                  </w:pPr>
                  <w:r w:rsidRPr="00350EBD">
                    <w:rPr>
                      <w:sz w:val="16"/>
                      <w:szCs w:val="16"/>
                    </w:rPr>
                    <w:t>2.57</w:t>
                  </w:r>
                </w:p>
              </w:tc>
              <w:tc>
                <w:tcPr>
                  <w:tcW w:w="1057" w:type="dxa"/>
                </w:tcPr>
                <w:p w:rsidR="00942A21" w:rsidRPr="00350EBD" w:rsidRDefault="00942A21" w:rsidP="001C7575">
                  <w:pPr>
                    <w:pStyle w:val="Tabletext"/>
                    <w:rPr>
                      <w:sz w:val="16"/>
                      <w:szCs w:val="16"/>
                    </w:rPr>
                  </w:pPr>
                  <w:r w:rsidRPr="00350EBD">
                    <w:rPr>
                      <w:sz w:val="16"/>
                      <w:szCs w:val="16"/>
                    </w:rPr>
                    <w:t>0.1407</w:t>
                  </w:r>
                </w:p>
              </w:tc>
            </w:tr>
            <w:tr w:rsidR="003517E7" w:rsidRPr="00350EBD" w:rsidTr="00942A21">
              <w:tc>
                <w:tcPr>
                  <w:tcW w:w="1507" w:type="dxa"/>
                </w:tcPr>
                <w:p w:rsidR="003517E7" w:rsidRPr="00350EBD" w:rsidRDefault="003517E7" w:rsidP="001C7575">
                  <w:pPr>
                    <w:pStyle w:val="Tabletext"/>
                    <w:rPr>
                      <w:sz w:val="16"/>
                      <w:szCs w:val="16"/>
                    </w:rPr>
                  </w:pPr>
                </w:p>
              </w:tc>
              <w:tc>
                <w:tcPr>
                  <w:tcW w:w="414" w:type="dxa"/>
                </w:tcPr>
                <w:p w:rsidR="003517E7" w:rsidRPr="00350EBD" w:rsidRDefault="003517E7" w:rsidP="001C7575">
                  <w:pPr>
                    <w:pStyle w:val="Tabletext"/>
                    <w:rPr>
                      <w:sz w:val="16"/>
                      <w:szCs w:val="16"/>
                    </w:rPr>
                  </w:pPr>
                </w:p>
              </w:tc>
              <w:tc>
                <w:tcPr>
                  <w:tcW w:w="972" w:type="dxa"/>
                </w:tcPr>
                <w:p w:rsidR="003517E7" w:rsidRPr="00350EBD" w:rsidRDefault="003517E7" w:rsidP="001C7575">
                  <w:pPr>
                    <w:pStyle w:val="Tabletext"/>
                    <w:rPr>
                      <w:sz w:val="16"/>
                      <w:szCs w:val="16"/>
                    </w:rPr>
                  </w:pPr>
                </w:p>
              </w:tc>
              <w:tc>
                <w:tcPr>
                  <w:tcW w:w="1057" w:type="dxa"/>
                </w:tcPr>
                <w:p w:rsidR="003517E7" w:rsidRPr="00350EBD" w:rsidRDefault="003517E7" w:rsidP="001C7575">
                  <w:pPr>
                    <w:pStyle w:val="Tabletext"/>
                    <w:rPr>
                      <w:sz w:val="16"/>
                      <w:szCs w:val="16"/>
                    </w:rPr>
                  </w:pPr>
                </w:p>
              </w:tc>
              <w:tc>
                <w:tcPr>
                  <w:tcW w:w="1057" w:type="dxa"/>
                </w:tcPr>
                <w:p w:rsidR="003517E7" w:rsidRPr="00350EBD" w:rsidRDefault="003517E7" w:rsidP="001C7575">
                  <w:pPr>
                    <w:pStyle w:val="Tabletext"/>
                    <w:rPr>
                      <w:sz w:val="16"/>
                      <w:szCs w:val="16"/>
                    </w:rPr>
                  </w:pPr>
                </w:p>
              </w:tc>
            </w:tr>
          </w:tbl>
          <w:p w:rsidR="00942A21" w:rsidRPr="001773D8" w:rsidRDefault="00942A21" w:rsidP="001773D8">
            <w:pPr>
              <w:pStyle w:val="Tabletext"/>
              <w:rPr>
                <w:sz w:val="16"/>
                <w:szCs w:val="16"/>
              </w:rPr>
            </w:pPr>
          </w:p>
        </w:tc>
        <w:tc>
          <w:tcPr>
            <w:tcW w:w="2330" w:type="dxa"/>
          </w:tcPr>
          <w:p w:rsidR="00942A21" w:rsidRPr="001773D8" w:rsidRDefault="00942A21" w:rsidP="001773D8">
            <w:pPr>
              <w:pStyle w:val="Tabletext"/>
              <w:rPr>
                <w:sz w:val="16"/>
                <w:szCs w:val="16"/>
              </w:rPr>
            </w:pPr>
            <w:r w:rsidRPr="001773D8">
              <w:rPr>
                <w:sz w:val="16"/>
                <w:szCs w:val="16"/>
              </w:rPr>
              <w:t>Significant effect of water year but neither contrast significant</w:t>
            </w:r>
          </w:p>
        </w:tc>
      </w:tr>
      <w:tr w:rsidR="00942A21" w:rsidTr="001773D8">
        <w:tc>
          <w:tcPr>
            <w:tcW w:w="1325" w:type="dxa"/>
          </w:tcPr>
          <w:p w:rsidR="00942A21" w:rsidRDefault="00942A21" w:rsidP="001773D8">
            <w:pPr>
              <w:pStyle w:val="Tabletext"/>
            </w:pPr>
            <w:r>
              <w:t>Tdr</w:t>
            </w: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394"/>
              <w:gridCol w:w="1080"/>
              <w:gridCol w:w="1080"/>
              <w:gridCol w:w="900"/>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376" w:type="dxa"/>
                </w:tcPr>
                <w:p w:rsidR="00942A21" w:rsidRPr="00350EBD" w:rsidRDefault="00942A21" w:rsidP="001C7575">
                  <w:pPr>
                    <w:pStyle w:val="Tabletext"/>
                    <w:rPr>
                      <w:sz w:val="16"/>
                      <w:szCs w:val="16"/>
                    </w:rPr>
                  </w:pPr>
                  <w:r w:rsidRPr="00350EBD">
                    <w:rPr>
                      <w:sz w:val="16"/>
                      <w:szCs w:val="16"/>
                    </w:rPr>
                    <w:t>df</w:t>
                  </w:r>
                </w:p>
              </w:tc>
              <w:tc>
                <w:tcPr>
                  <w:tcW w:w="1080" w:type="dxa"/>
                </w:tcPr>
                <w:p w:rsidR="00942A21" w:rsidRPr="00350EBD" w:rsidRDefault="00942A21" w:rsidP="001C7575">
                  <w:pPr>
                    <w:pStyle w:val="Tabletext"/>
                    <w:rPr>
                      <w:sz w:val="16"/>
                      <w:szCs w:val="16"/>
                    </w:rPr>
                  </w:pPr>
                  <w:r w:rsidRPr="00350EBD">
                    <w:rPr>
                      <w:sz w:val="16"/>
                      <w:szCs w:val="16"/>
                    </w:rPr>
                    <w:t>MS</w:t>
                  </w:r>
                </w:p>
              </w:tc>
              <w:tc>
                <w:tcPr>
                  <w:tcW w:w="1080" w:type="dxa"/>
                </w:tcPr>
                <w:p w:rsidR="00942A21" w:rsidRPr="00350EBD" w:rsidRDefault="00942A21" w:rsidP="001C7575">
                  <w:pPr>
                    <w:pStyle w:val="Tabletext"/>
                    <w:rPr>
                      <w:sz w:val="16"/>
                      <w:szCs w:val="16"/>
                    </w:rPr>
                  </w:pPr>
                  <w:r w:rsidRPr="00350EBD">
                    <w:rPr>
                      <w:sz w:val="16"/>
                      <w:szCs w:val="16"/>
                    </w:rPr>
                    <w:t>Pseudo-F</w:t>
                  </w:r>
                </w:p>
              </w:tc>
              <w:tc>
                <w:tcPr>
                  <w:tcW w:w="900"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376" w:type="dxa"/>
                </w:tcPr>
                <w:p w:rsidR="00942A21" w:rsidRPr="00350EBD" w:rsidRDefault="00942A21" w:rsidP="001C7575">
                  <w:pPr>
                    <w:pStyle w:val="Tabletext"/>
                    <w:rPr>
                      <w:sz w:val="16"/>
                      <w:szCs w:val="16"/>
                    </w:rPr>
                  </w:pPr>
                  <w:r w:rsidRPr="00350EBD">
                    <w:rPr>
                      <w:sz w:val="16"/>
                      <w:szCs w:val="16"/>
                    </w:rPr>
                    <w:t>2</w:t>
                  </w:r>
                </w:p>
              </w:tc>
              <w:tc>
                <w:tcPr>
                  <w:tcW w:w="1080" w:type="dxa"/>
                </w:tcPr>
                <w:p w:rsidR="00942A21" w:rsidRPr="00350EBD" w:rsidRDefault="00942A21" w:rsidP="001C7575">
                  <w:pPr>
                    <w:pStyle w:val="Tabletext"/>
                    <w:rPr>
                      <w:sz w:val="16"/>
                      <w:szCs w:val="16"/>
                    </w:rPr>
                  </w:pPr>
                  <w:r w:rsidRPr="00350EBD">
                    <w:rPr>
                      <w:sz w:val="16"/>
                      <w:szCs w:val="16"/>
                    </w:rPr>
                    <w:t>16.2</w:t>
                  </w:r>
                </w:p>
              </w:tc>
              <w:tc>
                <w:tcPr>
                  <w:tcW w:w="1080" w:type="dxa"/>
                </w:tcPr>
                <w:p w:rsidR="00942A21" w:rsidRPr="00350EBD" w:rsidRDefault="00942A21" w:rsidP="001C7575">
                  <w:pPr>
                    <w:pStyle w:val="Tabletext"/>
                    <w:rPr>
                      <w:sz w:val="16"/>
                      <w:szCs w:val="16"/>
                    </w:rPr>
                  </w:pPr>
                  <w:r w:rsidRPr="00350EBD">
                    <w:rPr>
                      <w:sz w:val="16"/>
                      <w:szCs w:val="16"/>
                    </w:rPr>
                    <w:t>3.75</w:t>
                  </w:r>
                </w:p>
              </w:tc>
              <w:tc>
                <w:tcPr>
                  <w:tcW w:w="900" w:type="dxa"/>
                </w:tcPr>
                <w:p w:rsidR="00942A21" w:rsidRPr="00350EBD" w:rsidRDefault="00942A21" w:rsidP="001C7575">
                  <w:pPr>
                    <w:pStyle w:val="Tabletext"/>
                    <w:rPr>
                      <w:sz w:val="16"/>
                      <w:szCs w:val="16"/>
                    </w:rPr>
                  </w:pPr>
                  <w:r w:rsidRPr="00350EBD">
                    <w:rPr>
                      <w:sz w:val="16"/>
                      <w:szCs w:val="16"/>
                    </w:rPr>
                    <w:t>0.0399</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376"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4.3</w:t>
                  </w:r>
                </w:p>
              </w:tc>
              <w:tc>
                <w:tcPr>
                  <w:tcW w:w="1080" w:type="dxa"/>
                </w:tcPr>
                <w:p w:rsidR="00942A21" w:rsidRPr="00350EBD" w:rsidRDefault="00942A21" w:rsidP="001C7575">
                  <w:pPr>
                    <w:pStyle w:val="Tabletext"/>
                    <w:rPr>
                      <w:sz w:val="16"/>
                      <w:szCs w:val="16"/>
                    </w:rPr>
                  </w:pPr>
                </w:p>
              </w:tc>
              <w:tc>
                <w:tcPr>
                  <w:tcW w:w="900" w:type="dxa"/>
                </w:tcPr>
                <w:p w:rsidR="00942A21" w:rsidRPr="00350EBD" w:rsidRDefault="00942A21" w:rsidP="001C7575">
                  <w:pPr>
                    <w:pStyle w:val="Tabletext"/>
                    <w:rPr>
                      <w:sz w:val="16"/>
                      <w:szCs w:val="16"/>
                    </w:rPr>
                  </w:pP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2010-11 vs 2011-12</w:t>
                  </w:r>
                </w:p>
              </w:tc>
              <w:tc>
                <w:tcPr>
                  <w:tcW w:w="376" w:type="dxa"/>
                </w:tcPr>
                <w:p w:rsidR="00942A21" w:rsidRPr="00350EBD" w:rsidRDefault="00942A21" w:rsidP="001C7575">
                  <w:pPr>
                    <w:pStyle w:val="Tabletext"/>
                    <w:rPr>
                      <w:sz w:val="16"/>
                      <w:szCs w:val="16"/>
                    </w:rPr>
                  </w:pPr>
                  <w:r w:rsidRPr="00350EBD">
                    <w:rPr>
                      <w:sz w:val="16"/>
                      <w:szCs w:val="16"/>
                    </w:rPr>
                    <w:t>1</w:t>
                  </w:r>
                </w:p>
              </w:tc>
              <w:tc>
                <w:tcPr>
                  <w:tcW w:w="1080" w:type="dxa"/>
                </w:tcPr>
                <w:p w:rsidR="00942A21" w:rsidRPr="00350EBD" w:rsidRDefault="00942A21" w:rsidP="001C7575">
                  <w:pPr>
                    <w:pStyle w:val="Tabletext"/>
                    <w:rPr>
                      <w:sz w:val="16"/>
                      <w:szCs w:val="16"/>
                    </w:rPr>
                  </w:pPr>
                  <w:r w:rsidRPr="00350EBD">
                    <w:rPr>
                      <w:sz w:val="16"/>
                      <w:szCs w:val="16"/>
                    </w:rPr>
                    <w:t>21.8</w:t>
                  </w:r>
                </w:p>
              </w:tc>
              <w:tc>
                <w:tcPr>
                  <w:tcW w:w="1080" w:type="dxa"/>
                </w:tcPr>
                <w:p w:rsidR="00942A21" w:rsidRPr="00350EBD" w:rsidRDefault="00942A21" w:rsidP="001C7575">
                  <w:pPr>
                    <w:pStyle w:val="Tabletext"/>
                    <w:rPr>
                      <w:sz w:val="16"/>
                      <w:szCs w:val="16"/>
                    </w:rPr>
                  </w:pPr>
                  <w:r w:rsidRPr="00350EBD">
                    <w:rPr>
                      <w:sz w:val="16"/>
                      <w:szCs w:val="16"/>
                    </w:rPr>
                    <w:t>4.55</w:t>
                  </w:r>
                </w:p>
              </w:tc>
              <w:tc>
                <w:tcPr>
                  <w:tcW w:w="900" w:type="dxa"/>
                </w:tcPr>
                <w:p w:rsidR="00942A21" w:rsidRPr="00350EBD" w:rsidRDefault="00942A21" w:rsidP="001C7575">
                  <w:pPr>
                    <w:pStyle w:val="Tabletext"/>
                    <w:rPr>
                      <w:sz w:val="16"/>
                      <w:szCs w:val="16"/>
                    </w:rPr>
                  </w:pPr>
                  <w:r w:rsidRPr="00350EBD">
                    <w:rPr>
                      <w:sz w:val="16"/>
                      <w:szCs w:val="16"/>
                    </w:rPr>
                    <w:t>0.0589</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2011-12 vs 2012-13</w:t>
                  </w:r>
                </w:p>
              </w:tc>
              <w:tc>
                <w:tcPr>
                  <w:tcW w:w="376" w:type="dxa"/>
                </w:tcPr>
                <w:p w:rsidR="00942A21" w:rsidRPr="00350EBD" w:rsidRDefault="00942A21" w:rsidP="001C7575">
                  <w:pPr>
                    <w:pStyle w:val="Tabletext"/>
                    <w:rPr>
                      <w:sz w:val="16"/>
                      <w:szCs w:val="16"/>
                    </w:rPr>
                  </w:pPr>
                  <w:r w:rsidRPr="00350EBD">
                    <w:rPr>
                      <w:sz w:val="16"/>
                      <w:szCs w:val="16"/>
                    </w:rPr>
                    <w:t>1</w:t>
                  </w:r>
                </w:p>
              </w:tc>
              <w:tc>
                <w:tcPr>
                  <w:tcW w:w="1080" w:type="dxa"/>
                </w:tcPr>
                <w:p w:rsidR="00942A21" w:rsidRPr="00350EBD" w:rsidRDefault="00942A21" w:rsidP="001C7575">
                  <w:pPr>
                    <w:pStyle w:val="Tabletext"/>
                    <w:rPr>
                      <w:sz w:val="16"/>
                      <w:szCs w:val="16"/>
                    </w:rPr>
                  </w:pPr>
                  <w:r w:rsidRPr="00350EBD">
                    <w:rPr>
                      <w:sz w:val="16"/>
                      <w:szCs w:val="16"/>
                    </w:rPr>
                    <w:t>0.2</w:t>
                  </w:r>
                </w:p>
              </w:tc>
              <w:tc>
                <w:tcPr>
                  <w:tcW w:w="1080" w:type="dxa"/>
                </w:tcPr>
                <w:p w:rsidR="00942A21" w:rsidRPr="00350EBD" w:rsidRDefault="00942A21" w:rsidP="001C7575">
                  <w:pPr>
                    <w:pStyle w:val="Tabletext"/>
                    <w:rPr>
                      <w:sz w:val="16"/>
                      <w:szCs w:val="16"/>
                    </w:rPr>
                  </w:pPr>
                  <w:r w:rsidRPr="00350EBD">
                    <w:rPr>
                      <w:sz w:val="16"/>
                      <w:szCs w:val="16"/>
                    </w:rPr>
                    <w:t>0.05</w:t>
                  </w:r>
                </w:p>
              </w:tc>
              <w:tc>
                <w:tcPr>
                  <w:tcW w:w="900" w:type="dxa"/>
                </w:tcPr>
                <w:p w:rsidR="00942A21" w:rsidRPr="00350EBD" w:rsidRDefault="00942A21" w:rsidP="001C7575">
                  <w:pPr>
                    <w:pStyle w:val="Tabletext"/>
                    <w:rPr>
                      <w:sz w:val="16"/>
                      <w:szCs w:val="16"/>
                    </w:rPr>
                  </w:pPr>
                  <w:r w:rsidRPr="00350EBD">
                    <w:rPr>
                      <w:sz w:val="16"/>
                      <w:szCs w:val="16"/>
                    </w:rPr>
                    <w:t>0.8299</w:t>
                  </w:r>
                </w:p>
              </w:tc>
            </w:tr>
          </w:tbl>
          <w:p w:rsidR="00942A21" w:rsidRPr="001773D8" w:rsidRDefault="00942A21" w:rsidP="001773D8">
            <w:pPr>
              <w:pStyle w:val="Tabletext"/>
              <w:rPr>
                <w:sz w:val="16"/>
                <w:szCs w:val="16"/>
              </w:rPr>
            </w:pPr>
            <w:r w:rsidRPr="001773D8">
              <w:rPr>
                <w:rFonts w:ascii="Courier New" w:hAnsi="Courier New" w:cs="Courier New"/>
                <w:sz w:val="20"/>
                <w:szCs w:val="20"/>
              </w:rPr>
              <w:t xml:space="preserve">      </w:t>
            </w:r>
          </w:p>
        </w:tc>
        <w:tc>
          <w:tcPr>
            <w:tcW w:w="2330" w:type="dxa"/>
          </w:tcPr>
          <w:p w:rsidR="00942A21" w:rsidRPr="001773D8" w:rsidRDefault="00942A21" w:rsidP="001773D8">
            <w:pPr>
              <w:pStyle w:val="Tabletext"/>
              <w:rPr>
                <w:sz w:val="16"/>
                <w:szCs w:val="16"/>
              </w:rPr>
            </w:pPr>
            <w:r w:rsidRPr="001773D8">
              <w:rPr>
                <w:sz w:val="16"/>
                <w:szCs w:val="16"/>
              </w:rPr>
              <w:t>Significant effect of water year but neither contrast significant (although difference between first 2 years very close to significant)</w:t>
            </w:r>
          </w:p>
        </w:tc>
      </w:tr>
      <w:tr w:rsidR="00942A21" w:rsidTr="001773D8">
        <w:tc>
          <w:tcPr>
            <w:tcW w:w="1325" w:type="dxa"/>
          </w:tcPr>
          <w:p w:rsidR="00942A21" w:rsidRDefault="00942A21" w:rsidP="001773D8">
            <w:pPr>
              <w:pStyle w:val="Tabletext"/>
            </w:pPr>
            <w:r>
              <w:t>Tda*</w:t>
            </w: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394"/>
              <w:gridCol w:w="1080"/>
              <w:gridCol w:w="1080"/>
              <w:gridCol w:w="900"/>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376" w:type="dxa"/>
                </w:tcPr>
                <w:p w:rsidR="00942A21" w:rsidRPr="00350EBD" w:rsidRDefault="00942A21" w:rsidP="001C7575">
                  <w:pPr>
                    <w:pStyle w:val="Tabletext"/>
                    <w:rPr>
                      <w:sz w:val="16"/>
                      <w:szCs w:val="16"/>
                    </w:rPr>
                  </w:pPr>
                  <w:r w:rsidRPr="00350EBD">
                    <w:rPr>
                      <w:sz w:val="16"/>
                      <w:szCs w:val="16"/>
                    </w:rPr>
                    <w:t>df</w:t>
                  </w:r>
                </w:p>
              </w:tc>
              <w:tc>
                <w:tcPr>
                  <w:tcW w:w="1080" w:type="dxa"/>
                </w:tcPr>
                <w:p w:rsidR="00942A21" w:rsidRPr="00350EBD" w:rsidRDefault="00942A21" w:rsidP="001C7575">
                  <w:pPr>
                    <w:pStyle w:val="Tabletext"/>
                    <w:rPr>
                      <w:sz w:val="16"/>
                      <w:szCs w:val="16"/>
                    </w:rPr>
                  </w:pPr>
                  <w:r w:rsidRPr="00350EBD">
                    <w:rPr>
                      <w:sz w:val="16"/>
                      <w:szCs w:val="16"/>
                    </w:rPr>
                    <w:t>MS</w:t>
                  </w:r>
                </w:p>
              </w:tc>
              <w:tc>
                <w:tcPr>
                  <w:tcW w:w="1080" w:type="dxa"/>
                </w:tcPr>
                <w:p w:rsidR="00942A21" w:rsidRPr="00350EBD" w:rsidRDefault="00942A21" w:rsidP="001C7575">
                  <w:pPr>
                    <w:pStyle w:val="Tabletext"/>
                    <w:rPr>
                      <w:sz w:val="16"/>
                      <w:szCs w:val="16"/>
                    </w:rPr>
                  </w:pPr>
                  <w:r w:rsidRPr="00350EBD">
                    <w:rPr>
                      <w:sz w:val="16"/>
                      <w:szCs w:val="16"/>
                    </w:rPr>
                    <w:t>Pseudo-F</w:t>
                  </w:r>
                </w:p>
              </w:tc>
              <w:tc>
                <w:tcPr>
                  <w:tcW w:w="900"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376" w:type="dxa"/>
                </w:tcPr>
                <w:p w:rsidR="00942A21" w:rsidRPr="00350EBD" w:rsidRDefault="00942A21" w:rsidP="001C7575">
                  <w:pPr>
                    <w:pStyle w:val="Tabletext"/>
                    <w:rPr>
                      <w:sz w:val="16"/>
                      <w:szCs w:val="16"/>
                    </w:rPr>
                  </w:pPr>
                  <w:r w:rsidRPr="00350EBD">
                    <w:rPr>
                      <w:sz w:val="16"/>
                      <w:szCs w:val="16"/>
                    </w:rPr>
                    <w:t>2</w:t>
                  </w:r>
                </w:p>
              </w:tc>
              <w:tc>
                <w:tcPr>
                  <w:tcW w:w="1080"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1.17</w:t>
                  </w:r>
                </w:p>
              </w:tc>
              <w:tc>
                <w:tcPr>
                  <w:tcW w:w="900" w:type="dxa"/>
                </w:tcPr>
                <w:p w:rsidR="00942A21" w:rsidRPr="00350EBD" w:rsidRDefault="00942A21" w:rsidP="001C7575">
                  <w:pPr>
                    <w:pStyle w:val="Tabletext"/>
                    <w:rPr>
                      <w:sz w:val="16"/>
                      <w:szCs w:val="16"/>
                    </w:rPr>
                  </w:pPr>
                  <w:r w:rsidRPr="00350EBD">
                    <w:rPr>
                      <w:sz w:val="16"/>
                      <w:szCs w:val="16"/>
                    </w:rPr>
                    <w:t>0.3895</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376"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1.7</w:t>
                  </w:r>
                </w:p>
              </w:tc>
              <w:tc>
                <w:tcPr>
                  <w:tcW w:w="1080" w:type="dxa"/>
                </w:tcPr>
                <w:p w:rsidR="00942A21" w:rsidRPr="00350EBD" w:rsidRDefault="00942A21" w:rsidP="001C7575">
                  <w:pPr>
                    <w:pStyle w:val="Tabletext"/>
                    <w:rPr>
                      <w:sz w:val="16"/>
                      <w:szCs w:val="16"/>
                    </w:rPr>
                  </w:pPr>
                </w:p>
              </w:tc>
              <w:tc>
                <w:tcPr>
                  <w:tcW w:w="900" w:type="dxa"/>
                </w:tcPr>
                <w:p w:rsidR="00942A21" w:rsidRPr="00350EBD" w:rsidRDefault="00942A21" w:rsidP="001C7575">
                  <w:pPr>
                    <w:pStyle w:val="Tabletext"/>
                    <w:rPr>
                      <w:sz w:val="16"/>
                      <w:szCs w:val="16"/>
                    </w:rPr>
                  </w:pPr>
                </w:p>
              </w:tc>
            </w:tr>
          </w:tbl>
          <w:p w:rsidR="00942A21" w:rsidRPr="001773D8" w:rsidRDefault="00942A21" w:rsidP="001773D8">
            <w:pPr>
              <w:pStyle w:val="Tabletext"/>
              <w:rPr>
                <w:sz w:val="16"/>
                <w:szCs w:val="16"/>
              </w:rPr>
            </w:pPr>
            <w:r w:rsidRPr="001773D8">
              <w:rPr>
                <w:rFonts w:ascii="Courier New" w:hAnsi="Courier New" w:cs="Courier New"/>
                <w:sz w:val="20"/>
                <w:szCs w:val="20"/>
              </w:rPr>
              <w:t xml:space="preserve">     </w:t>
            </w:r>
          </w:p>
        </w:tc>
        <w:tc>
          <w:tcPr>
            <w:tcW w:w="2330" w:type="dxa"/>
          </w:tcPr>
          <w:p w:rsidR="00942A21" w:rsidRPr="001773D8" w:rsidRDefault="00942A21" w:rsidP="001773D8">
            <w:pPr>
              <w:pStyle w:val="Tabletext"/>
              <w:rPr>
                <w:sz w:val="16"/>
                <w:szCs w:val="16"/>
              </w:rPr>
            </w:pPr>
            <w:r w:rsidRPr="001773D8">
              <w:rPr>
                <w:sz w:val="16"/>
                <w:szCs w:val="16"/>
              </w:rPr>
              <w:t>No effect of water year</w:t>
            </w:r>
          </w:p>
        </w:tc>
      </w:tr>
      <w:tr w:rsidR="00942A21" w:rsidTr="001773D8">
        <w:tc>
          <w:tcPr>
            <w:tcW w:w="1325" w:type="dxa"/>
          </w:tcPr>
          <w:p w:rsidR="00942A21" w:rsidRDefault="00942A21" w:rsidP="001773D8">
            <w:pPr>
              <w:pStyle w:val="Tabletext"/>
            </w:pPr>
            <w:r>
              <w:t>Tda</w:t>
            </w: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394"/>
              <w:gridCol w:w="1080"/>
              <w:gridCol w:w="1080"/>
              <w:gridCol w:w="900"/>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360" w:type="dxa"/>
                </w:tcPr>
                <w:p w:rsidR="00942A21" w:rsidRPr="00350EBD" w:rsidRDefault="00942A21" w:rsidP="001C7575">
                  <w:pPr>
                    <w:pStyle w:val="Tabletext"/>
                    <w:rPr>
                      <w:sz w:val="16"/>
                      <w:szCs w:val="16"/>
                    </w:rPr>
                  </w:pPr>
                  <w:r w:rsidRPr="00350EBD">
                    <w:rPr>
                      <w:sz w:val="16"/>
                      <w:szCs w:val="16"/>
                    </w:rPr>
                    <w:t>df</w:t>
                  </w:r>
                </w:p>
              </w:tc>
              <w:tc>
                <w:tcPr>
                  <w:tcW w:w="1080" w:type="dxa"/>
                </w:tcPr>
                <w:p w:rsidR="00942A21" w:rsidRPr="00350EBD" w:rsidRDefault="00942A21" w:rsidP="001C7575">
                  <w:pPr>
                    <w:pStyle w:val="Tabletext"/>
                    <w:rPr>
                      <w:sz w:val="16"/>
                      <w:szCs w:val="16"/>
                    </w:rPr>
                  </w:pPr>
                  <w:r w:rsidRPr="00350EBD">
                    <w:rPr>
                      <w:sz w:val="16"/>
                      <w:szCs w:val="16"/>
                    </w:rPr>
                    <w:t>MS</w:t>
                  </w:r>
                </w:p>
              </w:tc>
              <w:tc>
                <w:tcPr>
                  <w:tcW w:w="1080" w:type="dxa"/>
                </w:tcPr>
                <w:p w:rsidR="00942A21" w:rsidRPr="00350EBD" w:rsidRDefault="00942A21" w:rsidP="001C7575">
                  <w:pPr>
                    <w:pStyle w:val="Tabletext"/>
                    <w:rPr>
                      <w:sz w:val="16"/>
                      <w:szCs w:val="16"/>
                    </w:rPr>
                  </w:pPr>
                  <w:r w:rsidRPr="00350EBD">
                    <w:rPr>
                      <w:sz w:val="16"/>
                      <w:szCs w:val="16"/>
                    </w:rPr>
                    <w:t>Pseudo-F</w:t>
                  </w:r>
                </w:p>
              </w:tc>
              <w:tc>
                <w:tcPr>
                  <w:tcW w:w="900"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360" w:type="dxa"/>
                </w:tcPr>
                <w:p w:rsidR="00942A21" w:rsidRPr="00350EBD" w:rsidRDefault="00942A21" w:rsidP="001C7575">
                  <w:pPr>
                    <w:pStyle w:val="Tabletext"/>
                    <w:rPr>
                      <w:sz w:val="16"/>
                      <w:szCs w:val="16"/>
                    </w:rPr>
                  </w:pPr>
                  <w:r w:rsidRPr="00350EBD">
                    <w:rPr>
                      <w:sz w:val="16"/>
                      <w:szCs w:val="16"/>
                    </w:rPr>
                    <w:t>2</w:t>
                  </w:r>
                </w:p>
              </w:tc>
              <w:tc>
                <w:tcPr>
                  <w:tcW w:w="1080" w:type="dxa"/>
                </w:tcPr>
                <w:p w:rsidR="00942A21" w:rsidRPr="00350EBD" w:rsidRDefault="00942A21" w:rsidP="001C7575">
                  <w:pPr>
                    <w:pStyle w:val="Tabletext"/>
                    <w:rPr>
                      <w:sz w:val="16"/>
                      <w:szCs w:val="16"/>
                    </w:rPr>
                  </w:pPr>
                  <w:r w:rsidRPr="00350EBD">
                    <w:rPr>
                      <w:sz w:val="16"/>
                      <w:szCs w:val="16"/>
                    </w:rPr>
                    <w:t>117.8</w:t>
                  </w:r>
                </w:p>
              </w:tc>
              <w:tc>
                <w:tcPr>
                  <w:tcW w:w="1080" w:type="dxa"/>
                </w:tcPr>
                <w:p w:rsidR="00942A21" w:rsidRPr="00350EBD" w:rsidRDefault="00942A21" w:rsidP="001C7575">
                  <w:pPr>
                    <w:pStyle w:val="Tabletext"/>
                    <w:rPr>
                      <w:sz w:val="16"/>
                      <w:szCs w:val="16"/>
                    </w:rPr>
                  </w:pPr>
                  <w:r w:rsidRPr="00350EBD">
                    <w:rPr>
                      <w:sz w:val="16"/>
                      <w:szCs w:val="16"/>
                    </w:rPr>
                    <w:t>10.32</w:t>
                  </w:r>
                </w:p>
              </w:tc>
              <w:tc>
                <w:tcPr>
                  <w:tcW w:w="900" w:type="dxa"/>
                </w:tcPr>
                <w:p w:rsidR="00942A21" w:rsidRPr="00350EBD" w:rsidRDefault="00942A21" w:rsidP="001C7575">
                  <w:pPr>
                    <w:pStyle w:val="Tabletext"/>
                    <w:rPr>
                      <w:sz w:val="16"/>
                      <w:szCs w:val="16"/>
                    </w:rPr>
                  </w:pPr>
                  <w:r w:rsidRPr="00350EBD">
                    <w:rPr>
                      <w:sz w:val="16"/>
                      <w:szCs w:val="16"/>
                    </w:rPr>
                    <w:t>0.0005</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360"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11.4</w:t>
                  </w:r>
                </w:p>
              </w:tc>
              <w:tc>
                <w:tcPr>
                  <w:tcW w:w="1080" w:type="dxa"/>
                </w:tcPr>
                <w:p w:rsidR="00942A21" w:rsidRPr="00350EBD" w:rsidRDefault="00942A21" w:rsidP="001C7575">
                  <w:pPr>
                    <w:pStyle w:val="Tabletext"/>
                    <w:rPr>
                      <w:sz w:val="16"/>
                      <w:szCs w:val="16"/>
                    </w:rPr>
                  </w:pPr>
                </w:p>
              </w:tc>
              <w:tc>
                <w:tcPr>
                  <w:tcW w:w="900" w:type="dxa"/>
                </w:tcPr>
                <w:p w:rsidR="00942A21" w:rsidRPr="00350EBD" w:rsidRDefault="00942A21" w:rsidP="001C7575">
                  <w:pPr>
                    <w:pStyle w:val="Tabletext"/>
                    <w:rPr>
                      <w:sz w:val="16"/>
                      <w:szCs w:val="16"/>
                    </w:rPr>
                  </w:pP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2010-11 vs 2011-12</w:t>
                  </w:r>
                </w:p>
              </w:tc>
              <w:tc>
                <w:tcPr>
                  <w:tcW w:w="360" w:type="dxa"/>
                </w:tcPr>
                <w:p w:rsidR="00942A21" w:rsidRPr="00350EBD" w:rsidRDefault="00942A21" w:rsidP="001C7575">
                  <w:pPr>
                    <w:pStyle w:val="Tabletext"/>
                    <w:rPr>
                      <w:sz w:val="16"/>
                      <w:szCs w:val="16"/>
                    </w:rPr>
                  </w:pPr>
                  <w:r w:rsidRPr="00350EBD">
                    <w:rPr>
                      <w:sz w:val="16"/>
                      <w:szCs w:val="16"/>
                    </w:rPr>
                    <w:t>1</w:t>
                  </w:r>
                </w:p>
              </w:tc>
              <w:tc>
                <w:tcPr>
                  <w:tcW w:w="1080" w:type="dxa"/>
                </w:tcPr>
                <w:p w:rsidR="00942A21" w:rsidRPr="00350EBD" w:rsidRDefault="00942A21" w:rsidP="001C7575">
                  <w:pPr>
                    <w:pStyle w:val="Tabletext"/>
                    <w:rPr>
                      <w:sz w:val="16"/>
                      <w:szCs w:val="16"/>
                    </w:rPr>
                  </w:pPr>
                  <w:r w:rsidRPr="00350EBD">
                    <w:rPr>
                      <w:sz w:val="16"/>
                      <w:szCs w:val="16"/>
                    </w:rPr>
                    <w:t>230.6</w:t>
                  </w:r>
                </w:p>
              </w:tc>
              <w:tc>
                <w:tcPr>
                  <w:tcW w:w="1080" w:type="dxa"/>
                </w:tcPr>
                <w:p w:rsidR="00942A21" w:rsidRPr="00350EBD" w:rsidRDefault="00942A21" w:rsidP="001C7575">
                  <w:pPr>
                    <w:pStyle w:val="Tabletext"/>
                    <w:rPr>
                      <w:sz w:val="16"/>
                      <w:szCs w:val="16"/>
                    </w:rPr>
                  </w:pPr>
                  <w:r w:rsidRPr="00350EBD">
                    <w:rPr>
                      <w:sz w:val="16"/>
                      <w:szCs w:val="16"/>
                    </w:rPr>
                    <w:t>12.49</w:t>
                  </w:r>
                </w:p>
              </w:tc>
              <w:tc>
                <w:tcPr>
                  <w:tcW w:w="900" w:type="dxa"/>
                </w:tcPr>
                <w:p w:rsidR="00942A21" w:rsidRPr="00350EBD" w:rsidRDefault="00942A21" w:rsidP="001C7575">
                  <w:pPr>
                    <w:pStyle w:val="Tabletext"/>
                    <w:rPr>
                      <w:sz w:val="16"/>
                      <w:szCs w:val="16"/>
                    </w:rPr>
                  </w:pPr>
                  <w:r w:rsidRPr="00350EBD">
                    <w:rPr>
                      <w:sz w:val="16"/>
                      <w:szCs w:val="16"/>
                    </w:rPr>
                    <w:t>0.0057</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2011-12 vs 2012-13</w:t>
                  </w:r>
                </w:p>
              </w:tc>
              <w:tc>
                <w:tcPr>
                  <w:tcW w:w="360" w:type="dxa"/>
                </w:tcPr>
                <w:p w:rsidR="00942A21" w:rsidRPr="00350EBD" w:rsidRDefault="00942A21" w:rsidP="001C7575">
                  <w:pPr>
                    <w:pStyle w:val="Tabletext"/>
                    <w:rPr>
                      <w:sz w:val="16"/>
                      <w:szCs w:val="16"/>
                    </w:rPr>
                  </w:pPr>
                  <w:r w:rsidRPr="00350EBD">
                    <w:rPr>
                      <w:sz w:val="16"/>
                      <w:szCs w:val="16"/>
                    </w:rPr>
                    <w:t>1</w:t>
                  </w:r>
                </w:p>
              </w:tc>
              <w:tc>
                <w:tcPr>
                  <w:tcW w:w="1080" w:type="dxa"/>
                </w:tcPr>
                <w:p w:rsidR="00942A21" w:rsidRPr="00350EBD" w:rsidRDefault="00942A21" w:rsidP="001C7575">
                  <w:pPr>
                    <w:pStyle w:val="Tabletext"/>
                    <w:rPr>
                      <w:sz w:val="16"/>
                      <w:szCs w:val="16"/>
                    </w:rPr>
                  </w:pPr>
                  <w:r w:rsidRPr="00350EBD">
                    <w:rPr>
                      <w:sz w:val="16"/>
                      <w:szCs w:val="16"/>
                    </w:rPr>
                    <w:t>31.8</w:t>
                  </w:r>
                </w:p>
              </w:tc>
              <w:tc>
                <w:tcPr>
                  <w:tcW w:w="1080" w:type="dxa"/>
                </w:tcPr>
                <w:p w:rsidR="00942A21" w:rsidRPr="00350EBD" w:rsidRDefault="00942A21" w:rsidP="001C7575">
                  <w:pPr>
                    <w:pStyle w:val="Tabletext"/>
                    <w:rPr>
                      <w:sz w:val="16"/>
                      <w:szCs w:val="16"/>
                    </w:rPr>
                  </w:pPr>
                  <w:r w:rsidRPr="00350EBD">
                    <w:rPr>
                      <w:sz w:val="16"/>
                      <w:szCs w:val="16"/>
                    </w:rPr>
                    <w:t>9.17</w:t>
                  </w:r>
                </w:p>
              </w:tc>
              <w:tc>
                <w:tcPr>
                  <w:tcW w:w="900" w:type="dxa"/>
                </w:tcPr>
                <w:p w:rsidR="00942A21" w:rsidRPr="00350EBD" w:rsidRDefault="00942A21" w:rsidP="001C7575">
                  <w:pPr>
                    <w:pStyle w:val="Tabletext"/>
                    <w:rPr>
                      <w:sz w:val="16"/>
                      <w:szCs w:val="16"/>
                    </w:rPr>
                  </w:pPr>
                  <w:r w:rsidRPr="00350EBD">
                    <w:rPr>
                      <w:sz w:val="16"/>
                      <w:szCs w:val="16"/>
                    </w:rPr>
                    <w:t>0.0147</w:t>
                  </w:r>
                </w:p>
              </w:tc>
            </w:tr>
          </w:tbl>
          <w:p w:rsidR="00942A21" w:rsidRPr="001773D8" w:rsidRDefault="00942A21" w:rsidP="001773D8">
            <w:pPr>
              <w:pStyle w:val="Tabletext"/>
              <w:rPr>
                <w:sz w:val="16"/>
                <w:szCs w:val="16"/>
              </w:rPr>
            </w:pPr>
            <w:r w:rsidRPr="001773D8">
              <w:rPr>
                <w:rFonts w:ascii="Courier New" w:hAnsi="Courier New" w:cs="Courier New"/>
                <w:sz w:val="20"/>
                <w:szCs w:val="20"/>
              </w:rPr>
              <w:t xml:space="preserve"> </w:t>
            </w:r>
          </w:p>
        </w:tc>
        <w:tc>
          <w:tcPr>
            <w:tcW w:w="2330" w:type="dxa"/>
          </w:tcPr>
          <w:p w:rsidR="00942A21" w:rsidRPr="001773D8" w:rsidRDefault="00942A21" w:rsidP="001773D8">
            <w:pPr>
              <w:pStyle w:val="Tabletext"/>
              <w:rPr>
                <w:sz w:val="16"/>
                <w:szCs w:val="16"/>
              </w:rPr>
            </w:pPr>
            <w:r w:rsidRPr="001773D8">
              <w:rPr>
                <w:sz w:val="16"/>
                <w:szCs w:val="16"/>
              </w:rPr>
              <w:t>Significant effect of water year and both contrasts significant</w:t>
            </w:r>
          </w:p>
        </w:tc>
      </w:tr>
      <w:tr w:rsidR="00942A21" w:rsidTr="001773D8">
        <w:tc>
          <w:tcPr>
            <w:tcW w:w="1325" w:type="dxa"/>
          </w:tcPr>
          <w:p w:rsidR="00942A21" w:rsidRDefault="00942A21" w:rsidP="001C7575">
            <w:pPr>
              <w:pStyle w:val="Tabletext"/>
            </w:pPr>
            <w:r>
              <w:t>Ate*</w:t>
            </w:r>
          </w:p>
          <w:p w:rsidR="001C7575" w:rsidRDefault="001C7575" w:rsidP="001C7575">
            <w:pPr>
              <w:pStyle w:val="Tabletext"/>
            </w:pPr>
          </w:p>
          <w:p w:rsidR="001C7575" w:rsidRDefault="001C7575" w:rsidP="001773D8">
            <w:pPr>
              <w:pStyle w:val="Tabletext"/>
            </w:pP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394"/>
              <w:gridCol w:w="1080"/>
              <w:gridCol w:w="1080"/>
              <w:gridCol w:w="900"/>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376" w:type="dxa"/>
                </w:tcPr>
                <w:p w:rsidR="00942A21" w:rsidRPr="00350EBD" w:rsidRDefault="00942A21" w:rsidP="001C7575">
                  <w:pPr>
                    <w:pStyle w:val="Tabletext"/>
                    <w:rPr>
                      <w:sz w:val="16"/>
                      <w:szCs w:val="16"/>
                    </w:rPr>
                  </w:pPr>
                  <w:r w:rsidRPr="00350EBD">
                    <w:rPr>
                      <w:sz w:val="16"/>
                      <w:szCs w:val="16"/>
                    </w:rPr>
                    <w:t>df</w:t>
                  </w:r>
                </w:p>
              </w:tc>
              <w:tc>
                <w:tcPr>
                  <w:tcW w:w="1080" w:type="dxa"/>
                </w:tcPr>
                <w:p w:rsidR="00942A21" w:rsidRPr="00350EBD" w:rsidRDefault="00942A21" w:rsidP="001C7575">
                  <w:pPr>
                    <w:pStyle w:val="Tabletext"/>
                    <w:rPr>
                      <w:sz w:val="16"/>
                      <w:szCs w:val="16"/>
                    </w:rPr>
                  </w:pPr>
                  <w:r w:rsidRPr="00350EBD">
                    <w:rPr>
                      <w:sz w:val="16"/>
                      <w:szCs w:val="16"/>
                    </w:rPr>
                    <w:t>MS</w:t>
                  </w:r>
                </w:p>
              </w:tc>
              <w:tc>
                <w:tcPr>
                  <w:tcW w:w="1080" w:type="dxa"/>
                </w:tcPr>
                <w:p w:rsidR="00942A21" w:rsidRPr="00350EBD" w:rsidRDefault="00942A21" w:rsidP="001C7575">
                  <w:pPr>
                    <w:pStyle w:val="Tabletext"/>
                    <w:rPr>
                      <w:sz w:val="16"/>
                      <w:szCs w:val="16"/>
                    </w:rPr>
                  </w:pPr>
                  <w:r w:rsidRPr="00350EBD">
                    <w:rPr>
                      <w:sz w:val="16"/>
                      <w:szCs w:val="16"/>
                    </w:rPr>
                    <w:t>Pseudo-F</w:t>
                  </w:r>
                </w:p>
              </w:tc>
              <w:tc>
                <w:tcPr>
                  <w:tcW w:w="900"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376" w:type="dxa"/>
                </w:tcPr>
                <w:p w:rsidR="00942A21" w:rsidRPr="00350EBD" w:rsidRDefault="00942A21" w:rsidP="001C7575">
                  <w:pPr>
                    <w:pStyle w:val="Tabletext"/>
                    <w:rPr>
                      <w:sz w:val="16"/>
                      <w:szCs w:val="16"/>
                    </w:rPr>
                  </w:pPr>
                  <w:r w:rsidRPr="00350EBD">
                    <w:rPr>
                      <w:sz w:val="16"/>
                      <w:szCs w:val="16"/>
                    </w:rPr>
                    <w:t>2</w:t>
                  </w:r>
                </w:p>
              </w:tc>
              <w:tc>
                <w:tcPr>
                  <w:tcW w:w="1080" w:type="dxa"/>
                </w:tcPr>
                <w:p w:rsidR="00942A21" w:rsidRPr="00350EBD" w:rsidRDefault="00942A21" w:rsidP="001C7575">
                  <w:pPr>
                    <w:pStyle w:val="Tabletext"/>
                    <w:rPr>
                      <w:sz w:val="16"/>
                      <w:szCs w:val="16"/>
                    </w:rPr>
                  </w:pPr>
                  <w:r w:rsidRPr="00350EBD">
                    <w:rPr>
                      <w:sz w:val="16"/>
                      <w:szCs w:val="16"/>
                    </w:rPr>
                    <w:t>0.5</w:t>
                  </w:r>
                </w:p>
              </w:tc>
              <w:tc>
                <w:tcPr>
                  <w:tcW w:w="1080" w:type="dxa"/>
                </w:tcPr>
                <w:p w:rsidR="00942A21" w:rsidRPr="00350EBD" w:rsidRDefault="00942A21" w:rsidP="001C7575">
                  <w:pPr>
                    <w:pStyle w:val="Tabletext"/>
                    <w:rPr>
                      <w:sz w:val="16"/>
                      <w:szCs w:val="16"/>
                    </w:rPr>
                  </w:pPr>
                  <w:r w:rsidRPr="00350EBD">
                    <w:rPr>
                      <w:sz w:val="16"/>
                      <w:szCs w:val="16"/>
                    </w:rPr>
                    <w:t>1.72</w:t>
                  </w:r>
                </w:p>
              </w:tc>
              <w:tc>
                <w:tcPr>
                  <w:tcW w:w="900" w:type="dxa"/>
                </w:tcPr>
                <w:p w:rsidR="00942A21" w:rsidRPr="00350EBD" w:rsidRDefault="00942A21" w:rsidP="001C7575">
                  <w:pPr>
                    <w:pStyle w:val="Tabletext"/>
                    <w:rPr>
                      <w:sz w:val="16"/>
                      <w:szCs w:val="16"/>
                    </w:rPr>
                  </w:pPr>
                  <w:r w:rsidRPr="00350EBD">
                    <w:rPr>
                      <w:sz w:val="16"/>
                      <w:szCs w:val="16"/>
                    </w:rPr>
                    <w:t>0.214</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376"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0.3</w:t>
                  </w:r>
                </w:p>
              </w:tc>
              <w:tc>
                <w:tcPr>
                  <w:tcW w:w="1080" w:type="dxa"/>
                </w:tcPr>
                <w:p w:rsidR="00942A21" w:rsidRPr="00350EBD" w:rsidRDefault="00942A21" w:rsidP="001C7575">
                  <w:pPr>
                    <w:pStyle w:val="Tabletext"/>
                    <w:rPr>
                      <w:sz w:val="16"/>
                      <w:szCs w:val="16"/>
                    </w:rPr>
                  </w:pPr>
                </w:p>
              </w:tc>
              <w:tc>
                <w:tcPr>
                  <w:tcW w:w="900" w:type="dxa"/>
                </w:tcPr>
                <w:p w:rsidR="00942A21" w:rsidRPr="00350EBD" w:rsidRDefault="00942A21" w:rsidP="001C7575">
                  <w:pPr>
                    <w:pStyle w:val="Tabletext"/>
                    <w:rPr>
                      <w:sz w:val="16"/>
                      <w:szCs w:val="16"/>
                    </w:rPr>
                  </w:pPr>
                </w:p>
              </w:tc>
            </w:tr>
          </w:tbl>
          <w:p w:rsidR="00942A21" w:rsidRPr="001773D8" w:rsidRDefault="00942A21" w:rsidP="001773D8">
            <w:pPr>
              <w:pStyle w:val="Tabletext"/>
              <w:rPr>
                <w:sz w:val="16"/>
                <w:szCs w:val="16"/>
              </w:rPr>
            </w:pPr>
          </w:p>
        </w:tc>
        <w:tc>
          <w:tcPr>
            <w:tcW w:w="2330" w:type="dxa"/>
          </w:tcPr>
          <w:p w:rsidR="00942A21" w:rsidRPr="001773D8" w:rsidRDefault="00942A21" w:rsidP="001773D8">
            <w:pPr>
              <w:pStyle w:val="Tabletext"/>
              <w:rPr>
                <w:sz w:val="16"/>
                <w:szCs w:val="16"/>
              </w:rPr>
            </w:pPr>
            <w:r w:rsidRPr="001773D8">
              <w:rPr>
                <w:sz w:val="16"/>
                <w:szCs w:val="16"/>
              </w:rPr>
              <w:t>No effect of water year</w:t>
            </w:r>
          </w:p>
        </w:tc>
      </w:tr>
      <w:tr w:rsidR="00942A21" w:rsidTr="001773D8">
        <w:tc>
          <w:tcPr>
            <w:tcW w:w="1325" w:type="dxa"/>
          </w:tcPr>
          <w:p w:rsidR="00942A21" w:rsidRDefault="00942A21" w:rsidP="001C7575">
            <w:pPr>
              <w:pStyle w:val="Tabletext"/>
            </w:pPr>
            <w:r>
              <w:t>Ate</w:t>
            </w:r>
          </w:p>
          <w:p w:rsidR="001C7575" w:rsidRDefault="001C7575" w:rsidP="001C7575">
            <w:pPr>
              <w:pStyle w:val="Tabletext"/>
            </w:pPr>
          </w:p>
          <w:p w:rsidR="001C7575" w:rsidRDefault="001C7575" w:rsidP="001C7575">
            <w:pPr>
              <w:pStyle w:val="Tabletext"/>
            </w:pPr>
          </w:p>
          <w:p w:rsidR="001C7575" w:rsidRDefault="001C7575" w:rsidP="001C7575">
            <w:pPr>
              <w:pStyle w:val="Tabletext"/>
            </w:pPr>
          </w:p>
          <w:p w:rsidR="001C7575" w:rsidRDefault="001C7575" w:rsidP="001C7575">
            <w:pPr>
              <w:pStyle w:val="Tabletext"/>
            </w:pPr>
          </w:p>
          <w:p w:rsidR="001C7575" w:rsidRDefault="001C7575" w:rsidP="001C7575">
            <w:pPr>
              <w:pStyle w:val="Tabletext"/>
            </w:pPr>
          </w:p>
          <w:p w:rsidR="001C7575" w:rsidRDefault="001C7575" w:rsidP="001773D8">
            <w:pPr>
              <w:pStyle w:val="Tabletext"/>
            </w:pP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394"/>
              <w:gridCol w:w="1080"/>
              <w:gridCol w:w="1080"/>
              <w:gridCol w:w="900"/>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360" w:type="dxa"/>
                </w:tcPr>
                <w:p w:rsidR="00942A21" w:rsidRPr="00350EBD" w:rsidRDefault="00942A21" w:rsidP="001C7575">
                  <w:pPr>
                    <w:pStyle w:val="Tabletext"/>
                    <w:rPr>
                      <w:sz w:val="16"/>
                      <w:szCs w:val="16"/>
                    </w:rPr>
                  </w:pPr>
                  <w:r w:rsidRPr="00350EBD">
                    <w:rPr>
                      <w:sz w:val="16"/>
                      <w:szCs w:val="16"/>
                    </w:rPr>
                    <w:t>df</w:t>
                  </w:r>
                </w:p>
              </w:tc>
              <w:tc>
                <w:tcPr>
                  <w:tcW w:w="1080" w:type="dxa"/>
                </w:tcPr>
                <w:p w:rsidR="00942A21" w:rsidRPr="00350EBD" w:rsidRDefault="00942A21" w:rsidP="001C7575">
                  <w:pPr>
                    <w:pStyle w:val="Tabletext"/>
                    <w:rPr>
                      <w:sz w:val="16"/>
                      <w:szCs w:val="16"/>
                    </w:rPr>
                  </w:pPr>
                  <w:r w:rsidRPr="00350EBD">
                    <w:rPr>
                      <w:sz w:val="16"/>
                      <w:szCs w:val="16"/>
                    </w:rPr>
                    <w:t>MS</w:t>
                  </w:r>
                </w:p>
              </w:tc>
              <w:tc>
                <w:tcPr>
                  <w:tcW w:w="1080" w:type="dxa"/>
                </w:tcPr>
                <w:p w:rsidR="00942A21" w:rsidRPr="00350EBD" w:rsidRDefault="00942A21" w:rsidP="001C7575">
                  <w:pPr>
                    <w:pStyle w:val="Tabletext"/>
                    <w:rPr>
                      <w:sz w:val="16"/>
                      <w:szCs w:val="16"/>
                    </w:rPr>
                  </w:pPr>
                  <w:r w:rsidRPr="00350EBD">
                    <w:rPr>
                      <w:sz w:val="16"/>
                      <w:szCs w:val="16"/>
                    </w:rPr>
                    <w:t>Pseudo-F</w:t>
                  </w:r>
                </w:p>
              </w:tc>
              <w:tc>
                <w:tcPr>
                  <w:tcW w:w="900"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360" w:type="dxa"/>
                </w:tcPr>
                <w:p w:rsidR="00942A21" w:rsidRPr="00350EBD" w:rsidRDefault="00942A21" w:rsidP="001C7575">
                  <w:pPr>
                    <w:pStyle w:val="Tabletext"/>
                    <w:rPr>
                      <w:sz w:val="16"/>
                      <w:szCs w:val="16"/>
                    </w:rPr>
                  </w:pPr>
                  <w:r w:rsidRPr="00350EBD">
                    <w:rPr>
                      <w:sz w:val="16"/>
                      <w:szCs w:val="16"/>
                    </w:rPr>
                    <w:t>2</w:t>
                  </w:r>
                </w:p>
              </w:tc>
              <w:tc>
                <w:tcPr>
                  <w:tcW w:w="1080" w:type="dxa"/>
                </w:tcPr>
                <w:p w:rsidR="00942A21" w:rsidRPr="00350EBD" w:rsidRDefault="00942A21" w:rsidP="001C7575">
                  <w:pPr>
                    <w:pStyle w:val="Tabletext"/>
                    <w:rPr>
                      <w:sz w:val="16"/>
                      <w:szCs w:val="16"/>
                    </w:rPr>
                  </w:pPr>
                  <w:r w:rsidRPr="00350EBD">
                    <w:rPr>
                      <w:sz w:val="16"/>
                      <w:szCs w:val="16"/>
                    </w:rPr>
                    <w:t>153.0</w:t>
                  </w:r>
                </w:p>
              </w:tc>
              <w:tc>
                <w:tcPr>
                  <w:tcW w:w="1080" w:type="dxa"/>
                </w:tcPr>
                <w:p w:rsidR="00942A21" w:rsidRPr="00350EBD" w:rsidRDefault="00942A21" w:rsidP="001C7575">
                  <w:pPr>
                    <w:pStyle w:val="Tabletext"/>
                    <w:rPr>
                      <w:sz w:val="16"/>
                      <w:szCs w:val="16"/>
                    </w:rPr>
                  </w:pPr>
                  <w:r w:rsidRPr="00350EBD">
                    <w:rPr>
                      <w:sz w:val="16"/>
                      <w:szCs w:val="16"/>
                    </w:rPr>
                    <w:t>6.39</w:t>
                  </w:r>
                </w:p>
              </w:tc>
              <w:tc>
                <w:tcPr>
                  <w:tcW w:w="900" w:type="dxa"/>
                </w:tcPr>
                <w:p w:rsidR="00942A21" w:rsidRPr="00350EBD" w:rsidRDefault="00942A21" w:rsidP="001C7575">
                  <w:pPr>
                    <w:pStyle w:val="Tabletext"/>
                    <w:rPr>
                      <w:sz w:val="16"/>
                      <w:szCs w:val="16"/>
                    </w:rPr>
                  </w:pPr>
                  <w:r w:rsidRPr="00350EBD">
                    <w:rPr>
                      <w:sz w:val="16"/>
                      <w:szCs w:val="16"/>
                    </w:rPr>
                    <w:t>0.0029</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360"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24.0</w:t>
                  </w:r>
                </w:p>
              </w:tc>
              <w:tc>
                <w:tcPr>
                  <w:tcW w:w="1080" w:type="dxa"/>
                </w:tcPr>
                <w:p w:rsidR="00942A21" w:rsidRPr="00350EBD" w:rsidRDefault="00942A21" w:rsidP="001C7575">
                  <w:pPr>
                    <w:pStyle w:val="Tabletext"/>
                    <w:rPr>
                      <w:sz w:val="16"/>
                      <w:szCs w:val="16"/>
                    </w:rPr>
                  </w:pPr>
                </w:p>
              </w:tc>
              <w:tc>
                <w:tcPr>
                  <w:tcW w:w="900" w:type="dxa"/>
                </w:tcPr>
                <w:p w:rsidR="00942A21" w:rsidRPr="00350EBD" w:rsidRDefault="00942A21" w:rsidP="001C7575">
                  <w:pPr>
                    <w:pStyle w:val="Tabletext"/>
                    <w:rPr>
                      <w:sz w:val="16"/>
                      <w:szCs w:val="16"/>
                    </w:rPr>
                  </w:pP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2010-11 vs 2011-12</w:t>
                  </w:r>
                </w:p>
              </w:tc>
              <w:tc>
                <w:tcPr>
                  <w:tcW w:w="360" w:type="dxa"/>
                </w:tcPr>
                <w:p w:rsidR="00942A21" w:rsidRPr="00350EBD" w:rsidRDefault="00942A21" w:rsidP="001C7575">
                  <w:pPr>
                    <w:pStyle w:val="Tabletext"/>
                    <w:rPr>
                      <w:sz w:val="16"/>
                      <w:szCs w:val="16"/>
                    </w:rPr>
                  </w:pPr>
                  <w:r w:rsidRPr="00350EBD">
                    <w:rPr>
                      <w:sz w:val="16"/>
                      <w:szCs w:val="16"/>
                    </w:rPr>
                    <w:t>1</w:t>
                  </w:r>
                </w:p>
              </w:tc>
              <w:tc>
                <w:tcPr>
                  <w:tcW w:w="1080" w:type="dxa"/>
                </w:tcPr>
                <w:p w:rsidR="00942A21" w:rsidRPr="00350EBD" w:rsidRDefault="00942A21" w:rsidP="001C7575">
                  <w:pPr>
                    <w:pStyle w:val="Tabletext"/>
                    <w:rPr>
                      <w:sz w:val="16"/>
                      <w:szCs w:val="16"/>
                    </w:rPr>
                  </w:pPr>
                  <w:r w:rsidRPr="00350EBD">
                    <w:rPr>
                      <w:sz w:val="16"/>
                      <w:szCs w:val="16"/>
                    </w:rPr>
                    <w:t>273.4</w:t>
                  </w:r>
                </w:p>
              </w:tc>
              <w:tc>
                <w:tcPr>
                  <w:tcW w:w="1080" w:type="dxa"/>
                </w:tcPr>
                <w:p w:rsidR="00942A21" w:rsidRPr="00350EBD" w:rsidRDefault="00942A21" w:rsidP="001C7575">
                  <w:pPr>
                    <w:pStyle w:val="Tabletext"/>
                    <w:rPr>
                      <w:sz w:val="16"/>
                      <w:szCs w:val="16"/>
                    </w:rPr>
                  </w:pPr>
                  <w:r w:rsidRPr="00350EBD">
                    <w:rPr>
                      <w:sz w:val="16"/>
                      <w:szCs w:val="16"/>
                    </w:rPr>
                    <w:t>6.82</w:t>
                  </w:r>
                </w:p>
              </w:tc>
              <w:tc>
                <w:tcPr>
                  <w:tcW w:w="900" w:type="dxa"/>
                </w:tcPr>
                <w:p w:rsidR="00942A21" w:rsidRPr="00350EBD" w:rsidRDefault="00942A21" w:rsidP="001C7575">
                  <w:pPr>
                    <w:pStyle w:val="Tabletext"/>
                    <w:rPr>
                      <w:sz w:val="16"/>
                      <w:szCs w:val="16"/>
                    </w:rPr>
                  </w:pPr>
                  <w:r w:rsidRPr="00350EBD">
                    <w:rPr>
                      <w:sz w:val="16"/>
                      <w:szCs w:val="16"/>
                    </w:rPr>
                    <w:t>0.0197</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2011-12 vs 2012-13</w:t>
                  </w:r>
                </w:p>
              </w:tc>
              <w:tc>
                <w:tcPr>
                  <w:tcW w:w="360" w:type="dxa"/>
                </w:tcPr>
                <w:p w:rsidR="00942A21" w:rsidRPr="00350EBD" w:rsidRDefault="00942A21" w:rsidP="001C7575">
                  <w:pPr>
                    <w:pStyle w:val="Tabletext"/>
                    <w:rPr>
                      <w:sz w:val="16"/>
                      <w:szCs w:val="16"/>
                    </w:rPr>
                  </w:pPr>
                  <w:r w:rsidRPr="00350EBD">
                    <w:rPr>
                      <w:sz w:val="16"/>
                      <w:szCs w:val="16"/>
                    </w:rPr>
                    <w:t>1</w:t>
                  </w:r>
                </w:p>
              </w:tc>
              <w:tc>
                <w:tcPr>
                  <w:tcW w:w="1080" w:type="dxa"/>
                </w:tcPr>
                <w:p w:rsidR="00942A21" w:rsidRPr="00350EBD" w:rsidRDefault="00942A21" w:rsidP="001C7575">
                  <w:pPr>
                    <w:pStyle w:val="Tabletext"/>
                    <w:rPr>
                      <w:sz w:val="16"/>
                      <w:szCs w:val="16"/>
                    </w:rPr>
                  </w:pPr>
                  <w:r w:rsidRPr="00350EBD">
                    <w:rPr>
                      <w:sz w:val="16"/>
                      <w:szCs w:val="16"/>
                    </w:rPr>
                    <w:t>11.0</w:t>
                  </w:r>
                </w:p>
              </w:tc>
              <w:tc>
                <w:tcPr>
                  <w:tcW w:w="1080" w:type="dxa"/>
                </w:tcPr>
                <w:p w:rsidR="00942A21" w:rsidRPr="00350EBD" w:rsidRDefault="00942A21" w:rsidP="001C7575">
                  <w:pPr>
                    <w:pStyle w:val="Tabletext"/>
                    <w:rPr>
                      <w:sz w:val="16"/>
                      <w:szCs w:val="16"/>
                    </w:rPr>
                  </w:pPr>
                  <w:r w:rsidRPr="00350EBD">
                    <w:rPr>
                      <w:sz w:val="16"/>
                      <w:szCs w:val="16"/>
                    </w:rPr>
                    <w:t>1.68</w:t>
                  </w:r>
                </w:p>
              </w:tc>
              <w:tc>
                <w:tcPr>
                  <w:tcW w:w="900" w:type="dxa"/>
                </w:tcPr>
                <w:p w:rsidR="00942A21" w:rsidRPr="00350EBD" w:rsidRDefault="00942A21" w:rsidP="001C7575">
                  <w:pPr>
                    <w:pStyle w:val="Tabletext"/>
                    <w:rPr>
                      <w:sz w:val="16"/>
                      <w:szCs w:val="16"/>
                    </w:rPr>
                  </w:pPr>
                  <w:r w:rsidRPr="00350EBD">
                    <w:rPr>
                      <w:sz w:val="16"/>
                      <w:szCs w:val="16"/>
                    </w:rPr>
                    <w:t>0.2278</w:t>
                  </w:r>
                </w:p>
              </w:tc>
            </w:tr>
          </w:tbl>
          <w:p w:rsidR="00942A21" w:rsidRPr="001773D8" w:rsidRDefault="00942A21" w:rsidP="001773D8">
            <w:pPr>
              <w:pStyle w:val="Tabletext"/>
              <w:rPr>
                <w:sz w:val="16"/>
                <w:szCs w:val="16"/>
              </w:rPr>
            </w:pPr>
          </w:p>
        </w:tc>
        <w:tc>
          <w:tcPr>
            <w:tcW w:w="2330" w:type="dxa"/>
          </w:tcPr>
          <w:p w:rsidR="00942A21" w:rsidRPr="001773D8" w:rsidRDefault="00942A21" w:rsidP="001773D8">
            <w:pPr>
              <w:pStyle w:val="Tabletext"/>
              <w:rPr>
                <w:sz w:val="16"/>
                <w:szCs w:val="16"/>
              </w:rPr>
            </w:pPr>
            <w:r w:rsidRPr="001773D8">
              <w:rPr>
                <w:sz w:val="16"/>
                <w:szCs w:val="16"/>
              </w:rPr>
              <w:t>Significant effect of water year and difference between first 2 years significant, but no difference between years 2 and 3</w:t>
            </w:r>
          </w:p>
        </w:tc>
      </w:tr>
      <w:tr w:rsidR="00942A21" w:rsidTr="001773D8">
        <w:tc>
          <w:tcPr>
            <w:tcW w:w="1325" w:type="dxa"/>
          </w:tcPr>
          <w:p w:rsidR="00942A21" w:rsidRDefault="00942A21" w:rsidP="001C7575">
            <w:pPr>
              <w:pStyle w:val="Tabletext"/>
            </w:pPr>
            <w:r>
              <w:t>Arp</w:t>
            </w:r>
          </w:p>
          <w:p w:rsidR="001C7575" w:rsidRDefault="001C7575" w:rsidP="001C7575">
            <w:pPr>
              <w:pStyle w:val="Tabletext"/>
            </w:pPr>
          </w:p>
          <w:p w:rsidR="001C7575" w:rsidRDefault="001C7575" w:rsidP="001C7575">
            <w:pPr>
              <w:pStyle w:val="Tabletext"/>
            </w:pPr>
          </w:p>
          <w:p w:rsidR="001C7575" w:rsidRDefault="001C7575" w:rsidP="001773D8">
            <w:pPr>
              <w:pStyle w:val="Tabletext"/>
            </w:pP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394"/>
              <w:gridCol w:w="1080"/>
              <w:gridCol w:w="1080"/>
              <w:gridCol w:w="900"/>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376" w:type="dxa"/>
                </w:tcPr>
                <w:p w:rsidR="00942A21" w:rsidRPr="00350EBD" w:rsidRDefault="00942A21" w:rsidP="001C7575">
                  <w:pPr>
                    <w:pStyle w:val="Tabletext"/>
                    <w:rPr>
                      <w:sz w:val="16"/>
                      <w:szCs w:val="16"/>
                    </w:rPr>
                  </w:pPr>
                  <w:r w:rsidRPr="00350EBD">
                    <w:rPr>
                      <w:sz w:val="16"/>
                      <w:szCs w:val="16"/>
                    </w:rPr>
                    <w:t>df</w:t>
                  </w:r>
                </w:p>
              </w:tc>
              <w:tc>
                <w:tcPr>
                  <w:tcW w:w="1080" w:type="dxa"/>
                </w:tcPr>
                <w:p w:rsidR="00942A21" w:rsidRPr="00350EBD" w:rsidRDefault="00942A21" w:rsidP="001C7575">
                  <w:pPr>
                    <w:pStyle w:val="Tabletext"/>
                    <w:rPr>
                      <w:sz w:val="16"/>
                      <w:szCs w:val="16"/>
                    </w:rPr>
                  </w:pPr>
                  <w:r w:rsidRPr="00350EBD">
                    <w:rPr>
                      <w:sz w:val="16"/>
                      <w:szCs w:val="16"/>
                    </w:rPr>
                    <w:t>MS</w:t>
                  </w:r>
                </w:p>
              </w:tc>
              <w:tc>
                <w:tcPr>
                  <w:tcW w:w="1080" w:type="dxa"/>
                </w:tcPr>
                <w:p w:rsidR="00942A21" w:rsidRPr="00350EBD" w:rsidRDefault="00942A21" w:rsidP="001C7575">
                  <w:pPr>
                    <w:pStyle w:val="Tabletext"/>
                    <w:rPr>
                      <w:sz w:val="16"/>
                      <w:szCs w:val="16"/>
                    </w:rPr>
                  </w:pPr>
                  <w:r w:rsidRPr="00350EBD">
                    <w:rPr>
                      <w:sz w:val="16"/>
                      <w:szCs w:val="16"/>
                    </w:rPr>
                    <w:t>Pseudo-F</w:t>
                  </w:r>
                </w:p>
              </w:tc>
              <w:tc>
                <w:tcPr>
                  <w:tcW w:w="900"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376" w:type="dxa"/>
                </w:tcPr>
                <w:p w:rsidR="00942A21" w:rsidRPr="00350EBD" w:rsidRDefault="00942A21" w:rsidP="001C7575">
                  <w:pPr>
                    <w:pStyle w:val="Tabletext"/>
                    <w:rPr>
                      <w:sz w:val="16"/>
                      <w:szCs w:val="16"/>
                    </w:rPr>
                  </w:pPr>
                  <w:r w:rsidRPr="00350EBD">
                    <w:rPr>
                      <w:sz w:val="16"/>
                      <w:szCs w:val="16"/>
                    </w:rPr>
                    <w:t>2</w:t>
                  </w:r>
                </w:p>
              </w:tc>
              <w:tc>
                <w:tcPr>
                  <w:tcW w:w="1080" w:type="dxa"/>
                </w:tcPr>
                <w:p w:rsidR="00942A21" w:rsidRPr="00350EBD" w:rsidRDefault="00942A21" w:rsidP="001C7575">
                  <w:pPr>
                    <w:pStyle w:val="Tabletext"/>
                    <w:rPr>
                      <w:sz w:val="16"/>
                      <w:szCs w:val="16"/>
                    </w:rPr>
                  </w:pPr>
                  <w:r w:rsidRPr="00350EBD">
                    <w:rPr>
                      <w:sz w:val="16"/>
                      <w:szCs w:val="16"/>
                    </w:rPr>
                    <w:t>0.1</w:t>
                  </w:r>
                </w:p>
              </w:tc>
              <w:tc>
                <w:tcPr>
                  <w:tcW w:w="1080" w:type="dxa"/>
                </w:tcPr>
                <w:p w:rsidR="00942A21" w:rsidRPr="00350EBD" w:rsidRDefault="00942A21" w:rsidP="001C7575">
                  <w:pPr>
                    <w:pStyle w:val="Tabletext"/>
                    <w:rPr>
                      <w:sz w:val="16"/>
                      <w:szCs w:val="16"/>
                    </w:rPr>
                  </w:pPr>
                  <w:r w:rsidRPr="00350EBD">
                    <w:rPr>
                      <w:sz w:val="16"/>
                      <w:szCs w:val="16"/>
                    </w:rPr>
                    <w:t>0.47</w:t>
                  </w:r>
                </w:p>
              </w:tc>
              <w:tc>
                <w:tcPr>
                  <w:tcW w:w="900" w:type="dxa"/>
                </w:tcPr>
                <w:p w:rsidR="00942A21" w:rsidRPr="00350EBD" w:rsidRDefault="00942A21" w:rsidP="001C7575">
                  <w:pPr>
                    <w:pStyle w:val="Tabletext"/>
                    <w:rPr>
                      <w:sz w:val="16"/>
                      <w:szCs w:val="16"/>
                    </w:rPr>
                  </w:pPr>
                  <w:r w:rsidRPr="00350EBD">
                    <w:rPr>
                      <w:sz w:val="16"/>
                      <w:szCs w:val="16"/>
                    </w:rPr>
                    <w:t>0.6644</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376"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0.3</w:t>
                  </w:r>
                </w:p>
              </w:tc>
              <w:tc>
                <w:tcPr>
                  <w:tcW w:w="1080" w:type="dxa"/>
                </w:tcPr>
                <w:p w:rsidR="00942A21" w:rsidRPr="00350EBD" w:rsidRDefault="00942A21" w:rsidP="001C7575">
                  <w:pPr>
                    <w:pStyle w:val="Tabletext"/>
                    <w:rPr>
                      <w:sz w:val="16"/>
                      <w:szCs w:val="16"/>
                    </w:rPr>
                  </w:pPr>
                </w:p>
              </w:tc>
              <w:tc>
                <w:tcPr>
                  <w:tcW w:w="900" w:type="dxa"/>
                </w:tcPr>
                <w:p w:rsidR="00942A21" w:rsidRPr="00350EBD" w:rsidRDefault="00942A21" w:rsidP="001C7575">
                  <w:pPr>
                    <w:pStyle w:val="Tabletext"/>
                    <w:rPr>
                      <w:sz w:val="16"/>
                      <w:szCs w:val="16"/>
                    </w:rPr>
                  </w:pPr>
                </w:p>
              </w:tc>
            </w:tr>
          </w:tbl>
          <w:p w:rsidR="00942A21" w:rsidRPr="001773D8" w:rsidRDefault="00942A21" w:rsidP="001773D8">
            <w:pPr>
              <w:pStyle w:val="Tabletext"/>
              <w:rPr>
                <w:sz w:val="16"/>
                <w:szCs w:val="16"/>
              </w:rPr>
            </w:pPr>
          </w:p>
        </w:tc>
        <w:tc>
          <w:tcPr>
            <w:tcW w:w="2330" w:type="dxa"/>
          </w:tcPr>
          <w:p w:rsidR="00942A21" w:rsidRPr="001773D8" w:rsidRDefault="00942A21" w:rsidP="001773D8">
            <w:pPr>
              <w:pStyle w:val="Tabletext"/>
              <w:rPr>
                <w:sz w:val="16"/>
                <w:szCs w:val="16"/>
              </w:rPr>
            </w:pPr>
            <w:r w:rsidRPr="001773D8">
              <w:rPr>
                <w:sz w:val="16"/>
                <w:szCs w:val="16"/>
              </w:rPr>
              <w:t>No effect of water year</w:t>
            </w:r>
          </w:p>
        </w:tc>
      </w:tr>
      <w:tr w:rsidR="00942A21" w:rsidTr="001773D8">
        <w:tc>
          <w:tcPr>
            <w:tcW w:w="1325" w:type="dxa"/>
          </w:tcPr>
          <w:p w:rsidR="00942A21" w:rsidRDefault="00942A21" w:rsidP="001C7575">
            <w:pPr>
              <w:pStyle w:val="Tabletext"/>
            </w:pPr>
            <w:r>
              <w:t>Arf</w:t>
            </w:r>
          </w:p>
          <w:p w:rsidR="001C7575" w:rsidRDefault="001C7575" w:rsidP="001C7575">
            <w:pPr>
              <w:pStyle w:val="Tabletext"/>
            </w:pPr>
          </w:p>
          <w:p w:rsidR="001C7575" w:rsidRDefault="001C7575" w:rsidP="001773D8">
            <w:pPr>
              <w:pStyle w:val="Tabletext"/>
            </w:pP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394"/>
              <w:gridCol w:w="1080"/>
              <w:gridCol w:w="1080"/>
              <w:gridCol w:w="900"/>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376" w:type="dxa"/>
                </w:tcPr>
                <w:p w:rsidR="00942A21" w:rsidRPr="00350EBD" w:rsidRDefault="00942A21" w:rsidP="001C7575">
                  <w:pPr>
                    <w:pStyle w:val="Tabletext"/>
                    <w:rPr>
                      <w:sz w:val="16"/>
                      <w:szCs w:val="16"/>
                    </w:rPr>
                  </w:pPr>
                  <w:r w:rsidRPr="00350EBD">
                    <w:rPr>
                      <w:sz w:val="16"/>
                      <w:szCs w:val="16"/>
                    </w:rPr>
                    <w:t>df</w:t>
                  </w:r>
                </w:p>
              </w:tc>
              <w:tc>
                <w:tcPr>
                  <w:tcW w:w="1080" w:type="dxa"/>
                </w:tcPr>
                <w:p w:rsidR="00942A21" w:rsidRPr="00350EBD" w:rsidRDefault="00942A21" w:rsidP="001C7575">
                  <w:pPr>
                    <w:pStyle w:val="Tabletext"/>
                    <w:rPr>
                      <w:sz w:val="16"/>
                      <w:szCs w:val="16"/>
                    </w:rPr>
                  </w:pPr>
                  <w:r w:rsidRPr="00350EBD">
                    <w:rPr>
                      <w:sz w:val="16"/>
                      <w:szCs w:val="16"/>
                    </w:rPr>
                    <w:t>MS</w:t>
                  </w:r>
                </w:p>
              </w:tc>
              <w:tc>
                <w:tcPr>
                  <w:tcW w:w="1080" w:type="dxa"/>
                </w:tcPr>
                <w:p w:rsidR="00942A21" w:rsidRPr="00350EBD" w:rsidRDefault="00942A21" w:rsidP="001C7575">
                  <w:pPr>
                    <w:pStyle w:val="Tabletext"/>
                    <w:rPr>
                      <w:sz w:val="16"/>
                      <w:szCs w:val="16"/>
                    </w:rPr>
                  </w:pPr>
                  <w:r w:rsidRPr="00350EBD">
                    <w:rPr>
                      <w:sz w:val="16"/>
                      <w:szCs w:val="16"/>
                    </w:rPr>
                    <w:t>Pseudo-F</w:t>
                  </w:r>
                </w:p>
              </w:tc>
              <w:tc>
                <w:tcPr>
                  <w:tcW w:w="900"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376" w:type="dxa"/>
                </w:tcPr>
                <w:p w:rsidR="00942A21" w:rsidRPr="00350EBD" w:rsidRDefault="00942A21" w:rsidP="001C7575">
                  <w:pPr>
                    <w:pStyle w:val="Tabletext"/>
                    <w:rPr>
                      <w:sz w:val="16"/>
                      <w:szCs w:val="16"/>
                    </w:rPr>
                  </w:pPr>
                  <w:r w:rsidRPr="00350EBD">
                    <w:rPr>
                      <w:sz w:val="16"/>
                      <w:szCs w:val="16"/>
                    </w:rPr>
                    <w:t>2</w:t>
                  </w:r>
                </w:p>
              </w:tc>
              <w:tc>
                <w:tcPr>
                  <w:tcW w:w="1080"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0.87</w:t>
                  </w:r>
                </w:p>
              </w:tc>
              <w:tc>
                <w:tcPr>
                  <w:tcW w:w="900" w:type="dxa"/>
                </w:tcPr>
                <w:p w:rsidR="00942A21" w:rsidRPr="00350EBD" w:rsidRDefault="00942A21" w:rsidP="001C7575">
                  <w:pPr>
                    <w:pStyle w:val="Tabletext"/>
                    <w:rPr>
                      <w:sz w:val="16"/>
                      <w:szCs w:val="16"/>
                    </w:rPr>
                  </w:pPr>
                  <w:r w:rsidRPr="00350EBD">
                    <w:rPr>
                      <w:sz w:val="16"/>
                      <w:szCs w:val="16"/>
                    </w:rPr>
                    <w:t>0.6473</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376"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2.3</w:t>
                  </w:r>
                </w:p>
              </w:tc>
              <w:tc>
                <w:tcPr>
                  <w:tcW w:w="1080" w:type="dxa"/>
                </w:tcPr>
                <w:p w:rsidR="00942A21" w:rsidRPr="00350EBD" w:rsidRDefault="00942A21" w:rsidP="001C7575">
                  <w:pPr>
                    <w:pStyle w:val="Tabletext"/>
                    <w:rPr>
                      <w:sz w:val="16"/>
                      <w:szCs w:val="16"/>
                    </w:rPr>
                  </w:pPr>
                </w:p>
              </w:tc>
              <w:tc>
                <w:tcPr>
                  <w:tcW w:w="900" w:type="dxa"/>
                </w:tcPr>
                <w:p w:rsidR="00942A21" w:rsidRPr="00350EBD" w:rsidRDefault="00942A21" w:rsidP="001C7575">
                  <w:pPr>
                    <w:pStyle w:val="Tabletext"/>
                    <w:rPr>
                      <w:sz w:val="16"/>
                      <w:szCs w:val="16"/>
                    </w:rPr>
                  </w:pPr>
                </w:p>
              </w:tc>
            </w:tr>
          </w:tbl>
          <w:p w:rsidR="00942A21" w:rsidRPr="001773D8" w:rsidRDefault="00942A21" w:rsidP="001773D8">
            <w:pPr>
              <w:pStyle w:val="Tabletext"/>
              <w:rPr>
                <w:sz w:val="16"/>
                <w:szCs w:val="16"/>
              </w:rPr>
            </w:pPr>
          </w:p>
        </w:tc>
        <w:tc>
          <w:tcPr>
            <w:tcW w:w="2330" w:type="dxa"/>
          </w:tcPr>
          <w:p w:rsidR="00942A21" w:rsidRPr="001773D8" w:rsidRDefault="00942A21" w:rsidP="001773D8">
            <w:pPr>
              <w:pStyle w:val="Tabletext"/>
              <w:rPr>
                <w:sz w:val="16"/>
                <w:szCs w:val="16"/>
              </w:rPr>
            </w:pPr>
            <w:r w:rsidRPr="001773D8">
              <w:rPr>
                <w:sz w:val="16"/>
                <w:szCs w:val="16"/>
              </w:rPr>
              <w:t>No effect of water year</w:t>
            </w:r>
          </w:p>
        </w:tc>
      </w:tr>
      <w:tr w:rsidR="00942A21" w:rsidTr="001773D8">
        <w:tc>
          <w:tcPr>
            <w:tcW w:w="1325" w:type="dxa"/>
          </w:tcPr>
          <w:p w:rsidR="00942A21" w:rsidRDefault="00942A21" w:rsidP="001773D8">
            <w:pPr>
              <w:pStyle w:val="Tabletext"/>
            </w:pPr>
            <w:r>
              <w:t>Atl</w:t>
            </w: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394"/>
              <w:gridCol w:w="1080"/>
              <w:gridCol w:w="1080"/>
              <w:gridCol w:w="900"/>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360" w:type="dxa"/>
                </w:tcPr>
                <w:p w:rsidR="00942A21" w:rsidRPr="00350EBD" w:rsidRDefault="00942A21" w:rsidP="001C7575">
                  <w:pPr>
                    <w:pStyle w:val="Tabletext"/>
                    <w:rPr>
                      <w:sz w:val="16"/>
                      <w:szCs w:val="16"/>
                    </w:rPr>
                  </w:pPr>
                  <w:r w:rsidRPr="00350EBD">
                    <w:rPr>
                      <w:sz w:val="16"/>
                      <w:szCs w:val="16"/>
                    </w:rPr>
                    <w:t>df</w:t>
                  </w:r>
                </w:p>
              </w:tc>
              <w:tc>
                <w:tcPr>
                  <w:tcW w:w="1080" w:type="dxa"/>
                </w:tcPr>
                <w:p w:rsidR="00942A21" w:rsidRPr="00350EBD" w:rsidRDefault="00942A21" w:rsidP="001C7575">
                  <w:pPr>
                    <w:pStyle w:val="Tabletext"/>
                    <w:rPr>
                      <w:sz w:val="16"/>
                      <w:szCs w:val="16"/>
                    </w:rPr>
                  </w:pPr>
                  <w:r w:rsidRPr="00350EBD">
                    <w:rPr>
                      <w:sz w:val="16"/>
                      <w:szCs w:val="16"/>
                    </w:rPr>
                    <w:t>MS</w:t>
                  </w:r>
                </w:p>
              </w:tc>
              <w:tc>
                <w:tcPr>
                  <w:tcW w:w="1080" w:type="dxa"/>
                </w:tcPr>
                <w:p w:rsidR="00942A21" w:rsidRPr="00350EBD" w:rsidRDefault="00942A21" w:rsidP="001C7575">
                  <w:pPr>
                    <w:pStyle w:val="Tabletext"/>
                    <w:rPr>
                      <w:sz w:val="16"/>
                      <w:szCs w:val="16"/>
                    </w:rPr>
                  </w:pPr>
                  <w:r w:rsidRPr="00350EBD">
                    <w:rPr>
                      <w:sz w:val="16"/>
                      <w:szCs w:val="16"/>
                    </w:rPr>
                    <w:t>Pseudo-F</w:t>
                  </w:r>
                </w:p>
              </w:tc>
              <w:tc>
                <w:tcPr>
                  <w:tcW w:w="900"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360" w:type="dxa"/>
                </w:tcPr>
                <w:p w:rsidR="00942A21" w:rsidRPr="00350EBD" w:rsidRDefault="00942A21" w:rsidP="001C7575">
                  <w:pPr>
                    <w:pStyle w:val="Tabletext"/>
                    <w:rPr>
                      <w:sz w:val="16"/>
                      <w:szCs w:val="16"/>
                    </w:rPr>
                  </w:pPr>
                  <w:r w:rsidRPr="00350EBD">
                    <w:rPr>
                      <w:sz w:val="16"/>
                      <w:szCs w:val="16"/>
                    </w:rPr>
                    <w:t>2</w:t>
                  </w:r>
                </w:p>
              </w:tc>
              <w:tc>
                <w:tcPr>
                  <w:tcW w:w="1080" w:type="dxa"/>
                </w:tcPr>
                <w:p w:rsidR="00942A21" w:rsidRPr="00350EBD" w:rsidRDefault="00942A21" w:rsidP="001C7575">
                  <w:pPr>
                    <w:pStyle w:val="Tabletext"/>
                    <w:rPr>
                      <w:sz w:val="16"/>
                      <w:szCs w:val="16"/>
                    </w:rPr>
                  </w:pPr>
                  <w:r w:rsidRPr="00350EBD">
                    <w:rPr>
                      <w:sz w:val="16"/>
                      <w:szCs w:val="16"/>
                    </w:rPr>
                    <w:t>25.6</w:t>
                  </w:r>
                </w:p>
              </w:tc>
              <w:tc>
                <w:tcPr>
                  <w:tcW w:w="1080" w:type="dxa"/>
                </w:tcPr>
                <w:p w:rsidR="00942A21" w:rsidRPr="00350EBD" w:rsidRDefault="00942A21" w:rsidP="001C7575">
                  <w:pPr>
                    <w:pStyle w:val="Tabletext"/>
                    <w:rPr>
                      <w:sz w:val="16"/>
                      <w:szCs w:val="16"/>
                    </w:rPr>
                  </w:pPr>
                  <w:r w:rsidRPr="00350EBD">
                    <w:rPr>
                      <w:sz w:val="16"/>
                      <w:szCs w:val="16"/>
                    </w:rPr>
                    <w:t>5.51</w:t>
                  </w:r>
                </w:p>
              </w:tc>
              <w:tc>
                <w:tcPr>
                  <w:tcW w:w="900" w:type="dxa"/>
                </w:tcPr>
                <w:p w:rsidR="00942A21" w:rsidRPr="00350EBD" w:rsidRDefault="00942A21" w:rsidP="001C7575">
                  <w:pPr>
                    <w:pStyle w:val="Tabletext"/>
                    <w:rPr>
                      <w:sz w:val="16"/>
                      <w:szCs w:val="16"/>
                    </w:rPr>
                  </w:pPr>
                  <w:r w:rsidRPr="00350EBD">
                    <w:rPr>
                      <w:sz w:val="16"/>
                      <w:szCs w:val="16"/>
                    </w:rPr>
                    <w:t>0.007</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360"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4.6</w:t>
                  </w:r>
                </w:p>
              </w:tc>
              <w:tc>
                <w:tcPr>
                  <w:tcW w:w="1080" w:type="dxa"/>
                </w:tcPr>
                <w:p w:rsidR="00942A21" w:rsidRPr="00350EBD" w:rsidRDefault="00942A21" w:rsidP="001C7575">
                  <w:pPr>
                    <w:pStyle w:val="Tabletext"/>
                    <w:rPr>
                      <w:sz w:val="16"/>
                      <w:szCs w:val="16"/>
                    </w:rPr>
                  </w:pPr>
                </w:p>
              </w:tc>
              <w:tc>
                <w:tcPr>
                  <w:tcW w:w="900" w:type="dxa"/>
                </w:tcPr>
                <w:p w:rsidR="00942A21" w:rsidRPr="00350EBD" w:rsidRDefault="00942A21" w:rsidP="001C7575">
                  <w:pPr>
                    <w:pStyle w:val="Tabletext"/>
                    <w:rPr>
                      <w:sz w:val="16"/>
                      <w:szCs w:val="16"/>
                    </w:rPr>
                  </w:pP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2010-11 vs 2011-12</w:t>
                  </w:r>
                </w:p>
              </w:tc>
              <w:tc>
                <w:tcPr>
                  <w:tcW w:w="360" w:type="dxa"/>
                </w:tcPr>
                <w:p w:rsidR="00942A21" w:rsidRPr="00350EBD" w:rsidRDefault="00942A21" w:rsidP="001C7575">
                  <w:pPr>
                    <w:pStyle w:val="Tabletext"/>
                    <w:rPr>
                      <w:sz w:val="16"/>
                      <w:szCs w:val="16"/>
                    </w:rPr>
                  </w:pPr>
                  <w:r w:rsidRPr="00350EBD">
                    <w:rPr>
                      <w:sz w:val="16"/>
                      <w:szCs w:val="16"/>
                    </w:rPr>
                    <w:t>1</w:t>
                  </w:r>
                </w:p>
              </w:tc>
              <w:tc>
                <w:tcPr>
                  <w:tcW w:w="1080" w:type="dxa"/>
                </w:tcPr>
                <w:p w:rsidR="00942A21" w:rsidRPr="00350EBD" w:rsidRDefault="00942A21" w:rsidP="001C7575">
                  <w:pPr>
                    <w:pStyle w:val="Tabletext"/>
                    <w:rPr>
                      <w:sz w:val="16"/>
                      <w:szCs w:val="16"/>
                    </w:rPr>
                  </w:pPr>
                  <w:r w:rsidRPr="00350EBD">
                    <w:rPr>
                      <w:sz w:val="16"/>
                      <w:szCs w:val="16"/>
                    </w:rPr>
                    <w:t>17.8</w:t>
                  </w:r>
                </w:p>
              </w:tc>
              <w:tc>
                <w:tcPr>
                  <w:tcW w:w="1080" w:type="dxa"/>
                </w:tcPr>
                <w:p w:rsidR="00942A21" w:rsidRPr="00350EBD" w:rsidRDefault="00942A21" w:rsidP="001C7575">
                  <w:pPr>
                    <w:pStyle w:val="Tabletext"/>
                    <w:rPr>
                      <w:sz w:val="16"/>
                      <w:szCs w:val="16"/>
                    </w:rPr>
                  </w:pPr>
                  <w:r w:rsidRPr="00350EBD">
                    <w:rPr>
                      <w:sz w:val="16"/>
                      <w:szCs w:val="16"/>
                    </w:rPr>
                    <w:t>8.95</w:t>
                  </w:r>
                </w:p>
              </w:tc>
              <w:tc>
                <w:tcPr>
                  <w:tcW w:w="900" w:type="dxa"/>
                </w:tcPr>
                <w:p w:rsidR="00942A21" w:rsidRPr="00350EBD" w:rsidRDefault="00942A21" w:rsidP="001C7575">
                  <w:pPr>
                    <w:pStyle w:val="Tabletext"/>
                    <w:rPr>
                      <w:sz w:val="16"/>
                      <w:szCs w:val="16"/>
                    </w:rPr>
                  </w:pPr>
                  <w:r w:rsidRPr="00350EBD">
                    <w:rPr>
                      <w:sz w:val="16"/>
                      <w:szCs w:val="16"/>
                    </w:rPr>
                    <w:t>0.0153</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2011-12 vs 2012-13</w:t>
                  </w:r>
                </w:p>
              </w:tc>
              <w:tc>
                <w:tcPr>
                  <w:tcW w:w="360" w:type="dxa"/>
                </w:tcPr>
                <w:p w:rsidR="00942A21" w:rsidRPr="00350EBD" w:rsidRDefault="00942A21" w:rsidP="001C7575">
                  <w:pPr>
                    <w:pStyle w:val="Tabletext"/>
                    <w:rPr>
                      <w:sz w:val="16"/>
                      <w:szCs w:val="16"/>
                    </w:rPr>
                  </w:pPr>
                  <w:r w:rsidRPr="00350EBD">
                    <w:rPr>
                      <w:sz w:val="16"/>
                      <w:szCs w:val="16"/>
                    </w:rPr>
                    <w:t>1</w:t>
                  </w:r>
                </w:p>
              </w:tc>
              <w:tc>
                <w:tcPr>
                  <w:tcW w:w="1080" w:type="dxa"/>
                </w:tcPr>
                <w:p w:rsidR="00942A21" w:rsidRPr="00350EBD" w:rsidRDefault="00942A21" w:rsidP="001C7575">
                  <w:pPr>
                    <w:pStyle w:val="Tabletext"/>
                    <w:rPr>
                      <w:sz w:val="16"/>
                      <w:szCs w:val="16"/>
                    </w:rPr>
                  </w:pPr>
                  <w:r w:rsidRPr="00350EBD">
                    <w:rPr>
                      <w:sz w:val="16"/>
                      <w:szCs w:val="16"/>
                    </w:rPr>
                    <w:t>8.5</w:t>
                  </w:r>
                </w:p>
              </w:tc>
              <w:tc>
                <w:tcPr>
                  <w:tcW w:w="1080" w:type="dxa"/>
                </w:tcPr>
                <w:p w:rsidR="00942A21" w:rsidRPr="00350EBD" w:rsidRDefault="00942A21" w:rsidP="001C7575">
                  <w:pPr>
                    <w:pStyle w:val="Tabletext"/>
                    <w:rPr>
                      <w:sz w:val="16"/>
                      <w:szCs w:val="16"/>
                    </w:rPr>
                  </w:pPr>
                  <w:r w:rsidRPr="00350EBD">
                    <w:rPr>
                      <w:sz w:val="16"/>
                      <w:szCs w:val="16"/>
                    </w:rPr>
                    <w:t>2.60</w:t>
                  </w:r>
                </w:p>
              </w:tc>
              <w:tc>
                <w:tcPr>
                  <w:tcW w:w="900" w:type="dxa"/>
                </w:tcPr>
                <w:p w:rsidR="00942A21" w:rsidRPr="00350EBD" w:rsidRDefault="00942A21" w:rsidP="001C7575">
                  <w:pPr>
                    <w:pStyle w:val="Tabletext"/>
                    <w:rPr>
                      <w:sz w:val="16"/>
                      <w:szCs w:val="16"/>
                    </w:rPr>
                  </w:pPr>
                  <w:r w:rsidRPr="00350EBD">
                    <w:rPr>
                      <w:sz w:val="16"/>
                      <w:szCs w:val="16"/>
                    </w:rPr>
                    <w:t>0.1373</w:t>
                  </w:r>
                </w:p>
              </w:tc>
            </w:tr>
          </w:tbl>
          <w:p w:rsidR="00942A21" w:rsidRPr="001773D8" w:rsidRDefault="00942A21" w:rsidP="001773D8">
            <w:pPr>
              <w:pStyle w:val="Tabletext"/>
              <w:rPr>
                <w:sz w:val="16"/>
                <w:szCs w:val="16"/>
              </w:rPr>
            </w:pPr>
          </w:p>
        </w:tc>
        <w:tc>
          <w:tcPr>
            <w:tcW w:w="2330" w:type="dxa"/>
          </w:tcPr>
          <w:p w:rsidR="00942A21" w:rsidRPr="001773D8" w:rsidRDefault="00942A21" w:rsidP="001773D8">
            <w:pPr>
              <w:pStyle w:val="Tabletext"/>
              <w:rPr>
                <w:sz w:val="16"/>
                <w:szCs w:val="16"/>
              </w:rPr>
            </w:pPr>
            <w:r w:rsidRPr="001773D8">
              <w:rPr>
                <w:sz w:val="16"/>
                <w:szCs w:val="16"/>
              </w:rPr>
              <w:t>Significant effect of water year and difference between first 2 years significant, but no difference between years 2 and 3</w:t>
            </w:r>
          </w:p>
        </w:tc>
      </w:tr>
      <w:tr w:rsidR="00942A21" w:rsidTr="001773D8">
        <w:tc>
          <w:tcPr>
            <w:tcW w:w="1325" w:type="dxa"/>
          </w:tcPr>
          <w:p w:rsidR="00942A21" w:rsidRDefault="00942A21" w:rsidP="001773D8">
            <w:pPr>
              <w:pStyle w:val="Tabletext"/>
            </w:pPr>
            <w:r>
              <w:t>S</w:t>
            </w:r>
          </w:p>
        </w:tc>
        <w:tc>
          <w:tcPr>
            <w:tcW w:w="5587"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7"/>
              <w:gridCol w:w="394"/>
              <w:gridCol w:w="1080"/>
              <w:gridCol w:w="1080"/>
              <w:gridCol w:w="900"/>
            </w:tblGrid>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Source</w:t>
                  </w:r>
                </w:p>
              </w:tc>
              <w:tc>
                <w:tcPr>
                  <w:tcW w:w="376" w:type="dxa"/>
                </w:tcPr>
                <w:p w:rsidR="00942A21" w:rsidRPr="00350EBD" w:rsidRDefault="00942A21" w:rsidP="001C7575">
                  <w:pPr>
                    <w:pStyle w:val="Tabletext"/>
                    <w:rPr>
                      <w:sz w:val="16"/>
                      <w:szCs w:val="16"/>
                    </w:rPr>
                  </w:pPr>
                  <w:r w:rsidRPr="00350EBD">
                    <w:rPr>
                      <w:sz w:val="16"/>
                      <w:szCs w:val="16"/>
                    </w:rPr>
                    <w:t>df</w:t>
                  </w:r>
                </w:p>
              </w:tc>
              <w:tc>
                <w:tcPr>
                  <w:tcW w:w="1080" w:type="dxa"/>
                </w:tcPr>
                <w:p w:rsidR="00942A21" w:rsidRPr="00350EBD" w:rsidRDefault="00942A21" w:rsidP="001C7575">
                  <w:pPr>
                    <w:pStyle w:val="Tabletext"/>
                    <w:rPr>
                      <w:sz w:val="16"/>
                      <w:szCs w:val="16"/>
                    </w:rPr>
                  </w:pPr>
                  <w:r w:rsidRPr="00350EBD">
                    <w:rPr>
                      <w:sz w:val="16"/>
                      <w:szCs w:val="16"/>
                    </w:rPr>
                    <w:t>MS</w:t>
                  </w:r>
                </w:p>
              </w:tc>
              <w:tc>
                <w:tcPr>
                  <w:tcW w:w="1080" w:type="dxa"/>
                </w:tcPr>
                <w:p w:rsidR="00942A21" w:rsidRPr="00350EBD" w:rsidRDefault="00942A21" w:rsidP="001C7575">
                  <w:pPr>
                    <w:pStyle w:val="Tabletext"/>
                    <w:rPr>
                      <w:sz w:val="16"/>
                      <w:szCs w:val="16"/>
                    </w:rPr>
                  </w:pPr>
                  <w:r w:rsidRPr="00350EBD">
                    <w:rPr>
                      <w:sz w:val="16"/>
                      <w:szCs w:val="16"/>
                    </w:rPr>
                    <w:t>Pseudo-F</w:t>
                  </w:r>
                </w:p>
              </w:tc>
              <w:tc>
                <w:tcPr>
                  <w:tcW w:w="900" w:type="dxa"/>
                </w:tcPr>
                <w:p w:rsidR="00942A21" w:rsidRPr="00350EBD" w:rsidRDefault="00942A21" w:rsidP="001C7575">
                  <w:pPr>
                    <w:pStyle w:val="Tabletext"/>
                    <w:rPr>
                      <w:sz w:val="16"/>
                      <w:szCs w:val="16"/>
                    </w:rPr>
                  </w:pPr>
                  <w:r w:rsidRPr="00350EBD">
                    <w:rPr>
                      <w:sz w:val="16"/>
                      <w:szCs w:val="16"/>
                    </w:rPr>
                    <w:t>P(perm)</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Water year</w:t>
                  </w:r>
                </w:p>
              </w:tc>
              <w:tc>
                <w:tcPr>
                  <w:tcW w:w="376" w:type="dxa"/>
                </w:tcPr>
                <w:p w:rsidR="00942A21" w:rsidRPr="00350EBD" w:rsidRDefault="00942A21" w:rsidP="001C7575">
                  <w:pPr>
                    <w:pStyle w:val="Tabletext"/>
                    <w:rPr>
                      <w:sz w:val="16"/>
                      <w:szCs w:val="16"/>
                    </w:rPr>
                  </w:pPr>
                  <w:r w:rsidRPr="00350EBD">
                    <w:rPr>
                      <w:sz w:val="16"/>
                      <w:szCs w:val="16"/>
                    </w:rPr>
                    <w:t>2</w:t>
                  </w:r>
                </w:p>
              </w:tc>
              <w:tc>
                <w:tcPr>
                  <w:tcW w:w="1080" w:type="dxa"/>
                </w:tcPr>
                <w:p w:rsidR="00942A21" w:rsidRPr="00350EBD" w:rsidRDefault="00942A21" w:rsidP="001C7575">
                  <w:pPr>
                    <w:pStyle w:val="Tabletext"/>
                    <w:rPr>
                      <w:sz w:val="16"/>
                      <w:szCs w:val="16"/>
                    </w:rPr>
                  </w:pPr>
                  <w:r w:rsidRPr="00350EBD">
                    <w:rPr>
                      <w:sz w:val="16"/>
                      <w:szCs w:val="16"/>
                    </w:rPr>
                    <w:t>0.004</w:t>
                  </w:r>
                </w:p>
              </w:tc>
              <w:tc>
                <w:tcPr>
                  <w:tcW w:w="1080" w:type="dxa"/>
                </w:tcPr>
                <w:p w:rsidR="00942A21" w:rsidRPr="00350EBD" w:rsidRDefault="00942A21" w:rsidP="001C7575">
                  <w:pPr>
                    <w:pStyle w:val="Tabletext"/>
                    <w:rPr>
                      <w:sz w:val="16"/>
                      <w:szCs w:val="16"/>
                    </w:rPr>
                  </w:pPr>
                  <w:r w:rsidRPr="00350EBD">
                    <w:rPr>
                      <w:sz w:val="16"/>
                      <w:szCs w:val="16"/>
                    </w:rPr>
                    <w:t>0.61</w:t>
                  </w:r>
                </w:p>
              </w:tc>
              <w:tc>
                <w:tcPr>
                  <w:tcW w:w="900" w:type="dxa"/>
                </w:tcPr>
                <w:p w:rsidR="00942A21" w:rsidRPr="00350EBD" w:rsidRDefault="00942A21" w:rsidP="001C7575">
                  <w:pPr>
                    <w:pStyle w:val="Tabletext"/>
                    <w:rPr>
                      <w:sz w:val="16"/>
                      <w:szCs w:val="16"/>
                    </w:rPr>
                  </w:pPr>
                  <w:r w:rsidRPr="00350EBD">
                    <w:rPr>
                      <w:sz w:val="16"/>
                      <w:szCs w:val="16"/>
                    </w:rPr>
                    <w:t>0.6077</w:t>
                  </w:r>
                </w:p>
              </w:tc>
            </w:tr>
            <w:tr w:rsidR="00942A21" w:rsidRPr="00350EBD" w:rsidTr="00942A21">
              <w:tc>
                <w:tcPr>
                  <w:tcW w:w="1507" w:type="dxa"/>
                </w:tcPr>
                <w:p w:rsidR="00942A21" w:rsidRPr="00350EBD" w:rsidRDefault="00942A21" w:rsidP="001C7575">
                  <w:pPr>
                    <w:pStyle w:val="Tabletext"/>
                    <w:rPr>
                      <w:sz w:val="16"/>
                      <w:szCs w:val="16"/>
                    </w:rPr>
                  </w:pPr>
                  <w:r w:rsidRPr="00350EBD">
                    <w:rPr>
                      <w:sz w:val="16"/>
                      <w:szCs w:val="16"/>
                    </w:rPr>
                    <w:t>Residual</w:t>
                  </w:r>
                </w:p>
              </w:tc>
              <w:tc>
                <w:tcPr>
                  <w:tcW w:w="376" w:type="dxa"/>
                </w:tcPr>
                <w:p w:rsidR="00942A21" w:rsidRPr="00350EBD" w:rsidRDefault="00942A21" w:rsidP="001C7575">
                  <w:pPr>
                    <w:pStyle w:val="Tabletext"/>
                    <w:rPr>
                      <w:sz w:val="16"/>
                      <w:szCs w:val="16"/>
                    </w:rPr>
                  </w:pPr>
                  <w:r w:rsidRPr="00350EBD">
                    <w:rPr>
                      <w:sz w:val="16"/>
                      <w:szCs w:val="16"/>
                    </w:rPr>
                    <w:t>20</w:t>
                  </w:r>
                </w:p>
              </w:tc>
              <w:tc>
                <w:tcPr>
                  <w:tcW w:w="1080" w:type="dxa"/>
                </w:tcPr>
                <w:p w:rsidR="00942A21" w:rsidRPr="00350EBD" w:rsidRDefault="00942A21" w:rsidP="001C7575">
                  <w:pPr>
                    <w:pStyle w:val="Tabletext"/>
                    <w:rPr>
                      <w:sz w:val="16"/>
                      <w:szCs w:val="16"/>
                    </w:rPr>
                  </w:pPr>
                  <w:r w:rsidRPr="00350EBD">
                    <w:rPr>
                      <w:sz w:val="16"/>
                      <w:szCs w:val="16"/>
                    </w:rPr>
                    <w:t>0.008</w:t>
                  </w:r>
                </w:p>
              </w:tc>
              <w:tc>
                <w:tcPr>
                  <w:tcW w:w="1080" w:type="dxa"/>
                </w:tcPr>
                <w:p w:rsidR="00942A21" w:rsidRPr="00350EBD" w:rsidRDefault="00942A21" w:rsidP="001C7575">
                  <w:pPr>
                    <w:pStyle w:val="Tabletext"/>
                    <w:rPr>
                      <w:sz w:val="16"/>
                      <w:szCs w:val="16"/>
                    </w:rPr>
                  </w:pPr>
                </w:p>
              </w:tc>
              <w:tc>
                <w:tcPr>
                  <w:tcW w:w="900" w:type="dxa"/>
                </w:tcPr>
                <w:p w:rsidR="00942A21" w:rsidRPr="00350EBD" w:rsidRDefault="00942A21" w:rsidP="001C7575">
                  <w:pPr>
                    <w:pStyle w:val="Tabletext"/>
                    <w:rPr>
                      <w:sz w:val="16"/>
                      <w:szCs w:val="16"/>
                    </w:rPr>
                  </w:pPr>
                </w:p>
              </w:tc>
            </w:tr>
          </w:tbl>
          <w:p w:rsidR="00942A21" w:rsidRPr="001773D8" w:rsidRDefault="00942A21" w:rsidP="001773D8">
            <w:pPr>
              <w:pStyle w:val="Tabletext"/>
              <w:rPr>
                <w:sz w:val="16"/>
                <w:szCs w:val="16"/>
              </w:rPr>
            </w:pPr>
          </w:p>
        </w:tc>
        <w:tc>
          <w:tcPr>
            <w:tcW w:w="2330" w:type="dxa"/>
          </w:tcPr>
          <w:p w:rsidR="00942A21" w:rsidRPr="001773D8" w:rsidRDefault="00942A21" w:rsidP="001773D8">
            <w:pPr>
              <w:pStyle w:val="Tabletext"/>
              <w:rPr>
                <w:sz w:val="16"/>
                <w:szCs w:val="16"/>
              </w:rPr>
            </w:pPr>
            <w:r w:rsidRPr="001773D8">
              <w:rPr>
                <w:sz w:val="16"/>
                <w:szCs w:val="16"/>
              </w:rPr>
              <w:t>No effect of water year</w:t>
            </w:r>
          </w:p>
        </w:tc>
      </w:tr>
    </w:tbl>
    <w:p w:rsidR="00942A21" w:rsidRDefault="00942A21" w:rsidP="00942A21">
      <w:r>
        <w:t>* Introduced functional group</w:t>
      </w:r>
    </w:p>
    <w:p w:rsidR="00E1766B" w:rsidRDefault="00257956" w:rsidP="00AB7B17">
      <w:pPr>
        <w:pStyle w:val="Heading1"/>
        <w:numPr>
          <w:ilvl w:val="0"/>
          <w:numId w:val="0"/>
        </w:numPr>
      </w:pPr>
      <w:bookmarkStart w:id="526" w:name="_Toc370299262"/>
      <w:bookmarkStart w:id="527" w:name="_Ref370369819"/>
      <w:bookmarkStart w:id="528" w:name="_Ref370369839"/>
      <w:bookmarkStart w:id="529" w:name="_Ref370726718"/>
      <w:bookmarkStart w:id="530" w:name="_Toc370738888"/>
      <w:bookmarkStart w:id="531" w:name="_Toc378168608"/>
      <w:r w:rsidRPr="0094759B">
        <w:t>Appendix</w:t>
      </w:r>
      <w:r>
        <w:t xml:space="preserve"> </w:t>
      </w:r>
      <w:r w:rsidR="002C71AC">
        <w:t>4</w:t>
      </w:r>
      <w:r w:rsidR="00517E91">
        <w:t xml:space="preserve"> W</w:t>
      </w:r>
      <w:r w:rsidR="00517E91" w:rsidRPr="003708AF">
        <w:t>aterbird species</w:t>
      </w:r>
      <w:r w:rsidR="00517E91">
        <w:t xml:space="preserve"> list and functional groups</w:t>
      </w:r>
      <w:bookmarkEnd w:id="526"/>
      <w:bookmarkEnd w:id="527"/>
      <w:bookmarkEnd w:id="528"/>
      <w:bookmarkEnd w:id="529"/>
      <w:bookmarkEnd w:id="530"/>
      <w:bookmarkEnd w:id="531"/>
    </w:p>
    <w:p w:rsidR="00FC57DC" w:rsidRDefault="003517E7" w:rsidP="00AF2DF6">
      <w:pPr>
        <w:pStyle w:val="Appendix"/>
        <w:rPr>
          <w:i/>
        </w:rPr>
      </w:pPr>
      <w:bookmarkStart w:id="532" w:name="_Toc370738889"/>
      <w:r>
        <w:t>Functional group</w:t>
      </w:r>
      <w:r w:rsidR="00627898">
        <w:t>s of w</w:t>
      </w:r>
      <w:r w:rsidR="00627898" w:rsidRPr="003708AF">
        <w:t>aterbird</w:t>
      </w:r>
      <w:r w:rsidR="00FC57DC" w:rsidRPr="003708AF">
        <w:t xml:space="preserve"> species</w:t>
      </w:r>
      <w:r w:rsidR="00FC57DC">
        <w:t xml:space="preserve"> (listing under bilateral migratory bird agreements, </w:t>
      </w:r>
      <w:r w:rsidR="00FC57DC" w:rsidRPr="003708AF">
        <w:t>C = CAMBA, J = JAMBA</w:t>
      </w:r>
      <w:r w:rsidR="00FC57DC">
        <w:t xml:space="preserve">, R = ROKAMBA; listing under NSW </w:t>
      </w:r>
      <w:r w:rsidR="00FC57DC" w:rsidRPr="003053BF">
        <w:t>TSC Act 1995</w:t>
      </w:r>
      <w:r w:rsidR="00FC57DC">
        <w:t>, V = Vulnerable</w:t>
      </w:r>
      <w:r w:rsidR="00FC57DC" w:rsidRPr="003708AF">
        <w:t>).</w:t>
      </w:r>
      <w:r w:rsidR="00FC57DC">
        <w:t xml:space="preserve"> Nomenclature follows </w:t>
      </w:r>
      <w:r w:rsidR="00D20FAE">
        <w:fldChar w:fldCharType="begin"/>
      </w:r>
      <w:r w:rsidR="006171E9">
        <w:instrText xml:space="preserve"> ADDIN EN.CITE &lt;EndNote&gt;&lt;Cite&gt;&lt;Author&gt;Christidis&lt;/Author&gt;&lt;Year&gt;2008&lt;/Year&gt;&lt;RecNum&gt;3438&lt;/RecNum&gt;&lt;DisplayText&gt;(Christidis and Boles 2008)&lt;/DisplayText&gt;&lt;record&gt;&lt;rec-number&gt;3438&lt;/rec-number&gt;&lt;foreign-keys&gt;&lt;key app="EN" db-id="vxxvsda2b05fxpeaw2dp552mtrd5trxdrf0s"&gt;3438&lt;/key&gt;&lt;/foreign-keys&gt;&lt;ref-type name="Classical Work"&gt;49&lt;/ref-type&gt;&lt;contributors&gt;&lt;authors&gt;&lt;author&gt;Christidis, L.&lt;/author&gt;&lt;author&gt;Boles, W.&lt;/author&gt;&lt;/authors&gt;&lt;/contributors&gt;&lt;titles&gt;&lt;title&gt;Systematics and Taxonomy of Australian Birds&lt;/title&gt;&lt;/titles&gt;&lt;dates&gt;&lt;year&gt;2008&lt;/year&gt;&lt;/dates&gt;&lt;pub-location&gt;Colllingwood, Australia&lt;/pub-location&gt;&lt;publisher&gt;CSIRO Publishing&lt;/publisher&gt;&lt;urls&gt;&lt;/urls&gt;&lt;/record&gt;&lt;/Cite&gt;&lt;/EndNote&gt;</w:instrText>
      </w:r>
      <w:r w:rsidR="00D20FAE">
        <w:fldChar w:fldCharType="separate"/>
      </w:r>
      <w:r w:rsidR="006171E9">
        <w:rPr>
          <w:noProof/>
        </w:rPr>
        <w:t>(</w:t>
      </w:r>
      <w:hyperlink w:anchor="_ENREF_25" w:tooltip="Christidis, 2008 #3438" w:history="1">
        <w:r w:rsidR="006810E6">
          <w:rPr>
            <w:noProof/>
          </w:rPr>
          <w:t>Christidis and Boles 2008</w:t>
        </w:r>
      </w:hyperlink>
      <w:r w:rsidR="006171E9">
        <w:rPr>
          <w:noProof/>
        </w:rPr>
        <w:t>)</w:t>
      </w:r>
      <w:bookmarkEnd w:id="532"/>
      <w:r w:rsidR="00D20FAE">
        <w:fldChar w:fldCharType="end"/>
      </w:r>
      <w:r w:rsidR="00FC57DC">
        <w:t xml:space="preserve"> </w:t>
      </w:r>
    </w:p>
    <w:tbl>
      <w:tblPr>
        <w:tblStyle w:val="TableGrid"/>
        <w:tblW w:w="9543" w:type="dxa"/>
        <w:tblLook w:val="04A0"/>
      </w:tblPr>
      <w:tblGrid>
        <w:gridCol w:w="1930"/>
        <w:gridCol w:w="2397"/>
        <w:gridCol w:w="3090"/>
        <w:gridCol w:w="2126"/>
      </w:tblGrid>
      <w:tr w:rsidR="00FC57DC" w:rsidRPr="00974EFA" w:rsidTr="00AF2DF6">
        <w:trPr>
          <w:cnfStyle w:val="100000000000"/>
          <w:trHeight w:val="255"/>
        </w:trPr>
        <w:tc>
          <w:tcPr>
            <w:tcW w:w="1930" w:type="dxa"/>
            <w:noWrap/>
            <w:hideMark/>
          </w:tcPr>
          <w:p w:rsidR="00FC57DC" w:rsidRPr="00974EFA" w:rsidRDefault="00FC57DC" w:rsidP="00974EFA">
            <w:pPr>
              <w:pStyle w:val="Tabletext"/>
              <w:rPr>
                <w:b/>
              </w:rPr>
            </w:pPr>
            <w:r w:rsidRPr="00974EFA">
              <w:rPr>
                <w:b/>
              </w:rPr>
              <w:t>Family</w:t>
            </w:r>
          </w:p>
        </w:tc>
        <w:tc>
          <w:tcPr>
            <w:tcW w:w="2397" w:type="dxa"/>
            <w:noWrap/>
            <w:hideMark/>
          </w:tcPr>
          <w:p w:rsidR="00FC57DC" w:rsidRPr="00974EFA" w:rsidRDefault="00FC57DC" w:rsidP="00974EFA">
            <w:pPr>
              <w:pStyle w:val="Tabletext"/>
              <w:rPr>
                <w:b/>
              </w:rPr>
            </w:pPr>
            <w:r w:rsidRPr="00974EFA">
              <w:rPr>
                <w:b/>
              </w:rPr>
              <w:t>Common name</w:t>
            </w:r>
          </w:p>
        </w:tc>
        <w:tc>
          <w:tcPr>
            <w:tcW w:w="3090" w:type="dxa"/>
            <w:noWrap/>
            <w:hideMark/>
          </w:tcPr>
          <w:p w:rsidR="00FC57DC" w:rsidRPr="00974EFA" w:rsidRDefault="00FC57DC" w:rsidP="00974EFA">
            <w:pPr>
              <w:pStyle w:val="Tabletext"/>
              <w:rPr>
                <w:b/>
              </w:rPr>
            </w:pPr>
            <w:r w:rsidRPr="00974EFA">
              <w:rPr>
                <w:b/>
              </w:rPr>
              <w:t>Scientific name</w:t>
            </w:r>
          </w:p>
        </w:tc>
        <w:tc>
          <w:tcPr>
            <w:tcW w:w="2126" w:type="dxa"/>
            <w:noWrap/>
            <w:hideMark/>
          </w:tcPr>
          <w:p w:rsidR="00FC57DC" w:rsidRPr="00974EFA" w:rsidRDefault="00FC57DC" w:rsidP="00974EFA">
            <w:pPr>
              <w:pStyle w:val="Tabletext"/>
              <w:rPr>
                <w:b/>
              </w:rPr>
            </w:pPr>
            <w:r w:rsidRPr="00974EFA">
              <w:rPr>
                <w:b/>
              </w:rPr>
              <w:t>Feeding guild</w:t>
            </w:r>
          </w:p>
        </w:tc>
      </w:tr>
      <w:tr w:rsidR="00FC57DC" w:rsidRPr="00415083" w:rsidTr="00AF2DF6">
        <w:trPr>
          <w:trHeight w:val="255"/>
        </w:trPr>
        <w:tc>
          <w:tcPr>
            <w:tcW w:w="1930" w:type="dxa"/>
            <w:vMerge w:val="restart"/>
            <w:noWrap/>
            <w:hideMark/>
          </w:tcPr>
          <w:p w:rsidR="00FC57DC" w:rsidRPr="00415083" w:rsidRDefault="00FC57DC" w:rsidP="00974EFA">
            <w:pPr>
              <w:pStyle w:val="Tabletext"/>
              <w:rPr>
                <w:color w:val="000000"/>
              </w:rPr>
            </w:pPr>
            <w:r w:rsidRPr="00415083">
              <w:rPr>
                <w:color w:val="000000"/>
              </w:rPr>
              <w:t>Anatidae</w:t>
            </w:r>
          </w:p>
        </w:tc>
        <w:tc>
          <w:tcPr>
            <w:tcW w:w="2397" w:type="dxa"/>
            <w:noWrap/>
            <w:hideMark/>
          </w:tcPr>
          <w:p w:rsidR="00FC57DC" w:rsidRPr="00415083" w:rsidRDefault="00FC57DC" w:rsidP="00974EFA">
            <w:pPr>
              <w:pStyle w:val="Tabletext"/>
            </w:pPr>
            <w:r w:rsidRPr="00415083">
              <w:t>Australasian shoveler</w:t>
            </w:r>
          </w:p>
        </w:tc>
        <w:tc>
          <w:tcPr>
            <w:tcW w:w="3090" w:type="dxa"/>
            <w:noWrap/>
            <w:hideMark/>
          </w:tcPr>
          <w:p w:rsidR="00FC57DC" w:rsidRPr="00415083" w:rsidRDefault="00FC57DC" w:rsidP="00974EFA">
            <w:pPr>
              <w:pStyle w:val="Tabletext"/>
              <w:rPr>
                <w:i/>
                <w:iCs/>
                <w:color w:val="000000"/>
              </w:rPr>
            </w:pPr>
            <w:r w:rsidRPr="00415083">
              <w:rPr>
                <w:i/>
                <w:iCs/>
                <w:color w:val="000000"/>
              </w:rPr>
              <w:t>Anas rhynchotis</w:t>
            </w:r>
          </w:p>
        </w:tc>
        <w:tc>
          <w:tcPr>
            <w:tcW w:w="2126" w:type="dxa"/>
            <w:noWrap/>
            <w:hideMark/>
          </w:tcPr>
          <w:p w:rsidR="00FC57DC" w:rsidRPr="00415083" w:rsidRDefault="00FC57DC" w:rsidP="00974EFA">
            <w:pPr>
              <w:pStyle w:val="Tabletext"/>
            </w:pPr>
            <w:r w:rsidRPr="00415083">
              <w:t>Dabbling duck</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Australian shelduck</w:t>
            </w:r>
          </w:p>
        </w:tc>
        <w:tc>
          <w:tcPr>
            <w:tcW w:w="3090" w:type="dxa"/>
            <w:noWrap/>
            <w:hideMark/>
          </w:tcPr>
          <w:p w:rsidR="00FC57DC" w:rsidRPr="00415083" w:rsidRDefault="00FC57DC" w:rsidP="00974EFA">
            <w:pPr>
              <w:pStyle w:val="Tabletext"/>
              <w:rPr>
                <w:i/>
                <w:iCs/>
                <w:color w:val="000000"/>
              </w:rPr>
            </w:pPr>
            <w:r w:rsidRPr="00415083">
              <w:rPr>
                <w:i/>
                <w:iCs/>
                <w:color w:val="000000"/>
              </w:rPr>
              <w:t>Tadorna tadornoides</w:t>
            </w:r>
          </w:p>
        </w:tc>
        <w:tc>
          <w:tcPr>
            <w:tcW w:w="2126" w:type="dxa"/>
            <w:noWrap/>
            <w:hideMark/>
          </w:tcPr>
          <w:p w:rsidR="00FC57DC" w:rsidRPr="00415083" w:rsidRDefault="00FC57DC" w:rsidP="00974EFA">
            <w:pPr>
              <w:pStyle w:val="Tabletext"/>
            </w:pPr>
            <w:r w:rsidRPr="00415083">
              <w:t>Grazing waterfowl</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Australian wood duck</w:t>
            </w:r>
          </w:p>
        </w:tc>
        <w:tc>
          <w:tcPr>
            <w:tcW w:w="3090" w:type="dxa"/>
            <w:noWrap/>
            <w:hideMark/>
          </w:tcPr>
          <w:p w:rsidR="00FC57DC" w:rsidRPr="00415083" w:rsidRDefault="00FC57DC" w:rsidP="00974EFA">
            <w:pPr>
              <w:pStyle w:val="Tabletext"/>
              <w:rPr>
                <w:i/>
                <w:iCs/>
                <w:color w:val="000000"/>
              </w:rPr>
            </w:pPr>
            <w:r w:rsidRPr="00415083">
              <w:rPr>
                <w:i/>
                <w:iCs/>
                <w:color w:val="000000"/>
              </w:rPr>
              <w:t>Chenonetta jubata</w:t>
            </w:r>
          </w:p>
        </w:tc>
        <w:tc>
          <w:tcPr>
            <w:tcW w:w="2126" w:type="dxa"/>
            <w:noWrap/>
            <w:hideMark/>
          </w:tcPr>
          <w:p w:rsidR="00FC57DC" w:rsidRPr="00415083" w:rsidRDefault="00FC57DC" w:rsidP="00974EFA">
            <w:pPr>
              <w:pStyle w:val="Tabletext"/>
            </w:pPr>
            <w:r w:rsidRPr="00415083">
              <w:t>Grazing waterfowl</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t>Black s</w:t>
            </w:r>
            <w:r w:rsidRPr="00415083">
              <w:t>wan</w:t>
            </w:r>
          </w:p>
        </w:tc>
        <w:tc>
          <w:tcPr>
            <w:tcW w:w="3090" w:type="dxa"/>
            <w:noWrap/>
            <w:hideMark/>
          </w:tcPr>
          <w:p w:rsidR="00FC57DC" w:rsidRPr="00415083" w:rsidRDefault="00FC57DC" w:rsidP="00974EFA">
            <w:pPr>
              <w:pStyle w:val="Tabletext"/>
              <w:rPr>
                <w:i/>
                <w:iCs/>
                <w:color w:val="000000"/>
              </w:rPr>
            </w:pPr>
            <w:r w:rsidRPr="00415083">
              <w:rPr>
                <w:i/>
                <w:iCs/>
                <w:color w:val="000000"/>
              </w:rPr>
              <w:t>Cygnus atratus</w:t>
            </w:r>
          </w:p>
        </w:tc>
        <w:tc>
          <w:tcPr>
            <w:tcW w:w="2126" w:type="dxa"/>
            <w:noWrap/>
            <w:hideMark/>
          </w:tcPr>
          <w:p w:rsidR="00FC57DC" w:rsidRPr="00415083" w:rsidRDefault="00FC57DC" w:rsidP="00974EFA">
            <w:pPr>
              <w:pStyle w:val="Tabletext"/>
            </w:pPr>
            <w:r w:rsidRPr="00415083">
              <w:t>Deep-water forager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Blue-billed duck</w:t>
            </w:r>
          </w:p>
        </w:tc>
        <w:tc>
          <w:tcPr>
            <w:tcW w:w="3090" w:type="dxa"/>
            <w:noWrap/>
            <w:hideMark/>
          </w:tcPr>
          <w:p w:rsidR="00FC57DC" w:rsidRPr="00415083" w:rsidRDefault="00FC57DC" w:rsidP="00974EFA">
            <w:pPr>
              <w:pStyle w:val="Tabletext"/>
              <w:rPr>
                <w:i/>
                <w:iCs/>
                <w:color w:val="000000"/>
              </w:rPr>
            </w:pPr>
            <w:r w:rsidRPr="00415083">
              <w:rPr>
                <w:i/>
                <w:iCs/>
                <w:color w:val="000000"/>
              </w:rPr>
              <w:t>Oxyura australis V</w:t>
            </w:r>
          </w:p>
        </w:tc>
        <w:tc>
          <w:tcPr>
            <w:tcW w:w="2126" w:type="dxa"/>
            <w:noWrap/>
            <w:hideMark/>
          </w:tcPr>
          <w:p w:rsidR="00FC57DC" w:rsidRPr="00415083" w:rsidRDefault="00FC57DC" w:rsidP="00974EFA">
            <w:pPr>
              <w:pStyle w:val="Tabletext"/>
            </w:pPr>
            <w:r w:rsidRPr="00415083">
              <w:t>Deep-water forager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Chestnut teal</w:t>
            </w:r>
          </w:p>
        </w:tc>
        <w:tc>
          <w:tcPr>
            <w:tcW w:w="3090" w:type="dxa"/>
            <w:noWrap/>
            <w:hideMark/>
          </w:tcPr>
          <w:p w:rsidR="00FC57DC" w:rsidRPr="00415083" w:rsidRDefault="00FC57DC" w:rsidP="00974EFA">
            <w:pPr>
              <w:pStyle w:val="Tabletext"/>
              <w:rPr>
                <w:i/>
                <w:iCs/>
                <w:color w:val="000000"/>
              </w:rPr>
            </w:pPr>
            <w:r w:rsidRPr="00415083">
              <w:rPr>
                <w:i/>
                <w:iCs/>
                <w:color w:val="000000"/>
              </w:rPr>
              <w:t>Anas castanea</w:t>
            </w:r>
          </w:p>
        </w:tc>
        <w:tc>
          <w:tcPr>
            <w:tcW w:w="2126" w:type="dxa"/>
            <w:noWrap/>
            <w:hideMark/>
          </w:tcPr>
          <w:p w:rsidR="00FC57DC" w:rsidRPr="00415083" w:rsidRDefault="00FC57DC" w:rsidP="00974EFA">
            <w:pPr>
              <w:pStyle w:val="Tabletext"/>
            </w:pPr>
            <w:r w:rsidRPr="00415083">
              <w:t>Dabbling duck</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Freckled duck</w:t>
            </w:r>
          </w:p>
        </w:tc>
        <w:tc>
          <w:tcPr>
            <w:tcW w:w="3090" w:type="dxa"/>
            <w:noWrap/>
            <w:hideMark/>
          </w:tcPr>
          <w:p w:rsidR="00FC57DC" w:rsidRPr="00415083" w:rsidRDefault="00FC57DC" w:rsidP="00974EFA">
            <w:pPr>
              <w:pStyle w:val="Tabletext"/>
              <w:rPr>
                <w:i/>
                <w:iCs/>
                <w:color w:val="000000"/>
              </w:rPr>
            </w:pPr>
            <w:r w:rsidRPr="00415083">
              <w:rPr>
                <w:i/>
                <w:iCs/>
                <w:color w:val="000000"/>
              </w:rPr>
              <w:t>Stictonetta naevosa V</w:t>
            </w:r>
          </w:p>
        </w:tc>
        <w:tc>
          <w:tcPr>
            <w:tcW w:w="2126" w:type="dxa"/>
            <w:noWrap/>
            <w:hideMark/>
          </w:tcPr>
          <w:p w:rsidR="00FC57DC" w:rsidRPr="00415083" w:rsidRDefault="00FC57DC" w:rsidP="00974EFA">
            <w:pPr>
              <w:pStyle w:val="Tabletext"/>
            </w:pPr>
            <w:r w:rsidRPr="00415083">
              <w:t>Dabbling duck</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Grey teal</w:t>
            </w:r>
          </w:p>
        </w:tc>
        <w:tc>
          <w:tcPr>
            <w:tcW w:w="3090" w:type="dxa"/>
            <w:noWrap/>
            <w:hideMark/>
          </w:tcPr>
          <w:p w:rsidR="00FC57DC" w:rsidRPr="00415083" w:rsidRDefault="00FC57DC" w:rsidP="00974EFA">
            <w:pPr>
              <w:pStyle w:val="Tabletext"/>
              <w:rPr>
                <w:i/>
                <w:iCs/>
                <w:color w:val="000000"/>
              </w:rPr>
            </w:pPr>
            <w:r w:rsidRPr="00415083">
              <w:rPr>
                <w:i/>
                <w:iCs/>
                <w:color w:val="000000"/>
              </w:rPr>
              <w:t>Anas gracilis</w:t>
            </w:r>
          </w:p>
        </w:tc>
        <w:tc>
          <w:tcPr>
            <w:tcW w:w="2126" w:type="dxa"/>
            <w:noWrap/>
            <w:hideMark/>
          </w:tcPr>
          <w:p w:rsidR="00FC57DC" w:rsidRPr="00415083" w:rsidRDefault="00FC57DC" w:rsidP="00974EFA">
            <w:pPr>
              <w:pStyle w:val="Tabletext"/>
            </w:pPr>
            <w:r w:rsidRPr="00415083">
              <w:t>Dabbling duck</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Hardhead</w:t>
            </w:r>
          </w:p>
        </w:tc>
        <w:tc>
          <w:tcPr>
            <w:tcW w:w="3090" w:type="dxa"/>
            <w:noWrap/>
            <w:hideMark/>
          </w:tcPr>
          <w:p w:rsidR="00FC57DC" w:rsidRPr="00415083" w:rsidRDefault="00FC57DC" w:rsidP="00974EFA">
            <w:pPr>
              <w:pStyle w:val="Tabletext"/>
              <w:rPr>
                <w:i/>
                <w:iCs/>
                <w:color w:val="000000"/>
              </w:rPr>
            </w:pPr>
            <w:r w:rsidRPr="00415083">
              <w:rPr>
                <w:i/>
                <w:iCs/>
                <w:color w:val="000000"/>
              </w:rPr>
              <w:t>Aythya australis</w:t>
            </w:r>
          </w:p>
        </w:tc>
        <w:tc>
          <w:tcPr>
            <w:tcW w:w="2126" w:type="dxa"/>
            <w:noWrap/>
            <w:hideMark/>
          </w:tcPr>
          <w:p w:rsidR="00FC57DC" w:rsidRPr="00415083" w:rsidRDefault="00FC57DC" w:rsidP="00974EFA">
            <w:pPr>
              <w:pStyle w:val="Tabletext"/>
            </w:pPr>
            <w:r w:rsidRPr="00415083">
              <w:t>Deep-water forager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Musk duck</w:t>
            </w:r>
          </w:p>
        </w:tc>
        <w:tc>
          <w:tcPr>
            <w:tcW w:w="3090" w:type="dxa"/>
            <w:noWrap/>
            <w:hideMark/>
          </w:tcPr>
          <w:p w:rsidR="00FC57DC" w:rsidRPr="00415083" w:rsidRDefault="00FC57DC" w:rsidP="00974EFA">
            <w:pPr>
              <w:pStyle w:val="Tabletext"/>
              <w:rPr>
                <w:i/>
                <w:iCs/>
                <w:color w:val="000000"/>
              </w:rPr>
            </w:pPr>
            <w:r w:rsidRPr="00415083">
              <w:rPr>
                <w:i/>
                <w:iCs/>
                <w:color w:val="000000"/>
              </w:rPr>
              <w:t>Biziura lobata</w:t>
            </w:r>
          </w:p>
        </w:tc>
        <w:tc>
          <w:tcPr>
            <w:tcW w:w="2126" w:type="dxa"/>
            <w:noWrap/>
            <w:hideMark/>
          </w:tcPr>
          <w:p w:rsidR="00FC57DC" w:rsidRPr="00415083" w:rsidRDefault="00FC57DC" w:rsidP="00974EFA">
            <w:pPr>
              <w:pStyle w:val="Tabletext"/>
            </w:pPr>
            <w:r w:rsidRPr="00415083">
              <w:t>Deep-water forager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Pacific black duck</w:t>
            </w:r>
          </w:p>
        </w:tc>
        <w:tc>
          <w:tcPr>
            <w:tcW w:w="3090" w:type="dxa"/>
            <w:noWrap/>
            <w:hideMark/>
          </w:tcPr>
          <w:p w:rsidR="00FC57DC" w:rsidRPr="00415083" w:rsidRDefault="00FC57DC" w:rsidP="00974EFA">
            <w:pPr>
              <w:pStyle w:val="Tabletext"/>
              <w:rPr>
                <w:i/>
                <w:iCs/>
                <w:color w:val="000000"/>
              </w:rPr>
            </w:pPr>
            <w:r w:rsidRPr="00415083">
              <w:rPr>
                <w:i/>
                <w:iCs/>
                <w:color w:val="000000"/>
              </w:rPr>
              <w:t>Anas superciliosa</w:t>
            </w:r>
          </w:p>
        </w:tc>
        <w:tc>
          <w:tcPr>
            <w:tcW w:w="2126" w:type="dxa"/>
            <w:noWrap/>
            <w:hideMark/>
          </w:tcPr>
          <w:p w:rsidR="00FC57DC" w:rsidRPr="00415083" w:rsidRDefault="00FC57DC" w:rsidP="00974EFA">
            <w:pPr>
              <w:pStyle w:val="Tabletext"/>
            </w:pPr>
            <w:r w:rsidRPr="00415083">
              <w:t>Dabbling duck</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Pink-eared duck</w:t>
            </w:r>
          </w:p>
        </w:tc>
        <w:tc>
          <w:tcPr>
            <w:tcW w:w="3090" w:type="dxa"/>
            <w:noWrap/>
            <w:hideMark/>
          </w:tcPr>
          <w:p w:rsidR="00FC57DC" w:rsidRPr="00415083" w:rsidRDefault="00FC57DC" w:rsidP="00974EFA">
            <w:pPr>
              <w:pStyle w:val="Tabletext"/>
              <w:rPr>
                <w:i/>
                <w:iCs/>
                <w:color w:val="000000"/>
              </w:rPr>
            </w:pPr>
            <w:r w:rsidRPr="00415083">
              <w:rPr>
                <w:i/>
                <w:iCs/>
                <w:color w:val="000000"/>
              </w:rPr>
              <w:t>Malacorhynchus membranaceus</w:t>
            </w:r>
          </w:p>
        </w:tc>
        <w:tc>
          <w:tcPr>
            <w:tcW w:w="2126" w:type="dxa"/>
            <w:noWrap/>
            <w:hideMark/>
          </w:tcPr>
          <w:p w:rsidR="00FC57DC" w:rsidRPr="00415083" w:rsidRDefault="00FC57DC" w:rsidP="00974EFA">
            <w:pPr>
              <w:pStyle w:val="Tabletext"/>
            </w:pPr>
            <w:r w:rsidRPr="00415083">
              <w:t>Dabbling duck</w:t>
            </w:r>
          </w:p>
        </w:tc>
      </w:tr>
      <w:tr w:rsidR="00FC57DC" w:rsidRPr="00415083" w:rsidTr="00AF2DF6">
        <w:trPr>
          <w:trHeight w:val="255"/>
        </w:trPr>
        <w:tc>
          <w:tcPr>
            <w:tcW w:w="1930" w:type="dxa"/>
            <w:noWrap/>
            <w:hideMark/>
          </w:tcPr>
          <w:p w:rsidR="00FC57DC" w:rsidRPr="00415083" w:rsidRDefault="00FC57DC" w:rsidP="00974EFA">
            <w:pPr>
              <w:pStyle w:val="Tabletext"/>
              <w:rPr>
                <w:color w:val="000000"/>
              </w:rPr>
            </w:pPr>
            <w:r w:rsidRPr="00415083">
              <w:rPr>
                <w:color w:val="000000"/>
              </w:rPr>
              <w:t>Anhingidae</w:t>
            </w:r>
          </w:p>
        </w:tc>
        <w:tc>
          <w:tcPr>
            <w:tcW w:w="2397" w:type="dxa"/>
            <w:noWrap/>
            <w:hideMark/>
          </w:tcPr>
          <w:p w:rsidR="00FC57DC" w:rsidRPr="00415083" w:rsidRDefault="00FC57DC" w:rsidP="00974EFA">
            <w:pPr>
              <w:pStyle w:val="Tabletext"/>
            </w:pPr>
            <w:r w:rsidRPr="00415083">
              <w:t>Australasian darter</w:t>
            </w:r>
          </w:p>
        </w:tc>
        <w:tc>
          <w:tcPr>
            <w:tcW w:w="3090" w:type="dxa"/>
            <w:noWrap/>
            <w:hideMark/>
          </w:tcPr>
          <w:p w:rsidR="00FC57DC" w:rsidRPr="00415083" w:rsidRDefault="00FC57DC" w:rsidP="00974EFA">
            <w:pPr>
              <w:pStyle w:val="Tabletext"/>
              <w:rPr>
                <w:i/>
                <w:iCs/>
                <w:color w:val="000000"/>
              </w:rPr>
            </w:pPr>
            <w:r w:rsidRPr="00415083">
              <w:rPr>
                <w:i/>
                <w:iCs/>
                <w:color w:val="000000"/>
              </w:rPr>
              <w:t>Anhinga novaehollandiae</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val="restart"/>
            <w:noWrap/>
            <w:hideMark/>
          </w:tcPr>
          <w:p w:rsidR="00FC57DC" w:rsidRPr="00415083" w:rsidRDefault="00FC57DC" w:rsidP="00974EFA">
            <w:pPr>
              <w:pStyle w:val="Tabletext"/>
              <w:rPr>
                <w:color w:val="000000"/>
              </w:rPr>
            </w:pPr>
            <w:r w:rsidRPr="00415083">
              <w:rPr>
                <w:color w:val="000000"/>
              </w:rPr>
              <w:t>Ardeidae</w:t>
            </w:r>
          </w:p>
        </w:tc>
        <w:tc>
          <w:tcPr>
            <w:tcW w:w="2397" w:type="dxa"/>
            <w:noWrap/>
            <w:hideMark/>
          </w:tcPr>
          <w:p w:rsidR="00FC57DC" w:rsidRPr="00415083" w:rsidRDefault="00FC57DC" w:rsidP="00974EFA">
            <w:pPr>
              <w:pStyle w:val="Tabletext"/>
            </w:pPr>
            <w:r w:rsidRPr="00415083">
              <w:t>Eastern great egret</w:t>
            </w:r>
          </w:p>
        </w:tc>
        <w:tc>
          <w:tcPr>
            <w:tcW w:w="3090" w:type="dxa"/>
            <w:noWrap/>
            <w:hideMark/>
          </w:tcPr>
          <w:p w:rsidR="00FC57DC" w:rsidRPr="00415083" w:rsidRDefault="00FC57DC" w:rsidP="00974EFA">
            <w:pPr>
              <w:pStyle w:val="Tabletext"/>
              <w:rPr>
                <w:i/>
                <w:iCs/>
                <w:color w:val="000000"/>
              </w:rPr>
            </w:pPr>
            <w:r w:rsidRPr="00415083">
              <w:rPr>
                <w:i/>
                <w:iCs/>
                <w:color w:val="000000"/>
              </w:rPr>
              <w:t>Ardea modesta JC</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Intermediate egret</w:t>
            </w:r>
          </w:p>
        </w:tc>
        <w:tc>
          <w:tcPr>
            <w:tcW w:w="3090" w:type="dxa"/>
            <w:noWrap/>
            <w:hideMark/>
          </w:tcPr>
          <w:p w:rsidR="00FC57DC" w:rsidRPr="00415083" w:rsidRDefault="00FC57DC" w:rsidP="00974EFA">
            <w:pPr>
              <w:pStyle w:val="Tabletext"/>
              <w:rPr>
                <w:i/>
                <w:iCs/>
                <w:color w:val="000000"/>
              </w:rPr>
            </w:pPr>
            <w:r w:rsidRPr="00415083">
              <w:rPr>
                <w:i/>
                <w:iCs/>
                <w:color w:val="000000"/>
              </w:rPr>
              <w:t>Ardea intermedia</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Nankeen night heron</w:t>
            </w:r>
          </w:p>
        </w:tc>
        <w:tc>
          <w:tcPr>
            <w:tcW w:w="3090" w:type="dxa"/>
            <w:noWrap/>
            <w:hideMark/>
          </w:tcPr>
          <w:p w:rsidR="00FC57DC" w:rsidRPr="00415083" w:rsidRDefault="00FC57DC" w:rsidP="00974EFA">
            <w:pPr>
              <w:pStyle w:val="Tabletext"/>
              <w:rPr>
                <w:i/>
                <w:iCs/>
                <w:color w:val="000000"/>
              </w:rPr>
            </w:pPr>
            <w:r w:rsidRPr="00415083">
              <w:rPr>
                <w:i/>
                <w:iCs/>
                <w:color w:val="000000"/>
              </w:rPr>
              <w:t xml:space="preserve">Nycticorax caledonicus </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White-faced heron</w:t>
            </w:r>
          </w:p>
        </w:tc>
        <w:tc>
          <w:tcPr>
            <w:tcW w:w="3090" w:type="dxa"/>
            <w:noWrap/>
            <w:hideMark/>
          </w:tcPr>
          <w:p w:rsidR="00FC57DC" w:rsidRPr="00415083" w:rsidRDefault="00FC57DC" w:rsidP="00974EFA">
            <w:pPr>
              <w:pStyle w:val="Tabletext"/>
              <w:rPr>
                <w:i/>
                <w:iCs/>
                <w:color w:val="000000"/>
              </w:rPr>
            </w:pPr>
            <w:r w:rsidRPr="00415083">
              <w:rPr>
                <w:i/>
                <w:iCs/>
                <w:color w:val="000000"/>
              </w:rPr>
              <w:t>Egretta novaehollandiae</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White-necked heron</w:t>
            </w:r>
          </w:p>
        </w:tc>
        <w:tc>
          <w:tcPr>
            <w:tcW w:w="3090" w:type="dxa"/>
            <w:noWrap/>
            <w:hideMark/>
          </w:tcPr>
          <w:p w:rsidR="00FC57DC" w:rsidRPr="00415083" w:rsidRDefault="00FC57DC" w:rsidP="00974EFA">
            <w:pPr>
              <w:pStyle w:val="Tabletext"/>
              <w:rPr>
                <w:i/>
                <w:iCs/>
                <w:color w:val="000000"/>
              </w:rPr>
            </w:pPr>
            <w:r w:rsidRPr="00415083">
              <w:rPr>
                <w:i/>
                <w:iCs/>
                <w:color w:val="000000"/>
              </w:rPr>
              <w:t>Ardea pacifica</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val="restart"/>
            <w:noWrap/>
            <w:hideMark/>
          </w:tcPr>
          <w:p w:rsidR="00FC57DC" w:rsidRPr="00415083" w:rsidRDefault="00FC57DC" w:rsidP="00974EFA">
            <w:pPr>
              <w:pStyle w:val="Tabletext"/>
              <w:rPr>
                <w:color w:val="000000"/>
              </w:rPr>
            </w:pPr>
            <w:r w:rsidRPr="00415083">
              <w:rPr>
                <w:color w:val="000000"/>
              </w:rPr>
              <w:t>Charadriidae</w:t>
            </w:r>
          </w:p>
        </w:tc>
        <w:tc>
          <w:tcPr>
            <w:tcW w:w="2397" w:type="dxa"/>
            <w:noWrap/>
            <w:hideMark/>
          </w:tcPr>
          <w:p w:rsidR="00FC57DC" w:rsidRPr="00415083" w:rsidRDefault="00FC57DC" w:rsidP="00974EFA">
            <w:pPr>
              <w:pStyle w:val="Tabletext"/>
              <w:rPr>
                <w:color w:val="000000"/>
              </w:rPr>
            </w:pPr>
            <w:r w:rsidRPr="00415083">
              <w:rPr>
                <w:color w:val="000000"/>
              </w:rPr>
              <w:t>Black-fronted dotterel</w:t>
            </w:r>
          </w:p>
        </w:tc>
        <w:tc>
          <w:tcPr>
            <w:tcW w:w="3090" w:type="dxa"/>
            <w:noWrap/>
            <w:hideMark/>
          </w:tcPr>
          <w:p w:rsidR="00FC57DC" w:rsidRPr="00415083" w:rsidRDefault="00FC57DC" w:rsidP="00974EFA">
            <w:pPr>
              <w:pStyle w:val="Tabletext"/>
              <w:rPr>
                <w:i/>
                <w:iCs/>
                <w:color w:val="000000"/>
              </w:rPr>
            </w:pPr>
            <w:r w:rsidRPr="00415083">
              <w:rPr>
                <w:i/>
                <w:iCs/>
                <w:color w:val="000000"/>
              </w:rPr>
              <w:t>Elseyornis melanops</w:t>
            </w:r>
          </w:p>
        </w:tc>
        <w:tc>
          <w:tcPr>
            <w:tcW w:w="2126" w:type="dxa"/>
            <w:noWrap/>
            <w:hideMark/>
          </w:tcPr>
          <w:p w:rsidR="00FC57DC" w:rsidRPr="00415083" w:rsidRDefault="00FC57DC" w:rsidP="00974EFA">
            <w:pPr>
              <w:pStyle w:val="Tabletext"/>
            </w:pPr>
            <w:r w:rsidRPr="00415083">
              <w:t>Small wader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Masked lapwing</w:t>
            </w:r>
          </w:p>
        </w:tc>
        <w:tc>
          <w:tcPr>
            <w:tcW w:w="3090" w:type="dxa"/>
            <w:noWrap/>
            <w:hideMark/>
          </w:tcPr>
          <w:p w:rsidR="00FC57DC" w:rsidRPr="00415083" w:rsidRDefault="00FC57DC" w:rsidP="00974EFA">
            <w:pPr>
              <w:pStyle w:val="Tabletext"/>
              <w:rPr>
                <w:i/>
                <w:iCs/>
                <w:color w:val="000000"/>
              </w:rPr>
            </w:pPr>
            <w:r w:rsidRPr="00415083">
              <w:rPr>
                <w:i/>
                <w:iCs/>
                <w:color w:val="000000"/>
              </w:rPr>
              <w:t>Vanellus miles</w:t>
            </w:r>
          </w:p>
        </w:tc>
        <w:tc>
          <w:tcPr>
            <w:tcW w:w="2126" w:type="dxa"/>
            <w:noWrap/>
            <w:hideMark/>
          </w:tcPr>
          <w:p w:rsidR="00FC57DC" w:rsidRPr="00415083" w:rsidRDefault="00FC57DC" w:rsidP="00974EFA">
            <w:pPr>
              <w:pStyle w:val="Tabletext"/>
            </w:pPr>
            <w:r w:rsidRPr="00415083">
              <w:t>Shoreline forager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Red-capped plover</w:t>
            </w:r>
          </w:p>
        </w:tc>
        <w:tc>
          <w:tcPr>
            <w:tcW w:w="3090" w:type="dxa"/>
            <w:noWrap/>
            <w:hideMark/>
          </w:tcPr>
          <w:p w:rsidR="00FC57DC" w:rsidRPr="00415083" w:rsidRDefault="00FC57DC" w:rsidP="00974EFA">
            <w:pPr>
              <w:pStyle w:val="Tabletext"/>
              <w:rPr>
                <w:i/>
                <w:iCs/>
                <w:color w:val="000000"/>
              </w:rPr>
            </w:pPr>
            <w:r w:rsidRPr="00415083">
              <w:rPr>
                <w:i/>
                <w:iCs/>
                <w:color w:val="000000"/>
              </w:rPr>
              <w:t>Charadrius ruficapillus</w:t>
            </w:r>
          </w:p>
        </w:tc>
        <w:tc>
          <w:tcPr>
            <w:tcW w:w="2126" w:type="dxa"/>
            <w:noWrap/>
            <w:hideMark/>
          </w:tcPr>
          <w:p w:rsidR="00FC57DC" w:rsidRPr="00415083" w:rsidRDefault="00FC57DC" w:rsidP="00974EFA">
            <w:pPr>
              <w:pStyle w:val="Tabletext"/>
            </w:pPr>
            <w:r w:rsidRPr="00415083">
              <w:t>Small wader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Red-kneed dotterel</w:t>
            </w:r>
          </w:p>
        </w:tc>
        <w:tc>
          <w:tcPr>
            <w:tcW w:w="3090" w:type="dxa"/>
            <w:noWrap/>
            <w:hideMark/>
          </w:tcPr>
          <w:p w:rsidR="00FC57DC" w:rsidRPr="00415083" w:rsidRDefault="00FC57DC" w:rsidP="00974EFA">
            <w:pPr>
              <w:pStyle w:val="Tabletext"/>
              <w:rPr>
                <w:i/>
                <w:iCs/>
                <w:color w:val="000000"/>
              </w:rPr>
            </w:pPr>
            <w:r w:rsidRPr="00415083">
              <w:rPr>
                <w:i/>
                <w:iCs/>
                <w:color w:val="000000"/>
              </w:rPr>
              <w:t>Erythrogonys cinctus</w:t>
            </w:r>
          </w:p>
        </w:tc>
        <w:tc>
          <w:tcPr>
            <w:tcW w:w="2126" w:type="dxa"/>
            <w:noWrap/>
            <w:hideMark/>
          </w:tcPr>
          <w:p w:rsidR="00FC57DC" w:rsidRPr="00415083" w:rsidRDefault="00FC57DC" w:rsidP="00974EFA">
            <w:pPr>
              <w:pStyle w:val="Tabletext"/>
            </w:pPr>
            <w:r w:rsidRPr="00415083">
              <w:t>Small wader</w:t>
            </w:r>
          </w:p>
        </w:tc>
      </w:tr>
      <w:tr w:rsidR="00FC57DC" w:rsidRPr="00415083" w:rsidTr="00AF2DF6">
        <w:trPr>
          <w:trHeight w:val="255"/>
        </w:trPr>
        <w:tc>
          <w:tcPr>
            <w:tcW w:w="1930" w:type="dxa"/>
            <w:vMerge w:val="restart"/>
            <w:noWrap/>
            <w:hideMark/>
          </w:tcPr>
          <w:p w:rsidR="00FC57DC" w:rsidRPr="00415083" w:rsidRDefault="00FC57DC" w:rsidP="00974EFA">
            <w:pPr>
              <w:pStyle w:val="Tabletext"/>
            </w:pPr>
            <w:r w:rsidRPr="00415083">
              <w:t>Laridae</w:t>
            </w:r>
          </w:p>
        </w:tc>
        <w:tc>
          <w:tcPr>
            <w:tcW w:w="2397" w:type="dxa"/>
            <w:noWrap/>
            <w:hideMark/>
          </w:tcPr>
          <w:p w:rsidR="00FC57DC" w:rsidRPr="00415083" w:rsidRDefault="00FC57DC" w:rsidP="00974EFA">
            <w:pPr>
              <w:pStyle w:val="Tabletext"/>
            </w:pPr>
            <w:r w:rsidRPr="00415083">
              <w:t>Caspian tern</w:t>
            </w:r>
          </w:p>
        </w:tc>
        <w:tc>
          <w:tcPr>
            <w:tcW w:w="3090" w:type="dxa"/>
            <w:noWrap/>
            <w:hideMark/>
          </w:tcPr>
          <w:p w:rsidR="00FC57DC" w:rsidRPr="00415083" w:rsidRDefault="00FC57DC" w:rsidP="00974EFA">
            <w:pPr>
              <w:pStyle w:val="Tabletext"/>
              <w:rPr>
                <w:i/>
                <w:iCs/>
                <w:color w:val="000000"/>
              </w:rPr>
            </w:pPr>
            <w:r w:rsidRPr="00415083">
              <w:rPr>
                <w:i/>
                <w:iCs/>
                <w:color w:val="000000"/>
              </w:rPr>
              <w:t>Hydroprogne caspia JC</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pPr>
          </w:p>
        </w:tc>
        <w:tc>
          <w:tcPr>
            <w:tcW w:w="2397" w:type="dxa"/>
            <w:noWrap/>
            <w:hideMark/>
          </w:tcPr>
          <w:p w:rsidR="00FC57DC" w:rsidRPr="00415083" w:rsidRDefault="00FC57DC" w:rsidP="00974EFA">
            <w:pPr>
              <w:pStyle w:val="Tabletext"/>
            </w:pPr>
            <w:r w:rsidRPr="00415083">
              <w:t>Gull-billed tern</w:t>
            </w:r>
          </w:p>
        </w:tc>
        <w:tc>
          <w:tcPr>
            <w:tcW w:w="3090" w:type="dxa"/>
            <w:noWrap/>
            <w:hideMark/>
          </w:tcPr>
          <w:p w:rsidR="00FC57DC" w:rsidRPr="00415083" w:rsidRDefault="00FC57DC" w:rsidP="00974EFA">
            <w:pPr>
              <w:pStyle w:val="Tabletext"/>
              <w:rPr>
                <w:i/>
                <w:iCs/>
                <w:color w:val="000000"/>
              </w:rPr>
            </w:pPr>
            <w:r w:rsidRPr="00415083">
              <w:rPr>
                <w:i/>
                <w:iCs/>
                <w:color w:val="000000"/>
              </w:rPr>
              <w:t>Gelochelidon nilotica</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pPr>
          </w:p>
        </w:tc>
        <w:tc>
          <w:tcPr>
            <w:tcW w:w="2397" w:type="dxa"/>
            <w:noWrap/>
            <w:hideMark/>
          </w:tcPr>
          <w:p w:rsidR="00FC57DC" w:rsidRPr="00415083" w:rsidRDefault="00FC57DC" w:rsidP="00974EFA">
            <w:pPr>
              <w:pStyle w:val="Tabletext"/>
            </w:pPr>
            <w:r w:rsidRPr="00415083">
              <w:t>Silver gull</w:t>
            </w:r>
          </w:p>
        </w:tc>
        <w:tc>
          <w:tcPr>
            <w:tcW w:w="3090" w:type="dxa"/>
            <w:noWrap/>
            <w:hideMark/>
          </w:tcPr>
          <w:p w:rsidR="00FC57DC" w:rsidRPr="00415083" w:rsidRDefault="00FC57DC" w:rsidP="00974EFA">
            <w:pPr>
              <w:pStyle w:val="Tabletext"/>
              <w:rPr>
                <w:i/>
                <w:iCs/>
                <w:color w:val="000000"/>
              </w:rPr>
            </w:pPr>
            <w:r w:rsidRPr="00415083">
              <w:rPr>
                <w:i/>
                <w:iCs/>
                <w:color w:val="000000"/>
              </w:rPr>
              <w:t>Chroicocephalus novaehollandiae</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pPr>
          </w:p>
        </w:tc>
        <w:tc>
          <w:tcPr>
            <w:tcW w:w="2397" w:type="dxa"/>
            <w:noWrap/>
            <w:hideMark/>
          </w:tcPr>
          <w:p w:rsidR="00FC57DC" w:rsidRPr="00415083" w:rsidRDefault="00FC57DC" w:rsidP="00974EFA">
            <w:pPr>
              <w:pStyle w:val="Tabletext"/>
            </w:pPr>
            <w:r w:rsidRPr="00415083">
              <w:t>Whiskered tern</w:t>
            </w:r>
          </w:p>
        </w:tc>
        <w:tc>
          <w:tcPr>
            <w:tcW w:w="3090" w:type="dxa"/>
            <w:noWrap/>
            <w:hideMark/>
          </w:tcPr>
          <w:p w:rsidR="00FC57DC" w:rsidRPr="00415083" w:rsidRDefault="00FC57DC" w:rsidP="00974EFA">
            <w:pPr>
              <w:pStyle w:val="Tabletext"/>
              <w:rPr>
                <w:i/>
                <w:iCs/>
                <w:color w:val="000000"/>
              </w:rPr>
            </w:pPr>
            <w:r w:rsidRPr="00415083">
              <w:rPr>
                <w:i/>
                <w:iCs/>
                <w:color w:val="000000"/>
              </w:rPr>
              <w:t>Chlidonias hybrida</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noWrap/>
            <w:hideMark/>
          </w:tcPr>
          <w:p w:rsidR="00FC57DC" w:rsidRPr="00415083" w:rsidRDefault="00FC57DC" w:rsidP="00974EFA">
            <w:pPr>
              <w:pStyle w:val="Tabletext"/>
              <w:rPr>
                <w:color w:val="000000"/>
              </w:rPr>
            </w:pPr>
            <w:r w:rsidRPr="00415083">
              <w:rPr>
                <w:color w:val="000000"/>
              </w:rPr>
              <w:t>Pelecanidae</w:t>
            </w:r>
          </w:p>
        </w:tc>
        <w:tc>
          <w:tcPr>
            <w:tcW w:w="2397" w:type="dxa"/>
            <w:noWrap/>
            <w:hideMark/>
          </w:tcPr>
          <w:p w:rsidR="00FC57DC" w:rsidRPr="00415083" w:rsidRDefault="00FC57DC" w:rsidP="00974EFA">
            <w:pPr>
              <w:pStyle w:val="Tabletext"/>
              <w:rPr>
                <w:color w:val="000000"/>
              </w:rPr>
            </w:pPr>
            <w:r w:rsidRPr="00415083">
              <w:rPr>
                <w:color w:val="000000"/>
              </w:rPr>
              <w:t>Australian pelican</w:t>
            </w:r>
          </w:p>
        </w:tc>
        <w:tc>
          <w:tcPr>
            <w:tcW w:w="3090" w:type="dxa"/>
            <w:noWrap/>
            <w:hideMark/>
          </w:tcPr>
          <w:p w:rsidR="00FC57DC" w:rsidRPr="00415083" w:rsidRDefault="00FC57DC" w:rsidP="00974EFA">
            <w:pPr>
              <w:pStyle w:val="Tabletext"/>
              <w:rPr>
                <w:i/>
                <w:iCs/>
                <w:color w:val="000000"/>
              </w:rPr>
            </w:pPr>
            <w:r w:rsidRPr="00415083">
              <w:rPr>
                <w:i/>
                <w:iCs/>
                <w:color w:val="000000"/>
              </w:rPr>
              <w:t>Pelecanus conspicillatus</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val="restart"/>
            <w:noWrap/>
            <w:hideMark/>
          </w:tcPr>
          <w:p w:rsidR="00FC57DC" w:rsidRPr="00415083" w:rsidRDefault="00FC57DC" w:rsidP="00974EFA">
            <w:pPr>
              <w:pStyle w:val="Tabletext"/>
              <w:rPr>
                <w:color w:val="000000"/>
              </w:rPr>
            </w:pPr>
            <w:r w:rsidRPr="00415083">
              <w:rPr>
                <w:color w:val="000000"/>
              </w:rPr>
              <w:t>Phalacrocoracidae</w:t>
            </w:r>
          </w:p>
        </w:tc>
        <w:tc>
          <w:tcPr>
            <w:tcW w:w="2397" w:type="dxa"/>
            <w:noWrap/>
            <w:hideMark/>
          </w:tcPr>
          <w:p w:rsidR="00FC57DC" w:rsidRPr="00415083" w:rsidRDefault="00FC57DC" w:rsidP="00974EFA">
            <w:pPr>
              <w:pStyle w:val="Tabletext"/>
              <w:rPr>
                <w:color w:val="000000"/>
              </w:rPr>
            </w:pPr>
            <w:r w:rsidRPr="00415083">
              <w:rPr>
                <w:color w:val="000000"/>
              </w:rPr>
              <w:t>Great cormorant</w:t>
            </w:r>
          </w:p>
        </w:tc>
        <w:tc>
          <w:tcPr>
            <w:tcW w:w="3090" w:type="dxa"/>
            <w:noWrap/>
            <w:hideMark/>
          </w:tcPr>
          <w:p w:rsidR="00FC57DC" w:rsidRPr="00415083" w:rsidRDefault="00FC57DC" w:rsidP="00974EFA">
            <w:pPr>
              <w:pStyle w:val="Tabletext"/>
              <w:rPr>
                <w:i/>
                <w:iCs/>
                <w:color w:val="000000"/>
              </w:rPr>
            </w:pPr>
            <w:r w:rsidRPr="00415083">
              <w:rPr>
                <w:i/>
                <w:iCs/>
                <w:color w:val="000000"/>
              </w:rPr>
              <w:t>Phalacrocorax carbo</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Little black cormorant</w:t>
            </w:r>
          </w:p>
        </w:tc>
        <w:tc>
          <w:tcPr>
            <w:tcW w:w="3090" w:type="dxa"/>
            <w:noWrap/>
            <w:hideMark/>
          </w:tcPr>
          <w:p w:rsidR="00FC57DC" w:rsidRPr="00415083" w:rsidRDefault="00FC57DC" w:rsidP="00974EFA">
            <w:pPr>
              <w:pStyle w:val="Tabletext"/>
              <w:rPr>
                <w:i/>
                <w:iCs/>
                <w:color w:val="000000"/>
              </w:rPr>
            </w:pPr>
            <w:r w:rsidRPr="00415083">
              <w:rPr>
                <w:i/>
                <w:iCs/>
                <w:color w:val="000000"/>
              </w:rPr>
              <w:t>Phalacrocorax sulcirostris</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Little pied cormorant</w:t>
            </w:r>
          </w:p>
        </w:tc>
        <w:tc>
          <w:tcPr>
            <w:tcW w:w="3090" w:type="dxa"/>
            <w:noWrap/>
            <w:hideMark/>
          </w:tcPr>
          <w:p w:rsidR="00FC57DC" w:rsidRPr="00415083" w:rsidRDefault="00FC57DC" w:rsidP="00974EFA">
            <w:pPr>
              <w:pStyle w:val="Tabletext"/>
              <w:rPr>
                <w:i/>
                <w:iCs/>
                <w:color w:val="000000"/>
              </w:rPr>
            </w:pPr>
            <w:r w:rsidRPr="00415083">
              <w:rPr>
                <w:i/>
                <w:iCs/>
                <w:color w:val="000000"/>
              </w:rPr>
              <w:t>Microcarbo melanoleucos</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Pied cormorant</w:t>
            </w:r>
          </w:p>
        </w:tc>
        <w:tc>
          <w:tcPr>
            <w:tcW w:w="3090" w:type="dxa"/>
            <w:noWrap/>
            <w:hideMark/>
          </w:tcPr>
          <w:p w:rsidR="00FC57DC" w:rsidRPr="00415083" w:rsidRDefault="00FC57DC" w:rsidP="00974EFA">
            <w:pPr>
              <w:pStyle w:val="Tabletext"/>
              <w:rPr>
                <w:i/>
                <w:iCs/>
                <w:color w:val="000000"/>
              </w:rPr>
            </w:pPr>
            <w:r w:rsidRPr="00415083">
              <w:rPr>
                <w:i/>
                <w:iCs/>
                <w:color w:val="000000"/>
              </w:rPr>
              <w:t>Phalacrocorax varius</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val="restart"/>
            <w:noWrap/>
            <w:hideMark/>
          </w:tcPr>
          <w:p w:rsidR="00FC57DC" w:rsidRPr="00415083" w:rsidRDefault="00FC57DC" w:rsidP="00974EFA">
            <w:pPr>
              <w:pStyle w:val="Tabletext"/>
              <w:rPr>
                <w:color w:val="000000"/>
              </w:rPr>
            </w:pPr>
            <w:r w:rsidRPr="00415083">
              <w:rPr>
                <w:color w:val="000000"/>
              </w:rPr>
              <w:t>Podicipedidae</w:t>
            </w:r>
          </w:p>
        </w:tc>
        <w:tc>
          <w:tcPr>
            <w:tcW w:w="2397" w:type="dxa"/>
            <w:noWrap/>
            <w:hideMark/>
          </w:tcPr>
          <w:p w:rsidR="00FC57DC" w:rsidRPr="00415083" w:rsidRDefault="00FC57DC" w:rsidP="00974EFA">
            <w:pPr>
              <w:pStyle w:val="Tabletext"/>
              <w:rPr>
                <w:color w:val="000000"/>
              </w:rPr>
            </w:pPr>
            <w:r w:rsidRPr="00415083">
              <w:rPr>
                <w:color w:val="000000"/>
              </w:rPr>
              <w:t xml:space="preserve">Australasian grebe </w:t>
            </w:r>
          </w:p>
        </w:tc>
        <w:tc>
          <w:tcPr>
            <w:tcW w:w="3090" w:type="dxa"/>
            <w:noWrap/>
            <w:hideMark/>
          </w:tcPr>
          <w:p w:rsidR="00FC57DC" w:rsidRPr="00415083" w:rsidRDefault="00FC57DC" w:rsidP="00974EFA">
            <w:pPr>
              <w:pStyle w:val="Tabletext"/>
              <w:rPr>
                <w:i/>
                <w:iCs/>
                <w:color w:val="000000"/>
              </w:rPr>
            </w:pPr>
            <w:r w:rsidRPr="00415083">
              <w:rPr>
                <w:i/>
                <w:iCs/>
                <w:color w:val="000000"/>
              </w:rPr>
              <w:t>Tachbaptus novaehollandiae</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Great-crested grebe</w:t>
            </w:r>
          </w:p>
        </w:tc>
        <w:tc>
          <w:tcPr>
            <w:tcW w:w="3090" w:type="dxa"/>
            <w:noWrap/>
            <w:hideMark/>
          </w:tcPr>
          <w:p w:rsidR="00FC57DC" w:rsidRPr="00415083" w:rsidRDefault="00FC57DC" w:rsidP="00974EFA">
            <w:pPr>
              <w:pStyle w:val="Tabletext"/>
              <w:rPr>
                <w:i/>
                <w:iCs/>
                <w:color w:val="000000"/>
              </w:rPr>
            </w:pPr>
            <w:r w:rsidRPr="00415083">
              <w:rPr>
                <w:i/>
                <w:iCs/>
                <w:color w:val="000000"/>
              </w:rPr>
              <w:t>Podiceps cristatus</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Hoary-headed grebe</w:t>
            </w:r>
          </w:p>
        </w:tc>
        <w:tc>
          <w:tcPr>
            <w:tcW w:w="3090" w:type="dxa"/>
            <w:noWrap/>
            <w:hideMark/>
          </w:tcPr>
          <w:p w:rsidR="00FC57DC" w:rsidRPr="00415083" w:rsidRDefault="00FC57DC" w:rsidP="00974EFA">
            <w:pPr>
              <w:pStyle w:val="Tabletext"/>
              <w:rPr>
                <w:i/>
                <w:iCs/>
                <w:color w:val="000000"/>
              </w:rPr>
            </w:pPr>
            <w:r w:rsidRPr="00415083">
              <w:rPr>
                <w:i/>
                <w:iCs/>
                <w:color w:val="000000"/>
              </w:rPr>
              <w:t>Podicephalus poliocephalus</w:t>
            </w:r>
          </w:p>
        </w:tc>
        <w:tc>
          <w:tcPr>
            <w:tcW w:w="2126" w:type="dxa"/>
            <w:noWrap/>
            <w:hideMark/>
          </w:tcPr>
          <w:p w:rsidR="00FC57DC" w:rsidRPr="00415083" w:rsidRDefault="00FC57DC" w:rsidP="00974EFA">
            <w:pPr>
              <w:pStyle w:val="Tabletext"/>
            </w:pPr>
            <w:r w:rsidRPr="00415083">
              <w:t>Fish-eater</w:t>
            </w:r>
          </w:p>
        </w:tc>
      </w:tr>
      <w:tr w:rsidR="00FC57DC" w:rsidRPr="00415083" w:rsidTr="00AF2DF6">
        <w:trPr>
          <w:trHeight w:val="255"/>
        </w:trPr>
        <w:tc>
          <w:tcPr>
            <w:tcW w:w="1930" w:type="dxa"/>
            <w:vMerge w:val="restart"/>
            <w:noWrap/>
            <w:hideMark/>
          </w:tcPr>
          <w:p w:rsidR="00FC57DC" w:rsidRPr="00415083" w:rsidRDefault="00FC57DC" w:rsidP="00974EFA">
            <w:pPr>
              <w:pStyle w:val="Tabletext"/>
              <w:rPr>
                <w:color w:val="000000"/>
              </w:rPr>
            </w:pPr>
            <w:r w:rsidRPr="00415083">
              <w:rPr>
                <w:color w:val="000000"/>
              </w:rPr>
              <w:t>Rallidae</w:t>
            </w:r>
          </w:p>
        </w:tc>
        <w:tc>
          <w:tcPr>
            <w:tcW w:w="2397" w:type="dxa"/>
            <w:noWrap/>
            <w:hideMark/>
          </w:tcPr>
          <w:p w:rsidR="00FC57DC" w:rsidRPr="00415083" w:rsidRDefault="00FC57DC" w:rsidP="00974EFA">
            <w:pPr>
              <w:pStyle w:val="Tabletext"/>
            </w:pPr>
            <w:r w:rsidRPr="00415083">
              <w:t>Black-tailed native-hen</w:t>
            </w:r>
          </w:p>
        </w:tc>
        <w:tc>
          <w:tcPr>
            <w:tcW w:w="3090" w:type="dxa"/>
            <w:noWrap/>
            <w:hideMark/>
          </w:tcPr>
          <w:p w:rsidR="00FC57DC" w:rsidRPr="00415083" w:rsidRDefault="00FC57DC" w:rsidP="00974EFA">
            <w:pPr>
              <w:pStyle w:val="Tabletext"/>
              <w:rPr>
                <w:i/>
                <w:iCs/>
                <w:color w:val="000000"/>
              </w:rPr>
            </w:pPr>
            <w:r w:rsidRPr="00415083">
              <w:rPr>
                <w:i/>
                <w:iCs/>
                <w:color w:val="000000"/>
              </w:rPr>
              <w:t>Gallinula ventralis</w:t>
            </w:r>
          </w:p>
        </w:tc>
        <w:tc>
          <w:tcPr>
            <w:tcW w:w="2126" w:type="dxa"/>
            <w:noWrap/>
            <w:hideMark/>
          </w:tcPr>
          <w:p w:rsidR="00FC57DC" w:rsidRPr="00415083" w:rsidRDefault="00FC57DC" w:rsidP="00974EFA">
            <w:pPr>
              <w:pStyle w:val="Tabletext"/>
            </w:pPr>
            <w:r w:rsidRPr="00415083">
              <w:t>Shoreline forager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Dusky moorhen</w:t>
            </w:r>
          </w:p>
        </w:tc>
        <w:tc>
          <w:tcPr>
            <w:tcW w:w="3090" w:type="dxa"/>
            <w:noWrap/>
            <w:hideMark/>
          </w:tcPr>
          <w:p w:rsidR="00FC57DC" w:rsidRPr="00415083" w:rsidRDefault="00FC57DC" w:rsidP="00974EFA">
            <w:pPr>
              <w:pStyle w:val="Tabletext"/>
              <w:rPr>
                <w:i/>
                <w:iCs/>
                <w:color w:val="000000"/>
              </w:rPr>
            </w:pPr>
            <w:r w:rsidRPr="00415083">
              <w:rPr>
                <w:i/>
                <w:iCs/>
                <w:color w:val="000000"/>
              </w:rPr>
              <w:t>Gallinula tenebrosa</w:t>
            </w:r>
          </w:p>
        </w:tc>
        <w:tc>
          <w:tcPr>
            <w:tcW w:w="2126" w:type="dxa"/>
            <w:noWrap/>
            <w:hideMark/>
          </w:tcPr>
          <w:p w:rsidR="00FC57DC" w:rsidRPr="00415083" w:rsidRDefault="00FC57DC" w:rsidP="00974EFA">
            <w:pPr>
              <w:pStyle w:val="Tabletext"/>
            </w:pPr>
            <w:r w:rsidRPr="00415083">
              <w:t>Deep-water forager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Eurasian coot</w:t>
            </w:r>
          </w:p>
        </w:tc>
        <w:tc>
          <w:tcPr>
            <w:tcW w:w="3090" w:type="dxa"/>
            <w:noWrap/>
            <w:hideMark/>
          </w:tcPr>
          <w:p w:rsidR="00FC57DC" w:rsidRPr="00415083" w:rsidRDefault="00FC57DC" w:rsidP="00974EFA">
            <w:pPr>
              <w:pStyle w:val="Tabletext"/>
              <w:rPr>
                <w:i/>
                <w:iCs/>
                <w:color w:val="000000"/>
              </w:rPr>
            </w:pPr>
            <w:r w:rsidRPr="00415083">
              <w:rPr>
                <w:i/>
                <w:iCs/>
                <w:color w:val="000000"/>
              </w:rPr>
              <w:t>Fulica atra</w:t>
            </w:r>
          </w:p>
        </w:tc>
        <w:tc>
          <w:tcPr>
            <w:tcW w:w="2126" w:type="dxa"/>
            <w:noWrap/>
            <w:hideMark/>
          </w:tcPr>
          <w:p w:rsidR="00FC57DC" w:rsidRPr="00415083" w:rsidRDefault="00FC57DC" w:rsidP="00974EFA">
            <w:pPr>
              <w:pStyle w:val="Tabletext"/>
            </w:pPr>
            <w:r w:rsidRPr="00415083">
              <w:t>Deep-water forager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Purple swamphen</w:t>
            </w:r>
          </w:p>
        </w:tc>
        <w:tc>
          <w:tcPr>
            <w:tcW w:w="3090" w:type="dxa"/>
            <w:noWrap/>
            <w:hideMark/>
          </w:tcPr>
          <w:p w:rsidR="00FC57DC" w:rsidRPr="00415083" w:rsidRDefault="00FC57DC" w:rsidP="00974EFA">
            <w:pPr>
              <w:pStyle w:val="Tabletext"/>
              <w:rPr>
                <w:i/>
                <w:iCs/>
                <w:color w:val="000000"/>
              </w:rPr>
            </w:pPr>
            <w:r w:rsidRPr="00415083">
              <w:rPr>
                <w:i/>
                <w:iCs/>
                <w:color w:val="000000"/>
              </w:rPr>
              <w:t>Porphyrio porphyrio</w:t>
            </w:r>
          </w:p>
        </w:tc>
        <w:tc>
          <w:tcPr>
            <w:tcW w:w="2126" w:type="dxa"/>
            <w:noWrap/>
            <w:hideMark/>
          </w:tcPr>
          <w:p w:rsidR="00FC57DC" w:rsidRPr="00415083" w:rsidRDefault="00FC57DC" w:rsidP="00974EFA">
            <w:pPr>
              <w:pStyle w:val="Tabletext"/>
            </w:pPr>
            <w:r w:rsidRPr="00415083">
              <w:t>Shoreline forager</w:t>
            </w:r>
          </w:p>
        </w:tc>
      </w:tr>
      <w:tr w:rsidR="00FC57DC" w:rsidRPr="00415083" w:rsidTr="00AF2DF6">
        <w:trPr>
          <w:trHeight w:val="255"/>
        </w:trPr>
        <w:tc>
          <w:tcPr>
            <w:tcW w:w="1930" w:type="dxa"/>
            <w:vMerge w:val="restart"/>
            <w:noWrap/>
            <w:hideMark/>
          </w:tcPr>
          <w:p w:rsidR="00FC57DC" w:rsidRPr="00415083" w:rsidRDefault="00FC57DC" w:rsidP="00974EFA">
            <w:pPr>
              <w:pStyle w:val="Tabletext"/>
              <w:rPr>
                <w:color w:val="000000"/>
              </w:rPr>
            </w:pPr>
            <w:r w:rsidRPr="00415083">
              <w:rPr>
                <w:color w:val="000000"/>
              </w:rPr>
              <w:t>Recurvirostridae</w:t>
            </w:r>
          </w:p>
        </w:tc>
        <w:tc>
          <w:tcPr>
            <w:tcW w:w="2397" w:type="dxa"/>
            <w:noWrap/>
            <w:hideMark/>
          </w:tcPr>
          <w:p w:rsidR="00FC57DC" w:rsidRPr="00415083" w:rsidRDefault="00FC57DC" w:rsidP="00974EFA">
            <w:pPr>
              <w:pStyle w:val="Tabletext"/>
            </w:pPr>
            <w:r w:rsidRPr="00415083">
              <w:t>Black-winged stilt</w:t>
            </w:r>
          </w:p>
        </w:tc>
        <w:tc>
          <w:tcPr>
            <w:tcW w:w="3090" w:type="dxa"/>
            <w:noWrap/>
            <w:hideMark/>
          </w:tcPr>
          <w:p w:rsidR="00FC57DC" w:rsidRPr="00415083" w:rsidRDefault="00FC57DC" w:rsidP="00974EFA">
            <w:pPr>
              <w:pStyle w:val="Tabletext"/>
              <w:rPr>
                <w:i/>
                <w:iCs/>
                <w:color w:val="000000"/>
              </w:rPr>
            </w:pPr>
            <w:r w:rsidRPr="00415083">
              <w:rPr>
                <w:i/>
                <w:iCs/>
                <w:color w:val="000000"/>
              </w:rPr>
              <w:t>Himantopus himantopus</w:t>
            </w:r>
          </w:p>
        </w:tc>
        <w:tc>
          <w:tcPr>
            <w:tcW w:w="2126" w:type="dxa"/>
            <w:noWrap/>
            <w:hideMark/>
          </w:tcPr>
          <w:p w:rsidR="00FC57DC" w:rsidRPr="00415083" w:rsidRDefault="00FC57DC" w:rsidP="00974EFA">
            <w:pPr>
              <w:pStyle w:val="Tabletext"/>
            </w:pPr>
            <w:r w:rsidRPr="00415083">
              <w:t>Small wader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Red-necked avocet</w:t>
            </w:r>
          </w:p>
        </w:tc>
        <w:tc>
          <w:tcPr>
            <w:tcW w:w="3090" w:type="dxa"/>
            <w:noWrap/>
            <w:hideMark/>
          </w:tcPr>
          <w:p w:rsidR="00FC57DC" w:rsidRPr="00415083" w:rsidRDefault="00FC57DC" w:rsidP="00974EFA">
            <w:pPr>
              <w:pStyle w:val="Tabletext"/>
              <w:rPr>
                <w:i/>
                <w:iCs/>
              </w:rPr>
            </w:pPr>
            <w:r w:rsidRPr="00415083">
              <w:rPr>
                <w:i/>
                <w:iCs/>
              </w:rPr>
              <w:t>Recurvirostra novaehollandiae</w:t>
            </w:r>
          </w:p>
        </w:tc>
        <w:tc>
          <w:tcPr>
            <w:tcW w:w="2126" w:type="dxa"/>
            <w:noWrap/>
            <w:hideMark/>
          </w:tcPr>
          <w:p w:rsidR="00FC57DC" w:rsidRPr="00415083" w:rsidRDefault="00FC57DC" w:rsidP="00974EFA">
            <w:pPr>
              <w:pStyle w:val="Tabletext"/>
            </w:pPr>
            <w:r w:rsidRPr="00415083">
              <w:t>Small wader</w:t>
            </w:r>
          </w:p>
        </w:tc>
      </w:tr>
    </w:tbl>
    <w:p w:rsidR="00AF2DF6" w:rsidRDefault="00AF2DF6">
      <w:r>
        <w:br w:type="page"/>
      </w:r>
    </w:p>
    <w:tbl>
      <w:tblPr>
        <w:tblStyle w:val="TableGrid"/>
        <w:tblW w:w="9543" w:type="dxa"/>
        <w:tblLook w:val="04A0"/>
      </w:tblPr>
      <w:tblGrid>
        <w:gridCol w:w="1930"/>
        <w:gridCol w:w="2397"/>
        <w:gridCol w:w="3090"/>
        <w:gridCol w:w="2126"/>
      </w:tblGrid>
      <w:tr w:rsidR="00AF2DF6" w:rsidRPr="00974EFA" w:rsidTr="00AF2DF6">
        <w:trPr>
          <w:cnfStyle w:val="100000000000"/>
          <w:trHeight w:val="255"/>
        </w:trPr>
        <w:tc>
          <w:tcPr>
            <w:tcW w:w="1930" w:type="dxa"/>
            <w:noWrap/>
            <w:hideMark/>
          </w:tcPr>
          <w:p w:rsidR="00AF2DF6" w:rsidRPr="00974EFA" w:rsidRDefault="00AF2DF6" w:rsidP="00024A82">
            <w:pPr>
              <w:pStyle w:val="Tabletext"/>
              <w:rPr>
                <w:b/>
              </w:rPr>
            </w:pPr>
            <w:r w:rsidRPr="00974EFA">
              <w:rPr>
                <w:b/>
              </w:rPr>
              <w:t>Family</w:t>
            </w:r>
          </w:p>
        </w:tc>
        <w:tc>
          <w:tcPr>
            <w:tcW w:w="2397" w:type="dxa"/>
            <w:noWrap/>
            <w:hideMark/>
          </w:tcPr>
          <w:p w:rsidR="00AF2DF6" w:rsidRPr="00974EFA" w:rsidRDefault="00AF2DF6" w:rsidP="00024A82">
            <w:pPr>
              <w:pStyle w:val="Tabletext"/>
              <w:rPr>
                <w:b/>
              </w:rPr>
            </w:pPr>
            <w:r w:rsidRPr="00974EFA">
              <w:rPr>
                <w:b/>
              </w:rPr>
              <w:t>Common name</w:t>
            </w:r>
          </w:p>
        </w:tc>
        <w:tc>
          <w:tcPr>
            <w:tcW w:w="3090" w:type="dxa"/>
            <w:noWrap/>
            <w:hideMark/>
          </w:tcPr>
          <w:p w:rsidR="00AF2DF6" w:rsidRPr="00974EFA" w:rsidRDefault="00AF2DF6" w:rsidP="00024A82">
            <w:pPr>
              <w:pStyle w:val="Tabletext"/>
              <w:rPr>
                <w:b/>
              </w:rPr>
            </w:pPr>
            <w:r w:rsidRPr="00974EFA">
              <w:rPr>
                <w:b/>
              </w:rPr>
              <w:t>Scientific name</w:t>
            </w:r>
          </w:p>
        </w:tc>
        <w:tc>
          <w:tcPr>
            <w:tcW w:w="2126" w:type="dxa"/>
            <w:noWrap/>
            <w:hideMark/>
          </w:tcPr>
          <w:p w:rsidR="00AF2DF6" w:rsidRPr="00974EFA" w:rsidRDefault="00AF2DF6" w:rsidP="00024A82">
            <w:pPr>
              <w:pStyle w:val="Tabletext"/>
              <w:rPr>
                <w:b/>
              </w:rPr>
            </w:pPr>
            <w:r w:rsidRPr="00974EFA">
              <w:rPr>
                <w:b/>
              </w:rPr>
              <w:t>Feeding guild</w:t>
            </w:r>
          </w:p>
        </w:tc>
      </w:tr>
      <w:tr w:rsidR="00FC57DC" w:rsidRPr="00415083" w:rsidTr="00AF2DF6">
        <w:trPr>
          <w:trHeight w:val="255"/>
        </w:trPr>
        <w:tc>
          <w:tcPr>
            <w:tcW w:w="1930" w:type="dxa"/>
            <w:vMerge w:val="restart"/>
            <w:noWrap/>
            <w:hideMark/>
          </w:tcPr>
          <w:p w:rsidR="00FC57DC" w:rsidRPr="00415083" w:rsidRDefault="00FC57DC" w:rsidP="00974EFA">
            <w:pPr>
              <w:pStyle w:val="Tabletext"/>
            </w:pPr>
            <w:r w:rsidRPr="00415083">
              <w:t>Scolopacidae</w:t>
            </w:r>
          </w:p>
        </w:tc>
        <w:tc>
          <w:tcPr>
            <w:tcW w:w="2397" w:type="dxa"/>
            <w:noWrap/>
            <w:hideMark/>
          </w:tcPr>
          <w:p w:rsidR="00FC57DC" w:rsidRPr="00415083" w:rsidRDefault="00FC57DC" w:rsidP="00974EFA">
            <w:pPr>
              <w:pStyle w:val="Tabletext"/>
            </w:pPr>
            <w:r w:rsidRPr="00415083">
              <w:t>Red-necked stint</w:t>
            </w:r>
          </w:p>
        </w:tc>
        <w:tc>
          <w:tcPr>
            <w:tcW w:w="3090" w:type="dxa"/>
            <w:noWrap/>
            <w:hideMark/>
          </w:tcPr>
          <w:p w:rsidR="00FC57DC" w:rsidRPr="00415083" w:rsidRDefault="00FC57DC" w:rsidP="00974EFA">
            <w:pPr>
              <w:pStyle w:val="Tabletext"/>
              <w:rPr>
                <w:i/>
                <w:iCs/>
              </w:rPr>
            </w:pPr>
            <w:r w:rsidRPr="00415083">
              <w:rPr>
                <w:i/>
                <w:iCs/>
              </w:rPr>
              <w:t>Calidris ruficollis JCR</w:t>
            </w:r>
          </w:p>
        </w:tc>
        <w:tc>
          <w:tcPr>
            <w:tcW w:w="2126" w:type="dxa"/>
            <w:noWrap/>
            <w:hideMark/>
          </w:tcPr>
          <w:p w:rsidR="00FC57DC" w:rsidRPr="00415083" w:rsidRDefault="00FC57DC" w:rsidP="00974EFA">
            <w:pPr>
              <w:pStyle w:val="Tabletext"/>
            </w:pPr>
            <w:r w:rsidRPr="00415083">
              <w:t>Small wader</w:t>
            </w:r>
          </w:p>
        </w:tc>
      </w:tr>
      <w:tr w:rsidR="00FC57DC" w:rsidRPr="00415083" w:rsidTr="00AF2DF6">
        <w:trPr>
          <w:trHeight w:val="255"/>
        </w:trPr>
        <w:tc>
          <w:tcPr>
            <w:tcW w:w="1930" w:type="dxa"/>
            <w:vMerge/>
            <w:hideMark/>
          </w:tcPr>
          <w:p w:rsidR="00FC57DC" w:rsidRPr="00415083" w:rsidRDefault="00FC57DC" w:rsidP="00974EFA">
            <w:pPr>
              <w:pStyle w:val="Tabletext"/>
            </w:pPr>
          </w:p>
        </w:tc>
        <w:tc>
          <w:tcPr>
            <w:tcW w:w="2397" w:type="dxa"/>
            <w:noWrap/>
            <w:hideMark/>
          </w:tcPr>
          <w:p w:rsidR="00FC57DC" w:rsidRPr="00415083" w:rsidRDefault="00FC57DC" w:rsidP="00974EFA">
            <w:pPr>
              <w:pStyle w:val="Tabletext"/>
            </w:pPr>
            <w:r w:rsidRPr="00415083">
              <w:t>Ruddy turnstone</w:t>
            </w:r>
          </w:p>
        </w:tc>
        <w:tc>
          <w:tcPr>
            <w:tcW w:w="3090" w:type="dxa"/>
            <w:noWrap/>
            <w:hideMark/>
          </w:tcPr>
          <w:p w:rsidR="00FC57DC" w:rsidRPr="00415083" w:rsidRDefault="00FC57DC" w:rsidP="00974EFA">
            <w:pPr>
              <w:pStyle w:val="Tabletext"/>
              <w:rPr>
                <w:i/>
                <w:iCs/>
                <w:color w:val="000000"/>
              </w:rPr>
            </w:pPr>
            <w:r w:rsidRPr="00415083">
              <w:rPr>
                <w:i/>
                <w:iCs/>
                <w:color w:val="000000"/>
              </w:rPr>
              <w:t>Arenaria interpres JCR</w:t>
            </w:r>
          </w:p>
        </w:tc>
        <w:tc>
          <w:tcPr>
            <w:tcW w:w="2126" w:type="dxa"/>
            <w:noWrap/>
            <w:hideMark/>
          </w:tcPr>
          <w:p w:rsidR="00FC57DC" w:rsidRPr="00415083" w:rsidRDefault="00FC57DC" w:rsidP="00974EFA">
            <w:pPr>
              <w:pStyle w:val="Tabletext"/>
            </w:pPr>
            <w:r w:rsidRPr="00415083">
              <w:t>Small wader</w:t>
            </w:r>
          </w:p>
        </w:tc>
      </w:tr>
      <w:tr w:rsidR="00FC57DC" w:rsidRPr="00415083" w:rsidTr="00AF2DF6">
        <w:trPr>
          <w:trHeight w:val="255"/>
        </w:trPr>
        <w:tc>
          <w:tcPr>
            <w:tcW w:w="1930" w:type="dxa"/>
            <w:vMerge/>
            <w:hideMark/>
          </w:tcPr>
          <w:p w:rsidR="00FC57DC" w:rsidRPr="00415083" w:rsidRDefault="00FC57DC" w:rsidP="00974EFA">
            <w:pPr>
              <w:pStyle w:val="Tabletext"/>
            </w:pPr>
          </w:p>
        </w:tc>
        <w:tc>
          <w:tcPr>
            <w:tcW w:w="2397" w:type="dxa"/>
            <w:noWrap/>
            <w:hideMark/>
          </w:tcPr>
          <w:p w:rsidR="00FC57DC" w:rsidRPr="00415083" w:rsidRDefault="00FC57DC" w:rsidP="00974EFA">
            <w:pPr>
              <w:pStyle w:val="Tabletext"/>
              <w:rPr>
                <w:color w:val="000000"/>
              </w:rPr>
            </w:pPr>
            <w:r w:rsidRPr="00415083">
              <w:rPr>
                <w:color w:val="000000"/>
              </w:rPr>
              <w:t>Sharp-tailed sandpiper</w:t>
            </w:r>
          </w:p>
        </w:tc>
        <w:tc>
          <w:tcPr>
            <w:tcW w:w="3090" w:type="dxa"/>
            <w:noWrap/>
            <w:hideMark/>
          </w:tcPr>
          <w:p w:rsidR="00FC57DC" w:rsidRPr="00415083" w:rsidRDefault="00FC57DC" w:rsidP="00974EFA">
            <w:pPr>
              <w:pStyle w:val="Tabletext"/>
              <w:rPr>
                <w:i/>
                <w:iCs/>
                <w:color w:val="000000"/>
              </w:rPr>
            </w:pPr>
            <w:r w:rsidRPr="00415083">
              <w:rPr>
                <w:i/>
                <w:iCs/>
                <w:color w:val="000000"/>
              </w:rPr>
              <w:t>Calidris acuminata JCR</w:t>
            </w:r>
          </w:p>
        </w:tc>
        <w:tc>
          <w:tcPr>
            <w:tcW w:w="2126" w:type="dxa"/>
            <w:noWrap/>
            <w:hideMark/>
          </w:tcPr>
          <w:p w:rsidR="00FC57DC" w:rsidRPr="00415083" w:rsidRDefault="00FC57DC" w:rsidP="00974EFA">
            <w:pPr>
              <w:pStyle w:val="Tabletext"/>
            </w:pPr>
            <w:r w:rsidRPr="00415083">
              <w:t>Small wader</w:t>
            </w:r>
          </w:p>
        </w:tc>
      </w:tr>
      <w:tr w:rsidR="00FC57DC" w:rsidRPr="00415083" w:rsidTr="00AF2DF6">
        <w:trPr>
          <w:trHeight w:val="255"/>
        </w:trPr>
        <w:tc>
          <w:tcPr>
            <w:tcW w:w="1930" w:type="dxa"/>
            <w:vMerge w:val="restart"/>
            <w:noWrap/>
            <w:hideMark/>
          </w:tcPr>
          <w:p w:rsidR="00FC57DC" w:rsidRPr="00415083" w:rsidRDefault="00FC57DC" w:rsidP="00974EFA">
            <w:pPr>
              <w:pStyle w:val="Tabletext"/>
              <w:rPr>
                <w:color w:val="000000"/>
              </w:rPr>
            </w:pPr>
            <w:r w:rsidRPr="00415083">
              <w:rPr>
                <w:color w:val="000000"/>
              </w:rPr>
              <w:t>Threskiornithidae</w:t>
            </w:r>
          </w:p>
        </w:tc>
        <w:tc>
          <w:tcPr>
            <w:tcW w:w="2397" w:type="dxa"/>
            <w:noWrap/>
            <w:hideMark/>
          </w:tcPr>
          <w:p w:rsidR="00FC57DC" w:rsidRPr="00415083" w:rsidRDefault="00FC57DC" w:rsidP="00974EFA">
            <w:pPr>
              <w:pStyle w:val="Tabletext"/>
            </w:pPr>
            <w:r w:rsidRPr="00415083">
              <w:t>Australian white ibis</w:t>
            </w:r>
          </w:p>
        </w:tc>
        <w:tc>
          <w:tcPr>
            <w:tcW w:w="3090" w:type="dxa"/>
            <w:noWrap/>
            <w:hideMark/>
          </w:tcPr>
          <w:p w:rsidR="00FC57DC" w:rsidRPr="00415083" w:rsidRDefault="00FC57DC" w:rsidP="00974EFA">
            <w:pPr>
              <w:pStyle w:val="Tabletext"/>
              <w:rPr>
                <w:i/>
                <w:iCs/>
                <w:color w:val="000000"/>
              </w:rPr>
            </w:pPr>
            <w:r w:rsidRPr="00415083">
              <w:rPr>
                <w:i/>
                <w:iCs/>
                <w:color w:val="000000"/>
              </w:rPr>
              <w:t>Threskiornis molucca</w:t>
            </w:r>
          </w:p>
        </w:tc>
        <w:tc>
          <w:tcPr>
            <w:tcW w:w="2126" w:type="dxa"/>
            <w:noWrap/>
            <w:hideMark/>
          </w:tcPr>
          <w:p w:rsidR="00FC57DC" w:rsidRPr="00415083" w:rsidRDefault="00FC57DC" w:rsidP="00974EFA">
            <w:pPr>
              <w:pStyle w:val="Tabletext"/>
            </w:pPr>
            <w:r w:rsidRPr="00415083">
              <w:t>Large wader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Glossy ibis</w:t>
            </w:r>
          </w:p>
        </w:tc>
        <w:tc>
          <w:tcPr>
            <w:tcW w:w="3090" w:type="dxa"/>
            <w:noWrap/>
            <w:hideMark/>
          </w:tcPr>
          <w:p w:rsidR="00FC57DC" w:rsidRPr="00415083" w:rsidRDefault="00FC57DC" w:rsidP="00974EFA">
            <w:pPr>
              <w:pStyle w:val="Tabletext"/>
              <w:rPr>
                <w:i/>
                <w:iCs/>
                <w:color w:val="000000"/>
              </w:rPr>
            </w:pPr>
            <w:r w:rsidRPr="00415083">
              <w:rPr>
                <w:i/>
                <w:iCs/>
                <w:color w:val="000000"/>
              </w:rPr>
              <w:t>Plegadis falcinellus C</w:t>
            </w:r>
          </w:p>
        </w:tc>
        <w:tc>
          <w:tcPr>
            <w:tcW w:w="2126" w:type="dxa"/>
            <w:noWrap/>
            <w:hideMark/>
          </w:tcPr>
          <w:p w:rsidR="00FC57DC" w:rsidRPr="00415083" w:rsidRDefault="00FC57DC" w:rsidP="00974EFA">
            <w:pPr>
              <w:pStyle w:val="Tabletext"/>
            </w:pPr>
            <w:r w:rsidRPr="00415083">
              <w:t>Large wader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Royal spoonbill</w:t>
            </w:r>
          </w:p>
        </w:tc>
        <w:tc>
          <w:tcPr>
            <w:tcW w:w="3090" w:type="dxa"/>
            <w:noWrap/>
            <w:hideMark/>
          </w:tcPr>
          <w:p w:rsidR="00FC57DC" w:rsidRPr="00415083" w:rsidRDefault="00FC57DC" w:rsidP="00974EFA">
            <w:pPr>
              <w:pStyle w:val="Tabletext"/>
              <w:rPr>
                <w:i/>
                <w:iCs/>
                <w:color w:val="000000"/>
              </w:rPr>
            </w:pPr>
            <w:r w:rsidRPr="00415083">
              <w:rPr>
                <w:i/>
                <w:iCs/>
                <w:color w:val="000000"/>
              </w:rPr>
              <w:t>Platalea regia</w:t>
            </w:r>
          </w:p>
        </w:tc>
        <w:tc>
          <w:tcPr>
            <w:tcW w:w="2126" w:type="dxa"/>
            <w:noWrap/>
            <w:hideMark/>
          </w:tcPr>
          <w:p w:rsidR="00FC57DC" w:rsidRPr="00415083" w:rsidRDefault="00FC57DC" w:rsidP="00974EFA">
            <w:pPr>
              <w:pStyle w:val="Tabletext"/>
            </w:pPr>
            <w:r w:rsidRPr="00415083">
              <w:t>Large wader</w:t>
            </w:r>
          </w:p>
        </w:tc>
      </w:tr>
      <w:tr w:rsidR="00FC57DC" w:rsidRPr="00415083" w:rsidTr="00AF2DF6">
        <w:trPr>
          <w:trHeight w:val="255"/>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Straw-necked ibis</w:t>
            </w:r>
          </w:p>
        </w:tc>
        <w:tc>
          <w:tcPr>
            <w:tcW w:w="3090" w:type="dxa"/>
            <w:noWrap/>
            <w:hideMark/>
          </w:tcPr>
          <w:p w:rsidR="00FC57DC" w:rsidRPr="00415083" w:rsidRDefault="00FC57DC" w:rsidP="00974EFA">
            <w:pPr>
              <w:pStyle w:val="Tabletext"/>
              <w:rPr>
                <w:i/>
                <w:iCs/>
                <w:color w:val="000000"/>
              </w:rPr>
            </w:pPr>
            <w:r w:rsidRPr="00415083">
              <w:rPr>
                <w:i/>
                <w:iCs/>
                <w:color w:val="000000"/>
              </w:rPr>
              <w:t>Threskiornis spinicollis</w:t>
            </w:r>
          </w:p>
        </w:tc>
        <w:tc>
          <w:tcPr>
            <w:tcW w:w="2126" w:type="dxa"/>
            <w:noWrap/>
            <w:hideMark/>
          </w:tcPr>
          <w:p w:rsidR="00FC57DC" w:rsidRPr="00415083" w:rsidRDefault="00FC57DC" w:rsidP="00974EFA">
            <w:pPr>
              <w:pStyle w:val="Tabletext"/>
            </w:pPr>
            <w:r w:rsidRPr="00415083">
              <w:t>Large wader</w:t>
            </w:r>
          </w:p>
        </w:tc>
      </w:tr>
      <w:tr w:rsidR="00FC57DC" w:rsidRPr="00415083" w:rsidTr="00AF2DF6">
        <w:trPr>
          <w:trHeight w:val="330"/>
        </w:trPr>
        <w:tc>
          <w:tcPr>
            <w:tcW w:w="1930" w:type="dxa"/>
            <w:vMerge/>
            <w:hideMark/>
          </w:tcPr>
          <w:p w:rsidR="00FC57DC" w:rsidRPr="00415083" w:rsidRDefault="00FC57DC" w:rsidP="00974EFA">
            <w:pPr>
              <w:pStyle w:val="Tabletext"/>
              <w:rPr>
                <w:color w:val="000000"/>
              </w:rPr>
            </w:pPr>
          </w:p>
        </w:tc>
        <w:tc>
          <w:tcPr>
            <w:tcW w:w="2397" w:type="dxa"/>
            <w:noWrap/>
            <w:hideMark/>
          </w:tcPr>
          <w:p w:rsidR="00FC57DC" w:rsidRPr="00415083" w:rsidRDefault="00FC57DC" w:rsidP="00974EFA">
            <w:pPr>
              <w:pStyle w:val="Tabletext"/>
            </w:pPr>
            <w:r w:rsidRPr="00415083">
              <w:t>Yellow-billed spoonbill</w:t>
            </w:r>
          </w:p>
        </w:tc>
        <w:tc>
          <w:tcPr>
            <w:tcW w:w="3090" w:type="dxa"/>
            <w:noWrap/>
            <w:hideMark/>
          </w:tcPr>
          <w:p w:rsidR="00FC57DC" w:rsidRPr="00415083" w:rsidRDefault="00FC57DC" w:rsidP="00974EFA">
            <w:pPr>
              <w:pStyle w:val="Tabletext"/>
              <w:rPr>
                <w:i/>
                <w:iCs/>
                <w:color w:val="000000"/>
              </w:rPr>
            </w:pPr>
            <w:r w:rsidRPr="00415083">
              <w:rPr>
                <w:i/>
                <w:iCs/>
                <w:color w:val="000000"/>
              </w:rPr>
              <w:t>Platalea flavipes</w:t>
            </w:r>
          </w:p>
        </w:tc>
        <w:tc>
          <w:tcPr>
            <w:tcW w:w="2126" w:type="dxa"/>
            <w:noWrap/>
            <w:hideMark/>
          </w:tcPr>
          <w:p w:rsidR="00FC57DC" w:rsidRPr="00415083" w:rsidRDefault="00FC57DC" w:rsidP="00974EFA">
            <w:pPr>
              <w:pStyle w:val="Tabletext"/>
            </w:pPr>
            <w:r w:rsidRPr="00415083">
              <w:t>Large wader</w:t>
            </w:r>
          </w:p>
        </w:tc>
      </w:tr>
    </w:tbl>
    <w:p w:rsidR="00FC57DC" w:rsidRPr="00415083" w:rsidRDefault="00FC57DC" w:rsidP="00FC57DC"/>
    <w:p w:rsidR="00AF2DF6" w:rsidRDefault="00AF2DF6">
      <w:pPr>
        <w:spacing w:after="0" w:line="240" w:lineRule="auto"/>
        <w:jc w:val="left"/>
      </w:pPr>
      <w:r>
        <w:br w:type="page"/>
      </w:r>
    </w:p>
    <w:p w:rsidR="00E1766B" w:rsidRPr="001F179D" w:rsidRDefault="00FC57DC" w:rsidP="001F179D">
      <w:pPr>
        <w:pStyle w:val="Appendix"/>
      </w:pPr>
      <w:bookmarkStart w:id="533" w:name="_Toc370738890"/>
      <w:r w:rsidRPr="001F179D">
        <w:t>Maximum counts of 32 waterbird species recorded in the 11 survey sites in the mid-Murrumbidgee wetlands in 2012 (Aug – Dec 2012) (^breeding detected, C = CAMBA, J = JAMBA).</w:t>
      </w:r>
      <w:bookmarkEnd w:id="533"/>
    </w:p>
    <w:tbl>
      <w:tblPr>
        <w:tblStyle w:val="TableGrid"/>
        <w:tblW w:w="8544" w:type="dxa"/>
        <w:tblLook w:val="04A0"/>
      </w:tblPr>
      <w:tblGrid>
        <w:gridCol w:w="2080"/>
        <w:gridCol w:w="537"/>
        <w:gridCol w:w="521"/>
        <w:gridCol w:w="521"/>
        <w:gridCol w:w="516"/>
        <w:gridCol w:w="567"/>
        <w:gridCol w:w="520"/>
        <w:gridCol w:w="521"/>
        <w:gridCol w:w="660"/>
        <w:gridCol w:w="521"/>
        <w:gridCol w:w="613"/>
        <w:gridCol w:w="520"/>
        <w:gridCol w:w="521"/>
      </w:tblGrid>
      <w:tr w:rsidR="00FC57DC" w:rsidRPr="00974EFA" w:rsidTr="00974EFA">
        <w:trPr>
          <w:cnfStyle w:val="100000000000"/>
          <w:trHeight w:val="1410"/>
        </w:trPr>
        <w:tc>
          <w:tcPr>
            <w:tcW w:w="2080" w:type="dxa"/>
            <w:noWrap/>
            <w:hideMark/>
          </w:tcPr>
          <w:p w:rsidR="00FC57DC" w:rsidRPr="00974EFA" w:rsidRDefault="00FC57DC" w:rsidP="00974EFA">
            <w:pPr>
              <w:pStyle w:val="Tabletext"/>
              <w:rPr>
                <w:b/>
              </w:rPr>
            </w:pPr>
            <w:r w:rsidRPr="00974EFA">
              <w:rPr>
                <w:b/>
              </w:rPr>
              <w:t>Common name</w:t>
            </w:r>
          </w:p>
        </w:tc>
        <w:tc>
          <w:tcPr>
            <w:tcW w:w="489" w:type="dxa"/>
            <w:noWrap/>
            <w:textDirection w:val="btLr"/>
            <w:hideMark/>
          </w:tcPr>
          <w:p w:rsidR="00FC57DC" w:rsidRPr="00974EFA" w:rsidRDefault="00FC57DC" w:rsidP="00974EFA">
            <w:pPr>
              <w:pStyle w:val="Tabletext"/>
              <w:rPr>
                <w:b/>
              </w:rPr>
            </w:pPr>
            <w:r w:rsidRPr="00974EFA">
              <w:rPr>
                <w:b/>
              </w:rPr>
              <w:t>Berry Jerry Lagoon</w:t>
            </w:r>
          </w:p>
        </w:tc>
        <w:tc>
          <w:tcPr>
            <w:tcW w:w="521" w:type="dxa"/>
            <w:noWrap/>
            <w:textDirection w:val="btLr"/>
            <w:hideMark/>
          </w:tcPr>
          <w:p w:rsidR="00FC57DC" w:rsidRPr="00974EFA" w:rsidRDefault="00FC57DC" w:rsidP="00974EFA">
            <w:pPr>
              <w:pStyle w:val="Tabletext"/>
              <w:rPr>
                <w:b/>
              </w:rPr>
            </w:pPr>
            <w:r w:rsidRPr="00974EFA">
              <w:rPr>
                <w:b/>
              </w:rPr>
              <w:t>Dry Lake</w:t>
            </w:r>
          </w:p>
        </w:tc>
        <w:tc>
          <w:tcPr>
            <w:tcW w:w="521" w:type="dxa"/>
            <w:noWrap/>
            <w:textDirection w:val="btLr"/>
            <w:hideMark/>
          </w:tcPr>
          <w:p w:rsidR="00FC57DC" w:rsidRPr="00974EFA" w:rsidRDefault="00FC57DC" w:rsidP="00974EFA">
            <w:pPr>
              <w:pStyle w:val="Tabletext"/>
              <w:rPr>
                <w:b/>
              </w:rPr>
            </w:pPr>
            <w:r w:rsidRPr="00974EFA">
              <w:rPr>
                <w:b/>
              </w:rPr>
              <w:t>Euroley Lagoon</w:t>
            </w:r>
          </w:p>
        </w:tc>
        <w:tc>
          <w:tcPr>
            <w:tcW w:w="490" w:type="dxa"/>
            <w:noWrap/>
            <w:textDirection w:val="btLr"/>
            <w:hideMark/>
          </w:tcPr>
          <w:p w:rsidR="00FC57DC" w:rsidRPr="00974EFA" w:rsidRDefault="00FC57DC" w:rsidP="00974EFA">
            <w:pPr>
              <w:pStyle w:val="Tabletext"/>
              <w:rPr>
                <w:b/>
              </w:rPr>
            </w:pPr>
            <w:r w:rsidRPr="00974EFA">
              <w:rPr>
                <w:b/>
              </w:rPr>
              <w:t>Gooragool Lagoon</w:t>
            </w:r>
          </w:p>
        </w:tc>
        <w:tc>
          <w:tcPr>
            <w:tcW w:w="567" w:type="dxa"/>
            <w:noWrap/>
            <w:textDirection w:val="btLr"/>
            <w:hideMark/>
          </w:tcPr>
          <w:p w:rsidR="00FC57DC" w:rsidRPr="00974EFA" w:rsidRDefault="00FC57DC" w:rsidP="00974EFA">
            <w:pPr>
              <w:pStyle w:val="Tabletext"/>
              <w:rPr>
                <w:b/>
              </w:rPr>
            </w:pPr>
            <w:r w:rsidRPr="00974EFA">
              <w:rPr>
                <w:b/>
              </w:rPr>
              <w:t>McKennas Lagoon</w:t>
            </w:r>
          </w:p>
        </w:tc>
        <w:tc>
          <w:tcPr>
            <w:tcW w:w="520" w:type="dxa"/>
            <w:noWrap/>
            <w:textDirection w:val="btLr"/>
            <w:hideMark/>
          </w:tcPr>
          <w:p w:rsidR="00FC57DC" w:rsidRPr="00974EFA" w:rsidRDefault="00FC57DC" w:rsidP="00974EFA">
            <w:pPr>
              <w:pStyle w:val="Tabletext"/>
              <w:rPr>
                <w:b/>
              </w:rPr>
            </w:pPr>
            <w:r w:rsidRPr="00974EFA">
              <w:rPr>
                <w:b/>
              </w:rPr>
              <w:t>Molleys Lagoon</w:t>
            </w:r>
          </w:p>
        </w:tc>
        <w:tc>
          <w:tcPr>
            <w:tcW w:w="521" w:type="dxa"/>
            <w:noWrap/>
            <w:textDirection w:val="btLr"/>
            <w:hideMark/>
          </w:tcPr>
          <w:p w:rsidR="00FC57DC" w:rsidRPr="00974EFA" w:rsidRDefault="00FC57DC" w:rsidP="00974EFA">
            <w:pPr>
              <w:pStyle w:val="Tabletext"/>
              <w:rPr>
                <w:b/>
              </w:rPr>
            </w:pPr>
            <w:r w:rsidRPr="00974EFA">
              <w:rPr>
                <w:b/>
              </w:rPr>
              <w:t>Narrandera SF</w:t>
            </w:r>
          </w:p>
        </w:tc>
        <w:tc>
          <w:tcPr>
            <w:tcW w:w="660" w:type="dxa"/>
            <w:noWrap/>
            <w:textDirection w:val="btLr"/>
            <w:hideMark/>
          </w:tcPr>
          <w:p w:rsidR="00FC57DC" w:rsidRPr="00974EFA" w:rsidRDefault="00FC57DC" w:rsidP="00974EFA">
            <w:pPr>
              <w:pStyle w:val="Tabletext"/>
              <w:rPr>
                <w:b/>
              </w:rPr>
            </w:pPr>
            <w:r w:rsidRPr="00974EFA">
              <w:rPr>
                <w:b/>
              </w:rPr>
              <w:t>Sunshower Lagoon</w:t>
            </w:r>
          </w:p>
        </w:tc>
        <w:tc>
          <w:tcPr>
            <w:tcW w:w="521" w:type="dxa"/>
            <w:noWrap/>
            <w:textDirection w:val="btLr"/>
            <w:hideMark/>
          </w:tcPr>
          <w:p w:rsidR="00FC57DC" w:rsidRPr="00974EFA" w:rsidRDefault="00FC57DC" w:rsidP="00974EFA">
            <w:pPr>
              <w:pStyle w:val="Tabletext"/>
              <w:rPr>
                <w:b/>
              </w:rPr>
            </w:pPr>
            <w:r w:rsidRPr="00974EFA">
              <w:rPr>
                <w:b/>
              </w:rPr>
              <w:t>Turkey Flats</w:t>
            </w:r>
          </w:p>
        </w:tc>
        <w:tc>
          <w:tcPr>
            <w:tcW w:w="613" w:type="dxa"/>
            <w:noWrap/>
            <w:textDirection w:val="btLr"/>
            <w:hideMark/>
          </w:tcPr>
          <w:p w:rsidR="00FC57DC" w:rsidRPr="00974EFA" w:rsidRDefault="00FC57DC" w:rsidP="00974EFA">
            <w:pPr>
              <w:pStyle w:val="Tabletext"/>
              <w:rPr>
                <w:b/>
              </w:rPr>
            </w:pPr>
            <w:r w:rsidRPr="00974EFA">
              <w:rPr>
                <w:b/>
              </w:rPr>
              <w:t>Yanco Agricultural Wetlands</w:t>
            </w:r>
          </w:p>
        </w:tc>
        <w:tc>
          <w:tcPr>
            <w:tcW w:w="520" w:type="dxa"/>
            <w:noWrap/>
            <w:textDirection w:val="btLr"/>
            <w:hideMark/>
          </w:tcPr>
          <w:p w:rsidR="00FC57DC" w:rsidRPr="00974EFA" w:rsidRDefault="00FC57DC" w:rsidP="00974EFA">
            <w:pPr>
              <w:pStyle w:val="Tabletext"/>
              <w:rPr>
                <w:b/>
              </w:rPr>
            </w:pPr>
            <w:r w:rsidRPr="00974EFA">
              <w:rPr>
                <w:b/>
              </w:rPr>
              <w:t>Yarrada Lagoon</w:t>
            </w:r>
          </w:p>
        </w:tc>
        <w:tc>
          <w:tcPr>
            <w:tcW w:w="521" w:type="dxa"/>
            <w:noWrap/>
            <w:textDirection w:val="btLr"/>
            <w:hideMark/>
          </w:tcPr>
          <w:p w:rsidR="00FC57DC" w:rsidRPr="00974EFA" w:rsidRDefault="00FC57DC" w:rsidP="00974EFA">
            <w:pPr>
              <w:pStyle w:val="Tabletext"/>
              <w:rPr>
                <w:b/>
              </w:rPr>
            </w:pPr>
            <w:r w:rsidRPr="00974EFA">
              <w:rPr>
                <w:b/>
              </w:rPr>
              <w:t>% occurrence</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Australasian grebe</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5</w:t>
            </w:r>
          </w:p>
        </w:tc>
        <w:tc>
          <w:tcPr>
            <w:tcW w:w="521" w:type="dxa"/>
            <w:noWrap/>
            <w:hideMark/>
          </w:tcPr>
          <w:p w:rsidR="00FC57DC" w:rsidRPr="00886878" w:rsidRDefault="00FC57DC" w:rsidP="00974EFA">
            <w:pPr>
              <w:pStyle w:val="Tabletext"/>
              <w:rPr>
                <w:color w:val="000000"/>
              </w:rPr>
            </w:pPr>
            <w:r w:rsidRPr="00886878">
              <w:rPr>
                <w:color w:val="000000"/>
              </w:rPr>
              <w:t>9</w:t>
            </w:r>
          </w:p>
        </w:tc>
        <w:tc>
          <w:tcPr>
            <w:tcW w:w="490" w:type="dxa"/>
            <w:noWrap/>
            <w:hideMark/>
          </w:tcPr>
          <w:p w:rsidR="00FC57DC" w:rsidRPr="00886878" w:rsidRDefault="00FC57DC" w:rsidP="00974EFA">
            <w:pPr>
              <w:pStyle w:val="Tabletext"/>
              <w:rPr>
                <w:color w:val="000000"/>
              </w:rPr>
            </w:pPr>
            <w:r w:rsidRPr="00886878">
              <w:rPr>
                <w:color w:val="000000"/>
              </w:rPr>
              <w:t>1</w:t>
            </w:r>
          </w:p>
        </w:tc>
        <w:tc>
          <w:tcPr>
            <w:tcW w:w="567" w:type="dxa"/>
            <w:noWrap/>
            <w:hideMark/>
          </w:tcPr>
          <w:p w:rsidR="00FC57DC" w:rsidRPr="00886878" w:rsidRDefault="00FC57DC" w:rsidP="00974EFA">
            <w:pPr>
              <w:pStyle w:val="Tabletext"/>
              <w:rPr>
                <w:color w:val="000000"/>
              </w:rPr>
            </w:pPr>
            <w:r w:rsidRPr="00886878">
              <w:rPr>
                <w:color w:val="000000"/>
              </w:rPr>
              <w:t>8</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5</w:t>
            </w:r>
          </w:p>
        </w:tc>
        <w:tc>
          <w:tcPr>
            <w:tcW w:w="660" w:type="dxa"/>
            <w:noWrap/>
            <w:hideMark/>
          </w:tcPr>
          <w:p w:rsidR="00FC57DC" w:rsidRPr="00886878" w:rsidRDefault="00FC57DC" w:rsidP="00974EFA">
            <w:pPr>
              <w:pStyle w:val="Tabletext"/>
              <w:rPr>
                <w:color w:val="000000"/>
              </w:rPr>
            </w:pPr>
            <w:r w:rsidRPr="00886878">
              <w:rPr>
                <w:color w:val="000000"/>
              </w:rPr>
              <w:t>5</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1</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64</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Australasian shoveler</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9</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Australian pelican</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44</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11</w:t>
            </w:r>
          </w:p>
        </w:tc>
        <w:tc>
          <w:tcPr>
            <w:tcW w:w="567" w:type="dxa"/>
            <w:noWrap/>
            <w:hideMark/>
          </w:tcPr>
          <w:p w:rsidR="00FC57DC" w:rsidRPr="00886878" w:rsidRDefault="00FC57DC" w:rsidP="00974EFA">
            <w:pPr>
              <w:pStyle w:val="Tabletext"/>
              <w:rPr>
                <w:color w:val="000000"/>
              </w:rPr>
            </w:pPr>
            <w:r w:rsidRPr="00886878">
              <w:rPr>
                <w:color w:val="000000"/>
              </w:rPr>
              <w:t>40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21</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24</w:t>
            </w:r>
          </w:p>
        </w:tc>
        <w:tc>
          <w:tcPr>
            <w:tcW w:w="521" w:type="dxa"/>
            <w:noWrap/>
            <w:hideMark/>
          </w:tcPr>
          <w:p w:rsidR="00FC57DC" w:rsidRPr="00886878" w:rsidRDefault="00FC57DC" w:rsidP="00974EFA">
            <w:pPr>
              <w:pStyle w:val="Tabletext"/>
              <w:rPr>
                <w:color w:val="000000"/>
              </w:rPr>
            </w:pPr>
            <w:r w:rsidRPr="00886878">
              <w:rPr>
                <w:color w:val="000000"/>
              </w:rPr>
              <w:t>45</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Australian white ibis</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4</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8</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66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5</w:t>
            </w:r>
          </w:p>
        </w:tc>
        <w:tc>
          <w:tcPr>
            <w:tcW w:w="613" w:type="dxa"/>
            <w:noWrap/>
            <w:hideMark/>
          </w:tcPr>
          <w:p w:rsidR="00FC57DC" w:rsidRPr="00886878" w:rsidRDefault="00FC57DC" w:rsidP="00974EFA">
            <w:pPr>
              <w:pStyle w:val="Tabletext"/>
              <w:rPr>
                <w:color w:val="000000"/>
              </w:rPr>
            </w:pPr>
            <w:r w:rsidRPr="00886878">
              <w:rPr>
                <w:color w:val="000000"/>
              </w:rPr>
              <w:t>1</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45</w:t>
            </w:r>
          </w:p>
        </w:tc>
      </w:tr>
      <w:tr w:rsidR="00FC57DC" w:rsidRPr="00886878" w:rsidTr="00974EFA">
        <w:trPr>
          <w:trHeight w:val="300"/>
        </w:trPr>
        <w:tc>
          <w:tcPr>
            <w:tcW w:w="2080" w:type="dxa"/>
            <w:noWrap/>
          </w:tcPr>
          <w:p w:rsidR="00FC57DC" w:rsidRPr="00886878" w:rsidRDefault="00FC57DC" w:rsidP="00974EFA">
            <w:pPr>
              <w:pStyle w:val="Tabletext"/>
              <w:rPr>
                <w:color w:val="000000"/>
              </w:rPr>
            </w:pPr>
            <w:r>
              <w:rPr>
                <w:color w:val="000000"/>
              </w:rPr>
              <w:t>Australian w</w:t>
            </w:r>
            <w:r w:rsidRPr="00886878">
              <w:rPr>
                <w:color w:val="000000"/>
              </w:rPr>
              <w:t>ood duck</w:t>
            </w:r>
          </w:p>
        </w:tc>
        <w:tc>
          <w:tcPr>
            <w:tcW w:w="489" w:type="dxa"/>
            <w:noWrap/>
          </w:tcPr>
          <w:p w:rsidR="00FC57DC" w:rsidRPr="00886878" w:rsidRDefault="00FC57DC" w:rsidP="00974EFA">
            <w:pPr>
              <w:pStyle w:val="Tabletext"/>
              <w:rPr>
                <w:color w:val="000000"/>
              </w:rPr>
            </w:pPr>
            <w:r w:rsidRPr="00886878">
              <w:rPr>
                <w:color w:val="000000"/>
              </w:rPr>
              <w:t>10</w:t>
            </w:r>
          </w:p>
        </w:tc>
        <w:tc>
          <w:tcPr>
            <w:tcW w:w="521" w:type="dxa"/>
            <w:noWrap/>
          </w:tcPr>
          <w:p w:rsidR="00FC57DC" w:rsidRPr="00886878" w:rsidRDefault="00FC57DC" w:rsidP="00974EFA">
            <w:pPr>
              <w:pStyle w:val="Tabletext"/>
              <w:rPr>
                <w:color w:val="000000"/>
              </w:rPr>
            </w:pPr>
            <w:r w:rsidRPr="00886878">
              <w:rPr>
                <w:color w:val="000000"/>
              </w:rPr>
              <w:t>24</w:t>
            </w:r>
          </w:p>
        </w:tc>
        <w:tc>
          <w:tcPr>
            <w:tcW w:w="521" w:type="dxa"/>
            <w:noWrap/>
          </w:tcPr>
          <w:p w:rsidR="00FC57DC" w:rsidRPr="00886878" w:rsidRDefault="00FC57DC" w:rsidP="00974EFA">
            <w:pPr>
              <w:pStyle w:val="Tabletext"/>
              <w:rPr>
                <w:color w:val="000000"/>
              </w:rPr>
            </w:pPr>
            <w:r w:rsidRPr="00886878">
              <w:rPr>
                <w:color w:val="000000"/>
              </w:rPr>
              <w:t>6</w:t>
            </w:r>
          </w:p>
        </w:tc>
        <w:tc>
          <w:tcPr>
            <w:tcW w:w="490" w:type="dxa"/>
            <w:noWrap/>
          </w:tcPr>
          <w:p w:rsidR="00FC57DC" w:rsidRPr="00886878" w:rsidRDefault="00FC57DC" w:rsidP="00974EFA">
            <w:pPr>
              <w:pStyle w:val="Tabletext"/>
              <w:rPr>
                <w:color w:val="000000"/>
              </w:rPr>
            </w:pPr>
            <w:r w:rsidRPr="00886878">
              <w:rPr>
                <w:color w:val="000000"/>
              </w:rPr>
              <w:t>80</w:t>
            </w:r>
          </w:p>
        </w:tc>
        <w:tc>
          <w:tcPr>
            <w:tcW w:w="567" w:type="dxa"/>
            <w:noWrap/>
          </w:tcPr>
          <w:p w:rsidR="00FC57DC" w:rsidRPr="00886878" w:rsidRDefault="00FC57DC" w:rsidP="00974EFA">
            <w:pPr>
              <w:pStyle w:val="Tabletext"/>
              <w:rPr>
                <w:color w:val="000000"/>
              </w:rPr>
            </w:pPr>
            <w:r w:rsidRPr="00886878">
              <w:rPr>
                <w:color w:val="000000"/>
              </w:rPr>
              <w:t>90^</w:t>
            </w:r>
          </w:p>
        </w:tc>
        <w:tc>
          <w:tcPr>
            <w:tcW w:w="520" w:type="dxa"/>
            <w:noWrap/>
          </w:tcPr>
          <w:p w:rsidR="00FC57DC" w:rsidRPr="00886878" w:rsidRDefault="00FC57DC" w:rsidP="00974EFA">
            <w:pPr>
              <w:pStyle w:val="Tabletext"/>
              <w:rPr>
                <w:color w:val="000000"/>
              </w:rPr>
            </w:pPr>
            <w:r w:rsidRPr="00886878">
              <w:rPr>
                <w:color w:val="000000"/>
              </w:rPr>
              <w:t>11</w:t>
            </w:r>
          </w:p>
        </w:tc>
        <w:tc>
          <w:tcPr>
            <w:tcW w:w="521" w:type="dxa"/>
            <w:noWrap/>
          </w:tcPr>
          <w:p w:rsidR="00FC57DC" w:rsidRPr="00886878" w:rsidRDefault="00FC57DC" w:rsidP="00974EFA">
            <w:pPr>
              <w:pStyle w:val="Tabletext"/>
              <w:rPr>
                <w:color w:val="000000"/>
              </w:rPr>
            </w:pPr>
            <w:r w:rsidRPr="00886878">
              <w:rPr>
                <w:color w:val="000000"/>
              </w:rPr>
              <w:t>74</w:t>
            </w:r>
          </w:p>
        </w:tc>
        <w:tc>
          <w:tcPr>
            <w:tcW w:w="660" w:type="dxa"/>
            <w:noWrap/>
          </w:tcPr>
          <w:p w:rsidR="00FC57DC" w:rsidRPr="00886878" w:rsidRDefault="00FC57DC" w:rsidP="00974EFA">
            <w:pPr>
              <w:pStyle w:val="Tabletext"/>
              <w:rPr>
                <w:color w:val="000000"/>
              </w:rPr>
            </w:pPr>
            <w:r w:rsidRPr="00886878">
              <w:rPr>
                <w:color w:val="000000"/>
              </w:rPr>
              <w:t>4</w:t>
            </w:r>
          </w:p>
        </w:tc>
        <w:tc>
          <w:tcPr>
            <w:tcW w:w="521" w:type="dxa"/>
            <w:noWrap/>
          </w:tcPr>
          <w:p w:rsidR="00FC57DC" w:rsidRPr="00886878" w:rsidRDefault="00FC57DC" w:rsidP="00974EFA">
            <w:pPr>
              <w:pStyle w:val="Tabletext"/>
              <w:rPr>
                <w:color w:val="000000"/>
              </w:rPr>
            </w:pPr>
            <w:r w:rsidRPr="00886878">
              <w:rPr>
                <w:color w:val="000000"/>
              </w:rPr>
              <w:t>18</w:t>
            </w:r>
          </w:p>
        </w:tc>
        <w:tc>
          <w:tcPr>
            <w:tcW w:w="613" w:type="dxa"/>
            <w:noWrap/>
          </w:tcPr>
          <w:p w:rsidR="00FC57DC" w:rsidRPr="00886878" w:rsidRDefault="00FC57DC" w:rsidP="00974EFA">
            <w:pPr>
              <w:pStyle w:val="Tabletext"/>
              <w:rPr>
                <w:color w:val="000000"/>
              </w:rPr>
            </w:pPr>
            <w:r w:rsidRPr="00886878">
              <w:rPr>
                <w:color w:val="000000"/>
              </w:rPr>
              <w:t>0</w:t>
            </w:r>
          </w:p>
        </w:tc>
        <w:tc>
          <w:tcPr>
            <w:tcW w:w="520" w:type="dxa"/>
            <w:noWrap/>
          </w:tcPr>
          <w:p w:rsidR="00FC57DC" w:rsidRPr="00886878" w:rsidRDefault="00FC57DC" w:rsidP="00974EFA">
            <w:pPr>
              <w:pStyle w:val="Tabletext"/>
              <w:rPr>
                <w:color w:val="000000"/>
              </w:rPr>
            </w:pPr>
            <w:r w:rsidRPr="00886878">
              <w:rPr>
                <w:color w:val="000000"/>
              </w:rPr>
              <w:t>10</w:t>
            </w:r>
          </w:p>
        </w:tc>
        <w:tc>
          <w:tcPr>
            <w:tcW w:w="521" w:type="dxa"/>
            <w:noWrap/>
          </w:tcPr>
          <w:p w:rsidR="00FC57DC" w:rsidRPr="00886878" w:rsidRDefault="00FC57DC" w:rsidP="00974EFA">
            <w:pPr>
              <w:pStyle w:val="Tabletext"/>
              <w:rPr>
                <w:color w:val="000000"/>
              </w:rPr>
            </w:pPr>
            <w:r w:rsidRPr="00886878">
              <w:rPr>
                <w:color w:val="000000"/>
              </w:rPr>
              <w:t>91</w:t>
            </w:r>
          </w:p>
        </w:tc>
      </w:tr>
      <w:tr w:rsidR="00FC57DC" w:rsidRPr="00886878" w:rsidTr="00974EFA">
        <w:trPr>
          <w:trHeight w:val="300"/>
        </w:trPr>
        <w:tc>
          <w:tcPr>
            <w:tcW w:w="2080" w:type="dxa"/>
            <w:noWrap/>
          </w:tcPr>
          <w:p w:rsidR="00FC57DC" w:rsidRPr="00886878" w:rsidRDefault="00FC57DC" w:rsidP="00974EFA">
            <w:pPr>
              <w:pStyle w:val="Tabletext"/>
              <w:rPr>
                <w:color w:val="000000"/>
              </w:rPr>
            </w:pPr>
            <w:r w:rsidRPr="00886878">
              <w:rPr>
                <w:color w:val="000000"/>
              </w:rPr>
              <w:t>Black swan</w:t>
            </w:r>
          </w:p>
        </w:tc>
        <w:tc>
          <w:tcPr>
            <w:tcW w:w="489" w:type="dxa"/>
            <w:noWrap/>
          </w:tcPr>
          <w:p w:rsidR="00FC57DC" w:rsidRPr="00886878" w:rsidRDefault="00FC57DC" w:rsidP="00974EFA">
            <w:pPr>
              <w:pStyle w:val="Tabletext"/>
              <w:rPr>
                <w:color w:val="000000"/>
              </w:rPr>
            </w:pPr>
            <w:r w:rsidRPr="00886878">
              <w:rPr>
                <w:color w:val="000000"/>
              </w:rPr>
              <w:t>0</w:t>
            </w:r>
          </w:p>
        </w:tc>
        <w:tc>
          <w:tcPr>
            <w:tcW w:w="521" w:type="dxa"/>
            <w:noWrap/>
          </w:tcPr>
          <w:p w:rsidR="00FC57DC" w:rsidRPr="00886878" w:rsidRDefault="00FC57DC" w:rsidP="00974EFA">
            <w:pPr>
              <w:pStyle w:val="Tabletext"/>
              <w:rPr>
                <w:color w:val="000000"/>
              </w:rPr>
            </w:pPr>
            <w:r w:rsidRPr="00886878">
              <w:rPr>
                <w:color w:val="000000"/>
              </w:rPr>
              <w:t>6^</w:t>
            </w:r>
          </w:p>
        </w:tc>
        <w:tc>
          <w:tcPr>
            <w:tcW w:w="521" w:type="dxa"/>
            <w:noWrap/>
          </w:tcPr>
          <w:p w:rsidR="00FC57DC" w:rsidRPr="00886878" w:rsidRDefault="00FC57DC" w:rsidP="00974EFA">
            <w:pPr>
              <w:pStyle w:val="Tabletext"/>
              <w:rPr>
                <w:color w:val="000000"/>
              </w:rPr>
            </w:pPr>
            <w:r w:rsidRPr="00886878">
              <w:rPr>
                <w:color w:val="000000"/>
              </w:rPr>
              <w:t>0</w:t>
            </w:r>
          </w:p>
        </w:tc>
        <w:tc>
          <w:tcPr>
            <w:tcW w:w="490" w:type="dxa"/>
            <w:noWrap/>
          </w:tcPr>
          <w:p w:rsidR="00FC57DC" w:rsidRPr="00886878" w:rsidRDefault="00FC57DC" w:rsidP="00974EFA">
            <w:pPr>
              <w:pStyle w:val="Tabletext"/>
              <w:rPr>
                <w:color w:val="000000"/>
              </w:rPr>
            </w:pPr>
            <w:r w:rsidRPr="00886878">
              <w:rPr>
                <w:color w:val="000000"/>
              </w:rPr>
              <w:t>0</w:t>
            </w:r>
          </w:p>
        </w:tc>
        <w:tc>
          <w:tcPr>
            <w:tcW w:w="567" w:type="dxa"/>
            <w:noWrap/>
          </w:tcPr>
          <w:p w:rsidR="00FC57DC" w:rsidRPr="00886878" w:rsidRDefault="00FC57DC" w:rsidP="00974EFA">
            <w:pPr>
              <w:pStyle w:val="Tabletext"/>
              <w:rPr>
                <w:color w:val="000000"/>
              </w:rPr>
            </w:pPr>
            <w:r w:rsidRPr="00886878">
              <w:rPr>
                <w:color w:val="000000"/>
              </w:rPr>
              <w:t>0</w:t>
            </w:r>
          </w:p>
        </w:tc>
        <w:tc>
          <w:tcPr>
            <w:tcW w:w="520" w:type="dxa"/>
            <w:noWrap/>
          </w:tcPr>
          <w:p w:rsidR="00FC57DC" w:rsidRPr="00886878" w:rsidRDefault="00FC57DC" w:rsidP="00974EFA">
            <w:pPr>
              <w:pStyle w:val="Tabletext"/>
              <w:rPr>
                <w:color w:val="000000"/>
              </w:rPr>
            </w:pPr>
            <w:r w:rsidRPr="00886878">
              <w:rPr>
                <w:color w:val="000000"/>
              </w:rPr>
              <w:t>0</w:t>
            </w:r>
          </w:p>
        </w:tc>
        <w:tc>
          <w:tcPr>
            <w:tcW w:w="521" w:type="dxa"/>
            <w:noWrap/>
          </w:tcPr>
          <w:p w:rsidR="00FC57DC" w:rsidRPr="00886878" w:rsidRDefault="00FC57DC" w:rsidP="00974EFA">
            <w:pPr>
              <w:pStyle w:val="Tabletext"/>
              <w:rPr>
                <w:color w:val="000000"/>
              </w:rPr>
            </w:pPr>
            <w:r w:rsidRPr="00886878">
              <w:rPr>
                <w:color w:val="000000"/>
              </w:rPr>
              <w:t>0</w:t>
            </w:r>
          </w:p>
        </w:tc>
        <w:tc>
          <w:tcPr>
            <w:tcW w:w="660" w:type="dxa"/>
            <w:noWrap/>
          </w:tcPr>
          <w:p w:rsidR="00FC57DC" w:rsidRPr="00886878" w:rsidRDefault="00FC57DC" w:rsidP="00974EFA">
            <w:pPr>
              <w:pStyle w:val="Tabletext"/>
              <w:rPr>
                <w:color w:val="000000"/>
              </w:rPr>
            </w:pPr>
            <w:r w:rsidRPr="00886878">
              <w:rPr>
                <w:color w:val="000000"/>
              </w:rPr>
              <w:t>0</w:t>
            </w:r>
          </w:p>
        </w:tc>
        <w:tc>
          <w:tcPr>
            <w:tcW w:w="521" w:type="dxa"/>
            <w:noWrap/>
          </w:tcPr>
          <w:p w:rsidR="00FC57DC" w:rsidRPr="00886878" w:rsidRDefault="00FC57DC" w:rsidP="00974EFA">
            <w:pPr>
              <w:pStyle w:val="Tabletext"/>
              <w:rPr>
                <w:color w:val="000000"/>
              </w:rPr>
            </w:pPr>
            <w:r w:rsidRPr="00886878">
              <w:rPr>
                <w:color w:val="000000"/>
              </w:rPr>
              <w:t>0</w:t>
            </w:r>
          </w:p>
        </w:tc>
        <w:tc>
          <w:tcPr>
            <w:tcW w:w="613" w:type="dxa"/>
            <w:noWrap/>
          </w:tcPr>
          <w:p w:rsidR="00FC57DC" w:rsidRPr="00886878" w:rsidRDefault="00FC57DC" w:rsidP="00974EFA">
            <w:pPr>
              <w:pStyle w:val="Tabletext"/>
              <w:rPr>
                <w:color w:val="000000"/>
              </w:rPr>
            </w:pPr>
            <w:r w:rsidRPr="00886878">
              <w:rPr>
                <w:color w:val="000000"/>
              </w:rPr>
              <w:t>0</w:t>
            </w:r>
          </w:p>
        </w:tc>
        <w:tc>
          <w:tcPr>
            <w:tcW w:w="520" w:type="dxa"/>
            <w:noWrap/>
          </w:tcPr>
          <w:p w:rsidR="00FC57DC" w:rsidRPr="00886878" w:rsidRDefault="00FC57DC" w:rsidP="00974EFA">
            <w:pPr>
              <w:pStyle w:val="Tabletext"/>
              <w:rPr>
                <w:color w:val="000000"/>
              </w:rPr>
            </w:pPr>
            <w:r w:rsidRPr="00886878">
              <w:rPr>
                <w:color w:val="000000"/>
              </w:rPr>
              <w:t>0</w:t>
            </w:r>
          </w:p>
        </w:tc>
        <w:tc>
          <w:tcPr>
            <w:tcW w:w="521" w:type="dxa"/>
            <w:noWrap/>
          </w:tcPr>
          <w:p w:rsidR="00FC57DC" w:rsidRPr="00886878" w:rsidRDefault="00FC57DC" w:rsidP="00974EFA">
            <w:pPr>
              <w:pStyle w:val="Tabletext"/>
              <w:rPr>
                <w:color w:val="000000"/>
              </w:rPr>
            </w:pPr>
            <w:r w:rsidRPr="00886878">
              <w:rPr>
                <w:color w:val="000000"/>
              </w:rPr>
              <w:t>9</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Black-fronted dotterel</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6</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27</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Black-tailed native hen</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8</w:t>
            </w:r>
          </w:p>
        </w:tc>
        <w:tc>
          <w:tcPr>
            <w:tcW w:w="490" w:type="dxa"/>
            <w:noWrap/>
            <w:hideMark/>
          </w:tcPr>
          <w:p w:rsidR="00FC57DC" w:rsidRPr="00886878" w:rsidRDefault="00FC57DC" w:rsidP="00974EFA">
            <w:pPr>
              <w:pStyle w:val="Tabletext"/>
              <w:rPr>
                <w:color w:val="000000"/>
              </w:rPr>
            </w:pPr>
            <w:r w:rsidRPr="00886878">
              <w:rPr>
                <w:color w:val="000000"/>
              </w:rPr>
              <w:t>16</w:t>
            </w:r>
          </w:p>
        </w:tc>
        <w:tc>
          <w:tcPr>
            <w:tcW w:w="567" w:type="dxa"/>
            <w:noWrap/>
            <w:hideMark/>
          </w:tcPr>
          <w:p w:rsidR="00FC57DC" w:rsidRPr="00886878" w:rsidRDefault="00FC57DC" w:rsidP="00974EFA">
            <w:pPr>
              <w:pStyle w:val="Tabletext"/>
              <w:rPr>
                <w:color w:val="000000"/>
              </w:rPr>
            </w:pPr>
            <w:r w:rsidRPr="00886878">
              <w:rPr>
                <w:color w:val="000000"/>
              </w:rPr>
              <w:t>22</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27</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Black-winged stilt</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12</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9</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Chestnut teal</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2</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9</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Darter</w:t>
            </w:r>
          </w:p>
        </w:tc>
        <w:tc>
          <w:tcPr>
            <w:tcW w:w="489" w:type="dxa"/>
            <w:noWrap/>
            <w:hideMark/>
          </w:tcPr>
          <w:p w:rsidR="00FC57DC" w:rsidRPr="00886878" w:rsidRDefault="00FC57DC" w:rsidP="00974EFA">
            <w:pPr>
              <w:pStyle w:val="Tabletext"/>
              <w:rPr>
                <w:color w:val="000000"/>
              </w:rPr>
            </w:pPr>
            <w:r w:rsidRPr="00886878">
              <w:rPr>
                <w:color w:val="000000"/>
              </w:rPr>
              <w:t>3</w:t>
            </w:r>
          </w:p>
        </w:tc>
        <w:tc>
          <w:tcPr>
            <w:tcW w:w="521" w:type="dxa"/>
            <w:noWrap/>
            <w:hideMark/>
          </w:tcPr>
          <w:p w:rsidR="00FC57DC" w:rsidRPr="00886878" w:rsidRDefault="00FC57DC" w:rsidP="00974EFA">
            <w:pPr>
              <w:pStyle w:val="Tabletext"/>
              <w:rPr>
                <w:color w:val="000000"/>
              </w:rPr>
            </w:pPr>
            <w:r w:rsidRPr="00886878">
              <w:rPr>
                <w:color w:val="000000"/>
              </w:rPr>
              <w:t>5</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1</w:t>
            </w:r>
          </w:p>
        </w:tc>
        <w:tc>
          <w:tcPr>
            <w:tcW w:w="567" w:type="dxa"/>
            <w:noWrap/>
            <w:hideMark/>
          </w:tcPr>
          <w:p w:rsidR="00FC57DC" w:rsidRPr="00886878" w:rsidRDefault="00FC57DC" w:rsidP="00974EFA">
            <w:pPr>
              <w:pStyle w:val="Tabletext"/>
              <w:rPr>
                <w:color w:val="000000"/>
              </w:rPr>
            </w:pPr>
            <w:r w:rsidRPr="00886878">
              <w:rPr>
                <w:color w:val="000000"/>
              </w:rPr>
              <w:t>8</w:t>
            </w:r>
          </w:p>
        </w:tc>
        <w:tc>
          <w:tcPr>
            <w:tcW w:w="520" w:type="dxa"/>
            <w:noWrap/>
            <w:hideMark/>
          </w:tcPr>
          <w:p w:rsidR="00FC57DC" w:rsidRPr="00886878" w:rsidRDefault="00FC57DC" w:rsidP="00974EFA">
            <w:pPr>
              <w:pStyle w:val="Tabletext"/>
              <w:rPr>
                <w:color w:val="000000"/>
              </w:rPr>
            </w:pPr>
            <w:r w:rsidRPr="00886878">
              <w:rPr>
                <w:color w:val="000000"/>
              </w:rPr>
              <w:t>3</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6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8^</w:t>
            </w:r>
          </w:p>
        </w:tc>
        <w:tc>
          <w:tcPr>
            <w:tcW w:w="521" w:type="dxa"/>
            <w:noWrap/>
            <w:hideMark/>
          </w:tcPr>
          <w:p w:rsidR="00FC57DC" w:rsidRPr="00886878" w:rsidRDefault="00FC57DC" w:rsidP="00974EFA">
            <w:pPr>
              <w:pStyle w:val="Tabletext"/>
              <w:rPr>
                <w:color w:val="000000"/>
              </w:rPr>
            </w:pPr>
            <w:r w:rsidRPr="00886878">
              <w:rPr>
                <w:color w:val="000000"/>
              </w:rPr>
              <w:t>73</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Dusky moorhen</w:t>
            </w:r>
          </w:p>
        </w:tc>
        <w:tc>
          <w:tcPr>
            <w:tcW w:w="489"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1</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6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1</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55</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Eurasian coot</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119</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1</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36</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Glossy ibis</w:t>
            </w:r>
            <w:r>
              <w:rPr>
                <w:color w:val="000000"/>
              </w:rPr>
              <w:t xml:space="preserve"> C</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8</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9</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Great cormorant</w:t>
            </w:r>
          </w:p>
        </w:tc>
        <w:tc>
          <w:tcPr>
            <w:tcW w:w="489"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22</w:t>
            </w:r>
          </w:p>
        </w:tc>
        <w:tc>
          <w:tcPr>
            <w:tcW w:w="520" w:type="dxa"/>
            <w:noWrap/>
            <w:hideMark/>
          </w:tcPr>
          <w:p w:rsidR="00FC57DC" w:rsidRPr="00886878" w:rsidRDefault="00FC57DC" w:rsidP="00974EFA">
            <w:pPr>
              <w:pStyle w:val="Tabletext"/>
              <w:rPr>
                <w:color w:val="000000"/>
              </w:rPr>
            </w:pPr>
            <w:r w:rsidRPr="00886878">
              <w:rPr>
                <w:color w:val="000000"/>
              </w:rPr>
              <w:t>3</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6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5</w:t>
            </w:r>
          </w:p>
        </w:tc>
        <w:tc>
          <w:tcPr>
            <w:tcW w:w="521" w:type="dxa"/>
            <w:noWrap/>
            <w:hideMark/>
          </w:tcPr>
          <w:p w:rsidR="00FC57DC" w:rsidRPr="00886878" w:rsidRDefault="00FC57DC" w:rsidP="00974EFA">
            <w:pPr>
              <w:pStyle w:val="Tabletext"/>
              <w:rPr>
                <w:color w:val="000000"/>
              </w:rPr>
            </w:pPr>
            <w:r w:rsidRPr="00886878">
              <w:rPr>
                <w:color w:val="000000"/>
              </w:rPr>
              <w:t>73</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Great egret</w:t>
            </w:r>
            <w:r>
              <w:rPr>
                <w:color w:val="000000"/>
              </w:rPr>
              <w:t xml:space="preserve"> J, C</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490" w:type="dxa"/>
            <w:noWrap/>
            <w:hideMark/>
          </w:tcPr>
          <w:p w:rsidR="00FC57DC" w:rsidRPr="00886878" w:rsidRDefault="00FC57DC" w:rsidP="00974EFA">
            <w:pPr>
              <w:pStyle w:val="Tabletext"/>
              <w:rPr>
                <w:color w:val="000000"/>
              </w:rPr>
            </w:pPr>
            <w:r w:rsidRPr="00886878">
              <w:rPr>
                <w:color w:val="000000"/>
              </w:rPr>
              <w:t>2</w:t>
            </w:r>
          </w:p>
        </w:tc>
        <w:tc>
          <w:tcPr>
            <w:tcW w:w="567" w:type="dxa"/>
            <w:noWrap/>
            <w:hideMark/>
          </w:tcPr>
          <w:p w:rsidR="00FC57DC" w:rsidRPr="00886878" w:rsidRDefault="00FC57DC" w:rsidP="00974EFA">
            <w:pPr>
              <w:pStyle w:val="Tabletext"/>
              <w:rPr>
                <w:color w:val="000000"/>
              </w:rPr>
            </w:pPr>
            <w:r w:rsidRPr="00886878">
              <w:rPr>
                <w:color w:val="000000"/>
              </w:rPr>
              <w:t>3</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55</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Grey teal</w:t>
            </w:r>
          </w:p>
        </w:tc>
        <w:tc>
          <w:tcPr>
            <w:tcW w:w="489" w:type="dxa"/>
            <w:noWrap/>
            <w:hideMark/>
          </w:tcPr>
          <w:p w:rsidR="00FC57DC" w:rsidRPr="00886878" w:rsidRDefault="00FC57DC" w:rsidP="00974EFA">
            <w:pPr>
              <w:pStyle w:val="Tabletext"/>
              <w:rPr>
                <w:color w:val="000000"/>
              </w:rPr>
            </w:pPr>
            <w:r w:rsidRPr="00886878">
              <w:rPr>
                <w:color w:val="000000"/>
              </w:rPr>
              <w:t>13^</w:t>
            </w:r>
          </w:p>
        </w:tc>
        <w:tc>
          <w:tcPr>
            <w:tcW w:w="521" w:type="dxa"/>
            <w:noWrap/>
            <w:hideMark/>
          </w:tcPr>
          <w:p w:rsidR="00FC57DC" w:rsidRPr="00886878" w:rsidRDefault="00FC57DC" w:rsidP="00974EFA">
            <w:pPr>
              <w:pStyle w:val="Tabletext"/>
              <w:rPr>
                <w:color w:val="000000"/>
              </w:rPr>
            </w:pPr>
            <w:r w:rsidRPr="00886878">
              <w:rPr>
                <w:color w:val="000000"/>
              </w:rPr>
              <w:t>239</w:t>
            </w:r>
          </w:p>
        </w:tc>
        <w:tc>
          <w:tcPr>
            <w:tcW w:w="521" w:type="dxa"/>
            <w:noWrap/>
            <w:hideMark/>
          </w:tcPr>
          <w:p w:rsidR="00FC57DC" w:rsidRPr="00886878" w:rsidRDefault="00FC57DC" w:rsidP="00974EFA">
            <w:pPr>
              <w:pStyle w:val="Tabletext"/>
              <w:rPr>
                <w:color w:val="000000"/>
              </w:rPr>
            </w:pPr>
            <w:r w:rsidRPr="00886878">
              <w:rPr>
                <w:color w:val="000000"/>
              </w:rPr>
              <w:t>62</w:t>
            </w:r>
          </w:p>
        </w:tc>
        <w:tc>
          <w:tcPr>
            <w:tcW w:w="490" w:type="dxa"/>
            <w:noWrap/>
            <w:hideMark/>
          </w:tcPr>
          <w:p w:rsidR="00FC57DC" w:rsidRPr="00886878" w:rsidRDefault="00FC57DC" w:rsidP="00974EFA">
            <w:pPr>
              <w:pStyle w:val="Tabletext"/>
              <w:rPr>
                <w:color w:val="000000"/>
              </w:rPr>
            </w:pPr>
            <w:r w:rsidRPr="00886878">
              <w:rPr>
                <w:color w:val="000000"/>
              </w:rPr>
              <w:t>132</w:t>
            </w:r>
          </w:p>
        </w:tc>
        <w:tc>
          <w:tcPr>
            <w:tcW w:w="567" w:type="dxa"/>
            <w:noWrap/>
            <w:hideMark/>
          </w:tcPr>
          <w:p w:rsidR="00FC57DC" w:rsidRPr="00886878" w:rsidRDefault="00FC57DC" w:rsidP="00974EFA">
            <w:pPr>
              <w:pStyle w:val="Tabletext"/>
              <w:rPr>
                <w:color w:val="000000"/>
              </w:rPr>
            </w:pPr>
            <w:r w:rsidRPr="00886878">
              <w:rPr>
                <w:color w:val="000000"/>
              </w:rPr>
              <w:t>70</w:t>
            </w:r>
          </w:p>
        </w:tc>
        <w:tc>
          <w:tcPr>
            <w:tcW w:w="52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39</w:t>
            </w:r>
          </w:p>
        </w:tc>
        <w:tc>
          <w:tcPr>
            <w:tcW w:w="660" w:type="dxa"/>
            <w:noWrap/>
            <w:hideMark/>
          </w:tcPr>
          <w:p w:rsidR="00FC57DC" w:rsidRPr="00886878" w:rsidRDefault="00FC57DC" w:rsidP="00974EFA">
            <w:pPr>
              <w:pStyle w:val="Tabletext"/>
              <w:rPr>
                <w:color w:val="000000"/>
              </w:rPr>
            </w:pPr>
            <w:r w:rsidRPr="00886878">
              <w:rPr>
                <w:color w:val="000000"/>
              </w:rPr>
              <w:t>87^</w:t>
            </w:r>
          </w:p>
        </w:tc>
        <w:tc>
          <w:tcPr>
            <w:tcW w:w="521" w:type="dxa"/>
            <w:noWrap/>
            <w:hideMark/>
          </w:tcPr>
          <w:p w:rsidR="00FC57DC" w:rsidRPr="00886878" w:rsidRDefault="00FC57DC" w:rsidP="00974EFA">
            <w:pPr>
              <w:pStyle w:val="Tabletext"/>
              <w:rPr>
                <w:color w:val="000000"/>
              </w:rPr>
            </w:pPr>
            <w:r w:rsidRPr="00886878">
              <w:rPr>
                <w:color w:val="000000"/>
              </w:rPr>
              <w:t>179</w:t>
            </w:r>
          </w:p>
        </w:tc>
        <w:tc>
          <w:tcPr>
            <w:tcW w:w="613" w:type="dxa"/>
            <w:noWrap/>
            <w:hideMark/>
          </w:tcPr>
          <w:p w:rsidR="00FC57DC" w:rsidRPr="00886878" w:rsidRDefault="00FC57DC" w:rsidP="00974EFA">
            <w:pPr>
              <w:pStyle w:val="Tabletext"/>
              <w:rPr>
                <w:color w:val="000000"/>
              </w:rPr>
            </w:pPr>
            <w:r w:rsidRPr="00886878">
              <w:rPr>
                <w:color w:val="000000"/>
              </w:rPr>
              <w:t>12</w:t>
            </w:r>
          </w:p>
        </w:tc>
        <w:tc>
          <w:tcPr>
            <w:tcW w:w="520" w:type="dxa"/>
            <w:noWrap/>
            <w:hideMark/>
          </w:tcPr>
          <w:p w:rsidR="00FC57DC" w:rsidRPr="00886878" w:rsidRDefault="00FC57DC" w:rsidP="00974EFA">
            <w:pPr>
              <w:pStyle w:val="Tabletext"/>
              <w:rPr>
                <w:color w:val="000000"/>
              </w:rPr>
            </w:pPr>
            <w:r w:rsidRPr="00886878">
              <w:rPr>
                <w:color w:val="000000"/>
              </w:rPr>
              <w:t>12</w:t>
            </w:r>
          </w:p>
        </w:tc>
        <w:tc>
          <w:tcPr>
            <w:tcW w:w="521" w:type="dxa"/>
            <w:noWrap/>
            <w:hideMark/>
          </w:tcPr>
          <w:p w:rsidR="00FC57DC" w:rsidRPr="00886878" w:rsidRDefault="00FC57DC" w:rsidP="00974EFA">
            <w:pPr>
              <w:pStyle w:val="Tabletext"/>
              <w:rPr>
                <w:color w:val="000000"/>
              </w:rPr>
            </w:pPr>
            <w:r w:rsidRPr="00886878">
              <w:rPr>
                <w:color w:val="000000"/>
              </w:rPr>
              <w:t>100</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Hardhead</w:t>
            </w:r>
          </w:p>
        </w:tc>
        <w:tc>
          <w:tcPr>
            <w:tcW w:w="489"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38</w:t>
            </w:r>
          </w:p>
        </w:tc>
        <w:tc>
          <w:tcPr>
            <w:tcW w:w="490" w:type="dxa"/>
            <w:noWrap/>
            <w:hideMark/>
          </w:tcPr>
          <w:p w:rsidR="00FC57DC" w:rsidRPr="00886878" w:rsidRDefault="00FC57DC" w:rsidP="00974EFA">
            <w:pPr>
              <w:pStyle w:val="Tabletext"/>
              <w:rPr>
                <w:color w:val="000000"/>
              </w:rPr>
            </w:pPr>
            <w:r w:rsidRPr="00886878">
              <w:rPr>
                <w:color w:val="000000"/>
              </w:rPr>
              <w:t>1</w:t>
            </w:r>
          </w:p>
        </w:tc>
        <w:tc>
          <w:tcPr>
            <w:tcW w:w="567" w:type="dxa"/>
            <w:noWrap/>
            <w:hideMark/>
          </w:tcPr>
          <w:p w:rsidR="00FC57DC" w:rsidRPr="00886878" w:rsidRDefault="00FC57DC" w:rsidP="00974EFA">
            <w:pPr>
              <w:pStyle w:val="Tabletext"/>
              <w:rPr>
                <w:color w:val="000000"/>
              </w:rPr>
            </w:pPr>
            <w:r w:rsidRPr="00886878">
              <w:rPr>
                <w:color w:val="000000"/>
              </w:rPr>
              <w:t>46</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36</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Intermediate egret</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66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3</w:t>
            </w:r>
          </w:p>
        </w:tc>
        <w:tc>
          <w:tcPr>
            <w:tcW w:w="521" w:type="dxa"/>
            <w:noWrap/>
            <w:hideMark/>
          </w:tcPr>
          <w:p w:rsidR="00FC57DC" w:rsidRPr="00886878" w:rsidRDefault="00FC57DC" w:rsidP="00974EFA">
            <w:pPr>
              <w:pStyle w:val="Tabletext"/>
              <w:rPr>
                <w:color w:val="000000"/>
              </w:rPr>
            </w:pPr>
            <w:r w:rsidRPr="00886878">
              <w:rPr>
                <w:color w:val="000000"/>
              </w:rPr>
              <w:t>45</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Little black cormorant</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2</w:t>
            </w:r>
          </w:p>
        </w:tc>
        <w:tc>
          <w:tcPr>
            <w:tcW w:w="567" w:type="dxa"/>
            <w:noWrap/>
            <w:hideMark/>
          </w:tcPr>
          <w:p w:rsidR="00FC57DC" w:rsidRPr="00886878" w:rsidRDefault="00FC57DC" w:rsidP="00974EFA">
            <w:pPr>
              <w:pStyle w:val="Tabletext"/>
              <w:rPr>
                <w:color w:val="000000"/>
              </w:rPr>
            </w:pPr>
            <w:r w:rsidRPr="00886878">
              <w:rPr>
                <w:color w:val="000000"/>
              </w:rPr>
              <w:t>41</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8</w:t>
            </w:r>
          </w:p>
        </w:tc>
        <w:tc>
          <w:tcPr>
            <w:tcW w:w="613" w:type="dxa"/>
            <w:noWrap/>
            <w:hideMark/>
          </w:tcPr>
          <w:p w:rsidR="00FC57DC" w:rsidRPr="00886878" w:rsidRDefault="00FC57DC" w:rsidP="00974EFA">
            <w:pPr>
              <w:pStyle w:val="Tabletext"/>
              <w:rPr>
                <w:color w:val="000000"/>
              </w:rPr>
            </w:pPr>
            <w:r w:rsidRPr="00886878">
              <w:rPr>
                <w:color w:val="000000"/>
              </w:rPr>
              <w:t>2</w:t>
            </w:r>
          </w:p>
        </w:tc>
        <w:tc>
          <w:tcPr>
            <w:tcW w:w="520" w:type="dxa"/>
            <w:noWrap/>
            <w:hideMark/>
          </w:tcPr>
          <w:p w:rsidR="00FC57DC" w:rsidRPr="00886878" w:rsidRDefault="00FC57DC" w:rsidP="00974EFA">
            <w:pPr>
              <w:pStyle w:val="Tabletext"/>
              <w:rPr>
                <w:color w:val="000000"/>
              </w:rPr>
            </w:pPr>
            <w:r w:rsidRPr="00886878">
              <w:rPr>
                <w:color w:val="000000"/>
              </w:rPr>
              <w:t>18</w:t>
            </w:r>
          </w:p>
        </w:tc>
        <w:tc>
          <w:tcPr>
            <w:tcW w:w="521" w:type="dxa"/>
            <w:noWrap/>
            <w:hideMark/>
          </w:tcPr>
          <w:p w:rsidR="00FC57DC" w:rsidRPr="00886878" w:rsidRDefault="00FC57DC" w:rsidP="00974EFA">
            <w:pPr>
              <w:pStyle w:val="Tabletext"/>
              <w:rPr>
                <w:color w:val="000000"/>
              </w:rPr>
            </w:pPr>
            <w:r w:rsidRPr="00886878">
              <w:rPr>
                <w:color w:val="000000"/>
              </w:rPr>
              <w:t>55</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Little pied cormorant</w:t>
            </w:r>
          </w:p>
        </w:tc>
        <w:tc>
          <w:tcPr>
            <w:tcW w:w="489" w:type="dxa"/>
            <w:noWrap/>
            <w:hideMark/>
          </w:tcPr>
          <w:p w:rsidR="00FC57DC" w:rsidRPr="00886878" w:rsidRDefault="00FC57DC" w:rsidP="00974EFA">
            <w:pPr>
              <w:pStyle w:val="Tabletext"/>
              <w:rPr>
                <w:color w:val="000000"/>
              </w:rPr>
            </w:pPr>
            <w:r w:rsidRPr="00886878">
              <w:rPr>
                <w:color w:val="000000"/>
              </w:rPr>
              <w:t>3</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490" w:type="dxa"/>
            <w:noWrap/>
            <w:hideMark/>
          </w:tcPr>
          <w:p w:rsidR="00FC57DC" w:rsidRPr="00886878" w:rsidRDefault="00FC57DC" w:rsidP="00974EFA">
            <w:pPr>
              <w:pStyle w:val="Tabletext"/>
              <w:rPr>
                <w:color w:val="000000"/>
              </w:rPr>
            </w:pPr>
            <w:r w:rsidRPr="00886878">
              <w:rPr>
                <w:color w:val="000000"/>
              </w:rPr>
              <w:t>1</w:t>
            </w:r>
          </w:p>
        </w:tc>
        <w:tc>
          <w:tcPr>
            <w:tcW w:w="567" w:type="dxa"/>
            <w:noWrap/>
            <w:hideMark/>
          </w:tcPr>
          <w:p w:rsidR="00FC57DC" w:rsidRPr="00886878" w:rsidRDefault="00FC57DC" w:rsidP="00974EFA">
            <w:pPr>
              <w:pStyle w:val="Tabletext"/>
              <w:rPr>
                <w:color w:val="000000"/>
              </w:rPr>
            </w:pPr>
            <w:r w:rsidRPr="00886878">
              <w:rPr>
                <w:color w:val="000000"/>
              </w:rPr>
              <w:t>6</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5</w:t>
            </w:r>
          </w:p>
        </w:tc>
        <w:tc>
          <w:tcPr>
            <w:tcW w:w="66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4</w:t>
            </w:r>
          </w:p>
        </w:tc>
        <w:tc>
          <w:tcPr>
            <w:tcW w:w="521" w:type="dxa"/>
            <w:noWrap/>
            <w:hideMark/>
          </w:tcPr>
          <w:p w:rsidR="00FC57DC" w:rsidRPr="00886878" w:rsidRDefault="00FC57DC" w:rsidP="00974EFA">
            <w:pPr>
              <w:pStyle w:val="Tabletext"/>
              <w:rPr>
                <w:color w:val="000000"/>
              </w:rPr>
            </w:pPr>
            <w:r w:rsidRPr="00886878">
              <w:rPr>
                <w:color w:val="000000"/>
              </w:rPr>
              <w:t>64</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 xml:space="preserve">Masked lapwing </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2</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5</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36</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Nankeen night heron</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2</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4</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18</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Pacific black duck</w:t>
            </w:r>
          </w:p>
        </w:tc>
        <w:tc>
          <w:tcPr>
            <w:tcW w:w="489" w:type="dxa"/>
            <w:noWrap/>
            <w:hideMark/>
          </w:tcPr>
          <w:p w:rsidR="00FC57DC" w:rsidRPr="00886878" w:rsidRDefault="00FC57DC" w:rsidP="00974EFA">
            <w:pPr>
              <w:pStyle w:val="Tabletext"/>
              <w:rPr>
                <w:color w:val="000000"/>
              </w:rPr>
            </w:pPr>
            <w:r w:rsidRPr="00886878">
              <w:rPr>
                <w:color w:val="000000"/>
              </w:rPr>
              <w:t>9^</w:t>
            </w:r>
          </w:p>
        </w:tc>
        <w:tc>
          <w:tcPr>
            <w:tcW w:w="521" w:type="dxa"/>
            <w:noWrap/>
            <w:hideMark/>
          </w:tcPr>
          <w:p w:rsidR="00FC57DC" w:rsidRPr="00886878" w:rsidRDefault="00FC57DC" w:rsidP="00974EFA">
            <w:pPr>
              <w:pStyle w:val="Tabletext"/>
              <w:rPr>
                <w:color w:val="000000"/>
              </w:rPr>
            </w:pPr>
            <w:r w:rsidRPr="00886878">
              <w:rPr>
                <w:color w:val="000000"/>
              </w:rPr>
              <w:t>26</w:t>
            </w:r>
          </w:p>
        </w:tc>
        <w:tc>
          <w:tcPr>
            <w:tcW w:w="521" w:type="dxa"/>
            <w:noWrap/>
            <w:hideMark/>
          </w:tcPr>
          <w:p w:rsidR="00FC57DC" w:rsidRPr="00886878" w:rsidRDefault="00FC57DC" w:rsidP="00974EFA">
            <w:pPr>
              <w:pStyle w:val="Tabletext"/>
              <w:rPr>
                <w:color w:val="000000"/>
              </w:rPr>
            </w:pPr>
            <w:r w:rsidRPr="00886878">
              <w:rPr>
                <w:color w:val="000000"/>
              </w:rPr>
              <w:t>8</w:t>
            </w:r>
          </w:p>
        </w:tc>
        <w:tc>
          <w:tcPr>
            <w:tcW w:w="490" w:type="dxa"/>
            <w:noWrap/>
            <w:hideMark/>
          </w:tcPr>
          <w:p w:rsidR="00FC57DC" w:rsidRPr="00886878" w:rsidRDefault="00FC57DC" w:rsidP="00974EFA">
            <w:pPr>
              <w:pStyle w:val="Tabletext"/>
              <w:rPr>
                <w:color w:val="000000"/>
              </w:rPr>
            </w:pPr>
            <w:r w:rsidRPr="00886878">
              <w:rPr>
                <w:color w:val="000000"/>
              </w:rPr>
              <w:t>37</w:t>
            </w:r>
          </w:p>
        </w:tc>
        <w:tc>
          <w:tcPr>
            <w:tcW w:w="567" w:type="dxa"/>
            <w:noWrap/>
            <w:hideMark/>
          </w:tcPr>
          <w:p w:rsidR="00FC57DC" w:rsidRPr="00886878" w:rsidRDefault="00FC57DC" w:rsidP="00974EFA">
            <w:pPr>
              <w:pStyle w:val="Tabletext"/>
              <w:rPr>
                <w:color w:val="000000"/>
              </w:rPr>
            </w:pPr>
            <w:r w:rsidRPr="00886878">
              <w:rPr>
                <w:color w:val="000000"/>
              </w:rPr>
              <w:t>10</w:t>
            </w:r>
          </w:p>
        </w:tc>
        <w:tc>
          <w:tcPr>
            <w:tcW w:w="520" w:type="dxa"/>
            <w:noWrap/>
            <w:hideMark/>
          </w:tcPr>
          <w:p w:rsidR="00FC57DC" w:rsidRPr="00886878" w:rsidRDefault="00FC57DC" w:rsidP="00974EFA">
            <w:pPr>
              <w:pStyle w:val="Tabletext"/>
              <w:rPr>
                <w:color w:val="000000"/>
              </w:rPr>
            </w:pPr>
            <w:r w:rsidRPr="00886878">
              <w:rPr>
                <w:color w:val="000000"/>
              </w:rPr>
              <w:t>3</w:t>
            </w:r>
          </w:p>
        </w:tc>
        <w:tc>
          <w:tcPr>
            <w:tcW w:w="521" w:type="dxa"/>
            <w:noWrap/>
            <w:hideMark/>
          </w:tcPr>
          <w:p w:rsidR="00FC57DC" w:rsidRPr="00886878" w:rsidRDefault="00FC57DC" w:rsidP="00974EFA">
            <w:pPr>
              <w:pStyle w:val="Tabletext"/>
              <w:rPr>
                <w:color w:val="000000"/>
              </w:rPr>
            </w:pPr>
            <w:r w:rsidRPr="00886878">
              <w:rPr>
                <w:color w:val="000000"/>
              </w:rPr>
              <w:t>24</w:t>
            </w:r>
          </w:p>
        </w:tc>
        <w:tc>
          <w:tcPr>
            <w:tcW w:w="660" w:type="dxa"/>
            <w:noWrap/>
            <w:hideMark/>
          </w:tcPr>
          <w:p w:rsidR="00FC57DC" w:rsidRPr="00886878" w:rsidRDefault="00FC57DC" w:rsidP="00974EFA">
            <w:pPr>
              <w:pStyle w:val="Tabletext"/>
              <w:rPr>
                <w:color w:val="000000"/>
              </w:rPr>
            </w:pPr>
            <w:r w:rsidRPr="00886878">
              <w:rPr>
                <w:color w:val="000000"/>
              </w:rPr>
              <w:t>30</w:t>
            </w:r>
          </w:p>
        </w:tc>
        <w:tc>
          <w:tcPr>
            <w:tcW w:w="521" w:type="dxa"/>
            <w:noWrap/>
            <w:hideMark/>
          </w:tcPr>
          <w:p w:rsidR="00FC57DC" w:rsidRPr="00886878" w:rsidRDefault="00FC57DC" w:rsidP="00974EFA">
            <w:pPr>
              <w:pStyle w:val="Tabletext"/>
              <w:rPr>
                <w:color w:val="000000"/>
              </w:rPr>
            </w:pPr>
            <w:r w:rsidRPr="00886878">
              <w:rPr>
                <w:color w:val="000000"/>
              </w:rPr>
              <w:t>48</w:t>
            </w:r>
          </w:p>
        </w:tc>
        <w:tc>
          <w:tcPr>
            <w:tcW w:w="613" w:type="dxa"/>
            <w:noWrap/>
            <w:hideMark/>
          </w:tcPr>
          <w:p w:rsidR="00FC57DC" w:rsidRPr="00886878" w:rsidRDefault="00FC57DC" w:rsidP="00974EFA">
            <w:pPr>
              <w:pStyle w:val="Tabletext"/>
              <w:rPr>
                <w:color w:val="000000"/>
              </w:rPr>
            </w:pPr>
            <w:r w:rsidRPr="00886878">
              <w:rPr>
                <w:color w:val="000000"/>
              </w:rPr>
              <w:t>36</w:t>
            </w:r>
          </w:p>
        </w:tc>
        <w:tc>
          <w:tcPr>
            <w:tcW w:w="52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100</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Purple swamphen</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2</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18</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Red-kneed dotterel</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3</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4</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36</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Royal spoonbill</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2</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18</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Straw-necked ibis</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490" w:type="dxa"/>
            <w:noWrap/>
            <w:hideMark/>
          </w:tcPr>
          <w:p w:rsidR="00FC57DC" w:rsidRPr="00886878" w:rsidRDefault="00FC57DC" w:rsidP="00974EFA">
            <w:pPr>
              <w:pStyle w:val="Tabletext"/>
              <w:rPr>
                <w:color w:val="000000"/>
              </w:rPr>
            </w:pPr>
            <w:r w:rsidRPr="00886878">
              <w:rPr>
                <w:color w:val="000000"/>
              </w:rPr>
              <w:t>2</w:t>
            </w:r>
          </w:p>
        </w:tc>
        <w:tc>
          <w:tcPr>
            <w:tcW w:w="567" w:type="dxa"/>
            <w:noWrap/>
            <w:hideMark/>
          </w:tcPr>
          <w:p w:rsidR="00FC57DC" w:rsidRPr="00886878" w:rsidRDefault="00FC57DC" w:rsidP="00974EFA">
            <w:pPr>
              <w:pStyle w:val="Tabletext"/>
              <w:rPr>
                <w:color w:val="000000"/>
              </w:rPr>
            </w:pPr>
            <w:r w:rsidRPr="00886878">
              <w:rPr>
                <w:color w:val="000000"/>
              </w:rPr>
              <w:t>40</w:t>
            </w:r>
          </w:p>
        </w:tc>
        <w:tc>
          <w:tcPr>
            <w:tcW w:w="520" w:type="dxa"/>
            <w:noWrap/>
            <w:hideMark/>
          </w:tcPr>
          <w:p w:rsidR="00FC57DC" w:rsidRPr="00886878" w:rsidRDefault="00FC57DC" w:rsidP="00974EFA">
            <w:pPr>
              <w:pStyle w:val="Tabletext"/>
              <w:rPr>
                <w:color w:val="000000"/>
              </w:rPr>
            </w:pPr>
            <w:r w:rsidRPr="00886878">
              <w:rPr>
                <w:color w:val="000000"/>
              </w:rPr>
              <w:t>10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5</w:t>
            </w:r>
          </w:p>
        </w:tc>
        <w:tc>
          <w:tcPr>
            <w:tcW w:w="613" w:type="dxa"/>
            <w:noWrap/>
            <w:hideMark/>
          </w:tcPr>
          <w:p w:rsidR="00FC57DC" w:rsidRPr="00886878" w:rsidRDefault="00FC57DC" w:rsidP="00974EFA">
            <w:pPr>
              <w:pStyle w:val="Tabletext"/>
              <w:rPr>
                <w:color w:val="000000"/>
              </w:rPr>
            </w:pPr>
            <w:r w:rsidRPr="00886878">
              <w:rPr>
                <w:color w:val="000000"/>
              </w:rPr>
              <w:t>2</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64</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Whiskered tern</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490" w:type="dxa"/>
            <w:noWrap/>
            <w:hideMark/>
          </w:tcPr>
          <w:p w:rsidR="00FC57DC" w:rsidRPr="00886878" w:rsidRDefault="00FC57DC" w:rsidP="00974EFA">
            <w:pPr>
              <w:pStyle w:val="Tabletext"/>
              <w:rPr>
                <w:color w:val="000000"/>
              </w:rPr>
            </w:pPr>
            <w:r w:rsidRPr="00886878">
              <w:rPr>
                <w:color w:val="000000"/>
              </w:rPr>
              <w:t>0</w:t>
            </w:r>
          </w:p>
        </w:tc>
        <w:tc>
          <w:tcPr>
            <w:tcW w:w="567"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0</w:t>
            </w:r>
          </w:p>
        </w:tc>
        <w:tc>
          <w:tcPr>
            <w:tcW w:w="66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9</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White-faced heron</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4</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490" w:type="dxa"/>
            <w:noWrap/>
            <w:hideMark/>
          </w:tcPr>
          <w:p w:rsidR="00FC57DC" w:rsidRPr="00886878" w:rsidRDefault="00FC57DC" w:rsidP="00974EFA">
            <w:pPr>
              <w:pStyle w:val="Tabletext"/>
              <w:rPr>
                <w:color w:val="000000"/>
              </w:rPr>
            </w:pPr>
            <w:r w:rsidRPr="00886878">
              <w:rPr>
                <w:color w:val="000000"/>
              </w:rPr>
              <w:t>20</w:t>
            </w:r>
          </w:p>
        </w:tc>
        <w:tc>
          <w:tcPr>
            <w:tcW w:w="567" w:type="dxa"/>
            <w:noWrap/>
            <w:hideMark/>
          </w:tcPr>
          <w:p w:rsidR="00FC57DC" w:rsidRPr="00886878" w:rsidRDefault="00FC57DC" w:rsidP="00974EFA">
            <w:pPr>
              <w:pStyle w:val="Tabletext"/>
              <w:rPr>
                <w:color w:val="000000"/>
              </w:rPr>
            </w:pPr>
            <w:r w:rsidRPr="00886878">
              <w:rPr>
                <w:color w:val="000000"/>
              </w:rPr>
              <w:t>4</w:t>
            </w:r>
          </w:p>
        </w:tc>
        <w:tc>
          <w:tcPr>
            <w:tcW w:w="52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7</w:t>
            </w:r>
          </w:p>
        </w:tc>
        <w:tc>
          <w:tcPr>
            <w:tcW w:w="66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13</w:t>
            </w:r>
          </w:p>
        </w:tc>
        <w:tc>
          <w:tcPr>
            <w:tcW w:w="613" w:type="dxa"/>
            <w:noWrap/>
            <w:hideMark/>
          </w:tcPr>
          <w:p w:rsidR="00FC57DC" w:rsidRPr="00886878" w:rsidRDefault="00FC57DC" w:rsidP="00974EFA">
            <w:pPr>
              <w:pStyle w:val="Tabletext"/>
              <w:rPr>
                <w:color w:val="000000"/>
              </w:rPr>
            </w:pPr>
            <w:r w:rsidRPr="00886878">
              <w:rPr>
                <w:color w:val="000000"/>
              </w:rPr>
              <w:t>11</w:t>
            </w:r>
          </w:p>
        </w:tc>
        <w:tc>
          <w:tcPr>
            <w:tcW w:w="52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91</w:t>
            </w:r>
          </w:p>
        </w:tc>
      </w:tr>
      <w:tr w:rsidR="00FC57DC" w:rsidRPr="00886878" w:rsidTr="00974EFA">
        <w:trPr>
          <w:trHeight w:val="300"/>
        </w:trPr>
        <w:tc>
          <w:tcPr>
            <w:tcW w:w="2080" w:type="dxa"/>
            <w:noWrap/>
            <w:hideMark/>
          </w:tcPr>
          <w:p w:rsidR="00FC57DC" w:rsidRPr="00886878" w:rsidRDefault="00FC57DC" w:rsidP="00974EFA">
            <w:pPr>
              <w:pStyle w:val="Tabletext"/>
              <w:rPr>
                <w:color w:val="000000"/>
              </w:rPr>
            </w:pPr>
            <w:r w:rsidRPr="00886878">
              <w:rPr>
                <w:color w:val="000000"/>
              </w:rPr>
              <w:t>White-necked heron</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4</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490" w:type="dxa"/>
            <w:noWrap/>
            <w:hideMark/>
          </w:tcPr>
          <w:p w:rsidR="00FC57DC" w:rsidRPr="00886878" w:rsidRDefault="00FC57DC" w:rsidP="00974EFA">
            <w:pPr>
              <w:pStyle w:val="Tabletext"/>
              <w:rPr>
                <w:color w:val="000000"/>
              </w:rPr>
            </w:pPr>
            <w:r w:rsidRPr="00886878">
              <w:rPr>
                <w:color w:val="000000"/>
              </w:rPr>
              <w:t>18</w:t>
            </w:r>
          </w:p>
        </w:tc>
        <w:tc>
          <w:tcPr>
            <w:tcW w:w="567" w:type="dxa"/>
            <w:noWrap/>
            <w:hideMark/>
          </w:tcPr>
          <w:p w:rsidR="00FC57DC" w:rsidRPr="00886878" w:rsidRDefault="00FC57DC" w:rsidP="00974EFA">
            <w:pPr>
              <w:pStyle w:val="Tabletext"/>
              <w:rPr>
                <w:color w:val="000000"/>
              </w:rPr>
            </w:pPr>
            <w:r w:rsidRPr="00886878">
              <w:rPr>
                <w:color w:val="000000"/>
              </w:rPr>
              <w:t>1</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6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13" w:type="dxa"/>
            <w:noWrap/>
            <w:hideMark/>
          </w:tcPr>
          <w:p w:rsidR="00FC57DC" w:rsidRPr="00886878" w:rsidRDefault="00FC57DC" w:rsidP="00974EFA">
            <w:pPr>
              <w:pStyle w:val="Tabletext"/>
              <w:rPr>
                <w:color w:val="000000"/>
              </w:rPr>
            </w:pPr>
            <w:r w:rsidRPr="00886878">
              <w:rPr>
                <w:color w:val="000000"/>
              </w:rPr>
              <w:t>1</w:t>
            </w:r>
          </w:p>
        </w:tc>
        <w:tc>
          <w:tcPr>
            <w:tcW w:w="520" w:type="dxa"/>
            <w:noWrap/>
            <w:hideMark/>
          </w:tcPr>
          <w:p w:rsidR="00FC57DC" w:rsidRPr="00886878" w:rsidRDefault="00FC57DC" w:rsidP="00974EFA">
            <w:pPr>
              <w:pStyle w:val="Tabletext"/>
              <w:rPr>
                <w:color w:val="000000"/>
              </w:rPr>
            </w:pPr>
            <w:r w:rsidRPr="00886878">
              <w:rPr>
                <w:color w:val="000000"/>
              </w:rPr>
              <w:t>2</w:t>
            </w:r>
          </w:p>
        </w:tc>
        <w:tc>
          <w:tcPr>
            <w:tcW w:w="521" w:type="dxa"/>
            <w:noWrap/>
            <w:hideMark/>
          </w:tcPr>
          <w:p w:rsidR="00FC57DC" w:rsidRPr="00886878" w:rsidRDefault="00FC57DC" w:rsidP="00974EFA">
            <w:pPr>
              <w:pStyle w:val="Tabletext"/>
              <w:rPr>
                <w:color w:val="000000"/>
              </w:rPr>
            </w:pPr>
            <w:r w:rsidRPr="00886878">
              <w:rPr>
                <w:color w:val="000000"/>
              </w:rPr>
              <w:t>82</w:t>
            </w:r>
          </w:p>
        </w:tc>
      </w:tr>
      <w:tr w:rsidR="00FC57DC" w:rsidRPr="00886878" w:rsidTr="00974EFA">
        <w:trPr>
          <w:trHeight w:val="315"/>
        </w:trPr>
        <w:tc>
          <w:tcPr>
            <w:tcW w:w="2080" w:type="dxa"/>
            <w:noWrap/>
            <w:hideMark/>
          </w:tcPr>
          <w:p w:rsidR="00FC57DC" w:rsidRPr="00886878" w:rsidRDefault="00FC57DC" w:rsidP="00974EFA">
            <w:pPr>
              <w:pStyle w:val="Tabletext"/>
              <w:rPr>
                <w:color w:val="000000"/>
              </w:rPr>
            </w:pPr>
            <w:r w:rsidRPr="00886878">
              <w:rPr>
                <w:color w:val="000000"/>
              </w:rPr>
              <w:t>Yellow-billed spoonbill</w:t>
            </w:r>
          </w:p>
        </w:tc>
        <w:tc>
          <w:tcPr>
            <w:tcW w:w="489"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22</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490" w:type="dxa"/>
            <w:noWrap/>
            <w:hideMark/>
          </w:tcPr>
          <w:p w:rsidR="00FC57DC" w:rsidRPr="00886878" w:rsidRDefault="00FC57DC" w:rsidP="00974EFA">
            <w:pPr>
              <w:pStyle w:val="Tabletext"/>
              <w:rPr>
                <w:color w:val="000000"/>
              </w:rPr>
            </w:pPr>
            <w:r w:rsidRPr="00886878">
              <w:rPr>
                <w:color w:val="000000"/>
              </w:rPr>
              <w:t>4</w:t>
            </w:r>
          </w:p>
        </w:tc>
        <w:tc>
          <w:tcPr>
            <w:tcW w:w="567" w:type="dxa"/>
            <w:noWrap/>
            <w:hideMark/>
          </w:tcPr>
          <w:p w:rsidR="00FC57DC" w:rsidRPr="00886878" w:rsidRDefault="00FC57DC" w:rsidP="00974EFA">
            <w:pPr>
              <w:pStyle w:val="Tabletext"/>
              <w:rPr>
                <w:color w:val="000000"/>
              </w:rPr>
            </w:pPr>
            <w:r w:rsidRPr="00886878">
              <w:rPr>
                <w:color w:val="000000"/>
              </w:rPr>
              <w:t>20</w:t>
            </w:r>
          </w:p>
        </w:tc>
        <w:tc>
          <w:tcPr>
            <w:tcW w:w="520" w:type="dxa"/>
            <w:noWrap/>
            <w:hideMark/>
          </w:tcPr>
          <w:p w:rsidR="00FC57DC" w:rsidRPr="00886878" w:rsidRDefault="00FC57DC" w:rsidP="00974EFA">
            <w:pPr>
              <w:pStyle w:val="Tabletext"/>
              <w:rPr>
                <w:color w:val="000000"/>
              </w:rPr>
            </w:pPr>
            <w:r w:rsidRPr="00886878">
              <w:rPr>
                <w:color w:val="000000"/>
              </w:rPr>
              <w:t>0</w:t>
            </w:r>
          </w:p>
        </w:tc>
        <w:tc>
          <w:tcPr>
            <w:tcW w:w="521" w:type="dxa"/>
            <w:noWrap/>
            <w:hideMark/>
          </w:tcPr>
          <w:p w:rsidR="00FC57DC" w:rsidRPr="00886878" w:rsidRDefault="00FC57DC" w:rsidP="00974EFA">
            <w:pPr>
              <w:pStyle w:val="Tabletext"/>
              <w:rPr>
                <w:color w:val="000000"/>
              </w:rPr>
            </w:pPr>
            <w:r w:rsidRPr="00886878">
              <w:rPr>
                <w:color w:val="000000"/>
              </w:rPr>
              <w:t>2</w:t>
            </w:r>
          </w:p>
        </w:tc>
        <w:tc>
          <w:tcPr>
            <w:tcW w:w="660" w:type="dxa"/>
            <w:noWrap/>
            <w:hideMark/>
          </w:tcPr>
          <w:p w:rsidR="00FC57DC" w:rsidRPr="00886878" w:rsidRDefault="00FC57DC" w:rsidP="00974EFA">
            <w:pPr>
              <w:pStyle w:val="Tabletext"/>
              <w:rPr>
                <w:color w:val="000000"/>
              </w:rPr>
            </w:pPr>
            <w:r w:rsidRPr="00886878">
              <w:rPr>
                <w:color w:val="000000"/>
              </w:rPr>
              <w:t>1</w:t>
            </w:r>
          </w:p>
        </w:tc>
        <w:tc>
          <w:tcPr>
            <w:tcW w:w="521" w:type="dxa"/>
            <w:noWrap/>
            <w:hideMark/>
          </w:tcPr>
          <w:p w:rsidR="00FC57DC" w:rsidRPr="00886878" w:rsidRDefault="00FC57DC" w:rsidP="00974EFA">
            <w:pPr>
              <w:pStyle w:val="Tabletext"/>
              <w:rPr>
                <w:color w:val="000000"/>
              </w:rPr>
            </w:pPr>
            <w:r w:rsidRPr="00886878">
              <w:rPr>
                <w:color w:val="000000"/>
              </w:rPr>
              <w:t>1</w:t>
            </w:r>
          </w:p>
        </w:tc>
        <w:tc>
          <w:tcPr>
            <w:tcW w:w="613" w:type="dxa"/>
            <w:noWrap/>
            <w:hideMark/>
          </w:tcPr>
          <w:p w:rsidR="00FC57DC" w:rsidRPr="00886878" w:rsidRDefault="00FC57DC" w:rsidP="00974EFA">
            <w:pPr>
              <w:pStyle w:val="Tabletext"/>
              <w:rPr>
                <w:color w:val="000000"/>
              </w:rPr>
            </w:pPr>
            <w:r w:rsidRPr="00886878">
              <w:rPr>
                <w:color w:val="000000"/>
              </w:rPr>
              <w:t>0</w:t>
            </w:r>
          </w:p>
        </w:tc>
        <w:tc>
          <w:tcPr>
            <w:tcW w:w="520" w:type="dxa"/>
            <w:noWrap/>
            <w:hideMark/>
          </w:tcPr>
          <w:p w:rsidR="00FC57DC" w:rsidRPr="00886878" w:rsidRDefault="00FC57DC" w:rsidP="00974EFA">
            <w:pPr>
              <w:pStyle w:val="Tabletext"/>
              <w:rPr>
                <w:color w:val="000000"/>
              </w:rPr>
            </w:pPr>
            <w:r w:rsidRPr="00886878">
              <w:rPr>
                <w:color w:val="000000"/>
              </w:rPr>
              <w:t>5</w:t>
            </w:r>
          </w:p>
        </w:tc>
        <w:tc>
          <w:tcPr>
            <w:tcW w:w="521" w:type="dxa"/>
            <w:noWrap/>
            <w:hideMark/>
          </w:tcPr>
          <w:p w:rsidR="00FC57DC" w:rsidRPr="00886878" w:rsidRDefault="00FC57DC" w:rsidP="00974EFA">
            <w:pPr>
              <w:pStyle w:val="Tabletext"/>
              <w:rPr>
                <w:color w:val="000000"/>
              </w:rPr>
            </w:pPr>
            <w:r w:rsidRPr="00886878">
              <w:rPr>
                <w:color w:val="000000"/>
              </w:rPr>
              <w:t>73</w:t>
            </w:r>
          </w:p>
        </w:tc>
      </w:tr>
      <w:tr w:rsidR="00FC57DC" w:rsidRPr="00886878" w:rsidTr="00974EFA">
        <w:trPr>
          <w:trHeight w:val="300"/>
        </w:trPr>
        <w:tc>
          <w:tcPr>
            <w:tcW w:w="2080" w:type="dxa"/>
            <w:noWrap/>
            <w:hideMark/>
          </w:tcPr>
          <w:p w:rsidR="00FC57DC" w:rsidRPr="005919A0" w:rsidRDefault="00FC57DC" w:rsidP="00974EFA">
            <w:pPr>
              <w:pStyle w:val="Tabletext"/>
              <w:rPr>
                <w:iCs/>
                <w:color w:val="000000"/>
              </w:rPr>
            </w:pPr>
            <w:r w:rsidRPr="005919A0">
              <w:rPr>
                <w:iCs/>
                <w:color w:val="000000"/>
              </w:rPr>
              <w:t>Maximum total count</w:t>
            </w:r>
          </w:p>
        </w:tc>
        <w:tc>
          <w:tcPr>
            <w:tcW w:w="489" w:type="dxa"/>
            <w:noWrap/>
            <w:hideMark/>
          </w:tcPr>
          <w:p w:rsidR="00FC57DC" w:rsidRPr="005919A0" w:rsidRDefault="00FC57DC" w:rsidP="00974EFA">
            <w:pPr>
              <w:pStyle w:val="Tabletext"/>
              <w:rPr>
                <w:color w:val="000000"/>
              </w:rPr>
            </w:pPr>
            <w:r w:rsidRPr="005919A0">
              <w:rPr>
                <w:color w:val="000000"/>
              </w:rPr>
              <w:t>36</w:t>
            </w:r>
          </w:p>
        </w:tc>
        <w:tc>
          <w:tcPr>
            <w:tcW w:w="521" w:type="dxa"/>
            <w:noWrap/>
            <w:hideMark/>
          </w:tcPr>
          <w:p w:rsidR="00FC57DC" w:rsidRPr="005919A0" w:rsidRDefault="00FC57DC" w:rsidP="00974EFA">
            <w:pPr>
              <w:pStyle w:val="Tabletext"/>
              <w:rPr>
                <w:color w:val="000000"/>
              </w:rPr>
            </w:pPr>
            <w:r w:rsidRPr="005919A0">
              <w:rPr>
                <w:color w:val="000000"/>
              </w:rPr>
              <w:t>343</w:t>
            </w:r>
          </w:p>
        </w:tc>
        <w:tc>
          <w:tcPr>
            <w:tcW w:w="521" w:type="dxa"/>
            <w:noWrap/>
            <w:hideMark/>
          </w:tcPr>
          <w:p w:rsidR="00FC57DC" w:rsidRPr="005919A0" w:rsidRDefault="00FC57DC" w:rsidP="00974EFA">
            <w:pPr>
              <w:pStyle w:val="Tabletext"/>
              <w:rPr>
                <w:color w:val="000000"/>
              </w:rPr>
            </w:pPr>
            <w:r w:rsidRPr="005919A0">
              <w:rPr>
                <w:color w:val="000000"/>
              </w:rPr>
              <w:t>119</w:t>
            </w:r>
          </w:p>
        </w:tc>
        <w:tc>
          <w:tcPr>
            <w:tcW w:w="490" w:type="dxa"/>
            <w:noWrap/>
            <w:hideMark/>
          </w:tcPr>
          <w:p w:rsidR="00FC57DC" w:rsidRPr="005919A0" w:rsidRDefault="00FC57DC" w:rsidP="00974EFA">
            <w:pPr>
              <w:pStyle w:val="Tabletext"/>
              <w:rPr>
                <w:color w:val="000000"/>
              </w:rPr>
            </w:pPr>
            <w:r w:rsidRPr="005919A0">
              <w:rPr>
                <w:color w:val="000000"/>
              </w:rPr>
              <w:t>290</w:t>
            </w:r>
          </w:p>
        </w:tc>
        <w:tc>
          <w:tcPr>
            <w:tcW w:w="567" w:type="dxa"/>
            <w:noWrap/>
            <w:hideMark/>
          </w:tcPr>
          <w:p w:rsidR="00FC57DC" w:rsidRPr="005919A0" w:rsidRDefault="00FC57DC" w:rsidP="00974EFA">
            <w:pPr>
              <w:pStyle w:val="Tabletext"/>
              <w:rPr>
                <w:color w:val="000000"/>
              </w:rPr>
            </w:pPr>
            <w:r w:rsidRPr="005919A0">
              <w:rPr>
                <w:color w:val="000000"/>
              </w:rPr>
              <w:t>337</w:t>
            </w:r>
          </w:p>
        </w:tc>
        <w:tc>
          <w:tcPr>
            <w:tcW w:w="520" w:type="dxa"/>
            <w:noWrap/>
            <w:hideMark/>
          </w:tcPr>
          <w:p w:rsidR="00FC57DC" w:rsidRPr="005919A0" w:rsidRDefault="00FC57DC" w:rsidP="00974EFA">
            <w:pPr>
              <w:pStyle w:val="Tabletext"/>
              <w:rPr>
                <w:color w:val="000000"/>
              </w:rPr>
            </w:pPr>
            <w:r w:rsidRPr="005919A0">
              <w:rPr>
                <w:color w:val="000000"/>
              </w:rPr>
              <w:t>19</w:t>
            </w:r>
          </w:p>
        </w:tc>
        <w:tc>
          <w:tcPr>
            <w:tcW w:w="521" w:type="dxa"/>
            <w:noWrap/>
            <w:hideMark/>
          </w:tcPr>
          <w:p w:rsidR="00FC57DC" w:rsidRPr="005919A0" w:rsidRDefault="00FC57DC" w:rsidP="00974EFA">
            <w:pPr>
              <w:pStyle w:val="Tabletext"/>
              <w:rPr>
                <w:color w:val="000000"/>
              </w:rPr>
            </w:pPr>
            <w:r w:rsidRPr="005919A0">
              <w:rPr>
                <w:color w:val="000000"/>
              </w:rPr>
              <w:t>113</w:t>
            </w:r>
          </w:p>
        </w:tc>
        <w:tc>
          <w:tcPr>
            <w:tcW w:w="660" w:type="dxa"/>
            <w:noWrap/>
            <w:hideMark/>
          </w:tcPr>
          <w:p w:rsidR="00FC57DC" w:rsidRPr="005919A0" w:rsidRDefault="00FC57DC" w:rsidP="00974EFA">
            <w:pPr>
              <w:pStyle w:val="Tabletext"/>
              <w:rPr>
                <w:color w:val="000000"/>
              </w:rPr>
            </w:pPr>
            <w:r w:rsidRPr="005919A0">
              <w:rPr>
                <w:color w:val="000000"/>
              </w:rPr>
              <w:t>123</w:t>
            </w:r>
          </w:p>
        </w:tc>
        <w:tc>
          <w:tcPr>
            <w:tcW w:w="521" w:type="dxa"/>
            <w:noWrap/>
            <w:hideMark/>
          </w:tcPr>
          <w:p w:rsidR="00FC57DC" w:rsidRPr="005919A0" w:rsidRDefault="00FC57DC" w:rsidP="00974EFA">
            <w:pPr>
              <w:pStyle w:val="Tabletext"/>
              <w:rPr>
                <w:color w:val="000000"/>
              </w:rPr>
            </w:pPr>
            <w:r w:rsidRPr="005919A0">
              <w:rPr>
                <w:color w:val="000000"/>
              </w:rPr>
              <w:t>190</w:t>
            </w:r>
          </w:p>
        </w:tc>
        <w:tc>
          <w:tcPr>
            <w:tcW w:w="613" w:type="dxa"/>
            <w:noWrap/>
            <w:hideMark/>
          </w:tcPr>
          <w:p w:rsidR="00FC57DC" w:rsidRPr="005919A0" w:rsidRDefault="00FC57DC" w:rsidP="00974EFA">
            <w:pPr>
              <w:pStyle w:val="Tabletext"/>
              <w:rPr>
                <w:color w:val="000000"/>
              </w:rPr>
            </w:pPr>
            <w:r w:rsidRPr="005919A0">
              <w:rPr>
                <w:color w:val="000000"/>
              </w:rPr>
              <w:t>62</w:t>
            </w:r>
          </w:p>
        </w:tc>
        <w:tc>
          <w:tcPr>
            <w:tcW w:w="520" w:type="dxa"/>
            <w:noWrap/>
            <w:hideMark/>
          </w:tcPr>
          <w:p w:rsidR="00FC57DC" w:rsidRPr="005919A0" w:rsidRDefault="00FC57DC" w:rsidP="00974EFA">
            <w:pPr>
              <w:pStyle w:val="Tabletext"/>
              <w:rPr>
                <w:color w:val="000000"/>
              </w:rPr>
            </w:pPr>
            <w:r w:rsidRPr="005919A0">
              <w:rPr>
                <w:color w:val="000000"/>
              </w:rPr>
              <w:t>61</w:t>
            </w:r>
          </w:p>
        </w:tc>
        <w:tc>
          <w:tcPr>
            <w:tcW w:w="521" w:type="dxa"/>
            <w:noWrap/>
            <w:hideMark/>
          </w:tcPr>
          <w:p w:rsidR="00FC57DC" w:rsidRPr="00886878" w:rsidRDefault="00FC57DC" w:rsidP="00974EFA">
            <w:pPr>
              <w:pStyle w:val="Tabletext"/>
              <w:rPr>
                <w:color w:val="000000"/>
              </w:rPr>
            </w:pPr>
            <w:r w:rsidRPr="00886878">
              <w:rPr>
                <w:color w:val="000000"/>
              </w:rPr>
              <w:t> </w:t>
            </w:r>
          </w:p>
        </w:tc>
      </w:tr>
      <w:tr w:rsidR="00FC57DC" w:rsidRPr="00886878" w:rsidTr="00974EFA">
        <w:trPr>
          <w:trHeight w:val="315"/>
        </w:trPr>
        <w:tc>
          <w:tcPr>
            <w:tcW w:w="2080" w:type="dxa"/>
            <w:noWrap/>
            <w:hideMark/>
          </w:tcPr>
          <w:p w:rsidR="00FC57DC" w:rsidRPr="005919A0" w:rsidRDefault="00FC57DC" w:rsidP="00974EFA">
            <w:pPr>
              <w:pStyle w:val="Tabletext"/>
              <w:rPr>
                <w:iCs/>
                <w:color w:val="000000"/>
              </w:rPr>
            </w:pPr>
            <w:r w:rsidRPr="005919A0">
              <w:rPr>
                <w:iCs/>
                <w:color w:val="000000"/>
              </w:rPr>
              <w:t>Total species</w:t>
            </w:r>
          </w:p>
        </w:tc>
        <w:tc>
          <w:tcPr>
            <w:tcW w:w="489" w:type="dxa"/>
            <w:noWrap/>
            <w:hideMark/>
          </w:tcPr>
          <w:p w:rsidR="00FC57DC" w:rsidRPr="005919A0" w:rsidRDefault="00FC57DC" w:rsidP="00974EFA">
            <w:pPr>
              <w:pStyle w:val="Tabletext"/>
              <w:rPr>
                <w:color w:val="000000"/>
              </w:rPr>
            </w:pPr>
            <w:r w:rsidRPr="005919A0">
              <w:rPr>
                <w:color w:val="000000"/>
              </w:rPr>
              <w:t>8</w:t>
            </w:r>
          </w:p>
        </w:tc>
        <w:tc>
          <w:tcPr>
            <w:tcW w:w="521" w:type="dxa"/>
            <w:noWrap/>
            <w:hideMark/>
          </w:tcPr>
          <w:p w:rsidR="00FC57DC" w:rsidRPr="005919A0" w:rsidRDefault="00FC57DC" w:rsidP="00974EFA">
            <w:pPr>
              <w:pStyle w:val="Tabletext"/>
              <w:rPr>
                <w:color w:val="000000"/>
              </w:rPr>
            </w:pPr>
            <w:r w:rsidRPr="005919A0">
              <w:rPr>
                <w:color w:val="000000"/>
              </w:rPr>
              <w:t>21</w:t>
            </w:r>
          </w:p>
        </w:tc>
        <w:tc>
          <w:tcPr>
            <w:tcW w:w="521" w:type="dxa"/>
            <w:noWrap/>
            <w:hideMark/>
          </w:tcPr>
          <w:p w:rsidR="00FC57DC" w:rsidRPr="005919A0" w:rsidRDefault="00FC57DC" w:rsidP="00974EFA">
            <w:pPr>
              <w:pStyle w:val="Tabletext"/>
              <w:rPr>
                <w:color w:val="000000"/>
              </w:rPr>
            </w:pPr>
            <w:r w:rsidRPr="005919A0">
              <w:rPr>
                <w:color w:val="000000"/>
              </w:rPr>
              <w:t>14</w:t>
            </w:r>
          </w:p>
        </w:tc>
        <w:tc>
          <w:tcPr>
            <w:tcW w:w="490" w:type="dxa"/>
            <w:noWrap/>
            <w:hideMark/>
          </w:tcPr>
          <w:p w:rsidR="00FC57DC" w:rsidRPr="005919A0" w:rsidRDefault="00FC57DC" w:rsidP="00974EFA">
            <w:pPr>
              <w:pStyle w:val="Tabletext"/>
              <w:rPr>
                <w:color w:val="000000"/>
              </w:rPr>
            </w:pPr>
            <w:r w:rsidRPr="005919A0">
              <w:rPr>
                <w:color w:val="000000"/>
              </w:rPr>
              <w:t>19</w:t>
            </w:r>
          </w:p>
        </w:tc>
        <w:tc>
          <w:tcPr>
            <w:tcW w:w="567" w:type="dxa"/>
            <w:noWrap/>
            <w:hideMark/>
          </w:tcPr>
          <w:p w:rsidR="00FC57DC" w:rsidRPr="005919A0" w:rsidRDefault="00FC57DC" w:rsidP="00974EFA">
            <w:pPr>
              <w:pStyle w:val="Tabletext"/>
              <w:rPr>
                <w:color w:val="000000"/>
              </w:rPr>
            </w:pPr>
            <w:r w:rsidRPr="005919A0">
              <w:rPr>
                <w:color w:val="000000"/>
              </w:rPr>
              <w:t>21</w:t>
            </w:r>
          </w:p>
        </w:tc>
        <w:tc>
          <w:tcPr>
            <w:tcW w:w="520" w:type="dxa"/>
            <w:noWrap/>
            <w:hideMark/>
          </w:tcPr>
          <w:p w:rsidR="00FC57DC" w:rsidRPr="005919A0" w:rsidRDefault="00FC57DC" w:rsidP="00974EFA">
            <w:pPr>
              <w:pStyle w:val="Tabletext"/>
              <w:rPr>
                <w:color w:val="000000"/>
              </w:rPr>
            </w:pPr>
            <w:r w:rsidRPr="005919A0">
              <w:rPr>
                <w:color w:val="000000"/>
              </w:rPr>
              <w:t>7</w:t>
            </w:r>
          </w:p>
        </w:tc>
        <w:tc>
          <w:tcPr>
            <w:tcW w:w="521" w:type="dxa"/>
            <w:noWrap/>
            <w:hideMark/>
          </w:tcPr>
          <w:p w:rsidR="00FC57DC" w:rsidRPr="005919A0" w:rsidRDefault="00FC57DC" w:rsidP="00974EFA">
            <w:pPr>
              <w:pStyle w:val="Tabletext"/>
              <w:rPr>
                <w:color w:val="000000"/>
              </w:rPr>
            </w:pPr>
            <w:r w:rsidRPr="005919A0">
              <w:rPr>
                <w:color w:val="000000"/>
              </w:rPr>
              <w:t>16</w:t>
            </w:r>
          </w:p>
        </w:tc>
        <w:tc>
          <w:tcPr>
            <w:tcW w:w="660" w:type="dxa"/>
            <w:noWrap/>
            <w:hideMark/>
          </w:tcPr>
          <w:p w:rsidR="00FC57DC" w:rsidRPr="005919A0" w:rsidRDefault="00FC57DC" w:rsidP="00974EFA">
            <w:pPr>
              <w:pStyle w:val="Tabletext"/>
              <w:rPr>
                <w:color w:val="000000"/>
              </w:rPr>
            </w:pPr>
            <w:r w:rsidRPr="005919A0">
              <w:rPr>
                <w:color w:val="000000"/>
              </w:rPr>
              <w:t>19</w:t>
            </w:r>
          </w:p>
        </w:tc>
        <w:tc>
          <w:tcPr>
            <w:tcW w:w="521" w:type="dxa"/>
            <w:noWrap/>
            <w:hideMark/>
          </w:tcPr>
          <w:p w:rsidR="00FC57DC" w:rsidRPr="005919A0" w:rsidRDefault="00FC57DC" w:rsidP="00974EFA">
            <w:pPr>
              <w:pStyle w:val="Tabletext"/>
              <w:rPr>
                <w:color w:val="000000"/>
              </w:rPr>
            </w:pPr>
            <w:r w:rsidRPr="005919A0">
              <w:rPr>
                <w:color w:val="000000"/>
              </w:rPr>
              <w:t>15</w:t>
            </w:r>
          </w:p>
        </w:tc>
        <w:tc>
          <w:tcPr>
            <w:tcW w:w="613" w:type="dxa"/>
            <w:noWrap/>
            <w:hideMark/>
          </w:tcPr>
          <w:p w:rsidR="00FC57DC" w:rsidRPr="005919A0" w:rsidRDefault="00FC57DC" w:rsidP="00974EFA">
            <w:pPr>
              <w:pStyle w:val="Tabletext"/>
              <w:rPr>
                <w:color w:val="000000"/>
              </w:rPr>
            </w:pPr>
            <w:r w:rsidRPr="005919A0">
              <w:rPr>
                <w:color w:val="000000"/>
              </w:rPr>
              <w:t>10</w:t>
            </w:r>
          </w:p>
        </w:tc>
        <w:tc>
          <w:tcPr>
            <w:tcW w:w="520" w:type="dxa"/>
            <w:noWrap/>
            <w:hideMark/>
          </w:tcPr>
          <w:p w:rsidR="00FC57DC" w:rsidRPr="005919A0" w:rsidRDefault="00FC57DC" w:rsidP="00974EFA">
            <w:pPr>
              <w:pStyle w:val="Tabletext"/>
              <w:rPr>
                <w:color w:val="000000"/>
              </w:rPr>
            </w:pPr>
            <w:r w:rsidRPr="005919A0">
              <w:rPr>
                <w:color w:val="000000"/>
              </w:rPr>
              <w:t>16</w:t>
            </w:r>
          </w:p>
        </w:tc>
        <w:tc>
          <w:tcPr>
            <w:tcW w:w="521" w:type="dxa"/>
            <w:noWrap/>
            <w:hideMark/>
          </w:tcPr>
          <w:p w:rsidR="00FC57DC" w:rsidRPr="00886878" w:rsidRDefault="00FC57DC" w:rsidP="00974EFA">
            <w:pPr>
              <w:pStyle w:val="Tabletext"/>
              <w:rPr>
                <w:color w:val="000000"/>
              </w:rPr>
            </w:pPr>
            <w:r w:rsidRPr="00886878">
              <w:rPr>
                <w:color w:val="000000"/>
              </w:rPr>
              <w:t> </w:t>
            </w:r>
          </w:p>
        </w:tc>
      </w:tr>
    </w:tbl>
    <w:p w:rsidR="00FC57DC" w:rsidRDefault="00FC57DC" w:rsidP="00FC57DC">
      <w:pPr>
        <w:sectPr w:rsidR="00FC57DC" w:rsidSect="00B80BE4">
          <w:type w:val="continuous"/>
          <w:pgSz w:w="11907" w:h="16839" w:code="9"/>
          <w:pgMar w:top="1440" w:right="1440" w:bottom="1440" w:left="1440" w:header="708" w:footer="708" w:gutter="0"/>
          <w:cols w:space="708"/>
          <w:docGrid w:linePitch="360"/>
        </w:sectPr>
      </w:pPr>
    </w:p>
    <w:p w:rsidR="00E1766B" w:rsidRDefault="00257956">
      <w:pPr>
        <w:pStyle w:val="Appendix"/>
        <w:rPr>
          <w:i/>
        </w:rPr>
      </w:pPr>
      <w:bookmarkStart w:id="534" w:name="_Toc370738891"/>
      <w:r w:rsidRPr="00BE4DF6">
        <w:t xml:space="preserve">Maximum waterbird counts recorded in 15 survey sites in the Western Lakes </w:t>
      </w:r>
      <w:r>
        <w:t xml:space="preserve">during surveys from October 2012 – May 2013 </w:t>
      </w:r>
      <w:r w:rsidRPr="00BE4DF6">
        <w:t>(^breeding detected</w:t>
      </w:r>
      <w:r>
        <w:t>,</w:t>
      </w:r>
      <w:r w:rsidRPr="004561C1">
        <w:t xml:space="preserve"> </w:t>
      </w:r>
      <w:r w:rsidRPr="003708AF">
        <w:t>C = CAMBA, J = JAMBA</w:t>
      </w:r>
      <w:r>
        <w:t xml:space="preserve">, R = ROKAMBA, V= Vulnerable under NSW </w:t>
      </w:r>
      <w:r w:rsidRPr="003053BF">
        <w:t>TSC Act 1995</w:t>
      </w:r>
      <w:r w:rsidRPr="00BE4DF6">
        <w:t>).</w:t>
      </w:r>
      <w:bookmarkEnd w:id="534"/>
    </w:p>
    <w:tbl>
      <w:tblPr>
        <w:tblStyle w:val="TableGrid"/>
        <w:tblW w:w="8609" w:type="dxa"/>
        <w:tblLook w:val="04A0"/>
      </w:tblPr>
      <w:tblGrid>
        <w:gridCol w:w="2689"/>
        <w:gridCol w:w="740"/>
        <w:gridCol w:w="740"/>
        <w:gridCol w:w="740"/>
        <w:gridCol w:w="740"/>
        <w:gridCol w:w="740"/>
        <w:gridCol w:w="740"/>
        <w:gridCol w:w="740"/>
        <w:gridCol w:w="740"/>
      </w:tblGrid>
      <w:tr w:rsidR="00AF2DF6" w:rsidRPr="00974EFA" w:rsidTr="00D31D5F">
        <w:trPr>
          <w:cnfStyle w:val="100000000000"/>
          <w:trHeight w:val="1487"/>
        </w:trPr>
        <w:tc>
          <w:tcPr>
            <w:tcW w:w="2689" w:type="dxa"/>
            <w:noWrap/>
            <w:hideMark/>
          </w:tcPr>
          <w:p w:rsidR="00FC57DC" w:rsidRPr="00974EFA" w:rsidRDefault="00FC57DC" w:rsidP="00974EFA">
            <w:pPr>
              <w:pStyle w:val="Tabletext"/>
              <w:rPr>
                <w:b/>
              </w:rPr>
            </w:pPr>
            <w:r w:rsidRPr="00974EFA">
              <w:rPr>
                <w:b/>
              </w:rPr>
              <w:t>Common name</w:t>
            </w:r>
          </w:p>
        </w:tc>
        <w:tc>
          <w:tcPr>
            <w:tcW w:w="740" w:type="dxa"/>
            <w:textDirection w:val="btLr"/>
            <w:hideMark/>
          </w:tcPr>
          <w:p w:rsidR="00FC57DC" w:rsidRPr="00974EFA" w:rsidRDefault="00FC57DC" w:rsidP="00974EFA">
            <w:pPr>
              <w:pStyle w:val="Tabletext"/>
              <w:rPr>
                <w:b/>
              </w:rPr>
            </w:pPr>
            <w:r w:rsidRPr="00974EFA">
              <w:rPr>
                <w:b/>
              </w:rPr>
              <w:t>Hobblers Lake</w:t>
            </w:r>
          </w:p>
        </w:tc>
        <w:tc>
          <w:tcPr>
            <w:tcW w:w="740" w:type="dxa"/>
            <w:textDirection w:val="btLr"/>
          </w:tcPr>
          <w:p w:rsidR="00FC57DC" w:rsidRPr="00974EFA" w:rsidRDefault="00FC57DC" w:rsidP="00974EFA">
            <w:pPr>
              <w:pStyle w:val="Tabletext"/>
              <w:rPr>
                <w:b/>
              </w:rPr>
            </w:pPr>
            <w:r w:rsidRPr="00974EFA">
              <w:rPr>
                <w:b/>
              </w:rPr>
              <w:t>Upper Cherax</w:t>
            </w:r>
          </w:p>
        </w:tc>
        <w:tc>
          <w:tcPr>
            <w:tcW w:w="740" w:type="dxa"/>
            <w:textDirection w:val="btLr"/>
            <w:hideMark/>
          </w:tcPr>
          <w:p w:rsidR="00FC57DC" w:rsidRPr="00974EFA" w:rsidRDefault="00FC57DC" w:rsidP="00974EFA">
            <w:pPr>
              <w:pStyle w:val="Tabletext"/>
              <w:rPr>
                <w:b/>
              </w:rPr>
            </w:pPr>
            <w:r w:rsidRPr="00974EFA">
              <w:rPr>
                <w:b/>
              </w:rPr>
              <w:t>Lower Cherax</w:t>
            </w:r>
          </w:p>
        </w:tc>
        <w:tc>
          <w:tcPr>
            <w:tcW w:w="740" w:type="dxa"/>
            <w:textDirection w:val="btLr"/>
            <w:hideMark/>
          </w:tcPr>
          <w:p w:rsidR="00FC57DC" w:rsidRPr="00974EFA" w:rsidRDefault="00FC57DC" w:rsidP="00974EFA">
            <w:pPr>
              <w:pStyle w:val="Tabletext"/>
              <w:rPr>
                <w:b/>
              </w:rPr>
            </w:pPr>
            <w:r w:rsidRPr="00974EFA">
              <w:rPr>
                <w:b/>
              </w:rPr>
              <w:t>Paika Lake East</w:t>
            </w:r>
          </w:p>
        </w:tc>
        <w:tc>
          <w:tcPr>
            <w:tcW w:w="740" w:type="dxa"/>
            <w:textDirection w:val="btLr"/>
            <w:hideMark/>
          </w:tcPr>
          <w:p w:rsidR="00FC57DC" w:rsidRPr="00974EFA" w:rsidRDefault="00FC57DC" w:rsidP="00974EFA">
            <w:pPr>
              <w:pStyle w:val="Tabletext"/>
              <w:rPr>
                <w:b/>
              </w:rPr>
            </w:pPr>
            <w:r w:rsidRPr="00974EFA">
              <w:rPr>
                <w:b/>
              </w:rPr>
              <w:t>Paika Lake North</w:t>
            </w:r>
          </w:p>
        </w:tc>
        <w:tc>
          <w:tcPr>
            <w:tcW w:w="740" w:type="dxa"/>
            <w:textDirection w:val="btLr"/>
            <w:hideMark/>
          </w:tcPr>
          <w:p w:rsidR="00FC57DC" w:rsidRPr="00974EFA" w:rsidRDefault="00FC57DC" w:rsidP="00974EFA">
            <w:pPr>
              <w:pStyle w:val="Tabletext"/>
              <w:rPr>
                <w:b/>
              </w:rPr>
            </w:pPr>
            <w:r w:rsidRPr="00974EFA">
              <w:rPr>
                <w:b/>
              </w:rPr>
              <w:t>Paika Lake South</w:t>
            </w:r>
          </w:p>
        </w:tc>
        <w:tc>
          <w:tcPr>
            <w:tcW w:w="740" w:type="dxa"/>
            <w:textDirection w:val="btLr"/>
            <w:hideMark/>
          </w:tcPr>
          <w:p w:rsidR="00FC57DC" w:rsidRPr="00974EFA" w:rsidRDefault="00FC57DC" w:rsidP="00974EFA">
            <w:pPr>
              <w:pStyle w:val="Tabletext"/>
              <w:rPr>
                <w:b/>
              </w:rPr>
            </w:pPr>
            <w:r w:rsidRPr="00974EFA">
              <w:rPr>
                <w:b/>
              </w:rPr>
              <w:t>Paika Lake West</w:t>
            </w:r>
          </w:p>
        </w:tc>
        <w:tc>
          <w:tcPr>
            <w:tcW w:w="740" w:type="dxa"/>
            <w:textDirection w:val="btLr"/>
            <w:hideMark/>
          </w:tcPr>
          <w:p w:rsidR="00FC57DC" w:rsidRPr="00974EFA" w:rsidRDefault="00FC57DC" w:rsidP="00974EFA">
            <w:pPr>
              <w:pStyle w:val="Tabletext"/>
              <w:rPr>
                <w:b/>
              </w:rPr>
            </w:pPr>
            <w:r w:rsidRPr="00974EFA">
              <w:rPr>
                <w:b/>
              </w:rPr>
              <w:t>Penarie Creek</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Australasian grebe</w:t>
            </w:r>
          </w:p>
        </w:tc>
        <w:tc>
          <w:tcPr>
            <w:tcW w:w="740" w:type="dxa"/>
            <w:noWrap/>
            <w:hideMark/>
          </w:tcPr>
          <w:p w:rsidR="00FC57DC" w:rsidRPr="00CF1FBD" w:rsidRDefault="00FC57DC" w:rsidP="00974EFA">
            <w:pPr>
              <w:pStyle w:val="Tabletext"/>
            </w:pPr>
            <w:r w:rsidRPr="00CF1FBD">
              <w:t>100</w:t>
            </w:r>
          </w:p>
        </w:tc>
        <w:tc>
          <w:tcPr>
            <w:tcW w:w="740" w:type="dxa"/>
          </w:tcPr>
          <w:p w:rsidR="00FC57DC" w:rsidRPr="00CF1FBD" w:rsidRDefault="00FC57DC" w:rsidP="00974EFA">
            <w:pPr>
              <w:pStyle w:val="Tabletext"/>
            </w:pPr>
            <w:r w:rsidRPr="00CF1FBD">
              <w:t>200</w:t>
            </w:r>
          </w:p>
        </w:tc>
        <w:tc>
          <w:tcPr>
            <w:tcW w:w="740" w:type="dxa"/>
            <w:noWrap/>
            <w:hideMark/>
          </w:tcPr>
          <w:p w:rsidR="00FC57DC" w:rsidRPr="00CF1FBD" w:rsidRDefault="00FC57DC" w:rsidP="00974EFA">
            <w:pPr>
              <w:pStyle w:val="Tabletext"/>
            </w:pPr>
            <w:r w:rsidRPr="00CF1FBD">
              <w:t>150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3</w:t>
            </w:r>
          </w:p>
        </w:tc>
        <w:tc>
          <w:tcPr>
            <w:tcW w:w="740" w:type="dxa"/>
            <w:noWrap/>
            <w:hideMark/>
          </w:tcPr>
          <w:p w:rsidR="00FC57DC" w:rsidRPr="00CF1FBD" w:rsidRDefault="00FC57DC" w:rsidP="00974EFA">
            <w:pPr>
              <w:pStyle w:val="Tabletext"/>
            </w:pPr>
            <w:r w:rsidRPr="00CF1FBD">
              <w:t>50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Australasian shoveler</w:t>
            </w:r>
          </w:p>
        </w:tc>
        <w:tc>
          <w:tcPr>
            <w:tcW w:w="740" w:type="dxa"/>
            <w:noWrap/>
            <w:hideMark/>
          </w:tcPr>
          <w:p w:rsidR="00FC57DC" w:rsidRPr="00CF1FBD" w:rsidRDefault="00FC57DC" w:rsidP="00974EFA">
            <w:pPr>
              <w:pStyle w:val="Tabletext"/>
            </w:pPr>
            <w:r w:rsidRPr="00CF1FBD">
              <w:t>20</w:t>
            </w:r>
          </w:p>
        </w:tc>
        <w:tc>
          <w:tcPr>
            <w:tcW w:w="740" w:type="dxa"/>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6</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Australian pelican</w:t>
            </w:r>
          </w:p>
        </w:tc>
        <w:tc>
          <w:tcPr>
            <w:tcW w:w="740" w:type="dxa"/>
            <w:noWrap/>
            <w:hideMark/>
          </w:tcPr>
          <w:p w:rsidR="00FC57DC" w:rsidRPr="00CF1FBD" w:rsidRDefault="00FC57DC" w:rsidP="00974EFA">
            <w:pPr>
              <w:pStyle w:val="Tabletext"/>
            </w:pPr>
            <w:r w:rsidRPr="00CF1FBD">
              <w:t>1</w:t>
            </w:r>
          </w:p>
        </w:tc>
        <w:tc>
          <w:tcPr>
            <w:tcW w:w="740" w:type="dxa"/>
          </w:tcPr>
          <w:p w:rsidR="00FC57DC" w:rsidRPr="00CF1FBD" w:rsidRDefault="00FC57DC" w:rsidP="00974EFA">
            <w:pPr>
              <w:pStyle w:val="Tabletext"/>
            </w:pPr>
            <w:r w:rsidRPr="00CF1FBD">
              <w:t>25</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38</w:t>
            </w:r>
          </w:p>
        </w:tc>
        <w:tc>
          <w:tcPr>
            <w:tcW w:w="740" w:type="dxa"/>
            <w:noWrap/>
            <w:hideMark/>
          </w:tcPr>
          <w:p w:rsidR="00FC57DC" w:rsidRPr="00CF1FBD" w:rsidRDefault="00FC57DC" w:rsidP="00974EFA">
            <w:pPr>
              <w:pStyle w:val="Tabletext"/>
            </w:pPr>
            <w:r w:rsidRPr="00CF1FBD">
              <w:t>20</w:t>
            </w:r>
          </w:p>
        </w:tc>
        <w:tc>
          <w:tcPr>
            <w:tcW w:w="740" w:type="dxa"/>
            <w:noWrap/>
            <w:hideMark/>
          </w:tcPr>
          <w:p w:rsidR="00FC57DC" w:rsidRPr="00CF1FBD" w:rsidRDefault="00FC57DC" w:rsidP="00974EFA">
            <w:pPr>
              <w:pStyle w:val="Tabletext"/>
            </w:pPr>
            <w:r w:rsidRPr="00CF1FBD">
              <w:t>110</w:t>
            </w:r>
          </w:p>
        </w:tc>
        <w:tc>
          <w:tcPr>
            <w:tcW w:w="740" w:type="dxa"/>
            <w:noWrap/>
            <w:hideMark/>
          </w:tcPr>
          <w:p w:rsidR="00FC57DC" w:rsidRPr="00CF1FBD" w:rsidRDefault="00FC57DC" w:rsidP="00974EFA">
            <w:pPr>
              <w:pStyle w:val="Tabletext"/>
            </w:pPr>
            <w:r w:rsidRPr="00CF1FBD">
              <w:t>2</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Australian shelduck</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100</w:t>
            </w:r>
          </w:p>
        </w:tc>
        <w:tc>
          <w:tcPr>
            <w:tcW w:w="740" w:type="dxa"/>
            <w:noWrap/>
            <w:hideMark/>
          </w:tcPr>
          <w:p w:rsidR="00FC57DC" w:rsidRPr="00CF1FBD" w:rsidRDefault="00FC57DC" w:rsidP="00974EFA">
            <w:pPr>
              <w:pStyle w:val="Tabletext"/>
            </w:pPr>
            <w:r w:rsidRPr="00CF1FBD">
              <w:t>25</w:t>
            </w:r>
          </w:p>
        </w:tc>
        <w:tc>
          <w:tcPr>
            <w:tcW w:w="740" w:type="dxa"/>
            <w:noWrap/>
            <w:hideMark/>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Australian white ibis</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Australian wood duck</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5</w:t>
            </w:r>
          </w:p>
        </w:tc>
        <w:tc>
          <w:tcPr>
            <w:tcW w:w="740" w:type="dxa"/>
            <w:noWrap/>
            <w:hideMark/>
          </w:tcPr>
          <w:p w:rsidR="00FC57DC" w:rsidRPr="00CF1FBD" w:rsidRDefault="00FC57DC" w:rsidP="00974EFA">
            <w:pPr>
              <w:pStyle w:val="Tabletext"/>
            </w:pPr>
            <w:r w:rsidRPr="00CF1FBD">
              <w:t>20</w:t>
            </w:r>
          </w:p>
        </w:tc>
        <w:tc>
          <w:tcPr>
            <w:tcW w:w="740" w:type="dxa"/>
            <w:noWrap/>
            <w:hideMark/>
          </w:tcPr>
          <w:p w:rsidR="00FC57DC" w:rsidRPr="00CF1FBD" w:rsidRDefault="00FC57DC" w:rsidP="00974EFA">
            <w:pPr>
              <w:pStyle w:val="Tabletext"/>
            </w:pPr>
            <w:r w:rsidRPr="00CF1FBD">
              <w:t>17^</w:t>
            </w:r>
          </w:p>
        </w:tc>
        <w:tc>
          <w:tcPr>
            <w:tcW w:w="740" w:type="dxa"/>
            <w:noWrap/>
            <w:hideMark/>
          </w:tcPr>
          <w:p w:rsidR="00FC57DC" w:rsidRPr="00CF1FBD" w:rsidRDefault="00FC57DC" w:rsidP="00974EFA">
            <w:pPr>
              <w:pStyle w:val="Tabletext"/>
            </w:pPr>
            <w:r w:rsidRPr="00CF1FBD">
              <w:t>700</w:t>
            </w:r>
          </w:p>
        </w:tc>
        <w:tc>
          <w:tcPr>
            <w:tcW w:w="740" w:type="dxa"/>
            <w:noWrap/>
            <w:hideMark/>
          </w:tcPr>
          <w:p w:rsidR="00FC57DC" w:rsidRPr="00CF1FBD" w:rsidRDefault="00FC57DC" w:rsidP="00974EFA">
            <w:pPr>
              <w:pStyle w:val="Tabletext"/>
            </w:pPr>
            <w:r w:rsidRPr="00CF1FBD">
              <w:t>300</w:t>
            </w:r>
          </w:p>
        </w:tc>
        <w:tc>
          <w:tcPr>
            <w:tcW w:w="740" w:type="dxa"/>
            <w:noWrap/>
            <w:hideMark/>
          </w:tcPr>
          <w:p w:rsidR="00FC57DC" w:rsidRPr="00CF1FBD" w:rsidRDefault="00FC57DC" w:rsidP="00974EFA">
            <w:pPr>
              <w:pStyle w:val="Tabletext"/>
            </w:pPr>
            <w:r w:rsidRPr="00CF1FBD">
              <w:t>35</w:t>
            </w:r>
          </w:p>
        </w:tc>
        <w:tc>
          <w:tcPr>
            <w:tcW w:w="740" w:type="dxa"/>
            <w:noWrap/>
            <w:hideMark/>
          </w:tcPr>
          <w:p w:rsidR="00FC57DC" w:rsidRPr="00CF1FBD" w:rsidRDefault="00FC57DC" w:rsidP="00974EFA">
            <w:pPr>
              <w:pStyle w:val="Tabletext"/>
            </w:pPr>
            <w:r w:rsidRPr="00CF1FBD">
              <w:t>75</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Black swan</w:t>
            </w:r>
          </w:p>
        </w:tc>
        <w:tc>
          <w:tcPr>
            <w:tcW w:w="740" w:type="dxa"/>
            <w:noWrap/>
            <w:hideMark/>
          </w:tcPr>
          <w:p w:rsidR="00FC57DC" w:rsidRPr="00CF1FBD" w:rsidRDefault="00FC57DC" w:rsidP="00974EFA">
            <w:pPr>
              <w:pStyle w:val="Tabletext"/>
            </w:pPr>
            <w:r w:rsidRPr="00CF1FBD">
              <w:t>30</w:t>
            </w:r>
          </w:p>
        </w:tc>
        <w:tc>
          <w:tcPr>
            <w:tcW w:w="740" w:type="dxa"/>
          </w:tcPr>
          <w:p w:rsidR="00FC57DC" w:rsidRPr="00CF1FBD" w:rsidRDefault="00FC57DC" w:rsidP="00974EFA">
            <w:pPr>
              <w:pStyle w:val="Tabletext"/>
            </w:pPr>
            <w:r w:rsidRPr="00CF1FBD">
              <w:t>9</w:t>
            </w:r>
          </w:p>
        </w:tc>
        <w:tc>
          <w:tcPr>
            <w:tcW w:w="740" w:type="dxa"/>
            <w:noWrap/>
            <w:hideMark/>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75</w:t>
            </w:r>
          </w:p>
        </w:tc>
        <w:tc>
          <w:tcPr>
            <w:tcW w:w="740" w:type="dxa"/>
            <w:noWrap/>
            <w:hideMark/>
          </w:tcPr>
          <w:p w:rsidR="00FC57DC" w:rsidRPr="00CF1FBD" w:rsidRDefault="00FC57DC" w:rsidP="00974EFA">
            <w:pPr>
              <w:pStyle w:val="Tabletext"/>
            </w:pPr>
            <w:r w:rsidRPr="00CF1FBD">
              <w:t>10</w:t>
            </w:r>
          </w:p>
        </w:tc>
        <w:tc>
          <w:tcPr>
            <w:tcW w:w="740" w:type="dxa"/>
            <w:noWrap/>
            <w:hideMark/>
          </w:tcPr>
          <w:p w:rsidR="00FC57DC" w:rsidRPr="00CF1FBD" w:rsidRDefault="00FC57DC" w:rsidP="00974EFA">
            <w:pPr>
              <w:pStyle w:val="Tabletext"/>
            </w:pPr>
            <w:r w:rsidRPr="00CF1FBD">
              <w:t>6</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Black-fronted dotterel</w:t>
            </w:r>
          </w:p>
        </w:tc>
        <w:tc>
          <w:tcPr>
            <w:tcW w:w="740" w:type="dxa"/>
            <w:noWrap/>
            <w:hideMark/>
          </w:tcPr>
          <w:p w:rsidR="00FC57DC" w:rsidRPr="00CF1FBD" w:rsidRDefault="00FC57DC" w:rsidP="00974EFA">
            <w:pPr>
              <w:pStyle w:val="Tabletext"/>
            </w:pPr>
            <w:r w:rsidRPr="00CF1FBD">
              <w:t>15</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10</w:t>
            </w:r>
          </w:p>
        </w:tc>
        <w:tc>
          <w:tcPr>
            <w:tcW w:w="740" w:type="dxa"/>
            <w:noWrap/>
            <w:hideMark/>
          </w:tcPr>
          <w:p w:rsidR="00FC57DC" w:rsidRPr="00CF1FBD" w:rsidRDefault="00FC57DC" w:rsidP="00974EFA">
            <w:pPr>
              <w:pStyle w:val="Tabletext"/>
            </w:pPr>
            <w:r w:rsidRPr="00CF1FBD">
              <w:t>5</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2</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Black-tailed native hen</w:t>
            </w:r>
          </w:p>
        </w:tc>
        <w:tc>
          <w:tcPr>
            <w:tcW w:w="740" w:type="dxa"/>
            <w:noWrap/>
            <w:hideMark/>
          </w:tcPr>
          <w:p w:rsidR="00FC57DC" w:rsidRPr="00CF1FBD" w:rsidRDefault="00FC57DC" w:rsidP="00974EFA">
            <w:pPr>
              <w:pStyle w:val="Tabletext"/>
            </w:pPr>
            <w:r w:rsidRPr="00CF1FBD">
              <w:t>800</w:t>
            </w:r>
          </w:p>
        </w:tc>
        <w:tc>
          <w:tcPr>
            <w:tcW w:w="740" w:type="dxa"/>
          </w:tcPr>
          <w:p w:rsidR="00FC57DC" w:rsidRPr="00CF1FBD" w:rsidRDefault="00FC57DC" w:rsidP="00974EFA">
            <w:pPr>
              <w:pStyle w:val="Tabletext"/>
            </w:pPr>
            <w:r w:rsidRPr="00CF1FBD">
              <w:t>2000</w:t>
            </w:r>
          </w:p>
        </w:tc>
        <w:tc>
          <w:tcPr>
            <w:tcW w:w="740" w:type="dxa"/>
            <w:noWrap/>
            <w:hideMark/>
          </w:tcPr>
          <w:p w:rsidR="00FC57DC" w:rsidRPr="00CF1FBD" w:rsidRDefault="00FC57DC" w:rsidP="00974EFA">
            <w:pPr>
              <w:pStyle w:val="Tabletext"/>
            </w:pPr>
            <w:r w:rsidRPr="00CF1FBD">
              <w:t>1500</w:t>
            </w:r>
          </w:p>
        </w:tc>
        <w:tc>
          <w:tcPr>
            <w:tcW w:w="740" w:type="dxa"/>
            <w:noWrap/>
            <w:hideMark/>
          </w:tcPr>
          <w:p w:rsidR="00FC57DC" w:rsidRPr="00CF1FBD" w:rsidRDefault="00FC57DC" w:rsidP="00974EFA">
            <w:pPr>
              <w:pStyle w:val="Tabletext"/>
            </w:pPr>
            <w:r w:rsidRPr="00CF1FBD">
              <w:t>2000</w:t>
            </w:r>
          </w:p>
        </w:tc>
        <w:tc>
          <w:tcPr>
            <w:tcW w:w="740" w:type="dxa"/>
            <w:noWrap/>
            <w:hideMark/>
          </w:tcPr>
          <w:p w:rsidR="00FC57DC" w:rsidRPr="00CF1FBD" w:rsidRDefault="00FC57DC" w:rsidP="00974EFA">
            <w:pPr>
              <w:pStyle w:val="Tabletext"/>
            </w:pPr>
            <w:r w:rsidRPr="00CF1FBD">
              <w:t>1500</w:t>
            </w:r>
          </w:p>
        </w:tc>
        <w:tc>
          <w:tcPr>
            <w:tcW w:w="740" w:type="dxa"/>
            <w:noWrap/>
            <w:hideMark/>
          </w:tcPr>
          <w:p w:rsidR="00FC57DC" w:rsidRPr="00CF1FBD" w:rsidRDefault="00FC57DC" w:rsidP="00974EFA">
            <w:pPr>
              <w:pStyle w:val="Tabletext"/>
            </w:pPr>
            <w:r w:rsidRPr="00CF1FBD">
              <w:t>120</w:t>
            </w:r>
          </w:p>
        </w:tc>
        <w:tc>
          <w:tcPr>
            <w:tcW w:w="740" w:type="dxa"/>
            <w:noWrap/>
            <w:hideMark/>
          </w:tcPr>
          <w:p w:rsidR="00FC57DC" w:rsidRPr="00CF1FBD" w:rsidRDefault="00FC57DC" w:rsidP="00974EFA">
            <w:pPr>
              <w:pStyle w:val="Tabletext"/>
            </w:pPr>
            <w:r w:rsidRPr="00CF1FBD">
              <w:t>300</w:t>
            </w:r>
          </w:p>
        </w:tc>
        <w:tc>
          <w:tcPr>
            <w:tcW w:w="740" w:type="dxa"/>
            <w:noWrap/>
            <w:hideMark/>
          </w:tcPr>
          <w:p w:rsidR="00FC57DC" w:rsidRPr="00CF1FBD" w:rsidRDefault="00FC57DC" w:rsidP="00974EFA">
            <w:pPr>
              <w:pStyle w:val="Tabletext"/>
            </w:pPr>
            <w:r w:rsidRPr="00CF1FBD">
              <w:t>800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Black-winged stilt</w:t>
            </w:r>
          </w:p>
        </w:tc>
        <w:tc>
          <w:tcPr>
            <w:tcW w:w="740" w:type="dxa"/>
            <w:noWrap/>
            <w:hideMark/>
          </w:tcPr>
          <w:p w:rsidR="00FC57DC" w:rsidRPr="00CF1FBD" w:rsidRDefault="00FC57DC" w:rsidP="00974EFA">
            <w:pPr>
              <w:pStyle w:val="Tabletext"/>
            </w:pPr>
            <w:r w:rsidRPr="00CF1FBD">
              <w:t>25</w:t>
            </w:r>
          </w:p>
        </w:tc>
        <w:tc>
          <w:tcPr>
            <w:tcW w:w="740" w:type="dxa"/>
          </w:tcPr>
          <w:p w:rsidR="00FC57DC" w:rsidRPr="00CF1FBD" w:rsidRDefault="00FC57DC" w:rsidP="00974EFA">
            <w:pPr>
              <w:pStyle w:val="Tabletext"/>
            </w:pPr>
            <w:r w:rsidRPr="00CF1FBD">
              <w:t>25</w:t>
            </w:r>
          </w:p>
        </w:tc>
        <w:tc>
          <w:tcPr>
            <w:tcW w:w="740" w:type="dxa"/>
            <w:noWrap/>
            <w:hideMark/>
          </w:tcPr>
          <w:p w:rsidR="00FC57DC" w:rsidRPr="00CF1FBD" w:rsidRDefault="00FC57DC" w:rsidP="00974EFA">
            <w:pPr>
              <w:pStyle w:val="Tabletext"/>
            </w:pPr>
            <w:r w:rsidRPr="00CF1FBD">
              <w:t>18</w:t>
            </w:r>
          </w:p>
        </w:tc>
        <w:tc>
          <w:tcPr>
            <w:tcW w:w="740" w:type="dxa"/>
            <w:noWrap/>
            <w:hideMark/>
          </w:tcPr>
          <w:p w:rsidR="00FC57DC" w:rsidRPr="00CF1FBD" w:rsidRDefault="00FC57DC" w:rsidP="00974EFA">
            <w:pPr>
              <w:pStyle w:val="Tabletext"/>
            </w:pPr>
            <w:r w:rsidRPr="00CF1FBD">
              <w:t>20</w:t>
            </w:r>
          </w:p>
        </w:tc>
        <w:tc>
          <w:tcPr>
            <w:tcW w:w="740" w:type="dxa"/>
            <w:noWrap/>
            <w:hideMark/>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20</w:t>
            </w:r>
          </w:p>
        </w:tc>
        <w:tc>
          <w:tcPr>
            <w:tcW w:w="740" w:type="dxa"/>
            <w:noWrap/>
            <w:hideMark/>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25</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Blue-billed duck V</w:t>
            </w:r>
          </w:p>
        </w:tc>
        <w:tc>
          <w:tcPr>
            <w:tcW w:w="740" w:type="dxa"/>
            <w:noWrap/>
            <w:hideMark/>
          </w:tcPr>
          <w:p w:rsidR="00FC57DC" w:rsidRPr="00CF1FBD" w:rsidRDefault="00FC57DC" w:rsidP="00974EFA">
            <w:pPr>
              <w:pStyle w:val="Tabletext"/>
            </w:pPr>
            <w:r w:rsidRPr="00CF1FBD">
              <w:t>50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Caspian tern</w:t>
            </w:r>
            <w:r>
              <w:t xml:space="preserve"> J,C</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Chestnut teal</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Darter</w:t>
            </w:r>
          </w:p>
        </w:tc>
        <w:tc>
          <w:tcPr>
            <w:tcW w:w="740" w:type="dxa"/>
            <w:noWrap/>
            <w:hideMark/>
          </w:tcPr>
          <w:p w:rsidR="00FC57DC" w:rsidRPr="00CF1FBD" w:rsidRDefault="00FC57DC" w:rsidP="00974EFA">
            <w:pPr>
              <w:pStyle w:val="Tabletext"/>
            </w:pPr>
            <w:r w:rsidRPr="00CF1FBD">
              <w:t>1</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4</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12</w:t>
            </w:r>
          </w:p>
        </w:tc>
        <w:tc>
          <w:tcPr>
            <w:tcW w:w="740" w:type="dxa"/>
            <w:noWrap/>
            <w:hideMark/>
          </w:tcPr>
          <w:p w:rsidR="00FC57DC" w:rsidRPr="00CF1FBD" w:rsidRDefault="00FC57DC" w:rsidP="00974EFA">
            <w:pPr>
              <w:pStyle w:val="Tabletext"/>
            </w:pPr>
            <w:r w:rsidRPr="00CF1FBD">
              <w:t>60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Eurasian coot</w:t>
            </w:r>
          </w:p>
        </w:tc>
        <w:tc>
          <w:tcPr>
            <w:tcW w:w="740" w:type="dxa"/>
            <w:noWrap/>
            <w:hideMark/>
          </w:tcPr>
          <w:p w:rsidR="00FC57DC" w:rsidRPr="00CF1FBD" w:rsidRDefault="00FC57DC" w:rsidP="00974EFA">
            <w:pPr>
              <w:pStyle w:val="Tabletext"/>
            </w:pPr>
            <w:r w:rsidRPr="00CF1FBD">
              <w:t>500</w:t>
            </w:r>
          </w:p>
        </w:tc>
        <w:tc>
          <w:tcPr>
            <w:tcW w:w="740" w:type="dxa"/>
          </w:tcPr>
          <w:p w:rsidR="00FC57DC" w:rsidRPr="00CF1FBD" w:rsidRDefault="00FC57DC" w:rsidP="00974EFA">
            <w:pPr>
              <w:pStyle w:val="Tabletext"/>
            </w:pPr>
            <w:r w:rsidRPr="00CF1FBD">
              <w:t>150</w:t>
            </w:r>
          </w:p>
        </w:tc>
        <w:tc>
          <w:tcPr>
            <w:tcW w:w="740" w:type="dxa"/>
            <w:noWrap/>
            <w:hideMark/>
          </w:tcPr>
          <w:p w:rsidR="00FC57DC" w:rsidRPr="00CF1FBD" w:rsidRDefault="00FC57DC" w:rsidP="00974EFA">
            <w:pPr>
              <w:pStyle w:val="Tabletext"/>
            </w:pPr>
            <w:r w:rsidRPr="00CF1FBD">
              <w:t>70</w:t>
            </w:r>
          </w:p>
        </w:tc>
        <w:tc>
          <w:tcPr>
            <w:tcW w:w="740" w:type="dxa"/>
            <w:noWrap/>
            <w:hideMark/>
          </w:tcPr>
          <w:p w:rsidR="00FC57DC" w:rsidRPr="00CF1FBD" w:rsidRDefault="00FC57DC" w:rsidP="00974EFA">
            <w:pPr>
              <w:pStyle w:val="Tabletext"/>
            </w:pPr>
            <w:r w:rsidRPr="00CF1FBD">
              <w:t>10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30</w:t>
            </w:r>
          </w:p>
        </w:tc>
        <w:tc>
          <w:tcPr>
            <w:tcW w:w="740" w:type="dxa"/>
            <w:noWrap/>
            <w:hideMark/>
          </w:tcPr>
          <w:p w:rsidR="00FC57DC" w:rsidRPr="00CF1FBD" w:rsidRDefault="00FC57DC" w:rsidP="00974EFA">
            <w:pPr>
              <w:pStyle w:val="Tabletext"/>
            </w:pPr>
            <w:r w:rsidRPr="00CF1FBD">
              <w:t>22</w:t>
            </w:r>
          </w:p>
        </w:tc>
        <w:tc>
          <w:tcPr>
            <w:tcW w:w="740" w:type="dxa"/>
            <w:noWrap/>
            <w:hideMark/>
          </w:tcPr>
          <w:p w:rsidR="00FC57DC" w:rsidRPr="00CF1FBD" w:rsidRDefault="00FC57DC" w:rsidP="00974EFA">
            <w:pPr>
              <w:pStyle w:val="Tabletext"/>
            </w:pPr>
            <w:r w:rsidRPr="00CF1FBD">
              <w:t>250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Freckled duck V</w:t>
            </w:r>
          </w:p>
        </w:tc>
        <w:tc>
          <w:tcPr>
            <w:tcW w:w="740" w:type="dxa"/>
            <w:noWrap/>
            <w:hideMark/>
          </w:tcPr>
          <w:p w:rsidR="00FC57DC" w:rsidRPr="00CF1FBD" w:rsidRDefault="00FC57DC" w:rsidP="00974EFA">
            <w:pPr>
              <w:pStyle w:val="Tabletext"/>
            </w:pPr>
            <w:r w:rsidRPr="00CF1FBD">
              <w:t>40</w:t>
            </w:r>
          </w:p>
        </w:tc>
        <w:tc>
          <w:tcPr>
            <w:tcW w:w="740" w:type="dxa"/>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Glossy ibis C</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Great cormorant</w:t>
            </w:r>
          </w:p>
        </w:tc>
        <w:tc>
          <w:tcPr>
            <w:tcW w:w="740" w:type="dxa"/>
            <w:noWrap/>
            <w:hideMark/>
          </w:tcPr>
          <w:p w:rsidR="00FC57DC" w:rsidRPr="00CF1FBD" w:rsidRDefault="00FC57DC" w:rsidP="00974EFA">
            <w:pPr>
              <w:pStyle w:val="Tabletext"/>
            </w:pPr>
            <w:r w:rsidRPr="00CF1FBD">
              <w:t>6</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4</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250</w:t>
            </w:r>
          </w:p>
        </w:tc>
        <w:tc>
          <w:tcPr>
            <w:tcW w:w="740" w:type="dxa"/>
            <w:noWrap/>
            <w:hideMark/>
          </w:tcPr>
          <w:p w:rsidR="00FC57DC" w:rsidRPr="00CF1FBD" w:rsidRDefault="00FC57DC" w:rsidP="00974EFA">
            <w:pPr>
              <w:pStyle w:val="Tabletext"/>
            </w:pPr>
            <w:r w:rsidRPr="00CF1FBD">
              <w:t>30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Great egret JC</w:t>
            </w:r>
          </w:p>
        </w:tc>
        <w:tc>
          <w:tcPr>
            <w:tcW w:w="740" w:type="dxa"/>
            <w:noWrap/>
            <w:hideMark/>
          </w:tcPr>
          <w:p w:rsidR="00FC57DC" w:rsidRPr="00CF1FBD" w:rsidRDefault="00FC57DC" w:rsidP="00974EFA">
            <w:pPr>
              <w:pStyle w:val="Tabletext"/>
            </w:pPr>
            <w:r w:rsidRPr="00CF1FBD">
              <w:t>2</w:t>
            </w:r>
          </w:p>
        </w:tc>
        <w:tc>
          <w:tcPr>
            <w:tcW w:w="740" w:type="dxa"/>
          </w:tcPr>
          <w:p w:rsidR="00FC57DC" w:rsidRPr="00CF1FBD" w:rsidRDefault="00FC57DC" w:rsidP="00974EFA">
            <w:pPr>
              <w:pStyle w:val="Tabletext"/>
            </w:pPr>
            <w:r w:rsidRPr="00CF1FBD">
              <w:t>20</w:t>
            </w:r>
          </w:p>
        </w:tc>
        <w:tc>
          <w:tcPr>
            <w:tcW w:w="740" w:type="dxa"/>
            <w:noWrap/>
            <w:hideMark/>
          </w:tcPr>
          <w:p w:rsidR="00FC57DC" w:rsidRPr="00CF1FBD" w:rsidRDefault="00FC57DC" w:rsidP="00974EFA">
            <w:pPr>
              <w:pStyle w:val="Tabletext"/>
            </w:pPr>
            <w:r w:rsidRPr="00CF1FBD">
              <w:t>4</w:t>
            </w:r>
          </w:p>
        </w:tc>
        <w:tc>
          <w:tcPr>
            <w:tcW w:w="740" w:type="dxa"/>
            <w:noWrap/>
            <w:hideMark/>
          </w:tcPr>
          <w:p w:rsidR="00FC57DC" w:rsidRPr="00CF1FBD" w:rsidRDefault="00FC57DC" w:rsidP="00974EFA">
            <w:pPr>
              <w:pStyle w:val="Tabletext"/>
            </w:pPr>
            <w:r w:rsidRPr="00CF1FBD">
              <w:t>3</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5</w:t>
            </w:r>
          </w:p>
        </w:tc>
        <w:tc>
          <w:tcPr>
            <w:tcW w:w="740" w:type="dxa"/>
            <w:noWrap/>
            <w:hideMark/>
          </w:tcPr>
          <w:p w:rsidR="00FC57DC" w:rsidRPr="00CF1FBD" w:rsidRDefault="00FC57DC" w:rsidP="00974EFA">
            <w:pPr>
              <w:pStyle w:val="Tabletext"/>
            </w:pPr>
            <w:r w:rsidRPr="00CF1FBD">
              <w:t>17</w:t>
            </w:r>
          </w:p>
        </w:tc>
        <w:tc>
          <w:tcPr>
            <w:tcW w:w="740" w:type="dxa"/>
            <w:noWrap/>
            <w:hideMark/>
          </w:tcPr>
          <w:p w:rsidR="00FC57DC" w:rsidRPr="00CF1FBD" w:rsidRDefault="00FC57DC" w:rsidP="00974EFA">
            <w:pPr>
              <w:pStyle w:val="Tabletext"/>
            </w:pPr>
            <w:r w:rsidRPr="00CF1FBD">
              <w:t>1</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Great-crested grebe</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30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66</w:t>
            </w:r>
          </w:p>
        </w:tc>
        <w:tc>
          <w:tcPr>
            <w:tcW w:w="740" w:type="dxa"/>
            <w:noWrap/>
            <w:hideMark/>
          </w:tcPr>
          <w:p w:rsidR="00FC57DC" w:rsidRPr="00CF1FBD" w:rsidRDefault="00FC57DC" w:rsidP="00974EFA">
            <w:pPr>
              <w:pStyle w:val="Tabletext"/>
            </w:pPr>
            <w:r w:rsidRPr="00CF1FBD">
              <w:t>12</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Grey teal</w:t>
            </w:r>
          </w:p>
        </w:tc>
        <w:tc>
          <w:tcPr>
            <w:tcW w:w="740" w:type="dxa"/>
            <w:noWrap/>
            <w:hideMark/>
          </w:tcPr>
          <w:p w:rsidR="00FC57DC" w:rsidRPr="00CF1FBD" w:rsidRDefault="00FC57DC" w:rsidP="00974EFA">
            <w:pPr>
              <w:pStyle w:val="Tabletext"/>
            </w:pPr>
            <w:r w:rsidRPr="00CF1FBD">
              <w:t>1200</w:t>
            </w:r>
          </w:p>
        </w:tc>
        <w:tc>
          <w:tcPr>
            <w:tcW w:w="740" w:type="dxa"/>
          </w:tcPr>
          <w:p w:rsidR="00FC57DC" w:rsidRPr="00CF1FBD" w:rsidRDefault="00FC57DC" w:rsidP="00974EFA">
            <w:pPr>
              <w:pStyle w:val="Tabletext"/>
            </w:pPr>
            <w:r w:rsidRPr="00CF1FBD">
              <w:t>500</w:t>
            </w:r>
          </w:p>
        </w:tc>
        <w:tc>
          <w:tcPr>
            <w:tcW w:w="740" w:type="dxa"/>
            <w:noWrap/>
            <w:hideMark/>
          </w:tcPr>
          <w:p w:rsidR="00FC57DC" w:rsidRPr="00CF1FBD" w:rsidRDefault="00FC57DC" w:rsidP="00974EFA">
            <w:pPr>
              <w:pStyle w:val="Tabletext"/>
            </w:pPr>
            <w:r w:rsidRPr="00CF1FBD">
              <w:t>600</w:t>
            </w:r>
          </w:p>
        </w:tc>
        <w:tc>
          <w:tcPr>
            <w:tcW w:w="740" w:type="dxa"/>
            <w:noWrap/>
            <w:hideMark/>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500</w:t>
            </w:r>
          </w:p>
        </w:tc>
        <w:tc>
          <w:tcPr>
            <w:tcW w:w="740" w:type="dxa"/>
            <w:noWrap/>
            <w:hideMark/>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25</w:t>
            </w:r>
          </w:p>
        </w:tc>
        <w:tc>
          <w:tcPr>
            <w:tcW w:w="740" w:type="dxa"/>
            <w:noWrap/>
            <w:hideMark/>
          </w:tcPr>
          <w:p w:rsidR="00FC57DC" w:rsidRPr="00CF1FBD" w:rsidRDefault="00FC57DC" w:rsidP="00974EFA">
            <w:pPr>
              <w:pStyle w:val="Tabletext"/>
            </w:pPr>
            <w:r w:rsidRPr="00CF1FBD">
              <w:t>3000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Gull-billed tern</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15</w:t>
            </w:r>
          </w:p>
        </w:tc>
        <w:tc>
          <w:tcPr>
            <w:tcW w:w="740" w:type="dxa"/>
            <w:noWrap/>
            <w:hideMark/>
          </w:tcPr>
          <w:p w:rsidR="00FC57DC" w:rsidRPr="00CF1FBD" w:rsidRDefault="00FC57DC" w:rsidP="00974EFA">
            <w:pPr>
              <w:pStyle w:val="Tabletext"/>
            </w:pPr>
            <w:r w:rsidRPr="00CF1FBD">
              <w:t>6</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Hardhead</w:t>
            </w:r>
          </w:p>
        </w:tc>
        <w:tc>
          <w:tcPr>
            <w:tcW w:w="740" w:type="dxa"/>
            <w:noWrap/>
            <w:hideMark/>
          </w:tcPr>
          <w:p w:rsidR="00FC57DC" w:rsidRPr="00CF1FBD" w:rsidRDefault="00FC57DC" w:rsidP="00974EFA">
            <w:pPr>
              <w:pStyle w:val="Tabletext"/>
            </w:pPr>
            <w:r w:rsidRPr="00CF1FBD">
              <w:t>800</w:t>
            </w:r>
          </w:p>
        </w:tc>
        <w:tc>
          <w:tcPr>
            <w:tcW w:w="740" w:type="dxa"/>
          </w:tcPr>
          <w:p w:rsidR="00FC57DC" w:rsidRPr="00CF1FBD" w:rsidRDefault="00FC57DC" w:rsidP="00974EFA">
            <w:pPr>
              <w:pStyle w:val="Tabletext"/>
            </w:pPr>
            <w:r w:rsidRPr="00CF1FBD">
              <w:t>500</w:t>
            </w:r>
          </w:p>
        </w:tc>
        <w:tc>
          <w:tcPr>
            <w:tcW w:w="740" w:type="dxa"/>
            <w:noWrap/>
            <w:hideMark/>
          </w:tcPr>
          <w:p w:rsidR="00FC57DC" w:rsidRPr="00CF1FBD" w:rsidRDefault="00FC57DC" w:rsidP="00974EFA">
            <w:pPr>
              <w:pStyle w:val="Tabletext"/>
            </w:pPr>
            <w:r w:rsidRPr="00CF1FBD">
              <w:t>800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150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1000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Hoary-headed grebe</w:t>
            </w:r>
          </w:p>
        </w:tc>
        <w:tc>
          <w:tcPr>
            <w:tcW w:w="740" w:type="dxa"/>
            <w:noWrap/>
            <w:hideMark/>
          </w:tcPr>
          <w:p w:rsidR="00FC57DC" w:rsidRPr="00CF1FBD" w:rsidRDefault="00FC57DC" w:rsidP="00974EFA">
            <w:pPr>
              <w:pStyle w:val="Tabletext"/>
            </w:pPr>
            <w:r w:rsidRPr="00CF1FBD">
              <w:t>700</w:t>
            </w:r>
          </w:p>
        </w:tc>
        <w:tc>
          <w:tcPr>
            <w:tcW w:w="740" w:type="dxa"/>
          </w:tcPr>
          <w:p w:rsidR="00FC57DC" w:rsidRPr="00CF1FBD" w:rsidRDefault="00FC57DC" w:rsidP="00974EFA">
            <w:pPr>
              <w:pStyle w:val="Tabletext"/>
            </w:pPr>
            <w:r w:rsidRPr="00CF1FBD">
              <w:t>15</w:t>
            </w:r>
          </w:p>
        </w:tc>
        <w:tc>
          <w:tcPr>
            <w:tcW w:w="740" w:type="dxa"/>
            <w:noWrap/>
            <w:hideMark/>
          </w:tcPr>
          <w:p w:rsidR="00FC57DC" w:rsidRPr="00CF1FBD" w:rsidRDefault="00FC57DC" w:rsidP="00974EFA">
            <w:pPr>
              <w:pStyle w:val="Tabletext"/>
            </w:pPr>
            <w:r w:rsidRPr="00CF1FBD">
              <w:t>500</w:t>
            </w:r>
          </w:p>
        </w:tc>
        <w:tc>
          <w:tcPr>
            <w:tcW w:w="740" w:type="dxa"/>
            <w:noWrap/>
            <w:hideMark/>
          </w:tcPr>
          <w:p w:rsidR="00FC57DC" w:rsidRPr="00CF1FBD" w:rsidRDefault="00FC57DC" w:rsidP="00974EFA">
            <w:pPr>
              <w:pStyle w:val="Tabletext"/>
            </w:pPr>
            <w:r w:rsidRPr="00CF1FBD">
              <w:t>5</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40</w:t>
            </w:r>
          </w:p>
        </w:tc>
        <w:tc>
          <w:tcPr>
            <w:tcW w:w="740" w:type="dxa"/>
            <w:noWrap/>
            <w:hideMark/>
          </w:tcPr>
          <w:p w:rsidR="00FC57DC" w:rsidRPr="00CF1FBD" w:rsidRDefault="00FC57DC" w:rsidP="00974EFA">
            <w:pPr>
              <w:pStyle w:val="Tabletext"/>
            </w:pPr>
            <w:r w:rsidRPr="00CF1FBD">
              <w:t>200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Intermediate egret</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Little black cormorant</w:t>
            </w:r>
          </w:p>
        </w:tc>
        <w:tc>
          <w:tcPr>
            <w:tcW w:w="740" w:type="dxa"/>
            <w:noWrap/>
            <w:hideMark/>
          </w:tcPr>
          <w:p w:rsidR="00FC57DC" w:rsidRPr="00CF1FBD" w:rsidRDefault="00FC57DC" w:rsidP="00974EFA">
            <w:pPr>
              <w:pStyle w:val="Tabletext"/>
            </w:pPr>
            <w:r w:rsidRPr="00CF1FBD">
              <w:t>5</w:t>
            </w:r>
          </w:p>
        </w:tc>
        <w:tc>
          <w:tcPr>
            <w:tcW w:w="740" w:type="dxa"/>
          </w:tcPr>
          <w:p w:rsidR="00FC57DC" w:rsidRPr="00CF1FBD" w:rsidRDefault="00FC57DC" w:rsidP="00974EFA">
            <w:pPr>
              <w:pStyle w:val="Tabletext"/>
            </w:pPr>
            <w:r w:rsidRPr="00CF1FBD">
              <w:t>30</w:t>
            </w:r>
          </w:p>
        </w:tc>
        <w:tc>
          <w:tcPr>
            <w:tcW w:w="740" w:type="dxa"/>
            <w:noWrap/>
            <w:hideMark/>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300^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Little pied cormorant</w:t>
            </w:r>
          </w:p>
        </w:tc>
        <w:tc>
          <w:tcPr>
            <w:tcW w:w="740" w:type="dxa"/>
            <w:noWrap/>
            <w:hideMark/>
          </w:tcPr>
          <w:p w:rsidR="00FC57DC" w:rsidRPr="00CF1FBD" w:rsidRDefault="00FC57DC" w:rsidP="00974EFA">
            <w:pPr>
              <w:pStyle w:val="Tabletext"/>
            </w:pPr>
            <w:r w:rsidRPr="00CF1FBD">
              <w:t>8</w:t>
            </w:r>
          </w:p>
        </w:tc>
        <w:tc>
          <w:tcPr>
            <w:tcW w:w="740" w:type="dxa"/>
          </w:tcPr>
          <w:p w:rsidR="00FC57DC" w:rsidRPr="00CF1FBD" w:rsidRDefault="00FC57DC" w:rsidP="00974EFA">
            <w:pPr>
              <w:pStyle w:val="Tabletext"/>
            </w:pPr>
            <w:r w:rsidRPr="00CF1FBD">
              <w:t>5</w:t>
            </w:r>
          </w:p>
        </w:tc>
        <w:tc>
          <w:tcPr>
            <w:tcW w:w="740" w:type="dxa"/>
            <w:noWrap/>
            <w:hideMark/>
          </w:tcPr>
          <w:p w:rsidR="00FC57DC" w:rsidRPr="00CF1FBD" w:rsidRDefault="00FC57DC" w:rsidP="00974EFA">
            <w:pPr>
              <w:pStyle w:val="Tabletext"/>
            </w:pPr>
            <w:r w:rsidRPr="00CF1FBD">
              <w:t>4</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Masked lapwing</w:t>
            </w:r>
          </w:p>
        </w:tc>
        <w:tc>
          <w:tcPr>
            <w:tcW w:w="740" w:type="dxa"/>
            <w:noWrap/>
            <w:hideMark/>
          </w:tcPr>
          <w:p w:rsidR="00FC57DC" w:rsidRPr="00CF1FBD" w:rsidRDefault="00FC57DC" w:rsidP="00974EFA">
            <w:pPr>
              <w:pStyle w:val="Tabletext"/>
            </w:pPr>
            <w:r w:rsidRPr="00CF1FBD">
              <w:t>10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3</w:t>
            </w:r>
          </w:p>
        </w:tc>
        <w:tc>
          <w:tcPr>
            <w:tcW w:w="740" w:type="dxa"/>
            <w:noWrap/>
            <w:hideMark/>
          </w:tcPr>
          <w:p w:rsidR="00FC57DC" w:rsidRPr="00CF1FBD" w:rsidRDefault="00FC57DC" w:rsidP="00974EFA">
            <w:pPr>
              <w:pStyle w:val="Tabletext"/>
            </w:pPr>
            <w:r w:rsidRPr="00CF1FBD">
              <w:t>15</w:t>
            </w:r>
          </w:p>
        </w:tc>
        <w:tc>
          <w:tcPr>
            <w:tcW w:w="740" w:type="dxa"/>
            <w:noWrap/>
            <w:hideMark/>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25</w:t>
            </w:r>
          </w:p>
        </w:tc>
        <w:tc>
          <w:tcPr>
            <w:tcW w:w="740" w:type="dxa"/>
            <w:noWrap/>
            <w:hideMark/>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3</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Musk duck</w:t>
            </w:r>
          </w:p>
        </w:tc>
        <w:tc>
          <w:tcPr>
            <w:tcW w:w="740" w:type="dxa"/>
            <w:noWrap/>
            <w:hideMark/>
          </w:tcPr>
          <w:p w:rsidR="00FC57DC" w:rsidRPr="00CF1FBD" w:rsidRDefault="00FC57DC" w:rsidP="00974EFA">
            <w:pPr>
              <w:pStyle w:val="Tabletext"/>
            </w:pPr>
            <w:r w:rsidRPr="00CF1FBD">
              <w:t>6</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Nankeen night heron</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Pacific black duck</w:t>
            </w:r>
          </w:p>
        </w:tc>
        <w:tc>
          <w:tcPr>
            <w:tcW w:w="740" w:type="dxa"/>
            <w:noWrap/>
            <w:hideMark/>
          </w:tcPr>
          <w:p w:rsidR="00FC57DC" w:rsidRPr="00CF1FBD" w:rsidRDefault="00FC57DC" w:rsidP="00974EFA">
            <w:pPr>
              <w:pStyle w:val="Tabletext"/>
            </w:pPr>
            <w:r w:rsidRPr="00CF1FBD">
              <w:t>50</w:t>
            </w:r>
          </w:p>
        </w:tc>
        <w:tc>
          <w:tcPr>
            <w:tcW w:w="740" w:type="dxa"/>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5</w:t>
            </w:r>
          </w:p>
        </w:tc>
        <w:tc>
          <w:tcPr>
            <w:tcW w:w="740" w:type="dxa"/>
            <w:noWrap/>
            <w:hideMark/>
          </w:tcPr>
          <w:p w:rsidR="00FC57DC" w:rsidRPr="00CF1FBD" w:rsidRDefault="00FC57DC" w:rsidP="00974EFA">
            <w:pPr>
              <w:pStyle w:val="Tabletext"/>
            </w:pPr>
            <w:r w:rsidRPr="00CF1FBD">
              <w:t>10</w:t>
            </w:r>
          </w:p>
        </w:tc>
        <w:tc>
          <w:tcPr>
            <w:tcW w:w="740" w:type="dxa"/>
            <w:noWrap/>
            <w:hideMark/>
          </w:tcPr>
          <w:p w:rsidR="00FC57DC" w:rsidRPr="00CF1FBD" w:rsidRDefault="00FC57DC" w:rsidP="00974EFA">
            <w:pPr>
              <w:pStyle w:val="Tabletext"/>
            </w:pPr>
            <w:r w:rsidRPr="00CF1FBD">
              <w:t>300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6</w:t>
            </w:r>
          </w:p>
        </w:tc>
        <w:tc>
          <w:tcPr>
            <w:tcW w:w="740" w:type="dxa"/>
            <w:noWrap/>
            <w:hideMark/>
          </w:tcPr>
          <w:p w:rsidR="00FC57DC" w:rsidRPr="00CF1FBD" w:rsidRDefault="00FC57DC" w:rsidP="00974EFA">
            <w:pPr>
              <w:pStyle w:val="Tabletext"/>
            </w:pPr>
            <w:r w:rsidRPr="00CF1FBD">
              <w:t>50</w:t>
            </w:r>
          </w:p>
        </w:tc>
      </w:tr>
      <w:tr w:rsidR="00FC57DC" w:rsidRPr="00CF1FBD" w:rsidTr="00D31D5F">
        <w:trPr>
          <w:trHeight w:val="315"/>
        </w:trPr>
        <w:tc>
          <w:tcPr>
            <w:tcW w:w="2689" w:type="dxa"/>
            <w:noWrap/>
            <w:hideMark/>
          </w:tcPr>
          <w:p w:rsidR="00FC57DC" w:rsidRPr="00CF1FBD" w:rsidRDefault="00FC57DC" w:rsidP="00974EFA">
            <w:pPr>
              <w:pStyle w:val="Tabletext"/>
            </w:pPr>
            <w:r w:rsidRPr="00CF1FBD">
              <w:t>Pied cormorant</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20^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Pink-eared duck</w:t>
            </w:r>
          </w:p>
        </w:tc>
        <w:tc>
          <w:tcPr>
            <w:tcW w:w="740" w:type="dxa"/>
            <w:noWrap/>
            <w:hideMark/>
          </w:tcPr>
          <w:p w:rsidR="00FC57DC" w:rsidRPr="00CF1FBD" w:rsidRDefault="00FC57DC" w:rsidP="00974EFA">
            <w:pPr>
              <w:pStyle w:val="Tabletext"/>
            </w:pPr>
            <w:r w:rsidRPr="00CF1FBD">
              <w:t>500</w:t>
            </w:r>
          </w:p>
        </w:tc>
        <w:tc>
          <w:tcPr>
            <w:tcW w:w="740" w:type="dxa"/>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200</w:t>
            </w:r>
          </w:p>
        </w:tc>
        <w:tc>
          <w:tcPr>
            <w:tcW w:w="740" w:type="dxa"/>
            <w:noWrap/>
            <w:hideMark/>
          </w:tcPr>
          <w:p w:rsidR="00FC57DC" w:rsidRPr="00CF1FBD" w:rsidRDefault="00FC57DC" w:rsidP="00974EFA">
            <w:pPr>
              <w:pStyle w:val="Tabletext"/>
            </w:pPr>
            <w:r w:rsidRPr="00CF1FBD">
              <w:t>30</w:t>
            </w:r>
          </w:p>
        </w:tc>
        <w:tc>
          <w:tcPr>
            <w:tcW w:w="740" w:type="dxa"/>
            <w:noWrap/>
            <w:hideMark/>
          </w:tcPr>
          <w:p w:rsidR="00FC57DC" w:rsidRPr="00CF1FBD" w:rsidRDefault="00FC57DC" w:rsidP="00974EFA">
            <w:pPr>
              <w:pStyle w:val="Tabletext"/>
            </w:pPr>
            <w:r w:rsidRPr="00CF1FBD">
              <w:t>50</w:t>
            </w:r>
          </w:p>
        </w:tc>
        <w:tc>
          <w:tcPr>
            <w:tcW w:w="740" w:type="dxa"/>
            <w:noWrap/>
            <w:hideMark/>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200</w:t>
            </w:r>
          </w:p>
        </w:tc>
      </w:tr>
      <w:tr w:rsidR="00FC57DC" w:rsidRPr="00CF1FBD" w:rsidTr="00D31D5F">
        <w:trPr>
          <w:trHeight w:val="315"/>
        </w:trPr>
        <w:tc>
          <w:tcPr>
            <w:tcW w:w="2689" w:type="dxa"/>
            <w:noWrap/>
            <w:hideMark/>
          </w:tcPr>
          <w:p w:rsidR="00FC57DC" w:rsidRPr="00CF1FBD" w:rsidRDefault="00FC57DC" w:rsidP="00974EFA">
            <w:pPr>
              <w:pStyle w:val="Tabletext"/>
            </w:pPr>
            <w:r w:rsidRPr="00CF1FBD">
              <w:t>Purple swamphen</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1F6D08" w:rsidRPr="00974EFA" w:rsidTr="00D31D5F">
        <w:trPr>
          <w:trHeight w:val="1487"/>
        </w:trPr>
        <w:tc>
          <w:tcPr>
            <w:tcW w:w="2689" w:type="dxa"/>
            <w:noWrap/>
            <w:hideMark/>
          </w:tcPr>
          <w:p w:rsidR="001F6D08" w:rsidRPr="00974EFA" w:rsidRDefault="001F6D08" w:rsidP="00024A82">
            <w:pPr>
              <w:pStyle w:val="Tabletext"/>
              <w:rPr>
                <w:b/>
              </w:rPr>
            </w:pPr>
            <w:r w:rsidRPr="00974EFA">
              <w:rPr>
                <w:b/>
              </w:rPr>
              <w:t>Common name</w:t>
            </w:r>
          </w:p>
        </w:tc>
        <w:tc>
          <w:tcPr>
            <w:tcW w:w="740" w:type="dxa"/>
            <w:textDirection w:val="btLr"/>
            <w:hideMark/>
          </w:tcPr>
          <w:p w:rsidR="001F6D08" w:rsidRPr="00974EFA" w:rsidRDefault="001F6D08" w:rsidP="00024A82">
            <w:pPr>
              <w:pStyle w:val="Tabletext"/>
              <w:rPr>
                <w:b/>
              </w:rPr>
            </w:pPr>
            <w:r w:rsidRPr="00974EFA">
              <w:rPr>
                <w:b/>
              </w:rPr>
              <w:t>Hobblers Lake</w:t>
            </w:r>
          </w:p>
        </w:tc>
        <w:tc>
          <w:tcPr>
            <w:tcW w:w="740" w:type="dxa"/>
            <w:textDirection w:val="btLr"/>
          </w:tcPr>
          <w:p w:rsidR="001F6D08" w:rsidRPr="00974EFA" w:rsidRDefault="001F6D08" w:rsidP="00024A82">
            <w:pPr>
              <w:pStyle w:val="Tabletext"/>
              <w:rPr>
                <w:b/>
              </w:rPr>
            </w:pPr>
            <w:r w:rsidRPr="00974EFA">
              <w:rPr>
                <w:b/>
              </w:rPr>
              <w:t>Upper Cherax</w:t>
            </w:r>
          </w:p>
        </w:tc>
        <w:tc>
          <w:tcPr>
            <w:tcW w:w="740" w:type="dxa"/>
            <w:textDirection w:val="btLr"/>
            <w:hideMark/>
          </w:tcPr>
          <w:p w:rsidR="001F6D08" w:rsidRPr="00974EFA" w:rsidRDefault="001F6D08" w:rsidP="00024A82">
            <w:pPr>
              <w:pStyle w:val="Tabletext"/>
              <w:rPr>
                <w:b/>
              </w:rPr>
            </w:pPr>
            <w:r w:rsidRPr="00974EFA">
              <w:rPr>
                <w:b/>
              </w:rPr>
              <w:t>Lower Cherax</w:t>
            </w:r>
          </w:p>
        </w:tc>
        <w:tc>
          <w:tcPr>
            <w:tcW w:w="740" w:type="dxa"/>
            <w:textDirection w:val="btLr"/>
            <w:hideMark/>
          </w:tcPr>
          <w:p w:rsidR="001F6D08" w:rsidRPr="00974EFA" w:rsidRDefault="001F6D08" w:rsidP="00024A82">
            <w:pPr>
              <w:pStyle w:val="Tabletext"/>
              <w:rPr>
                <w:b/>
              </w:rPr>
            </w:pPr>
            <w:r w:rsidRPr="00974EFA">
              <w:rPr>
                <w:b/>
              </w:rPr>
              <w:t>Paika Lake East</w:t>
            </w:r>
          </w:p>
        </w:tc>
        <w:tc>
          <w:tcPr>
            <w:tcW w:w="740" w:type="dxa"/>
            <w:textDirection w:val="btLr"/>
            <w:hideMark/>
          </w:tcPr>
          <w:p w:rsidR="001F6D08" w:rsidRPr="00974EFA" w:rsidRDefault="001F6D08" w:rsidP="00024A82">
            <w:pPr>
              <w:pStyle w:val="Tabletext"/>
              <w:rPr>
                <w:b/>
              </w:rPr>
            </w:pPr>
            <w:r w:rsidRPr="00974EFA">
              <w:rPr>
                <w:b/>
              </w:rPr>
              <w:t>Paika Lake North</w:t>
            </w:r>
          </w:p>
        </w:tc>
        <w:tc>
          <w:tcPr>
            <w:tcW w:w="740" w:type="dxa"/>
            <w:textDirection w:val="btLr"/>
            <w:hideMark/>
          </w:tcPr>
          <w:p w:rsidR="001F6D08" w:rsidRPr="00974EFA" w:rsidRDefault="001F6D08" w:rsidP="00024A82">
            <w:pPr>
              <w:pStyle w:val="Tabletext"/>
              <w:rPr>
                <w:b/>
              </w:rPr>
            </w:pPr>
            <w:r w:rsidRPr="00974EFA">
              <w:rPr>
                <w:b/>
              </w:rPr>
              <w:t>Paika Lake South</w:t>
            </w:r>
          </w:p>
        </w:tc>
        <w:tc>
          <w:tcPr>
            <w:tcW w:w="740" w:type="dxa"/>
            <w:textDirection w:val="btLr"/>
            <w:hideMark/>
          </w:tcPr>
          <w:p w:rsidR="001F6D08" w:rsidRPr="00974EFA" w:rsidRDefault="001F6D08" w:rsidP="00024A82">
            <w:pPr>
              <w:pStyle w:val="Tabletext"/>
              <w:rPr>
                <w:b/>
              </w:rPr>
            </w:pPr>
            <w:r w:rsidRPr="00974EFA">
              <w:rPr>
                <w:b/>
              </w:rPr>
              <w:t>Paika Lake West</w:t>
            </w:r>
          </w:p>
        </w:tc>
        <w:tc>
          <w:tcPr>
            <w:tcW w:w="740" w:type="dxa"/>
            <w:textDirection w:val="btLr"/>
            <w:hideMark/>
          </w:tcPr>
          <w:p w:rsidR="001F6D08" w:rsidRPr="00974EFA" w:rsidRDefault="001F6D08" w:rsidP="00024A82">
            <w:pPr>
              <w:pStyle w:val="Tabletext"/>
              <w:rPr>
                <w:b/>
              </w:rPr>
            </w:pPr>
            <w:r w:rsidRPr="00974EFA">
              <w:rPr>
                <w:b/>
              </w:rPr>
              <w:t>Penarie Creek</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Red-capped plover</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25</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15"/>
        </w:trPr>
        <w:tc>
          <w:tcPr>
            <w:tcW w:w="2689" w:type="dxa"/>
            <w:noWrap/>
            <w:hideMark/>
          </w:tcPr>
          <w:p w:rsidR="00FC57DC" w:rsidRPr="00CF1FBD" w:rsidRDefault="00FC57DC" w:rsidP="00974EFA">
            <w:pPr>
              <w:pStyle w:val="Tabletext"/>
            </w:pPr>
            <w:r w:rsidRPr="00CF1FBD">
              <w:t>Red-kneed dotterel</w:t>
            </w:r>
          </w:p>
        </w:tc>
        <w:tc>
          <w:tcPr>
            <w:tcW w:w="740" w:type="dxa"/>
            <w:noWrap/>
            <w:hideMark/>
          </w:tcPr>
          <w:p w:rsidR="00FC57DC" w:rsidRPr="00CF1FBD" w:rsidRDefault="00FC57DC" w:rsidP="00974EFA">
            <w:pPr>
              <w:pStyle w:val="Tabletext"/>
            </w:pPr>
            <w:r w:rsidRPr="00CF1FBD">
              <w:t>1</w:t>
            </w:r>
          </w:p>
        </w:tc>
        <w:tc>
          <w:tcPr>
            <w:tcW w:w="740" w:type="dxa"/>
          </w:tcPr>
          <w:p w:rsidR="00FC57DC" w:rsidRPr="00CF1FBD" w:rsidRDefault="00FC57DC" w:rsidP="00974EFA">
            <w:pPr>
              <w:pStyle w:val="Tabletext"/>
            </w:pPr>
            <w:r w:rsidRPr="00CF1FBD">
              <w:t>100</w:t>
            </w:r>
          </w:p>
        </w:tc>
        <w:tc>
          <w:tcPr>
            <w:tcW w:w="740" w:type="dxa"/>
            <w:noWrap/>
            <w:hideMark/>
          </w:tcPr>
          <w:p w:rsidR="00FC57DC" w:rsidRPr="00CF1FBD" w:rsidRDefault="00FC57DC" w:rsidP="00974EFA">
            <w:pPr>
              <w:pStyle w:val="Tabletext"/>
            </w:pPr>
            <w:r w:rsidRPr="00CF1FBD">
              <w:t>15</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3</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40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Red-necked avocet</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12</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Red-necked stint JCR</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3</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Royal spoonbill</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16</w:t>
            </w:r>
          </w:p>
        </w:tc>
        <w:tc>
          <w:tcPr>
            <w:tcW w:w="740" w:type="dxa"/>
            <w:noWrap/>
            <w:hideMark/>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15</w:t>
            </w:r>
          </w:p>
        </w:tc>
        <w:tc>
          <w:tcPr>
            <w:tcW w:w="740" w:type="dxa"/>
            <w:noWrap/>
            <w:hideMark/>
          </w:tcPr>
          <w:p w:rsidR="00FC57DC" w:rsidRPr="00CF1FBD" w:rsidRDefault="00FC57DC" w:rsidP="00974EFA">
            <w:pPr>
              <w:pStyle w:val="Tabletext"/>
            </w:pPr>
            <w:r w:rsidRPr="00CF1FBD">
              <w:t>15</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13</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Ruddy turnstone JCR</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Sharp-tailed sandpiper JCR</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Silver gull</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6</w:t>
            </w:r>
          </w:p>
        </w:tc>
        <w:tc>
          <w:tcPr>
            <w:tcW w:w="740" w:type="dxa"/>
            <w:noWrap/>
            <w:hideMark/>
          </w:tcPr>
          <w:p w:rsidR="00FC57DC" w:rsidRPr="00CF1FBD" w:rsidRDefault="00FC57DC" w:rsidP="00974EFA">
            <w:pPr>
              <w:pStyle w:val="Tabletext"/>
            </w:pPr>
            <w:r w:rsidRPr="00CF1FBD">
              <w:t>40</w:t>
            </w:r>
          </w:p>
        </w:tc>
        <w:tc>
          <w:tcPr>
            <w:tcW w:w="740" w:type="dxa"/>
            <w:noWrap/>
            <w:hideMark/>
          </w:tcPr>
          <w:p w:rsidR="00FC57DC" w:rsidRPr="00CF1FBD" w:rsidRDefault="00FC57DC" w:rsidP="00974EFA">
            <w:pPr>
              <w:pStyle w:val="Tabletext"/>
            </w:pPr>
            <w:r w:rsidRPr="00CF1FBD">
              <w:t>4</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Straw-necked ibis</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20</w:t>
            </w:r>
          </w:p>
        </w:tc>
        <w:tc>
          <w:tcPr>
            <w:tcW w:w="740" w:type="dxa"/>
            <w:noWrap/>
            <w:hideMark/>
          </w:tcPr>
          <w:p w:rsidR="00FC57DC" w:rsidRPr="00CF1FBD" w:rsidRDefault="00FC57DC" w:rsidP="00974EFA">
            <w:pPr>
              <w:pStyle w:val="Tabletext"/>
            </w:pPr>
            <w:r w:rsidRPr="00CF1FBD">
              <w:t>15</w:t>
            </w:r>
          </w:p>
        </w:tc>
        <w:tc>
          <w:tcPr>
            <w:tcW w:w="740" w:type="dxa"/>
            <w:noWrap/>
            <w:hideMark/>
          </w:tcPr>
          <w:p w:rsidR="00FC57DC" w:rsidRPr="00CF1FBD" w:rsidRDefault="00FC57DC" w:rsidP="00974EFA">
            <w:pPr>
              <w:pStyle w:val="Tabletext"/>
            </w:pPr>
            <w:r w:rsidRPr="00CF1FBD">
              <w:t>6</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80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Whiskered tern</w:t>
            </w:r>
          </w:p>
        </w:tc>
        <w:tc>
          <w:tcPr>
            <w:tcW w:w="740" w:type="dxa"/>
            <w:noWrap/>
            <w:hideMark/>
          </w:tcPr>
          <w:p w:rsidR="00FC57DC" w:rsidRPr="00CF1FBD" w:rsidRDefault="00FC57DC" w:rsidP="00974EFA">
            <w:pPr>
              <w:pStyle w:val="Tabletext"/>
            </w:pPr>
            <w:r w:rsidRPr="00CF1FBD">
              <w:t>0</w:t>
            </w:r>
          </w:p>
        </w:tc>
        <w:tc>
          <w:tcPr>
            <w:tcW w:w="740" w:type="dxa"/>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20</w:t>
            </w:r>
          </w:p>
        </w:tc>
        <w:tc>
          <w:tcPr>
            <w:tcW w:w="740" w:type="dxa"/>
            <w:noWrap/>
            <w:hideMark/>
          </w:tcPr>
          <w:p w:rsidR="00FC57DC" w:rsidRPr="00CF1FBD" w:rsidRDefault="00FC57DC" w:rsidP="00974EFA">
            <w:pPr>
              <w:pStyle w:val="Tabletext"/>
            </w:pPr>
            <w:r w:rsidRPr="00CF1FBD">
              <w:t>500</w:t>
            </w:r>
          </w:p>
        </w:tc>
        <w:tc>
          <w:tcPr>
            <w:tcW w:w="740" w:type="dxa"/>
            <w:noWrap/>
            <w:hideMark/>
          </w:tcPr>
          <w:p w:rsidR="00FC57DC" w:rsidRPr="00CF1FBD" w:rsidRDefault="00FC57DC" w:rsidP="00974EFA">
            <w:pPr>
              <w:pStyle w:val="Tabletext"/>
            </w:pPr>
            <w:r w:rsidRPr="00CF1FBD">
              <w:t>40</w:t>
            </w:r>
          </w:p>
        </w:tc>
        <w:tc>
          <w:tcPr>
            <w:tcW w:w="740" w:type="dxa"/>
            <w:noWrap/>
            <w:hideMark/>
          </w:tcPr>
          <w:p w:rsidR="00FC57DC" w:rsidRPr="00CF1FBD" w:rsidRDefault="00FC57DC" w:rsidP="00974EFA">
            <w:pPr>
              <w:pStyle w:val="Tabletext"/>
            </w:pPr>
            <w:r w:rsidRPr="00CF1FBD">
              <w:t>30</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White-faced heron</w:t>
            </w:r>
          </w:p>
        </w:tc>
        <w:tc>
          <w:tcPr>
            <w:tcW w:w="740" w:type="dxa"/>
            <w:noWrap/>
            <w:hideMark/>
          </w:tcPr>
          <w:p w:rsidR="00FC57DC" w:rsidRPr="00CF1FBD" w:rsidRDefault="00FC57DC" w:rsidP="00974EFA">
            <w:pPr>
              <w:pStyle w:val="Tabletext"/>
            </w:pPr>
            <w:r w:rsidRPr="00CF1FBD">
              <w:t>1</w:t>
            </w:r>
          </w:p>
        </w:tc>
        <w:tc>
          <w:tcPr>
            <w:tcW w:w="740" w:type="dxa"/>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12</w:t>
            </w:r>
          </w:p>
        </w:tc>
        <w:tc>
          <w:tcPr>
            <w:tcW w:w="740" w:type="dxa"/>
            <w:noWrap/>
            <w:hideMark/>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White-necked heron</w:t>
            </w:r>
          </w:p>
        </w:tc>
        <w:tc>
          <w:tcPr>
            <w:tcW w:w="740" w:type="dxa"/>
            <w:noWrap/>
            <w:hideMark/>
          </w:tcPr>
          <w:p w:rsidR="00FC57DC" w:rsidRPr="00CF1FBD" w:rsidRDefault="00FC57DC" w:rsidP="00974EFA">
            <w:pPr>
              <w:pStyle w:val="Tabletext"/>
            </w:pPr>
            <w:r w:rsidRPr="00CF1FBD">
              <w:t>1</w:t>
            </w:r>
          </w:p>
        </w:tc>
        <w:tc>
          <w:tcPr>
            <w:tcW w:w="740" w:type="dxa"/>
          </w:tcPr>
          <w:p w:rsidR="00FC57DC" w:rsidRPr="00CF1FBD" w:rsidRDefault="00FC57DC" w:rsidP="00974EFA">
            <w:pPr>
              <w:pStyle w:val="Tabletext"/>
            </w:pPr>
            <w:r w:rsidRPr="00CF1FBD">
              <w:t>4</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2</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1</w:t>
            </w:r>
          </w:p>
        </w:tc>
        <w:tc>
          <w:tcPr>
            <w:tcW w:w="740" w:type="dxa"/>
            <w:noWrap/>
            <w:hideMark/>
          </w:tcPr>
          <w:p w:rsidR="00FC57DC" w:rsidRPr="00CF1FBD" w:rsidRDefault="00FC57DC" w:rsidP="00974EFA">
            <w:pPr>
              <w:pStyle w:val="Tabletext"/>
            </w:pPr>
            <w:r w:rsidRPr="00CF1FBD">
              <w:t>0</w:t>
            </w:r>
          </w:p>
        </w:tc>
      </w:tr>
      <w:tr w:rsidR="00FC57DC" w:rsidRPr="00CF1FBD" w:rsidTr="00D31D5F">
        <w:trPr>
          <w:trHeight w:val="300"/>
        </w:trPr>
        <w:tc>
          <w:tcPr>
            <w:tcW w:w="2689" w:type="dxa"/>
            <w:noWrap/>
            <w:hideMark/>
          </w:tcPr>
          <w:p w:rsidR="00FC57DC" w:rsidRPr="00CF1FBD" w:rsidRDefault="00FC57DC" w:rsidP="00974EFA">
            <w:pPr>
              <w:pStyle w:val="Tabletext"/>
            </w:pPr>
            <w:r w:rsidRPr="00CF1FBD">
              <w:t>Yellow-billed spoonbill</w:t>
            </w:r>
          </w:p>
        </w:tc>
        <w:tc>
          <w:tcPr>
            <w:tcW w:w="740" w:type="dxa"/>
            <w:noWrap/>
            <w:hideMark/>
          </w:tcPr>
          <w:p w:rsidR="00FC57DC" w:rsidRPr="00CF1FBD" w:rsidRDefault="00FC57DC" w:rsidP="00974EFA">
            <w:pPr>
              <w:pStyle w:val="Tabletext"/>
            </w:pPr>
            <w:r w:rsidRPr="00CF1FBD">
              <w:t>2</w:t>
            </w:r>
          </w:p>
        </w:tc>
        <w:tc>
          <w:tcPr>
            <w:tcW w:w="740" w:type="dxa"/>
          </w:tcPr>
          <w:p w:rsidR="00FC57DC" w:rsidRPr="00CF1FBD" w:rsidRDefault="00FC57DC" w:rsidP="00974EFA">
            <w:pPr>
              <w:pStyle w:val="Tabletext"/>
            </w:pPr>
            <w:r w:rsidRPr="00CF1FBD">
              <w:t>8</w:t>
            </w:r>
          </w:p>
        </w:tc>
        <w:tc>
          <w:tcPr>
            <w:tcW w:w="740" w:type="dxa"/>
            <w:noWrap/>
            <w:hideMark/>
          </w:tcPr>
          <w:p w:rsidR="00FC57DC" w:rsidRPr="00CF1FBD" w:rsidRDefault="00FC57DC" w:rsidP="00974EFA">
            <w:pPr>
              <w:pStyle w:val="Tabletext"/>
            </w:pPr>
            <w:r w:rsidRPr="00CF1FBD">
              <w:t>17</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15</w:t>
            </w:r>
          </w:p>
        </w:tc>
        <w:tc>
          <w:tcPr>
            <w:tcW w:w="740" w:type="dxa"/>
            <w:noWrap/>
            <w:hideMark/>
          </w:tcPr>
          <w:p w:rsidR="00FC57DC" w:rsidRPr="00CF1FBD" w:rsidRDefault="00FC57DC" w:rsidP="00974EFA">
            <w:pPr>
              <w:pStyle w:val="Tabletext"/>
            </w:pPr>
            <w:r w:rsidRPr="00CF1FBD">
              <w:t>0</w:t>
            </w:r>
          </w:p>
        </w:tc>
        <w:tc>
          <w:tcPr>
            <w:tcW w:w="740" w:type="dxa"/>
            <w:noWrap/>
            <w:hideMark/>
          </w:tcPr>
          <w:p w:rsidR="00FC57DC" w:rsidRPr="00CF1FBD" w:rsidRDefault="00FC57DC" w:rsidP="00974EFA">
            <w:pPr>
              <w:pStyle w:val="Tabletext"/>
            </w:pPr>
            <w:r w:rsidRPr="00CF1FBD">
              <w:t>13</w:t>
            </w:r>
          </w:p>
        </w:tc>
      </w:tr>
      <w:tr w:rsidR="00FC57DC" w:rsidRPr="00CF1FBD" w:rsidTr="00D31D5F">
        <w:trPr>
          <w:trHeight w:val="300"/>
        </w:trPr>
        <w:tc>
          <w:tcPr>
            <w:tcW w:w="2689" w:type="dxa"/>
            <w:noWrap/>
            <w:hideMark/>
          </w:tcPr>
          <w:p w:rsidR="00FC57DC" w:rsidRPr="0020489F" w:rsidRDefault="00FC57DC" w:rsidP="00974EFA">
            <w:pPr>
              <w:pStyle w:val="Tabletext"/>
              <w:rPr>
                <w:iCs/>
              </w:rPr>
            </w:pPr>
            <w:r w:rsidRPr="0020489F">
              <w:rPr>
                <w:iCs/>
              </w:rPr>
              <w:t>Maximum total count</w:t>
            </w:r>
          </w:p>
        </w:tc>
        <w:tc>
          <w:tcPr>
            <w:tcW w:w="740" w:type="dxa"/>
            <w:noWrap/>
            <w:hideMark/>
          </w:tcPr>
          <w:p w:rsidR="00FC57DC" w:rsidRPr="0020489F" w:rsidRDefault="00FC57DC" w:rsidP="00974EFA">
            <w:pPr>
              <w:pStyle w:val="Tabletext"/>
            </w:pPr>
            <w:r w:rsidRPr="0020489F">
              <w:t>4874</w:t>
            </w:r>
          </w:p>
        </w:tc>
        <w:tc>
          <w:tcPr>
            <w:tcW w:w="740" w:type="dxa"/>
          </w:tcPr>
          <w:p w:rsidR="00FC57DC" w:rsidRPr="0020489F" w:rsidRDefault="00FC57DC" w:rsidP="00974EFA">
            <w:pPr>
              <w:pStyle w:val="Tabletext"/>
            </w:pPr>
            <w:r w:rsidRPr="0020489F">
              <w:t>3727</w:t>
            </w:r>
          </w:p>
        </w:tc>
        <w:tc>
          <w:tcPr>
            <w:tcW w:w="740" w:type="dxa"/>
            <w:noWrap/>
            <w:hideMark/>
          </w:tcPr>
          <w:p w:rsidR="00FC57DC" w:rsidRPr="0020489F" w:rsidRDefault="00FC57DC" w:rsidP="00974EFA">
            <w:pPr>
              <w:pStyle w:val="Tabletext"/>
            </w:pPr>
            <w:r w:rsidRPr="0020489F">
              <w:t>3953</w:t>
            </w:r>
          </w:p>
        </w:tc>
        <w:tc>
          <w:tcPr>
            <w:tcW w:w="740" w:type="dxa"/>
            <w:noWrap/>
            <w:hideMark/>
          </w:tcPr>
          <w:p w:rsidR="00FC57DC" w:rsidRPr="0020489F" w:rsidRDefault="00FC57DC" w:rsidP="00974EFA">
            <w:pPr>
              <w:pStyle w:val="Tabletext"/>
            </w:pPr>
            <w:r w:rsidRPr="0020489F">
              <w:t>2284</w:t>
            </w:r>
          </w:p>
        </w:tc>
        <w:tc>
          <w:tcPr>
            <w:tcW w:w="740" w:type="dxa"/>
            <w:noWrap/>
            <w:hideMark/>
          </w:tcPr>
          <w:p w:rsidR="00FC57DC" w:rsidRPr="0020489F" w:rsidRDefault="00FC57DC" w:rsidP="00974EFA">
            <w:pPr>
              <w:pStyle w:val="Tabletext"/>
            </w:pPr>
            <w:r w:rsidRPr="0020489F">
              <w:t>4127</w:t>
            </w:r>
          </w:p>
        </w:tc>
        <w:tc>
          <w:tcPr>
            <w:tcW w:w="740" w:type="dxa"/>
            <w:noWrap/>
            <w:hideMark/>
          </w:tcPr>
          <w:p w:rsidR="00FC57DC" w:rsidRPr="0020489F" w:rsidRDefault="00FC57DC" w:rsidP="00974EFA">
            <w:pPr>
              <w:pStyle w:val="Tabletext"/>
            </w:pPr>
            <w:r w:rsidRPr="0020489F">
              <w:t>1180</w:t>
            </w:r>
          </w:p>
        </w:tc>
        <w:tc>
          <w:tcPr>
            <w:tcW w:w="740" w:type="dxa"/>
            <w:noWrap/>
            <w:hideMark/>
          </w:tcPr>
          <w:p w:rsidR="00FC57DC" w:rsidRPr="0020489F" w:rsidRDefault="00FC57DC" w:rsidP="00974EFA">
            <w:pPr>
              <w:pStyle w:val="Tabletext"/>
            </w:pPr>
            <w:r w:rsidRPr="0020489F">
              <w:t>1133</w:t>
            </w:r>
          </w:p>
        </w:tc>
        <w:tc>
          <w:tcPr>
            <w:tcW w:w="740" w:type="dxa"/>
            <w:noWrap/>
            <w:hideMark/>
          </w:tcPr>
          <w:p w:rsidR="00FC57DC" w:rsidRPr="0020489F" w:rsidRDefault="00FC57DC" w:rsidP="00974EFA">
            <w:pPr>
              <w:pStyle w:val="Tabletext"/>
            </w:pPr>
            <w:r w:rsidRPr="0020489F">
              <w:t>5807</w:t>
            </w:r>
          </w:p>
        </w:tc>
      </w:tr>
      <w:tr w:rsidR="00FC57DC" w:rsidRPr="00CF1FBD" w:rsidTr="00D31D5F">
        <w:trPr>
          <w:trHeight w:val="300"/>
        </w:trPr>
        <w:tc>
          <w:tcPr>
            <w:tcW w:w="2689" w:type="dxa"/>
            <w:noWrap/>
            <w:hideMark/>
          </w:tcPr>
          <w:p w:rsidR="00FC57DC" w:rsidRPr="0020489F" w:rsidRDefault="00FC57DC" w:rsidP="00974EFA">
            <w:pPr>
              <w:pStyle w:val="Tabletext"/>
              <w:rPr>
                <w:iCs/>
                <w:szCs w:val="18"/>
              </w:rPr>
            </w:pPr>
            <w:r w:rsidRPr="0020489F">
              <w:rPr>
                <w:iCs/>
                <w:szCs w:val="18"/>
              </w:rPr>
              <w:t>Total species</w:t>
            </w:r>
          </w:p>
        </w:tc>
        <w:tc>
          <w:tcPr>
            <w:tcW w:w="740" w:type="dxa"/>
            <w:noWrap/>
            <w:hideMark/>
          </w:tcPr>
          <w:p w:rsidR="00FC57DC" w:rsidRPr="0020489F" w:rsidRDefault="00FC57DC" w:rsidP="00974EFA">
            <w:pPr>
              <w:pStyle w:val="Tabletext"/>
            </w:pPr>
            <w:r w:rsidRPr="0020489F">
              <w:t>27</w:t>
            </w:r>
          </w:p>
        </w:tc>
        <w:tc>
          <w:tcPr>
            <w:tcW w:w="740" w:type="dxa"/>
          </w:tcPr>
          <w:p w:rsidR="00FC57DC" w:rsidRPr="0020489F" w:rsidRDefault="00FC57DC" w:rsidP="00974EFA">
            <w:pPr>
              <w:pStyle w:val="Tabletext"/>
            </w:pPr>
            <w:r w:rsidRPr="0020489F">
              <w:t>24</w:t>
            </w:r>
          </w:p>
        </w:tc>
        <w:tc>
          <w:tcPr>
            <w:tcW w:w="740" w:type="dxa"/>
            <w:noWrap/>
            <w:hideMark/>
          </w:tcPr>
          <w:p w:rsidR="00FC57DC" w:rsidRPr="0020489F" w:rsidRDefault="00FC57DC" w:rsidP="00974EFA">
            <w:pPr>
              <w:pStyle w:val="Tabletext"/>
            </w:pPr>
            <w:r w:rsidRPr="0020489F">
              <w:t>28</w:t>
            </w:r>
          </w:p>
        </w:tc>
        <w:tc>
          <w:tcPr>
            <w:tcW w:w="740" w:type="dxa"/>
            <w:noWrap/>
            <w:hideMark/>
          </w:tcPr>
          <w:p w:rsidR="00FC57DC" w:rsidRPr="0020489F" w:rsidRDefault="00FC57DC" w:rsidP="00974EFA">
            <w:pPr>
              <w:pStyle w:val="Tabletext"/>
            </w:pPr>
            <w:r w:rsidRPr="0020489F">
              <w:t>29</w:t>
            </w:r>
          </w:p>
        </w:tc>
        <w:tc>
          <w:tcPr>
            <w:tcW w:w="740" w:type="dxa"/>
            <w:noWrap/>
            <w:hideMark/>
          </w:tcPr>
          <w:p w:rsidR="00FC57DC" w:rsidRPr="0020489F" w:rsidRDefault="00FC57DC" w:rsidP="00974EFA">
            <w:pPr>
              <w:pStyle w:val="Tabletext"/>
            </w:pPr>
            <w:r w:rsidRPr="0020489F">
              <w:t>29</w:t>
            </w:r>
          </w:p>
        </w:tc>
        <w:tc>
          <w:tcPr>
            <w:tcW w:w="740" w:type="dxa"/>
            <w:noWrap/>
            <w:hideMark/>
          </w:tcPr>
          <w:p w:rsidR="00FC57DC" w:rsidRPr="0020489F" w:rsidRDefault="00FC57DC" w:rsidP="00974EFA">
            <w:pPr>
              <w:pStyle w:val="Tabletext"/>
            </w:pPr>
            <w:r w:rsidRPr="0020489F">
              <w:t>28</w:t>
            </w:r>
          </w:p>
        </w:tc>
        <w:tc>
          <w:tcPr>
            <w:tcW w:w="740" w:type="dxa"/>
            <w:noWrap/>
            <w:hideMark/>
          </w:tcPr>
          <w:p w:rsidR="00FC57DC" w:rsidRPr="0020489F" w:rsidRDefault="00FC57DC" w:rsidP="00974EFA">
            <w:pPr>
              <w:pStyle w:val="Tabletext"/>
            </w:pPr>
            <w:r w:rsidRPr="0020489F">
              <w:t>26</w:t>
            </w:r>
          </w:p>
        </w:tc>
        <w:tc>
          <w:tcPr>
            <w:tcW w:w="740" w:type="dxa"/>
            <w:noWrap/>
            <w:hideMark/>
          </w:tcPr>
          <w:p w:rsidR="00FC57DC" w:rsidRPr="0020489F" w:rsidRDefault="00FC57DC" w:rsidP="00974EFA">
            <w:pPr>
              <w:pStyle w:val="Tabletext"/>
            </w:pPr>
            <w:r w:rsidRPr="0020489F">
              <w:t>21</w:t>
            </w:r>
          </w:p>
        </w:tc>
      </w:tr>
    </w:tbl>
    <w:p w:rsidR="00257956" w:rsidRDefault="00257956" w:rsidP="00257956"/>
    <w:p w:rsidR="00B62686" w:rsidRDefault="00B62686">
      <w:pPr>
        <w:spacing w:after="0" w:line="240" w:lineRule="auto"/>
        <w:jc w:val="left"/>
      </w:pPr>
      <w:r>
        <w:br w:type="page"/>
      </w:r>
    </w:p>
    <w:p w:rsidR="008E5029" w:rsidRDefault="002C71AC" w:rsidP="00D31D5F">
      <w:pPr>
        <w:pStyle w:val="Heading1"/>
        <w:numPr>
          <w:ilvl w:val="0"/>
          <w:numId w:val="0"/>
        </w:numPr>
        <w:ind w:left="432" w:hanging="432"/>
      </w:pPr>
      <w:bookmarkStart w:id="535" w:name="_Toc370299263"/>
      <w:bookmarkStart w:id="536" w:name="_Toc370738892"/>
      <w:bookmarkStart w:id="537" w:name="_Toc378168609"/>
      <w:r>
        <w:t xml:space="preserve">Appendix </w:t>
      </w:r>
      <w:r w:rsidR="0018326F">
        <w:t>5</w:t>
      </w:r>
      <w:r>
        <w:t xml:space="preserve"> </w:t>
      </w:r>
      <w:r w:rsidR="00B62686">
        <w:t>Genera</w:t>
      </w:r>
      <w:r w:rsidR="00D31D5F">
        <w:t xml:space="preserve">lised linear regression outputs </w:t>
      </w:r>
      <w:r w:rsidR="00B62686">
        <w:t>extended results</w:t>
      </w:r>
      <w:bookmarkEnd w:id="535"/>
      <w:bookmarkEnd w:id="536"/>
      <w:bookmarkEnd w:id="537"/>
    </w:p>
    <w:p w:rsidR="002C71AC" w:rsidRPr="002C71AC" w:rsidRDefault="002C71AC" w:rsidP="002C71AC">
      <w:pPr>
        <w:pStyle w:val="Heading3"/>
        <w:rPr>
          <w:lang w:eastAsia="en-AU"/>
        </w:rPr>
      </w:pPr>
      <w:bookmarkStart w:id="538" w:name="_Toc370738893"/>
      <w:bookmarkStart w:id="539" w:name="_Toc378168610"/>
      <w:r>
        <w:rPr>
          <w:lang w:eastAsia="en-AU"/>
        </w:rPr>
        <w:t>Wetland frogs breeding</w:t>
      </w:r>
      <w:bookmarkEnd w:id="538"/>
      <w:bookmarkEnd w:id="539"/>
    </w:p>
    <w:p w:rsidR="008E5029" w:rsidRPr="00B23DFA" w:rsidRDefault="008E5029" w:rsidP="00B27EB3">
      <w:pPr>
        <w:pStyle w:val="Caption1"/>
        <w:rPr>
          <w:szCs w:val="18"/>
        </w:rPr>
      </w:pPr>
      <w:bookmarkStart w:id="540" w:name="_Toc370738894"/>
      <w:r w:rsidRPr="00B23DFA">
        <w:rPr>
          <w:szCs w:val="18"/>
        </w:rPr>
        <w:t>Full model:</w:t>
      </w:r>
      <w:r w:rsidR="000C7745" w:rsidRPr="000C7745">
        <w:t xml:space="preserve"> </w:t>
      </w:r>
      <w:r w:rsidR="000C7745">
        <w:t>Model-averaged coefficients</w:t>
      </w:r>
      <w:bookmarkEnd w:id="540"/>
    </w:p>
    <w:tbl>
      <w:tblPr>
        <w:tblStyle w:val="TableGrid"/>
        <w:tblW w:w="5000" w:type="pct"/>
        <w:tblLook w:val="04A0"/>
      </w:tblPr>
      <w:tblGrid>
        <w:gridCol w:w="5561"/>
        <w:gridCol w:w="950"/>
        <w:gridCol w:w="967"/>
        <w:gridCol w:w="828"/>
        <w:gridCol w:w="937"/>
      </w:tblGrid>
      <w:tr w:rsidR="008E5029" w:rsidRPr="00B23DFA" w:rsidTr="00B23DFA">
        <w:trPr>
          <w:cnfStyle w:val="100000000000"/>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Coefficients:</w:t>
            </w:r>
          </w:p>
        </w:tc>
        <w:tc>
          <w:tcPr>
            <w:tcW w:w="431" w:type="pct"/>
            <w:noWrap/>
            <w:hideMark/>
          </w:tcPr>
          <w:p w:rsidR="008E5029" w:rsidRPr="00B23DFA" w:rsidRDefault="008E5029" w:rsidP="00B23DFA">
            <w:pPr>
              <w:pStyle w:val="Tabletext"/>
              <w:rPr>
                <w:szCs w:val="18"/>
                <w:lang w:bidi="he-IL"/>
              </w:rPr>
            </w:pPr>
            <w:r w:rsidRPr="00B23DFA">
              <w:rPr>
                <w:szCs w:val="18"/>
                <w:lang w:bidi="he-IL"/>
              </w:rPr>
              <w:t>Estimate</w:t>
            </w:r>
          </w:p>
        </w:tc>
        <w:tc>
          <w:tcPr>
            <w:tcW w:w="407" w:type="pct"/>
            <w:noWrap/>
            <w:hideMark/>
          </w:tcPr>
          <w:p w:rsidR="008E5029" w:rsidRPr="00B23DFA" w:rsidRDefault="008E5029" w:rsidP="00B23DFA">
            <w:pPr>
              <w:pStyle w:val="Tabletext"/>
              <w:rPr>
                <w:szCs w:val="18"/>
                <w:lang w:bidi="he-IL"/>
              </w:rPr>
            </w:pPr>
            <w:r w:rsidRPr="00B23DFA">
              <w:rPr>
                <w:szCs w:val="18"/>
                <w:lang w:bidi="he-IL"/>
              </w:rPr>
              <w:t>Std. Error</w:t>
            </w:r>
          </w:p>
        </w:tc>
        <w:tc>
          <w:tcPr>
            <w:tcW w:w="407" w:type="pct"/>
            <w:noWrap/>
            <w:hideMark/>
          </w:tcPr>
          <w:p w:rsidR="008E5029" w:rsidRPr="00B23DFA" w:rsidRDefault="008E5029" w:rsidP="00B23DFA">
            <w:pPr>
              <w:pStyle w:val="Tabletext"/>
              <w:rPr>
                <w:szCs w:val="18"/>
                <w:lang w:bidi="he-IL"/>
              </w:rPr>
            </w:pPr>
            <w:r w:rsidRPr="00B23DFA">
              <w:rPr>
                <w:szCs w:val="18"/>
                <w:lang w:bidi="he-IL"/>
              </w:rPr>
              <w:t>z value</w:t>
            </w:r>
          </w:p>
        </w:tc>
        <w:tc>
          <w:tcPr>
            <w:tcW w:w="407" w:type="pct"/>
            <w:noWrap/>
            <w:hideMark/>
          </w:tcPr>
          <w:p w:rsidR="008E5029" w:rsidRPr="00B23DFA" w:rsidRDefault="008E5029" w:rsidP="00B23DFA">
            <w:pPr>
              <w:pStyle w:val="Tabletext"/>
              <w:rPr>
                <w:szCs w:val="18"/>
                <w:lang w:bidi="he-IL"/>
              </w:rPr>
            </w:pPr>
            <w:r w:rsidRPr="00B23DFA">
              <w:rPr>
                <w:szCs w:val="18"/>
                <w:lang w:bidi="he-IL"/>
              </w:rPr>
              <w:t>Pr(&gt;|z|)</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(Intercept)</w:t>
            </w:r>
          </w:p>
        </w:tc>
        <w:tc>
          <w:tcPr>
            <w:tcW w:w="431" w:type="pct"/>
            <w:noWrap/>
            <w:hideMark/>
          </w:tcPr>
          <w:p w:rsidR="008E5029" w:rsidRPr="00B23DFA" w:rsidRDefault="008E5029" w:rsidP="00B23DFA">
            <w:pPr>
              <w:pStyle w:val="Tabletext"/>
              <w:rPr>
                <w:szCs w:val="18"/>
                <w:lang w:bidi="he-IL"/>
              </w:rPr>
            </w:pPr>
            <w:r w:rsidRPr="00B23DFA">
              <w:rPr>
                <w:szCs w:val="18"/>
                <w:lang w:bidi="he-IL"/>
              </w:rPr>
              <w:t>1.734</w:t>
            </w:r>
          </w:p>
        </w:tc>
        <w:tc>
          <w:tcPr>
            <w:tcW w:w="407" w:type="pct"/>
            <w:noWrap/>
            <w:hideMark/>
          </w:tcPr>
          <w:p w:rsidR="008E5029" w:rsidRPr="00B23DFA" w:rsidRDefault="008E5029" w:rsidP="00B23DFA">
            <w:pPr>
              <w:pStyle w:val="Tabletext"/>
              <w:rPr>
                <w:szCs w:val="18"/>
                <w:lang w:bidi="he-IL"/>
              </w:rPr>
            </w:pPr>
            <w:r w:rsidRPr="00B23DFA">
              <w:rPr>
                <w:szCs w:val="18"/>
                <w:lang w:bidi="he-IL"/>
              </w:rPr>
              <w:t>0.193</w:t>
            </w:r>
          </w:p>
        </w:tc>
        <w:tc>
          <w:tcPr>
            <w:tcW w:w="407" w:type="pct"/>
            <w:noWrap/>
            <w:hideMark/>
          </w:tcPr>
          <w:p w:rsidR="008E5029" w:rsidRPr="00B23DFA" w:rsidRDefault="008E5029" w:rsidP="00B23DFA">
            <w:pPr>
              <w:pStyle w:val="Tabletext"/>
              <w:rPr>
                <w:szCs w:val="18"/>
                <w:lang w:bidi="he-IL"/>
              </w:rPr>
            </w:pPr>
            <w:r w:rsidRPr="00B23DFA">
              <w:rPr>
                <w:szCs w:val="18"/>
                <w:lang w:bidi="he-IL"/>
              </w:rPr>
              <w:t>8.999</w:t>
            </w:r>
          </w:p>
        </w:tc>
        <w:tc>
          <w:tcPr>
            <w:tcW w:w="407" w:type="pct"/>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Veg.comp1</w:t>
            </w:r>
          </w:p>
        </w:tc>
        <w:tc>
          <w:tcPr>
            <w:tcW w:w="431" w:type="pct"/>
            <w:noWrap/>
            <w:hideMark/>
          </w:tcPr>
          <w:p w:rsidR="008E5029" w:rsidRPr="00B23DFA" w:rsidRDefault="008E5029" w:rsidP="00B23DFA">
            <w:pPr>
              <w:pStyle w:val="Tabletext"/>
              <w:rPr>
                <w:szCs w:val="18"/>
                <w:lang w:bidi="he-IL"/>
              </w:rPr>
            </w:pPr>
            <w:r w:rsidRPr="00B23DFA">
              <w:rPr>
                <w:szCs w:val="18"/>
                <w:lang w:bidi="he-IL"/>
              </w:rPr>
              <w:t>0.461</w:t>
            </w:r>
          </w:p>
        </w:tc>
        <w:tc>
          <w:tcPr>
            <w:tcW w:w="407" w:type="pct"/>
            <w:noWrap/>
            <w:hideMark/>
          </w:tcPr>
          <w:p w:rsidR="008E5029" w:rsidRPr="00B23DFA" w:rsidRDefault="008E5029" w:rsidP="00B23DFA">
            <w:pPr>
              <w:pStyle w:val="Tabletext"/>
              <w:rPr>
                <w:szCs w:val="18"/>
                <w:lang w:bidi="he-IL"/>
              </w:rPr>
            </w:pPr>
            <w:r w:rsidRPr="00B23DFA">
              <w:rPr>
                <w:szCs w:val="18"/>
                <w:lang w:bidi="he-IL"/>
              </w:rPr>
              <w:t>0.076</w:t>
            </w:r>
          </w:p>
        </w:tc>
        <w:tc>
          <w:tcPr>
            <w:tcW w:w="407" w:type="pct"/>
            <w:noWrap/>
            <w:hideMark/>
          </w:tcPr>
          <w:p w:rsidR="008E5029" w:rsidRPr="00B23DFA" w:rsidRDefault="008E5029" w:rsidP="00B23DFA">
            <w:pPr>
              <w:pStyle w:val="Tabletext"/>
              <w:rPr>
                <w:szCs w:val="18"/>
                <w:lang w:bidi="he-IL"/>
              </w:rPr>
            </w:pPr>
            <w:r w:rsidRPr="00B23DFA">
              <w:rPr>
                <w:szCs w:val="18"/>
                <w:lang w:bidi="he-IL"/>
              </w:rPr>
              <w:t>6.068</w:t>
            </w:r>
          </w:p>
        </w:tc>
        <w:tc>
          <w:tcPr>
            <w:tcW w:w="407" w:type="pct"/>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Veg.comp2</w:t>
            </w:r>
          </w:p>
        </w:tc>
        <w:tc>
          <w:tcPr>
            <w:tcW w:w="431" w:type="pct"/>
            <w:noWrap/>
            <w:hideMark/>
          </w:tcPr>
          <w:p w:rsidR="008E5029" w:rsidRPr="00B23DFA" w:rsidRDefault="008E5029" w:rsidP="00B23DFA">
            <w:pPr>
              <w:pStyle w:val="Tabletext"/>
              <w:rPr>
                <w:szCs w:val="18"/>
                <w:lang w:bidi="he-IL"/>
              </w:rPr>
            </w:pPr>
            <w:r w:rsidRPr="00B23DFA">
              <w:rPr>
                <w:szCs w:val="18"/>
                <w:lang w:bidi="he-IL"/>
              </w:rPr>
              <w:t>-0.321</w:t>
            </w:r>
          </w:p>
        </w:tc>
        <w:tc>
          <w:tcPr>
            <w:tcW w:w="407" w:type="pct"/>
            <w:noWrap/>
            <w:hideMark/>
          </w:tcPr>
          <w:p w:rsidR="008E5029" w:rsidRPr="00B23DFA" w:rsidRDefault="008E5029" w:rsidP="00B23DFA">
            <w:pPr>
              <w:pStyle w:val="Tabletext"/>
              <w:rPr>
                <w:szCs w:val="18"/>
                <w:lang w:bidi="he-IL"/>
              </w:rPr>
            </w:pPr>
            <w:r w:rsidRPr="00B23DFA">
              <w:rPr>
                <w:szCs w:val="18"/>
                <w:lang w:bidi="he-IL"/>
              </w:rPr>
              <w:t>0.102</w:t>
            </w:r>
          </w:p>
        </w:tc>
        <w:tc>
          <w:tcPr>
            <w:tcW w:w="407" w:type="pct"/>
            <w:noWrap/>
            <w:hideMark/>
          </w:tcPr>
          <w:p w:rsidR="008E5029" w:rsidRPr="00B23DFA" w:rsidRDefault="008E5029" w:rsidP="00B23DFA">
            <w:pPr>
              <w:pStyle w:val="Tabletext"/>
              <w:rPr>
                <w:szCs w:val="18"/>
                <w:lang w:bidi="he-IL"/>
              </w:rPr>
            </w:pPr>
            <w:r w:rsidRPr="00B23DFA">
              <w:rPr>
                <w:szCs w:val="18"/>
                <w:lang w:bidi="he-IL"/>
              </w:rPr>
              <w:t>-3.141</w:t>
            </w:r>
          </w:p>
        </w:tc>
        <w:tc>
          <w:tcPr>
            <w:tcW w:w="407" w:type="pct"/>
            <w:noWrap/>
            <w:hideMark/>
          </w:tcPr>
          <w:p w:rsidR="008E5029" w:rsidRPr="00B23DFA" w:rsidRDefault="008E5029" w:rsidP="00B23DFA">
            <w:pPr>
              <w:pStyle w:val="Tabletext"/>
              <w:rPr>
                <w:szCs w:val="18"/>
                <w:lang w:bidi="he-IL"/>
              </w:rPr>
            </w:pPr>
            <w:r w:rsidRPr="00B23DFA">
              <w:rPr>
                <w:szCs w:val="18"/>
                <w:lang w:bidi="he-IL"/>
              </w:rPr>
              <w:t>0.002</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Veg.comp3</w:t>
            </w:r>
          </w:p>
        </w:tc>
        <w:tc>
          <w:tcPr>
            <w:tcW w:w="431" w:type="pct"/>
            <w:noWrap/>
            <w:hideMark/>
          </w:tcPr>
          <w:p w:rsidR="008E5029" w:rsidRPr="00B23DFA" w:rsidRDefault="008E5029" w:rsidP="00B23DFA">
            <w:pPr>
              <w:pStyle w:val="Tabletext"/>
              <w:rPr>
                <w:szCs w:val="18"/>
                <w:lang w:bidi="he-IL"/>
              </w:rPr>
            </w:pPr>
            <w:r w:rsidRPr="00B23DFA">
              <w:rPr>
                <w:szCs w:val="18"/>
                <w:lang w:bidi="he-IL"/>
              </w:rPr>
              <w:t>-0.408</w:t>
            </w:r>
          </w:p>
        </w:tc>
        <w:tc>
          <w:tcPr>
            <w:tcW w:w="407" w:type="pct"/>
            <w:noWrap/>
            <w:hideMark/>
          </w:tcPr>
          <w:p w:rsidR="008E5029" w:rsidRPr="00B23DFA" w:rsidRDefault="008E5029" w:rsidP="00B23DFA">
            <w:pPr>
              <w:pStyle w:val="Tabletext"/>
              <w:rPr>
                <w:szCs w:val="18"/>
                <w:lang w:bidi="he-IL"/>
              </w:rPr>
            </w:pPr>
            <w:r w:rsidRPr="00B23DFA">
              <w:rPr>
                <w:szCs w:val="18"/>
                <w:lang w:bidi="he-IL"/>
              </w:rPr>
              <w:t>0.113</w:t>
            </w:r>
          </w:p>
        </w:tc>
        <w:tc>
          <w:tcPr>
            <w:tcW w:w="407" w:type="pct"/>
            <w:noWrap/>
            <w:hideMark/>
          </w:tcPr>
          <w:p w:rsidR="008E5029" w:rsidRPr="00B23DFA" w:rsidRDefault="008E5029" w:rsidP="00B23DFA">
            <w:pPr>
              <w:pStyle w:val="Tabletext"/>
              <w:rPr>
                <w:szCs w:val="18"/>
                <w:lang w:bidi="he-IL"/>
              </w:rPr>
            </w:pPr>
            <w:r w:rsidRPr="00B23DFA">
              <w:rPr>
                <w:szCs w:val="18"/>
                <w:lang w:bidi="he-IL"/>
              </w:rPr>
              <w:t>-3.601</w:t>
            </w:r>
          </w:p>
        </w:tc>
        <w:tc>
          <w:tcPr>
            <w:tcW w:w="407" w:type="pct"/>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WQ.comp1</w:t>
            </w:r>
          </w:p>
        </w:tc>
        <w:tc>
          <w:tcPr>
            <w:tcW w:w="431" w:type="pct"/>
            <w:noWrap/>
            <w:hideMark/>
          </w:tcPr>
          <w:p w:rsidR="008E5029" w:rsidRPr="00B23DFA" w:rsidRDefault="008E5029" w:rsidP="00B23DFA">
            <w:pPr>
              <w:pStyle w:val="Tabletext"/>
              <w:rPr>
                <w:szCs w:val="18"/>
                <w:lang w:bidi="he-IL"/>
              </w:rPr>
            </w:pPr>
            <w:r w:rsidRPr="00B23DFA">
              <w:rPr>
                <w:szCs w:val="18"/>
                <w:lang w:bidi="he-IL"/>
              </w:rPr>
              <w:t>-1.213</w:t>
            </w:r>
          </w:p>
        </w:tc>
        <w:tc>
          <w:tcPr>
            <w:tcW w:w="407" w:type="pct"/>
            <w:noWrap/>
            <w:hideMark/>
          </w:tcPr>
          <w:p w:rsidR="008E5029" w:rsidRPr="00B23DFA" w:rsidRDefault="008E5029" w:rsidP="00B23DFA">
            <w:pPr>
              <w:pStyle w:val="Tabletext"/>
              <w:rPr>
                <w:szCs w:val="18"/>
                <w:lang w:bidi="he-IL"/>
              </w:rPr>
            </w:pPr>
            <w:r w:rsidRPr="00B23DFA">
              <w:rPr>
                <w:szCs w:val="18"/>
                <w:lang w:bidi="he-IL"/>
              </w:rPr>
              <w:t>0.065</w:t>
            </w:r>
          </w:p>
        </w:tc>
        <w:tc>
          <w:tcPr>
            <w:tcW w:w="407" w:type="pct"/>
            <w:noWrap/>
            <w:hideMark/>
          </w:tcPr>
          <w:p w:rsidR="008E5029" w:rsidRPr="00B23DFA" w:rsidRDefault="008E5029" w:rsidP="00B23DFA">
            <w:pPr>
              <w:pStyle w:val="Tabletext"/>
              <w:rPr>
                <w:szCs w:val="18"/>
                <w:lang w:bidi="he-IL"/>
              </w:rPr>
            </w:pPr>
            <w:r w:rsidRPr="00B23DFA">
              <w:rPr>
                <w:szCs w:val="18"/>
                <w:lang w:bidi="he-IL"/>
              </w:rPr>
              <w:t>-18.664</w:t>
            </w:r>
          </w:p>
        </w:tc>
        <w:tc>
          <w:tcPr>
            <w:tcW w:w="407" w:type="pct"/>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Lowbidgee</w:t>
            </w:r>
          </w:p>
        </w:tc>
        <w:tc>
          <w:tcPr>
            <w:tcW w:w="431" w:type="pct"/>
            <w:noWrap/>
            <w:hideMark/>
          </w:tcPr>
          <w:p w:rsidR="008E5029" w:rsidRPr="00B23DFA" w:rsidRDefault="008E5029" w:rsidP="00B23DFA">
            <w:pPr>
              <w:pStyle w:val="Tabletext"/>
              <w:rPr>
                <w:szCs w:val="18"/>
                <w:lang w:bidi="he-IL"/>
              </w:rPr>
            </w:pPr>
            <w:r w:rsidRPr="00B23DFA">
              <w:rPr>
                <w:szCs w:val="18"/>
                <w:lang w:bidi="he-IL"/>
              </w:rPr>
              <w:t>1.660</w:t>
            </w:r>
          </w:p>
        </w:tc>
        <w:tc>
          <w:tcPr>
            <w:tcW w:w="407" w:type="pct"/>
            <w:noWrap/>
            <w:hideMark/>
          </w:tcPr>
          <w:p w:rsidR="008E5029" w:rsidRPr="00B23DFA" w:rsidRDefault="008E5029" w:rsidP="00B23DFA">
            <w:pPr>
              <w:pStyle w:val="Tabletext"/>
              <w:rPr>
                <w:szCs w:val="18"/>
                <w:lang w:bidi="he-IL"/>
              </w:rPr>
            </w:pPr>
            <w:r w:rsidRPr="00B23DFA">
              <w:rPr>
                <w:szCs w:val="18"/>
                <w:lang w:bidi="he-IL"/>
              </w:rPr>
              <w:t>0.234</w:t>
            </w:r>
          </w:p>
        </w:tc>
        <w:tc>
          <w:tcPr>
            <w:tcW w:w="407" w:type="pct"/>
            <w:noWrap/>
            <w:hideMark/>
          </w:tcPr>
          <w:p w:rsidR="008E5029" w:rsidRPr="00B23DFA" w:rsidRDefault="008E5029" w:rsidP="00B23DFA">
            <w:pPr>
              <w:pStyle w:val="Tabletext"/>
              <w:rPr>
                <w:szCs w:val="18"/>
                <w:lang w:bidi="he-IL"/>
              </w:rPr>
            </w:pPr>
            <w:r w:rsidRPr="00B23DFA">
              <w:rPr>
                <w:szCs w:val="18"/>
                <w:lang w:bidi="he-IL"/>
              </w:rPr>
              <w:t>7.080</w:t>
            </w:r>
          </w:p>
        </w:tc>
        <w:tc>
          <w:tcPr>
            <w:tcW w:w="407" w:type="pct"/>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mid-Murrumbidgee</w:t>
            </w:r>
          </w:p>
        </w:tc>
        <w:tc>
          <w:tcPr>
            <w:tcW w:w="431" w:type="pct"/>
            <w:noWrap/>
            <w:hideMark/>
          </w:tcPr>
          <w:p w:rsidR="008E5029" w:rsidRPr="00B23DFA" w:rsidRDefault="008E5029" w:rsidP="00B23DFA">
            <w:pPr>
              <w:pStyle w:val="Tabletext"/>
              <w:rPr>
                <w:szCs w:val="18"/>
                <w:lang w:bidi="he-IL"/>
              </w:rPr>
            </w:pPr>
            <w:r w:rsidRPr="00B23DFA">
              <w:rPr>
                <w:szCs w:val="18"/>
                <w:lang w:bidi="he-IL"/>
              </w:rPr>
              <w:t>-2.873</w:t>
            </w:r>
          </w:p>
        </w:tc>
        <w:tc>
          <w:tcPr>
            <w:tcW w:w="407" w:type="pct"/>
            <w:noWrap/>
            <w:hideMark/>
          </w:tcPr>
          <w:p w:rsidR="008E5029" w:rsidRPr="00B23DFA" w:rsidRDefault="008E5029" w:rsidP="00B23DFA">
            <w:pPr>
              <w:pStyle w:val="Tabletext"/>
              <w:rPr>
                <w:szCs w:val="18"/>
                <w:lang w:bidi="he-IL"/>
              </w:rPr>
            </w:pPr>
            <w:r w:rsidRPr="00B23DFA">
              <w:rPr>
                <w:szCs w:val="18"/>
                <w:lang w:bidi="he-IL"/>
              </w:rPr>
              <w:t>0.353</w:t>
            </w:r>
          </w:p>
        </w:tc>
        <w:tc>
          <w:tcPr>
            <w:tcW w:w="407" w:type="pct"/>
            <w:noWrap/>
            <w:hideMark/>
          </w:tcPr>
          <w:p w:rsidR="008E5029" w:rsidRPr="00B23DFA" w:rsidRDefault="008E5029" w:rsidP="00B23DFA">
            <w:pPr>
              <w:pStyle w:val="Tabletext"/>
              <w:rPr>
                <w:szCs w:val="18"/>
                <w:lang w:bidi="he-IL"/>
              </w:rPr>
            </w:pPr>
            <w:r w:rsidRPr="00B23DFA">
              <w:rPr>
                <w:szCs w:val="18"/>
                <w:lang w:bidi="he-IL"/>
              </w:rPr>
              <w:t>-8.149</w:t>
            </w:r>
          </w:p>
        </w:tc>
        <w:tc>
          <w:tcPr>
            <w:tcW w:w="407" w:type="pct"/>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SmallfykeGambusia</w:t>
            </w:r>
          </w:p>
        </w:tc>
        <w:tc>
          <w:tcPr>
            <w:tcW w:w="431" w:type="pct"/>
            <w:noWrap/>
            <w:hideMark/>
          </w:tcPr>
          <w:p w:rsidR="008E5029" w:rsidRPr="00B23DFA" w:rsidRDefault="008E5029" w:rsidP="00B23DFA">
            <w:pPr>
              <w:pStyle w:val="Tabletext"/>
              <w:rPr>
                <w:szCs w:val="18"/>
                <w:lang w:bidi="he-IL"/>
              </w:rPr>
            </w:pPr>
            <w:r w:rsidRPr="00B23DFA">
              <w:rPr>
                <w:szCs w:val="18"/>
                <w:lang w:bidi="he-IL"/>
              </w:rPr>
              <w:t>0.000</w:t>
            </w:r>
          </w:p>
        </w:tc>
        <w:tc>
          <w:tcPr>
            <w:tcW w:w="407" w:type="pct"/>
            <w:noWrap/>
            <w:hideMark/>
          </w:tcPr>
          <w:p w:rsidR="008E5029" w:rsidRPr="00B23DFA" w:rsidRDefault="008E5029" w:rsidP="00B23DFA">
            <w:pPr>
              <w:pStyle w:val="Tabletext"/>
              <w:rPr>
                <w:szCs w:val="18"/>
                <w:lang w:bidi="he-IL"/>
              </w:rPr>
            </w:pPr>
            <w:r w:rsidRPr="00B23DFA">
              <w:rPr>
                <w:szCs w:val="18"/>
                <w:lang w:bidi="he-IL"/>
              </w:rPr>
              <w:t>0.000</w:t>
            </w:r>
          </w:p>
        </w:tc>
        <w:tc>
          <w:tcPr>
            <w:tcW w:w="407" w:type="pct"/>
            <w:noWrap/>
            <w:hideMark/>
          </w:tcPr>
          <w:p w:rsidR="008E5029" w:rsidRPr="00B23DFA" w:rsidRDefault="008E5029" w:rsidP="00B23DFA">
            <w:pPr>
              <w:pStyle w:val="Tabletext"/>
              <w:rPr>
                <w:szCs w:val="18"/>
                <w:lang w:bidi="he-IL"/>
              </w:rPr>
            </w:pPr>
            <w:r w:rsidRPr="00B23DFA">
              <w:rPr>
                <w:szCs w:val="18"/>
                <w:lang w:bidi="he-IL"/>
              </w:rPr>
              <w:t>1.548</w:t>
            </w:r>
          </w:p>
        </w:tc>
        <w:tc>
          <w:tcPr>
            <w:tcW w:w="407" w:type="pct"/>
            <w:noWrap/>
            <w:hideMark/>
          </w:tcPr>
          <w:p w:rsidR="008E5029" w:rsidRPr="00B23DFA" w:rsidRDefault="008E5029" w:rsidP="00B23DFA">
            <w:pPr>
              <w:pStyle w:val="Tabletext"/>
              <w:rPr>
                <w:szCs w:val="18"/>
                <w:lang w:bidi="he-IL"/>
              </w:rPr>
            </w:pPr>
            <w:r w:rsidRPr="00B23DFA">
              <w:rPr>
                <w:szCs w:val="18"/>
                <w:lang w:bidi="he-IL"/>
              </w:rPr>
              <w:t>0.122</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SmallfykeCarpgudgeon</w:t>
            </w:r>
          </w:p>
        </w:tc>
        <w:tc>
          <w:tcPr>
            <w:tcW w:w="431" w:type="pct"/>
            <w:noWrap/>
            <w:hideMark/>
          </w:tcPr>
          <w:p w:rsidR="008E5029" w:rsidRPr="00B23DFA" w:rsidRDefault="008E5029" w:rsidP="00B23DFA">
            <w:pPr>
              <w:pStyle w:val="Tabletext"/>
              <w:rPr>
                <w:szCs w:val="18"/>
                <w:lang w:bidi="he-IL"/>
              </w:rPr>
            </w:pPr>
            <w:r w:rsidRPr="00B23DFA">
              <w:rPr>
                <w:szCs w:val="18"/>
                <w:lang w:bidi="he-IL"/>
              </w:rPr>
              <w:t>0.000</w:t>
            </w:r>
          </w:p>
        </w:tc>
        <w:tc>
          <w:tcPr>
            <w:tcW w:w="407" w:type="pct"/>
            <w:noWrap/>
            <w:hideMark/>
          </w:tcPr>
          <w:p w:rsidR="008E5029" w:rsidRPr="00B23DFA" w:rsidRDefault="008E5029" w:rsidP="00B23DFA">
            <w:pPr>
              <w:pStyle w:val="Tabletext"/>
              <w:rPr>
                <w:szCs w:val="18"/>
                <w:lang w:bidi="he-IL"/>
              </w:rPr>
            </w:pPr>
            <w:r w:rsidRPr="00B23DFA">
              <w:rPr>
                <w:szCs w:val="18"/>
                <w:lang w:bidi="he-IL"/>
              </w:rPr>
              <w:t>0.000</w:t>
            </w:r>
          </w:p>
        </w:tc>
        <w:tc>
          <w:tcPr>
            <w:tcW w:w="407" w:type="pct"/>
            <w:noWrap/>
            <w:hideMark/>
          </w:tcPr>
          <w:p w:rsidR="008E5029" w:rsidRPr="00B23DFA" w:rsidRDefault="008E5029" w:rsidP="00B23DFA">
            <w:pPr>
              <w:pStyle w:val="Tabletext"/>
              <w:rPr>
                <w:szCs w:val="18"/>
                <w:lang w:bidi="he-IL"/>
              </w:rPr>
            </w:pPr>
            <w:r w:rsidRPr="00B23DFA">
              <w:rPr>
                <w:szCs w:val="18"/>
                <w:lang w:bidi="he-IL"/>
              </w:rPr>
              <w:t>5.689</w:t>
            </w:r>
          </w:p>
        </w:tc>
        <w:tc>
          <w:tcPr>
            <w:tcW w:w="407" w:type="pct"/>
            <w:noWrap/>
            <w:hideMark/>
          </w:tcPr>
          <w:p w:rsidR="008E5029" w:rsidRPr="00B23DFA" w:rsidRDefault="008E5029" w:rsidP="00B23DFA">
            <w:pPr>
              <w:pStyle w:val="Tabletext"/>
              <w:rPr>
                <w:szCs w:val="18"/>
                <w:lang w:bidi="he-IL"/>
              </w:rPr>
            </w:pPr>
            <w:r w:rsidRPr="00B23DFA">
              <w:rPr>
                <w:szCs w:val="18"/>
                <w:lang w:bidi="he-IL"/>
              </w:rPr>
              <w:t>0.000</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Total.Flet.Tasm</w:t>
            </w:r>
          </w:p>
        </w:tc>
        <w:tc>
          <w:tcPr>
            <w:tcW w:w="431" w:type="pct"/>
            <w:noWrap/>
            <w:hideMark/>
          </w:tcPr>
          <w:p w:rsidR="008E5029" w:rsidRPr="00B23DFA" w:rsidRDefault="008E5029" w:rsidP="00B23DFA">
            <w:pPr>
              <w:pStyle w:val="Tabletext"/>
              <w:rPr>
                <w:szCs w:val="18"/>
                <w:lang w:bidi="he-IL"/>
              </w:rPr>
            </w:pPr>
            <w:r w:rsidRPr="00B23DFA">
              <w:rPr>
                <w:szCs w:val="18"/>
                <w:lang w:bidi="he-IL"/>
              </w:rPr>
              <w:t>-0.017</w:t>
            </w:r>
          </w:p>
        </w:tc>
        <w:tc>
          <w:tcPr>
            <w:tcW w:w="407" w:type="pct"/>
            <w:noWrap/>
            <w:hideMark/>
          </w:tcPr>
          <w:p w:rsidR="008E5029" w:rsidRPr="00B23DFA" w:rsidRDefault="008E5029" w:rsidP="00B23DFA">
            <w:pPr>
              <w:pStyle w:val="Tabletext"/>
              <w:rPr>
                <w:szCs w:val="18"/>
                <w:lang w:bidi="he-IL"/>
              </w:rPr>
            </w:pPr>
            <w:r w:rsidRPr="00B23DFA">
              <w:rPr>
                <w:szCs w:val="18"/>
                <w:lang w:bidi="he-IL"/>
              </w:rPr>
              <w:t>0.002</w:t>
            </w:r>
          </w:p>
        </w:tc>
        <w:tc>
          <w:tcPr>
            <w:tcW w:w="407" w:type="pct"/>
            <w:noWrap/>
            <w:hideMark/>
          </w:tcPr>
          <w:p w:rsidR="008E5029" w:rsidRPr="00B23DFA" w:rsidRDefault="008E5029" w:rsidP="00B23DFA">
            <w:pPr>
              <w:pStyle w:val="Tabletext"/>
              <w:rPr>
                <w:szCs w:val="18"/>
                <w:lang w:bidi="he-IL"/>
              </w:rPr>
            </w:pPr>
            <w:r w:rsidRPr="00B23DFA">
              <w:rPr>
                <w:szCs w:val="18"/>
                <w:lang w:bidi="he-IL"/>
              </w:rPr>
              <w:t>-9.943</w:t>
            </w:r>
          </w:p>
        </w:tc>
        <w:tc>
          <w:tcPr>
            <w:tcW w:w="407" w:type="pct"/>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highFlowDays30d</w:t>
            </w:r>
          </w:p>
        </w:tc>
        <w:tc>
          <w:tcPr>
            <w:tcW w:w="431" w:type="pct"/>
            <w:noWrap/>
            <w:hideMark/>
          </w:tcPr>
          <w:p w:rsidR="008E5029" w:rsidRPr="00B23DFA" w:rsidRDefault="008E5029" w:rsidP="00B23DFA">
            <w:pPr>
              <w:pStyle w:val="Tabletext"/>
              <w:rPr>
                <w:szCs w:val="18"/>
                <w:lang w:bidi="he-IL"/>
              </w:rPr>
            </w:pPr>
            <w:r w:rsidRPr="00B23DFA">
              <w:rPr>
                <w:szCs w:val="18"/>
                <w:lang w:bidi="he-IL"/>
              </w:rPr>
              <w:t>0.061</w:t>
            </w:r>
          </w:p>
        </w:tc>
        <w:tc>
          <w:tcPr>
            <w:tcW w:w="407" w:type="pct"/>
            <w:noWrap/>
            <w:hideMark/>
          </w:tcPr>
          <w:p w:rsidR="008E5029" w:rsidRPr="00B23DFA" w:rsidRDefault="008E5029" w:rsidP="00B23DFA">
            <w:pPr>
              <w:pStyle w:val="Tabletext"/>
              <w:rPr>
                <w:szCs w:val="18"/>
                <w:lang w:bidi="he-IL"/>
              </w:rPr>
            </w:pPr>
            <w:r w:rsidRPr="00B23DFA">
              <w:rPr>
                <w:szCs w:val="18"/>
                <w:lang w:bidi="he-IL"/>
              </w:rPr>
              <w:t>0.007</w:t>
            </w:r>
          </w:p>
        </w:tc>
        <w:tc>
          <w:tcPr>
            <w:tcW w:w="407" w:type="pct"/>
            <w:noWrap/>
            <w:hideMark/>
          </w:tcPr>
          <w:p w:rsidR="008E5029" w:rsidRPr="00B23DFA" w:rsidRDefault="008E5029" w:rsidP="00B23DFA">
            <w:pPr>
              <w:pStyle w:val="Tabletext"/>
              <w:rPr>
                <w:szCs w:val="18"/>
                <w:lang w:bidi="he-IL"/>
              </w:rPr>
            </w:pPr>
            <w:r w:rsidRPr="00B23DFA">
              <w:rPr>
                <w:szCs w:val="18"/>
                <w:lang w:bidi="he-IL"/>
              </w:rPr>
              <w:t>8.384</w:t>
            </w:r>
          </w:p>
        </w:tc>
        <w:tc>
          <w:tcPr>
            <w:tcW w:w="407" w:type="pct"/>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totalFlowSinceJul1</w:t>
            </w:r>
          </w:p>
        </w:tc>
        <w:tc>
          <w:tcPr>
            <w:tcW w:w="431" w:type="pct"/>
            <w:noWrap/>
            <w:hideMark/>
          </w:tcPr>
          <w:p w:rsidR="008E5029" w:rsidRPr="00B23DFA" w:rsidRDefault="008E5029" w:rsidP="00B23DFA">
            <w:pPr>
              <w:pStyle w:val="Tabletext"/>
              <w:rPr>
                <w:szCs w:val="18"/>
                <w:lang w:bidi="he-IL"/>
              </w:rPr>
            </w:pPr>
            <w:r w:rsidRPr="00B23DFA">
              <w:rPr>
                <w:szCs w:val="18"/>
                <w:lang w:bidi="he-IL"/>
              </w:rPr>
              <w:t>0.000</w:t>
            </w:r>
          </w:p>
        </w:tc>
        <w:tc>
          <w:tcPr>
            <w:tcW w:w="407" w:type="pct"/>
            <w:noWrap/>
            <w:hideMark/>
          </w:tcPr>
          <w:p w:rsidR="008E5029" w:rsidRPr="00B23DFA" w:rsidRDefault="008E5029" w:rsidP="00B23DFA">
            <w:pPr>
              <w:pStyle w:val="Tabletext"/>
              <w:rPr>
                <w:szCs w:val="18"/>
                <w:lang w:bidi="he-IL"/>
              </w:rPr>
            </w:pPr>
            <w:r w:rsidRPr="00B23DFA">
              <w:rPr>
                <w:szCs w:val="18"/>
                <w:lang w:bidi="he-IL"/>
              </w:rPr>
              <w:t>0.000</w:t>
            </w:r>
          </w:p>
        </w:tc>
        <w:tc>
          <w:tcPr>
            <w:tcW w:w="407" w:type="pct"/>
            <w:noWrap/>
            <w:hideMark/>
          </w:tcPr>
          <w:p w:rsidR="008E5029" w:rsidRPr="00B23DFA" w:rsidRDefault="008E5029" w:rsidP="00B23DFA">
            <w:pPr>
              <w:pStyle w:val="Tabletext"/>
              <w:rPr>
                <w:szCs w:val="18"/>
                <w:lang w:bidi="he-IL"/>
              </w:rPr>
            </w:pPr>
            <w:r w:rsidRPr="00B23DFA">
              <w:rPr>
                <w:szCs w:val="18"/>
                <w:lang w:bidi="he-IL"/>
              </w:rPr>
              <w:t>0.315</w:t>
            </w:r>
          </w:p>
        </w:tc>
        <w:tc>
          <w:tcPr>
            <w:tcW w:w="407" w:type="pct"/>
            <w:noWrap/>
            <w:hideMark/>
          </w:tcPr>
          <w:p w:rsidR="008E5029" w:rsidRPr="00B23DFA" w:rsidRDefault="008E5029" w:rsidP="00B23DFA">
            <w:pPr>
              <w:pStyle w:val="Tabletext"/>
              <w:rPr>
                <w:szCs w:val="18"/>
                <w:lang w:bidi="he-IL"/>
              </w:rPr>
            </w:pPr>
            <w:r w:rsidRPr="00B23DFA">
              <w:rPr>
                <w:szCs w:val="18"/>
                <w:lang w:bidi="he-IL"/>
              </w:rPr>
              <w:t>0.753</w:t>
            </w:r>
          </w:p>
        </w:tc>
      </w:tr>
      <w:tr w:rsidR="008E5029" w:rsidRPr="00B23DFA" w:rsidTr="00B23DFA">
        <w:trPr>
          <w:trHeight w:val="300"/>
        </w:trPr>
        <w:tc>
          <w:tcPr>
            <w:tcW w:w="3349" w:type="pct"/>
            <w:noWrap/>
            <w:hideMark/>
          </w:tcPr>
          <w:p w:rsidR="008E5029" w:rsidRPr="00B23DFA" w:rsidRDefault="008E5029" w:rsidP="00B23DFA">
            <w:pPr>
              <w:pStyle w:val="Tabletext"/>
              <w:rPr>
                <w:szCs w:val="18"/>
                <w:lang w:bidi="he-IL"/>
              </w:rPr>
            </w:pPr>
            <w:r w:rsidRPr="00B23DFA">
              <w:rPr>
                <w:szCs w:val="18"/>
                <w:lang w:bidi="he-IL"/>
              </w:rPr>
              <w:t>fillyearsin10</w:t>
            </w:r>
          </w:p>
        </w:tc>
        <w:tc>
          <w:tcPr>
            <w:tcW w:w="431" w:type="pct"/>
            <w:noWrap/>
            <w:hideMark/>
          </w:tcPr>
          <w:p w:rsidR="008E5029" w:rsidRPr="00B23DFA" w:rsidRDefault="008E5029" w:rsidP="00B23DFA">
            <w:pPr>
              <w:pStyle w:val="Tabletext"/>
              <w:rPr>
                <w:szCs w:val="18"/>
                <w:lang w:bidi="he-IL"/>
              </w:rPr>
            </w:pPr>
            <w:r w:rsidRPr="00B23DFA">
              <w:rPr>
                <w:szCs w:val="18"/>
                <w:lang w:bidi="he-IL"/>
              </w:rPr>
              <w:t>-1.970</w:t>
            </w:r>
          </w:p>
        </w:tc>
        <w:tc>
          <w:tcPr>
            <w:tcW w:w="407" w:type="pct"/>
            <w:noWrap/>
            <w:hideMark/>
          </w:tcPr>
          <w:p w:rsidR="008E5029" w:rsidRPr="00B23DFA" w:rsidRDefault="008E5029" w:rsidP="00B23DFA">
            <w:pPr>
              <w:pStyle w:val="Tabletext"/>
              <w:rPr>
                <w:szCs w:val="18"/>
                <w:lang w:bidi="he-IL"/>
              </w:rPr>
            </w:pPr>
            <w:r w:rsidRPr="00B23DFA">
              <w:rPr>
                <w:szCs w:val="18"/>
                <w:lang w:bidi="he-IL"/>
              </w:rPr>
              <w:t>0.231</w:t>
            </w:r>
          </w:p>
        </w:tc>
        <w:tc>
          <w:tcPr>
            <w:tcW w:w="407" w:type="pct"/>
            <w:noWrap/>
            <w:hideMark/>
          </w:tcPr>
          <w:p w:rsidR="008E5029" w:rsidRPr="00B23DFA" w:rsidRDefault="008E5029" w:rsidP="00B23DFA">
            <w:pPr>
              <w:pStyle w:val="Tabletext"/>
              <w:rPr>
                <w:szCs w:val="18"/>
                <w:lang w:bidi="he-IL"/>
              </w:rPr>
            </w:pPr>
            <w:r w:rsidRPr="00B23DFA">
              <w:rPr>
                <w:szCs w:val="18"/>
                <w:lang w:bidi="he-IL"/>
              </w:rPr>
              <w:t>-8.547</w:t>
            </w:r>
          </w:p>
        </w:tc>
        <w:tc>
          <w:tcPr>
            <w:tcW w:w="407" w:type="pct"/>
            <w:noWrap/>
            <w:hideMark/>
          </w:tcPr>
          <w:p w:rsidR="008E5029" w:rsidRPr="00B23DFA" w:rsidRDefault="008E5029" w:rsidP="00B23DFA">
            <w:pPr>
              <w:pStyle w:val="Tabletext"/>
              <w:rPr>
                <w:szCs w:val="18"/>
                <w:lang w:bidi="he-IL"/>
              </w:rPr>
            </w:pPr>
            <w:r w:rsidRPr="00B23DFA">
              <w:rPr>
                <w:szCs w:val="18"/>
                <w:lang w:bidi="he-IL"/>
              </w:rPr>
              <w:t>&lt;0.001</w:t>
            </w:r>
          </w:p>
        </w:tc>
      </w:tr>
    </w:tbl>
    <w:p w:rsidR="008E5029" w:rsidRPr="00B23DFA" w:rsidRDefault="008E5029" w:rsidP="00B23DFA">
      <w:pPr>
        <w:pStyle w:val="Tabletext"/>
        <w:rPr>
          <w:szCs w:val="18"/>
        </w:rPr>
      </w:pPr>
    </w:p>
    <w:p w:rsidR="008E5029" w:rsidRPr="00B23DFA" w:rsidRDefault="008E5029" w:rsidP="00B23DFA">
      <w:pPr>
        <w:pStyle w:val="Tabletext"/>
        <w:rPr>
          <w:szCs w:val="18"/>
        </w:rPr>
      </w:pPr>
    </w:p>
    <w:p w:rsidR="008E5029" w:rsidRPr="00B23DFA" w:rsidRDefault="008E5029" w:rsidP="00B23DFA">
      <w:pPr>
        <w:pStyle w:val="Tabletext"/>
        <w:rPr>
          <w:szCs w:val="18"/>
        </w:rPr>
      </w:pPr>
    </w:p>
    <w:p w:rsidR="008E5029" w:rsidRPr="00B23DFA" w:rsidRDefault="008E5029" w:rsidP="00B23DFA">
      <w:pPr>
        <w:pStyle w:val="Tabletext"/>
        <w:rPr>
          <w:szCs w:val="18"/>
        </w:rPr>
      </w:pPr>
    </w:p>
    <w:p w:rsidR="008E5029" w:rsidRPr="00B23DFA" w:rsidRDefault="008E5029" w:rsidP="00B27EB3">
      <w:pPr>
        <w:pStyle w:val="Caption1"/>
      </w:pPr>
    </w:p>
    <w:p w:rsidR="008E5029" w:rsidRPr="00B23DFA" w:rsidRDefault="008E5029" w:rsidP="00B27EB3">
      <w:pPr>
        <w:pStyle w:val="Caption1"/>
      </w:pPr>
      <w:bookmarkStart w:id="541" w:name="_Toc370738895"/>
      <w:r w:rsidRPr="00B23DFA">
        <w:t>Run through 2048 model combinations</w:t>
      </w:r>
      <w:bookmarkEnd w:id="541"/>
    </w:p>
    <w:tbl>
      <w:tblPr>
        <w:tblStyle w:val="TableGrid"/>
        <w:tblW w:w="5000" w:type="pct"/>
        <w:tblLayout w:type="fixed"/>
        <w:tblLook w:val="04A0"/>
      </w:tblPr>
      <w:tblGrid>
        <w:gridCol w:w="576"/>
        <w:gridCol w:w="578"/>
        <w:gridCol w:w="576"/>
        <w:gridCol w:w="578"/>
        <w:gridCol w:w="578"/>
        <w:gridCol w:w="577"/>
        <w:gridCol w:w="579"/>
        <w:gridCol w:w="579"/>
        <w:gridCol w:w="577"/>
        <w:gridCol w:w="579"/>
        <w:gridCol w:w="577"/>
        <w:gridCol w:w="579"/>
        <w:gridCol w:w="579"/>
        <w:gridCol w:w="577"/>
        <w:gridCol w:w="579"/>
        <w:gridCol w:w="575"/>
      </w:tblGrid>
      <w:tr w:rsidR="00B23DFA" w:rsidRPr="00B23DFA" w:rsidTr="00B23DFA">
        <w:trPr>
          <w:cnfStyle w:val="100000000000"/>
          <w:trHeight w:val="2738"/>
        </w:trPr>
        <w:tc>
          <w:tcPr>
            <w:tcW w:w="312" w:type="pct"/>
            <w:noWrap/>
            <w:textDirection w:val="btLr"/>
            <w:hideMark/>
          </w:tcPr>
          <w:p w:rsidR="008E5029" w:rsidRPr="00B23DFA" w:rsidRDefault="008E5029" w:rsidP="00B23DFA">
            <w:pPr>
              <w:pStyle w:val="Tabletext"/>
              <w:rPr>
                <w:szCs w:val="18"/>
                <w:lang w:bidi="he-IL"/>
              </w:rPr>
            </w:pPr>
            <w:r w:rsidRPr="00B23DFA">
              <w:rPr>
                <w:szCs w:val="18"/>
                <w:lang w:bidi="he-IL"/>
              </w:rPr>
              <w:t>(Intercept)</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fillyearsin10</w:t>
            </w:r>
          </w:p>
        </w:tc>
        <w:tc>
          <w:tcPr>
            <w:tcW w:w="312" w:type="pct"/>
            <w:noWrap/>
            <w:textDirection w:val="btLr"/>
            <w:hideMark/>
          </w:tcPr>
          <w:p w:rsidR="008E5029" w:rsidRPr="00B23DFA" w:rsidRDefault="008E5029" w:rsidP="00B23DFA">
            <w:pPr>
              <w:pStyle w:val="Tabletext"/>
              <w:rPr>
                <w:szCs w:val="18"/>
                <w:lang w:bidi="he-IL"/>
              </w:rPr>
            </w:pPr>
            <w:r w:rsidRPr="00B23DFA">
              <w:rPr>
                <w:szCs w:val="18"/>
                <w:lang w:bidi="he-IL"/>
              </w:rPr>
              <w:t>highFlowDays30d</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location</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SmallfykeCarpgudgeon</w:t>
            </w:r>
          </w:p>
        </w:tc>
        <w:tc>
          <w:tcPr>
            <w:tcW w:w="312" w:type="pct"/>
            <w:noWrap/>
            <w:textDirection w:val="btLr"/>
            <w:hideMark/>
          </w:tcPr>
          <w:p w:rsidR="008E5029" w:rsidRPr="00B23DFA" w:rsidRDefault="008E5029" w:rsidP="00B23DFA">
            <w:pPr>
              <w:pStyle w:val="Tabletext"/>
              <w:rPr>
                <w:szCs w:val="18"/>
                <w:lang w:bidi="he-IL"/>
              </w:rPr>
            </w:pPr>
            <w:r w:rsidRPr="00B23DFA">
              <w:rPr>
                <w:szCs w:val="18"/>
                <w:lang w:bidi="he-IL"/>
              </w:rPr>
              <w:t>SmallfykeGambusia</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Total.Flet.Tasm</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Veg.comp1</w:t>
            </w:r>
          </w:p>
        </w:tc>
        <w:tc>
          <w:tcPr>
            <w:tcW w:w="312" w:type="pct"/>
            <w:noWrap/>
            <w:textDirection w:val="btLr"/>
            <w:hideMark/>
          </w:tcPr>
          <w:p w:rsidR="008E5029" w:rsidRPr="00B23DFA" w:rsidRDefault="008E5029" w:rsidP="00B23DFA">
            <w:pPr>
              <w:pStyle w:val="Tabletext"/>
              <w:rPr>
                <w:szCs w:val="18"/>
                <w:lang w:bidi="he-IL"/>
              </w:rPr>
            </w:pPr>
            <w:r w:rsidRPr="00B23DFA">
              <w:rPr>
                <w:szCs w:val="18"/>
                <w:lang w:bidi="he-IL"/>
              </w:rPr>
              <w:t>Veg.comp2</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Veg.comp3</w:t>
            </w:r>
          </w:p>
        </w:tc>
        <w:tc>
          <w:tcPr>
            <w:tcW w:w="312" w:type="pct"/>
            <w:noWrap/>
            <w:textDirection w:val="btLr"/>
            <w:hideMark/>
          </w:tcPr>
          <w:p w:rsidR="008E5029" w:rsidRPr="00B23DFA" w:rsidRDefault="008E5029" w:rsidP="00B23DFA">
            <w:pPr>
              <w:pStyle w:val="Tabletext"/>
              <w:rPr>
                <w:szCs w:val="18"/>
                <w:lang w:bidi="he-IL"/>
              </w:rPr>
            </w:pPr>
            <w:r w:rsidRPr="00B23DFA">
              <w:rPr>
                <w:szCs w:val="18"/>
                <w:lang w:bidi="he-IL"/>
              </w:rPr>
              <w:t>WQ.comp1</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df</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logLik</w:t>
            </w:r>
          </w:p>
        </w:tc>
        <w:tc>
          <w:tcPr>
            <w:tcW w:w="312" w:type="pct"/>
            <w:noWrap/>
            <w:textDirection w:val="btLr"/>
            <w:hideMark/>
          </w:tcPr>
          <w:p w:rsidR="008E5029" w:rsidRPr="00B23DFA" w:rsidRDefault="008E5029" w:rsidP="00B23DFA">
            <w:pPr>
              <w:pStyle w:val="Tabletext"/>
              <w:rPr>
                <w:szCs w:val="18"/>
                <w:lang w:bidi="he-IL"/>
              </w:rPr>
            </w:pPr>
            <w:r w:rsidRPr="00B23DFA">
              <w:rPr>
                <w:szCs w:val="18"/>
                <w:lang w:bidi="he-IL"/>
              </w:rPr>
              <w:t>AICc</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delta</w:t>
            </w:r>
          </w:p>
        </w:tc>
        <w:tc>
          <w:tcPr>
            <w:tcW w:w="313" w:type="pct"/>
            <w:noWrap/>
            <w:textDirection w:val="btLr"/>
            <w:hideMark/>
          </w:tcPr>
          <w:p w:rsidR="008E5029" w:rsidRPr="00B23DFA" w:rsidRDefault="008E5029" w:rsidP="00B23DFA">
            <w:pPr>
              <w:pStyle w:val="Tabletext"/>
              <w:rPr>
                <w:szCs w:val="18"/>
                <w:lang w:bidi="he-IL"/>
              </w:rPr>
            </w:pPr>
            <w:r w:rsidRPr="00B23DFA">
              <w:rPr>
                <w:szCs w:val="18"/>
                <w:lang w:bidi="he-IL"/>
              </w:rPr>
              <w:t>weight</w:t>
            </w:r>
          </w:p>
        </w:tc>
      </w:tr>
      <w:tr w:rsidR="00B23DFA" w:rsidRPr="00B23DFA" w:rsidTr="00B23DFA">
        <w:trPr>
          <w:trHeight w:val="300"/>
        </w:trPr>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1.83</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-2.00</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0.06</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0.00</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-0.02</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0.51</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-0.19</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-0.36</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-1.27</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11.00</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-895.98</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1820.25</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0.00</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0.55</w:t>
            </w:r>
          </w:p>
        </w:tc>
      </w:tr>
      <w:tr w:rsidR="00B23DFA" w:rsidRPr="00B23DFA" w:rsidTr="00B23DFA">
        <w:trPr>
          <w:trHeight w:val="300"/>
        </w:trPr>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1.77</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-1.94</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0.06</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0.00</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0.00</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-0.02</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0.47</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-0.30</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-0.40</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-1.21</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12.00</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-894.54</w:t>
            </w:r>
          </w:p>
        </w:tc>
        <w:tc>
          <w:tcPr>
            <w:tcW w:w="312" w:type="pct"/>
            <w:noWrap/>
            <w:hideMark/>
          </w:tcPr>
          <w:p w:rsidR="008E5029" w:rsidRPr="000C7745" w:rsidRDefault="008E5029" w:rsidP="00B23DFA">
            <w:pPr>
              <w:pStyle w:val="Tabletext"/>
              <w:rPr>
                <w:sz w:val="16"/>
                <w:szCs w:val="16"/>
                <w:lang w:bidi="he-IL"/>
              </w:rPr>
            </w:pPr>
            <w:r w:rsidRPr="000C7745">
              <w:rPr>
                <w:sz w:val="16"/>
                <w:szCs w:val="16"/>
                <w:lang w:bidi="he-IL"/>
              </w:rPr>
              <w:t>1820.69</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0.44</w:t>
            </w:r>
          </w:p>
        </w:tc>
        <w:tc>
          <w:tcPr>
            <w:tcW w:w="313" w:type="pct"/>
            <w:noWrap/>
            <w:hideMark/>
          </w:tcPr>
          <w:p w:rsidR="008E5029" w:rsidRPr="000C7745" w:rsidRDefault="008E5029" w:rsidP="00B23DFA">
            <w:pPr>
              <w:pStyle w:val="Tabletext"/>
              <w:rPr>
                <w:sz w:val="16"/>
                <w:szCs w:val="16"/>
                <w:lang w:bidi="he-IL"/>
              </w:rPr>
            </w:pPr>
            <w:r w:rsidRPr="000C7745">
              <w:rPr>
                <w:sz w:val="16"/>
                <w:szCs w:val="16"/>
                <w:lang w:bidi="he-IL"/>
              </w:rPr>
              <w:t>0.45</w:t>
            </w:r>
          </w:p>
        </w:tc>
      </w:tr>
    </w:tbl>
    <w:p w:rsidR="008E5029" w:rsidRPr="00B23DFA" w:rsidRDefault="008E5029" w:rsidP="00B23DFA">
      <w:pPr>
        <w:pStyle w:val="Tabletext"/>
        <w:rPr>
          <w:szCs w:val="18"/>
        </w:rPr>
      </w:pPr>
    </w:p>
    <w:p w:rsidR="002C71AC" w:rsidRDefault="002C71AC">
      <w:pPr>
        <w:spacing w:after="0" w:line="240" w:lineRule="auto"/>
        <w:jc w:val="left"/>
        <w:rPr>
          <w:rFonts w:eastAsia="Times New Roman"/>
          <w:sz w:val="18"/>
          <w:szCs w:val="18"/>
          <w:lang w:eastAsia="en-AU"/>
        </w:rPr>
      </w:pPr>
      <w:r>
        <w:rPr>
          <w:szCs w:val="18"/>
        </w:rPr>
        <w:br w:type="page"/>
      </w:r>
    </w:p>
    <w:p w:rsidR="008E5029" w:rsidRDefault="000C7745" w:rsidP="00B27EB3">
      <w:pPr>
        <w:pStyle w:val="Caption1"/>
      </w:pPr>
      <w:bookmarkStart w:id="542" w:name="_Toc370738896"/>
      <w:r>
        <w:t>Model-averaged coefficients</w:t>
      </w:r>
      <w:r w:rsidRPr="00B23DFA">
        <w:t xml:space="preserve"> </w:t>
      </w:r>
      <w:r>
        <w:t>most</w:t>
      </w:r>
      <w:r w:rsidR="008E5029" w:rsidRPr="00B23DFA">
        <w:t xml:space="preserve"> parsimonious model (excluding ‘</w:t>
      </w:r>
      <w:r w:rsidR="008E5029" w:rsidRPr="00B23DFA">
        <w:rPr>
          <w:lang w:bidi="he-IL"/>
        </w:rPr>
        <w:t>SmallfykeGambusia</w:t>
      </w:r>
      <w:r w:rsidR="008E5029" w:rsidRPr="00B23DFA">
        <w:t>’)</w:t>
      </w:r>
      <w:bookmarkEnd w:id="542"/>
    </w:p>
    <w:p w:rsidR="000C7745" w:rsidRPr="00B23DFA" w:rsidRDefault="000C7745" w:rsidP="00B23DFA">
      <w:pPr>
        <w:pStyle w:val="Tabletext"/>
        <w:rPr>
          <w:szCs w:val="18"/>
        </w:rPr>
      </w:pPr>
    </w:p>
    <w:tbl>
      <w:tblPr>
        <w:tblStyle w:val="TableGrid"/>
        <w:tblW w:w="6628" w:type="dxa"/>
        <w:tblLook w:val="04A0"/>
      </w:tblPr>
      <w:tblGrid>
        <w:gridCol w:w="2529"/>
        <w:gridCol w:w="1105"/>
        <w:gridCol w:w="960"/>
        <w:gridCol w:w="960"/>
        <w:gridCol w:w="1074"/>
      </w:tblGrid>
      <w:tr w:rsidR="008E5029" w:rsidRPr="00B23DFA" w:rsidTr="00B23DFA">
        <w:trPr>
          <w:cnfStyle w:val="100000000000"/>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Coefficients:</w:t>
            </w:r>
          </w:p>
        </w:tc>
        <w:tc>
          <w:tcPr>
            <w:tcW w:w="1105" w:type="dxa"/>
            <w:noWrap/>
            <w:hideMark/>
          </w:tcPr>
          <w:p w:rsidR="008E5029" w:rsidRPr="00B23DFA" w:rsidRDefault="008E5029" w:rsidP="00B23DFA">
            <w:pPr>
              <w:pStyle w:val="Tabletext"/>
              <w:rPr>
                <w:szCs w:val="18"/>
                <w:lang w:bidi="he-IL"/>
              </w:rPr>
            </w:pPr>
            <w:r w:rsidRPr="00B23DFA">
              <w:rPr>
                <w:szCs w:val="18"/>
                <w:lang w:bidi="he-IL"/>
              </w:rPr>
              <w:t>Estimate</w:t>
            </w:r>
          </w:p>
        </w:tc>
        <w:tc>
          <w:tcPr>
            <w:tcW w:w="960" w:type="dxa"/>
            <w:noWrap/>
            <w:hideMark/>
          </w:tcPr>
          <w:p w:rsidR="008E5029" w:rsidRPr="00B23DFA" w:rsidRDefault="008E5029" w:rsidP="00B23DFA">
            <w:pPr>
              <w:pStyle w:val="Tabletext"/>
              <w:rPr>
                <w:szCs w:val="18"/>
                <w:lang w:bidi="he-IL"/>
              </w:rPr>
            </w:pPr>
            <w:r w:rsidRPr="00B23DFA">
              <w:rPr>
                <w:szCs w:val="18"/>
                <w:lang w:bidi="he-IL"/>
              </w:rPr>
              <w:t>Std. Error</w:t>
            </w:r>
          </w:p>
        </w:tc>
        <w:tc>
          <w:tcPr>
            <w:tcW w:w="960" w:type="dxa"/>
            <w:noWrap/>
            <w:hideMark/>
          </w:tcPr>
          <w:p w:rsidR="008E5029" w:rsidRPr="00B23DFA" w:rsidRDefault="008E5029" w:rsidP="00B23DFA">
            <w:pPr>
              <w:pStyle w:val="Tabletext"/>
              <w:rPr>
                <w:szCs w:val="18"/>
                <w:lang w:bidi="he-IL"/>
              </w:rPr>
            </w:pPr>
            <w:r w:rsidRPr="00B23DFA">
              <w:rPr>
                <w:szCs w:val="18"/>
                <w:lang w:bidi="he-IL"/>
              </w:rPr>
              <w:t>z value</w:t>
            </w:r>
          </w:p>
        </w:tc>
        <w:tc>
          <w:tcPr>
            <w:tcW w:w="1074" w:type="dxa"/>
            <w:noWrap/>
            <w:hideMark/>
          </w:tcPr>
          <w:p w:rsidR="008E5029" w:rsidRPr="00B23DFA" w:rsidRDefault="008E5029" w:rsidP="00B23DFA">
            <w:pPr>
              <w:pStyle w:val="Tabletext"/>
              <w:rPr>
                <w:szCs w:val="18"/>
                <w:lang w:bidi="he-IL"/>
              </w:rPr>
            </w:pPr>
            <w:r w:rsidRPr="00B23DFA">
              <w:rPr>
                <w:szCs w:val="18"/>
                <w:lang w:bidi="he-IL"/>
              </w:rPr>
              <w:t>Pr(&gt;|z|)</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(Intercept)</w:t>
            </w:r>
          </w:p>
        </w:tc>
        <w:tc>
          <w:tcPr>
            <w:tcW w:w="1105" w:type="dxa"/>
            <w:noWrap/>
            <w:hideMark/>
          </w:tcPr>
          <w:p w:rsidR="008E5029" w:rsidRPr="00B23DFA" w:rsidRDefault="008E5029" w:rsidP="00B23DFA">
            <w:pPr>
              <w:pStyle w:val="Tabletext"/>
              <w:rPr>
                <w:szCs w:val="18"/>
                <w:lang w:bidi="he-IL"/>
              </w:rPr>
            </w:pPr>
            <w:r w:rsidRPr="00B23DFA">
              <w:rPr>
                <w:szCs w:val="18"/>
                <w:lang w:bidi="he-IL"/>
              </w:rPr>
              <w:t>1.83</w:t>
            </w:r>
          </w:p>
        </w:tc>
        <w:tc>
          <w:tcPr>
            <w:tcW w:w="960" w:type="dxa"/>
            <w:noWrap/>
            <w:hideMark/>
          </w:tcPr>
          <w:p w:rsidR="008E5029" w:rsidRPr="00B23DFA" w:rsidRDefault="008E5029" w:rsidP="00B23DFA">
            <w:pPr>
              <w:pStyle w:val="Tabletext"/>
              <w:rPr>
                <w:szCs w:val="18"/>
                <w:lang w:bidi="he-IL"/>
              </w:rPr>
            </w:pPr>
            <w:r w:rsidRPr="00B23DFA">
              <w:rPr>
                <w:szCs w:val="18"/>
                <w:lang w:bidi="he-IL"/>
              </w:rPr>
              <w:t>0.14</w:t>
            </w:r>
          </w:p>
        </w:tc>
        <w:tc>
          <w:tcPr>
            <w:tcW w:w="960" w:type="dxa"/>
            <w:noWrap/>
            <w:hideMark/>
          </w:tcPr>
          <w:p w:rsidR="008E5029" w:rsidRPr="00B23DFA" w:rsidRDefault="008E5029" w:rsidP="00B23DFA">
            <w:pPr>
              <w:pStyle w:val="Tabletext"/>
              <w:rPr>
                <w:szCs w:val="18"/>
                <w:lang w:bidi="he-IL"/>
              </w:rPr>
            </w:pPr>
            <w:r w:rsidRPr="00B23DFA">
              <w:rPr>
                <w:szCs w:val="18"/>
                <w:lang w:bidi="he-IL"/>
              </w:rPr>
              <w:t>13.03</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Veg.comp1</w:t>
            </w:r>
          </w:p>
        </w:tc>
        <w:tc>
          <w:tcPr>
            <w:tcW w:w="1105" w:type="dxa"/>
            <w:noWrap/>
            <w:hideMark/>
          </w:tcPr>
          <w:p w:rsidR="008E5029" w:rsidRPr="00B23DFA" w:rsidRDefault="008E5029" w:rsidP="00B23DFA">
            <w:pPr>
              <w:pStyle w:val="Tabletext"/>
              <w:rPr>
                <w:szCs w:val="18"/>
                <w:lang w:bidi="he-IL"/>
              </w:rPr>
            </w:pPr>
            <w:r w:rsidRPr="00B23DFA">
              <w:rPr>
                <w:szCs w:val="18"/>
                <w:lang w:bidi="he-IL"/>
              </w:rPr>
              <w:t>0.51</w:t>
            </w:r>
          </w:p>
        </w:tc>
        <w:tc>
          <w:tcPr>
            <w:tcW w:w="960" w:type="dxa"/>
            <w:noWrap/>
            <w:hideMark/>
          </w:tcPr>
          <w:p w:rsidR="008E5029" w:rsidRPr="00B23DFA" w:rsidRDefault="008E5029" w:rsidP="00B23DFA">
            <w:pPr>
              <w:pStyle w:val="Tabletext"/>
              <w:rPr>
                <w:szCs w:val="18"/>
                <w:lang w:bidi="he-IL"/>
              </w:rPr>
            </w:pPr>
            <w:r w:rsidRPr="00B23DFA">
              <w:rPr>
                <w:szCs w:val="18"/>
                <w:lang w:bidi="he-IL"/>
              </w:rPr>
              <w:t>0.07</w:t>
            </w:r>
          </w:p>
        </w:tc>
        <w:tc>
          <w:tcPr>
            <w:tcW w:w="960" w:type="dxa"/>
            <w:noWrap/>
            <w:hideMark/>
          </w:tcPr>
          <w:p w:rsidR="008E5029" w:rsidRPr="00B23DFA" w:rsidRDefault="008E5029" w:rsidP="00B23DFA">
            <w:pPr>
              <w:pStyle w:val="Tabletext"/>
              <w:rPr>
                <w:szCs w:val="18"/>
                <w:lang w:bidi="he-IL"/>
              </w:rPr>
            </w:pPr>
            <w:r w:rsidRPr="00B23DFA">
              <w:rPr>
                <w:szCs w:val="18"/>
                <w:lang w:bidi="he-IL"/>
              </w:rPr>
              <w:t>7.87</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Veg.comp2</w:t>
            </w:r>
          </w:p>
        </w:tc>
        <w:tc>
          <w:tcPr>
            <w:tcW w:w="1105" w:type="dxa"/>
            <w:noWrap/>
            <w:hideMark/>
          </w:tcPr>
          <w:p w:rsidR="008E5029" w:rsidRPr="00B23DFA" w:rsidRDefault="008E5029" w:rsidP="00B23DFA">
            <w:pPr>
              <w:pStyle w:val="Tabletext"/>
              <w:rPr>
                <w:szCs w:val="18"/>
                <w:lang w:bidi="he-IL"/>
              </w:rPr>
            </w:pPr>
            <w:r w:rsidRPr="00B23DFA">
              <w:rPr>
                <w:szCs w:val="18"/>
                <w:lang w:bidi="he-IL"/>
              </w:rPr>
              <w:t>-0.19</w:t>
            </w:r>
          </w:p>
        </w:tc>
        <w:tc>
          <w:tcPr>
            <w:tcW w:w="960" w:type="dxa"/>
            <w:noWrap/>
            <w:hideMark/>
          </w:tcPr>
          <w:p w:rsidR="008E5029" w:rsidRPr="00B23DFA" w:rsidRDefault="008E5029" w:rsidP="00B23DFA">
            <w:pPr>
              <w:pStyle w:val="Tabletext"/>
              <w:rPr>
                <w:szCs w:val="18"/>
                <w:lang w:bidi="he-IL"/>
              </w:rPr>
            </w:pPr>
            <w:r w:rsidRPr="00B23DFA">
              <w:rPr>
                <w:szCs w:val="18"/>
                <w:lang w:bidi="he-IL"/>
              </w:rPr>
              <w:t>0.05</w:t>
            </w:r>
          </w:p>
        </w:tc>
        <w:tc>
          <w:tcPr>
            <w:tcW w:w="960" w:type="dxa"/>
            <w:noWrap/>
            <w:hideMark/>
          </w:tcPr>
          <w:p w:rsidR="008E5029" w:rsidRPr="00B23DFA" w:rsidRDefault="008E5029" w:rsidP="00B23DFA">
            <w:pPr>
              <w:pStyle w:val="Tabletext"/>
              <w:rPr>
                <w:szCs w:val="18"/>
                <w:lang w:bidi="he-IL"/>
              </w:rPr>
            </w:pPr>
            <w:r w:rsidRPr="00B23DFA">
              <w:rPr>
                <w:szCs w:val="18"/>
                <w:lang w:bidi="he-IL"/>
              </w:rPr>
              <w:t>-4.11</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Veg.comp3</w:t>
            </w:r>
          </w:p>
        </w:tc>
        <w:tc>
          <w:tcPr>
            <w:tcW w:w="1105" w:type="dxa"/>
            <w:noWrap/>
            <w:hideMark/>
          </w:tcPr>
          <w:p w:rsidR="008E5029" w:rsidRPr="00B23DFA" w:rsidRDefault="008E5029" w:rsidP="00B23DFA">
            <w:pPr>
              <w:pStyle w:val="Tabletext"/>
              <w:rPr>
                <w:szCs w:val="18"/>
                <w:lang w:bidi="he-IL"/>
              </w:rPr>
            </w:pPr>
            <w:r w:rsidRPr="00B23DFA">
              <w:rPr>
                <w:szCs w:val="18"/>
                <w:lang w:bidi="he-IL"/>
              </w:rPr>
              <w:t>-0.36</w:t>
            </w:r>
          </w:p>
        </w:tc>
        <w:tc>
          <w:tcPr>
            <w:tcW w:w="960" w:type="dxa"/>
            <w:noWrap/>
            <w:hideMark/>
          </w:tcPr>
          <w:p w:rsidR="008E5029" w:rsidRPr="00B23DFA" w:rsidRDefault="008E5029" w:rsidP="00B23DFA">
            <w:pPr>
              <w:pStyle w:val="Tabletext"/>
              <w:rPr>
                <w:szCs w:val="18"/>
                <w:lang w:bidi="he-IL"/>
              </w:rPr>
            </w:pPr>
            <w:r w:rsidRPr="00B23DFA">
              <w:rPr>
                <w:szCs w:val="18"/>
                <w:lang w:bidi="he-IL"/>
              </w:rPr>
              <w:t>0.11</w:t>
            </w:r>
          </w:p>
        </w:tc>
        <w:tc>
          <w:tcPr>
            <w:tcW w:w="960" w:type="dxa"/>
            <w:noWrap/>
            <w:hideMark/>
          </w:tcPr>
          <w:p w:rsidR="008E5029" w:rsidRPr="00B23DFA" w:rsidRDefault="008E5029" w:rsidP="00B23DFA">
            <w:pPr>
              <w:pStyle w:val="Tabletext"/>
              <w:rPr>
                <w:szCs w:val="18"/>
                <w:lang w:bidi="he-IL"/>
              </w:rPr>
            </w:pPr>
            <w:r w:rsidRPr="00B23DFA">
              <w:rPr>
                <w:szCs w:val="18"/>
                <w:lang w:bidi="he-IL"/>
              </w:rPr>
              <w:t>-3.41</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WQ.comp1</w:t>
            </w:r>
          </w:p>
        </w:tc>
        <w:tc>
          <w:tcPr>
            <w:tcW w:w="1105" w:type="dxa"/>
            <w:noWrap/>
            <w:hideMark/>
          </w:tcPr>
          <w:p w:rsidR="008E5029" w:rsidRPr="00B23DFA" w:rsidRDefault="008E5029" w:rsidP="00B23DFA">
            <w:pPr>
              <w:pStyle w:val="Tabletext"/>
              <w:rPr>
                <w:szCs w:val="18"/>
                <w:lang w:bidi="he-IL"/>
              </w:rPr>
            </w:pPr>
            <w:r w:rsidRPr="00B23DFA">
              <w:rPr>
                <w:szCs w:val="18"/>
                <w:lang w:bidi="he-IL"/>
              </w:rPr>
              <w:t>-1.27</w:t>
            </w:r>
          </w:p>
        </w:tc>
        <w:tc>
          <w:tcPr>
            <w:tcW w:w="960" w:type="dxa"/>
            <w:noWrap/>
            <w:hideMark/>
          </w:tcPr>
          <w:p w:rsidR="008E5029" w:rsidRPr="00B23DFA" w:rsidRDefault="008E5029" w:rsidP="00B23DFA">
            <w:pPr>
              <w:pStyle w:val="Tabletext"/>
              <w:rPr>
                <w:szCs w:val="18"/>
                <w:lang w:bidi="he-IL"/>
              </w:rPr>
            </w:pPr>
            <w:r w:rsidRPr="00B23DFA">
              <w:rPr>
                <w:szCs w:val="18"/>
                <w:lang w:bidi="he-IL"/>
              </w:rPr>
              <w:t>0.05</w:t>
            </w:r>
          </w:p>
        </w:tc>
        <w:tc>
          <w:tcPr>
            <w:tcW w:w="960" w:type="dxa"/>
            <w:noWrap/>
            <w:hideMark/>
          </w:tcPr>
          <w:p w:rsidR="008E5029" w:rsidRPr="00B23DFA" w:rsidRDefault="008E5029" w:rsidP="00B23DFA">
            <w:pPr>
              <w:pStyle w:val="Tabletext"/>
              <w:rPr>
                <w:szCs w:val="18"/>
                <w:lang w:bidi="he-IL"/>
              </w:rPr>
            </w:pPr>
            <w:r w:rsidRPr="00B23DFA">
              <w:rPr>
                <w:szCs w:val="18"/>
                <w:lang w:bidi="he-IL"/>
              </w:rPr>
              <w:t>-24.96</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Lowbidgee</w:t>
            </w:r>
          </w:p>
        </w:tc>
        <w:tc>
          <w:tcPr>
            <w:tcW w:w="1105" w:type="dxa"/>
            <w:noWrap/>
            <w:hideMark/>
          </w:tcPr>
          <w:p w:rsidR="008E5029" w:rsidRPr="00B23DFA" w:rsidRDefault="008E5029" w:rsidP="00B23DFA">
            <w:pPr>
              <w:pStyle w:val="Tabletext"/>
              <w:rPr>
                <w:szCs w:val="18"/>
                <w:lang w:bidi="he-IL"/>
              </w:rPr>
            </w:pPr>
            <w:r w:rsidRPr="00B23DFA">
              <w:rPr>
                <w:szCs w:val="18"/>
                <w:lang w:bidi="he-IL"/>
              </w:rPr>
              <w:t>1.64</w:t>
            </w:r>
          </w:p>
        </w:tc>
        <w:tc>
          <w:tcPr>
            <w:tcW w:w="960" w:type="dxa"/>
            <w:noWrap/>
            <w:hideMark/>
          </w:tcPr>
          <w:p w:rsidR="008E5029" w:rsidRPr="00B23DFA" w:rsidRDefault="008E5029" w:rsidP="00B23DFA">
            <w:pPr>
              <w:pStyle w:val="Tabletext"/>
              <w:rPr>
                <w:szCs w:val="18"/>
                <w:lang w:bidi="he-IL"/>
              </w:rPr>
            </w:pPr>
            <w:r w:rsidRPr="00B23DFA">
              <w:rPr>
                <w:szCs w:val="18"/>
                <w:lang w:bidi="he-IL"/>
              </w:rPr>
              <w:t>0.22</w:t>
            </w:r>
          </w:p>
        </w:tc>
        <w:tc>
          <w:tcPr>
            <w:tcW w:w="960" w:type="dxa"/>
            <w:noWrap/>
            <w:hideMark/>
          </w:tcPr>
          <w:p w:rsidR="008E5029" w:rsidRPr="00B23DFA" w:rsidRDefault="008E5029" w:rsidP="00B23DFA">
            <w:pPr>
              <w:pStyle w:val="Tabletext"/>
              <w:rPr>
                <w:szCs w:val="18"/>
                <w:lang w:bidi="he-IL"/>
              </w:rPr>
            </w:pPr>
            <w:r w:rsidRPr="00B23DFA">
              <w:rPr>
                <w:szCs w:val="18"/>
                <w:lang w:bidi="he-IL"/>
              </w:rPr>
              <w:t>7.60</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mid-Murrumbidgee</w:t>
            </w:r>
          </w:p>
        </w:tc>
        <w:tc>
          <w:tcPr>
            <w:tcW w:w="1105" w:type="dxa"/>
            <w:noWrap/>
            <w:hideMark/>
          </w:tcPr>
          <w:p w:rsidR="008E5029" w:rsidRPr="00B23DFA" w:rsidRDefault="008E5029" w:rsidP="00B23DFA">
            <w:pPr>
              <w:pStyle w:val="Tabletext"/>
              <w:rPr>
                <w:szCs w:val="18"/>
                <w:lang w:bidi="he-IL"/>
              </w:rPr>
            </w:pPr>
            <w:r w:rsidRPr="00B23DFA">
              <w:rPr>
                <w:szCs w:val="18"/>
                <w:lang w:bidi="he-IL"/>
              </w:rPr>
              <w:t>-2.89</w:t>
            </w:r>
          </w:p>
        </w:tc>
        <w:tc>
          <w:tcPr>
            <w:tcW w:w="960" w:type="dxa"/>
            <w:noWrap/>
            <w:hideMark/>
          </w:tcPr>
          <w:p w:rsidR="008E5029" w:rsidRPr="00B23DFA" w:rsidRDefault="008E5029" w:rsidP="00B23DFA">
            <w:pPr>
              <w:pStyle w:val="Tabletext"/>
              <w:rPr>
                <w:szCs w:val="18"/>
                <w:lang w:bidi="he-IL"/>
              </w:rPr>
            </w:pPr>
            <w:r w:rsidRPr="00B23DFA">
              <w:rPr>
                <w:szCs w:val="18"/>
                <w:lang w:bidi="he-IL"/>
              </w:rPr>
              <w:t>0.33</w:t>
            </w:r>
          </w:p>
        </w:tc>
        <w:tc>
          <w:tcPr>
            <w:tcW w:w="960" w:type="dxa"/>
            <w:noWrap/>
            <w:hideMark/>
          </w:tcPr>
          <w:p w:rsidR="008E5029" w:rsidRPr="00B23DFA" w:rsidRDefault="008E5029" w:rsidP="00B23DFA">
            <w:pPr>
              <w:pStyle w:val="Tabletext"/>
              <w:rPr>
                <w:szCs w:val="18"/>
                <w:lang w:bidi="he-IL"/>
              </w:rPr>
            </w:pPr>
            <w:r w:rsidRPr="00B23DFA">
              <w:rPr>
                <w:szCs w:val="18"/>
                <w:lang w:bidi="he-IL"/>
              </w:rPr>
              <w:t>-8.64</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SmallfykeCarpgudgeon</w:t>
            </w:r>
          </w:p>
        </w:tc>
        <w:tc>
          <w:tcPr>
            <w:tcW w:w="1105" w:type="dxa"/>
            <w:noWrap/>
            <w:hideMark/>
          </w:tcPr>
          <w:p w:rsidR="008E5029" w:rsidRPr="00B23DFA" w:rsidRDefault="008E5029" w:rsidP="00B23DFA">
            <w:pPr>
              <w:pStyle w:val="Tabletext"/>
              <w:rPr>
                <w:szCs w:val="18"/>
                <w:lang w:bidi="he-IL"/>
              </w:rPr>
            </w:pPr>
            <w:r w:rsidRPr="00B23DFA">
              <w:rPr>
                <w:szCs w:val="18"/>
                <w:lang w:bidi="he-IL"/>
              </w:rPr>
              <w:t>0.00</w:t>
            </w:r>
          </w:p>
        </w:tc>
        <w:tc>
          <w:tcPr>
            <w:tcW w:w="960" w:type="dxa"/>
            <w:noWrap/>
            <w:hideMark/>
          </w:tcPr>
          <w:p w:rsidR="008E5029" w:rsidRPr="00B23DFA" w:rsidRDefault="008E5029" w:rsidP="00B23DFA">
            <w:pPr>
              <w:pStyle w:val="Tabletext"/>
              <w:rPr>
                <w:szCs w:val="18"/>
                <w:lang w:bidi="he-IL"/>
              </w:rPr>
            </w:pPr>
            <w:r w:rsidRPr="00B23DFA">
              <w:rPr>
                <w:szCs w:val="18"/>
                <w:lang w:bidi="he-IL"/>
              </w:rPr>
              <w:t>0.00</w:t>
            </w:r>
          </w:p>
        </w:tc>
        <w:tc>
          <w:tcPr>
            <w:tcW w:w="960" w:type="dxa"/>
            <w:noWrap/>
            <w:hideMark/>
          </w:tcPr>
          <w:p w:rsidR="008E5029" w:rsidRPr="00B23DFA" w:rsidRDefault="008E5029" w:rsidP="00B23DFA">
            <w:pPr>
              <w:pStyle w:val="Tabletext"/>
              <w:rPr>
                <w:szCs w:val="18"/>
                <w:lang w:bidi="he-IL"/>
              </w:rPr>
            </w:pPr>
            <w:r w:rsidRPr="00B23DFA">
              <w:rPr>
                <w:szCs w:val="18"/>
                <w:lang w:bidi="he-IL"/>
              </w:rPr>
              <w:t>6.95</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Total.Flet.Tasm</w:t>
            </w:r>
          </w:p>
        </w:tc>
        <w:tc>
          <w:tcPr>
            <w:tcW w:w="1105" w:type="dxa"/>
            <w:noWrap/>
            <w:hideMark/>
          </w:tcPr>
          <w:p w:rsidR="008E5029" w:rsidRPr="00B23DFA" w:rsidRDefault="008E5029" w:rsidP="00B23DFA">
            <w:pPr>
              <w:pStyle w:val="Tabletext"/>
              <w:rPr>
                <w:szCs w:val="18"/>
                <w:lang w:bidi="he-IL"/>
              </w:rPr>
            </w:pPr>
            <w:r w:rsidRPr="00B23DFA">
              <w:rPr>
                <w:szCs w:val="18"/>
                <w:lang w:bidi="he-IL"/>
              </w:rPr>
              <w:t>-0.02</w:t>
            </w:r>
          </w:p>
        </w:tc>
        <w:tc>
          <w:tcPr>
            <w:tcW w:w="960" w:type="dxa"/>
            <w:noWrap/>
            <w:hideMark/>
          </w:tcPr>
          <w:p w:rsidR="008E5029" w:rsidRPr="00B23DFA" w:rsidRDefault="008E5029" w:rsidP="00B23DFA">
            <w:pPr>
              <w:pStyle w:val="Tabletext"/>
              <w:rPr>
                <w:szCs w:val="18"/>
                <w:lang w:bidi="he-IL"/>
              </w:rPr>
            </w:pPr>
            <w:r w:rsidRPr="00B23DFA">
              <w:rPr>
                <w:szCs w:val="18"/>
                <w:lang w:bidi="he-IL"/>
              </w:rPr>
              <w:t>0.00</w:t>
            </w:r>
          </w:p>
        </w:tc>
        <w:tc>
          <w:tcPr>
            <w:tcW w:w="960" w:type="dxa"/>
            <w:noWrap/>
            <w:hideMark/>
          </w:tcPr>
          <w:p w:rsidR="008E5029" w:rsidRPr="00B23DFA" w:rsidRDefault="008E5029" w:rsidP="00B23DFA">
            <w:pPr>
              <w:pStyle w:val="Tabletext"/>
              <w:rPr>
                <w:szCs w:val="18"/>
                <w:lang w:bidi="he-IL"/>
              </w:rPr>
            </w:pPr>
            <w:r w:rsidRPr="00B23DFA">
              <w:rPr>
                <w:szCs w:val="18"/>
                <w:lang w:bidi="he-IL"/>
              </w:rPr>
              <w:t>-15.89</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highFlowDays30d</w:t>
            </w:r>
          </w:p>
        </w:tc>
        <w:tc>
          <w:tcPr>
            <w:tcW w:w="1105" w:type="dxa"/>
            <w:noWrap/>
            <w:hideMark/>
          </w:tcPr>
          <w:p w:rsidR="008E5029" w:rsidRPr="00B23DFA" w:rsidRDefault="008E5029" w:rsidP="00B23DFA">
            <w:pPr>
              <w:pStyle w:val="Tabletext"/>
              <w:rPr>
                <w:szCs w:val="18"/>
                <w:lang w:bidi="he-IL"/>
              </w:rPr>
            </w:pPr>
            <w:r w:rsidRPr="00B23DFA">
              <w:rPr>
                <w:szCs w:val="18"/>
                <w:lang w:bidi="he-IL"/>
              </w:rPr>
              <w:t>0.06</w:t>
            </w:r>
          </w:p>
        </w:tc>
        <w:tc>
          <w:tcPr>
            <w:tcW w:w="960" w:type="dxa"/>
            <w:noWrap/>
            <w:hideMark/>
          </w:tcPr>
          <w:p w:rsidR="008E5029" w:rsidRPr="00B23DFA" w:rsidRDefault="008E5029" w:rsidP="00B23DFA">
            <w:pPr>
              <w:pStyle w:val="Tabletext"/>
              <w:rPr>
                <w:szCs w:val="18"/>
                <w:lang w:bidi="he-IL"/>
              </w:rPr>
            </w:pPr>
            <w:r w:rsidRPr="00B23DFA">
              <w:rPr>
                <w:szCs w:val="18"/>
                <w:lang w:bidi="he-IL"/>
              </w:rPr>
              <w:t>0.00</w:t>
            </w:r>
          </w:p>
        </w:tc>
        <w:tc>
          <w:tcPr>
            <w:tcW w:w="960" w:type="dxa"/>
            <w:noWrap/>
            <w:hideMark/>
          </w:tcPr>
          <w:p w:rsidR="008E5029" w:rsidRPr="00B23DFA" w:rsidRDefault="008E5029" w:rsidP="00B23DFA">
            <w:pPr>
              <w:pStyle w:val="Tabletext"/>
              <w:rPr>
                <w:szCs w:val="18"/>
                <w:lang w:bidi="he-IL"/>
              </w:rPr>
            </w:pPr>
            <w:r w:rsidRPr="00B23DFA">
              <w:rPr>
                <w:szCs w:val="18"/>
                <w:lang w:bidi="he-IL"/>
              </w:rPr>
              <w:t>12.13</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r w:rsidR="008E5029" w:rsidRPr="00B23DFA" w:rsidTr="00B23DFA">
        <w:trPr>
          <w:trHeight w:val="300"/>
        </w:trPr>
        <w:tc>
          <w:tcPr>
            <w:tcW w:w="2529" w:type="dxa"/>
            <w:noWrap/>
            <w:hideMark/>
          </w:tcPr>
          <w:p w:rsidR="008E5029" w:rsidRPr="00B23DFA" w:rsidRDefault="008E5029" w:rsidP="00B23DFA">
            <w:pPr>
              <w:pStyle w:val="Tabletext"/>
              <w:rPr>
                <w:szCs w:val="18"/>
                <w:lang w:bidi="he-IL"/>
              </w:rPr>
            </w:pPr>
            <w:r w:rsidRPr="00B23DFA">
              <w:rPr>
                <w:szCs w:val="18"/>
                <w:lang w:bidi="he-IL"/>
              </w:rPr>
              <w:t>fillyearsin10</w:t>
            </w:r>
          </w:p>
        </w:tc>
        <w:tc>
          <w:tcPr>
            <w:tcW w:w="1105" w:type="dxa"/>
            <w:noWrap/>
            <w:hideMark/>
          </w:tcPr>
          <w:p w:rsidR="008E5029" w:rsidRPr="00B23DFA" w:rsidRDefault="008E5029" w:rsidP="00B23DFA">
            <w:pPr>
              <w:pStyle w:val="Tabletext"/>
              <w:rPr>
                <w:szCs w:val="18"/>
                <w:lang w:bidi="he-IL"/>
              </w:rPr>
            </w:pPr>
            <w:r w:rsidRPr="00B23DFA">
              <w:rPr>
                <w:szCs w:val="18"/>
                <w:lang w:bidi="he-IL"/>
              </w:rPr>
              <w:t>-2.00</w:t>
            </w:r>
          </w:p>
        </w:tc>
        <w:tc>
          <w:tcPr>
            <w:tcW w:w="960" w:type="dxa"/>
            <w:noWrap/>
            <w:hideMark/>
          </w:tcPr>
          <w:p w:rsidR="008E5029" w:rsidRPr="00B23DFA" w:rsidRDefault="008E5029" w:rsidP="00B23DFA">
            <w:pPr>
              <w:pStyle w:val="Tabletext"/>
              <w:rPr>
                <w:szCs w:val="18"/>
                <w:lang w:bidi="he-IL"/>
              </w:rPr>
            </w:pPr>
            <w:r w:rsidRPr="00B23DFA">
              <w:rPr>
                <w:szCs w:val="18"/>
                <w:lang w:bidi="he-IL"/>
              </w:rPr>
              <w:t>0.21</w:t>
            </w:r>
          </w:p>
        </w:tc>
        <w:tc>
          <w:tcPr>
            <w:tcW w:w="960" w:type="dxa"/>
            <w:noWrap/>
            <w:hideMark/>
          </w:tcPr>
          <w:p w:rsidR="008E5029" w:rsidRPr="00B23DFA" w:rsidRDefault="008E5029" w:rsidP="00B23DFA">
            <w:pPr>
              <w:pStyle w:val="Tabletext"/>
              <w:rPr>
                <w:szCs w:val="18"/>
                <w:lang w:bidi="he-IL"/>
              </w:rPr>
            </w:pPr>
            <w:r w:rsidRPr="00B23DFA">
              <w:rPr>
                <w:szCs w:val="18"/>
                <w:lang w:bidi="he-IL"/>
              </w:rPr>
              <w:t>-9.47</w:t>
            </w:r>
          </w:p>
        </w:tc>
        <w:tc>
          <w:tcPr>
            <w:tcW w:w="1074" w:type="dxa"/>
            <w:noWrap/>
            <w:hideMark/>
          </w:tcPr>
          <w:p w:rsidR="008E5029" w:rsidRPr="00B23DFA" w:rsidRDefault="008E5029" w:rsidP="00B23DFA">
            <w:pPr>
              <w:pStyle w:val="Tabletext"/>
              <w:rPr>
                <w:szCs w:val="18"/>
                <w:lang w:bidi="he-IL"/>
              </w:rPr>
            </w:pPr>
            <w:r w:rsidRPr="00B23DFA">
              <w:rPr>
                <w:szCs w:val="18"/>
                <w:lang w:bidi="he-IL"/>
              </w:rPr>
              <w:t>&lt;0.001</w:t>
            </w:r>
          </w:p>
        </w:tc>
      </w:tr>
    </w:tbl>
    <w:p w:rsidR="008E5029" w:rsidRPr="00B23DFA" w:rsidRDefault="008E5029" w:rsidP="00B23DFA">
      <w:pPr>
        <w:pStyle w:val="Tabletext"/>
        <w:rPr>
          <w:szCs w:val="18"/>
        </w:rPr>
      </w:pPr>
      <w:r w:rsidRPr="00B23DFA">
        <w:rPr>
          <w:szCs w:val="18"/>
        </w:rPr>
        <w:t xml:space="preserve">Null deviance: </w:t>
      </w:r>
      <w:proofErr w:type="gramStart"/>
      <w:r w:rsidRPr="00B23DFA">
        <w:rPr>
          <w:szCs w:val="18"/>
        </w:rPr>
        <w:t>5739.4  on</w:t>
      </w:r>
      <w:proofErr w:type="gramEnd"/>
      <w:r w:rsidRPr="00B23DFA">
        <w:rPr>
          <w:szCs w:val="18"/>
        </w:rPr>
        <w:t xml:space="preserve"> 53  degrees of freedom</w:t>
      </w:r>
    </w:p>
    <w:p w:rsidR="008E5029" w:rsidRDefault="008E5029" w:rsidP="00B23DFA">
      <w:pPr>
        <w:pStyle w:val="Tabletext"/>
        <w:rPr>
          <w:szCs w:val="18"/>
        </w:rPr>
      </w:pPr>
      <w:r w:rsidRPr="00B23DFA">
        <w:rPr>
          <w:szCs w:val="18"/>
        </w:rPr>
        <w:t xml:space="preserve">Residual deviance: </w:t>
      </w:r>
      <w:proofErr w:type="gramStart"/>
      <w:r w:rsidRPr="00B23DFA">
        <w:rPr>
          <w:szCs w:val="18"/>
        </w:rPr>
        <w:t>1687.4  on</w:t>
      </w:r>
      <w:proofErr w:type="gramEnd"/>
      <w:r w:rsidRPr="00B23DFA">
        <w:rPr>
          <w:szCs w:val="18"/>
        </w:rPr>
        <w:t xml:space="preserve"> 43  degrees of freedom</w:t>
      </w:r>
    </w:p>
    <w:p w:rsidR="00B27EB3" w:rsidRDefault="00B27EB3" w:rsidP="00B23DFA">
      <w:pPr>
        <w:pStyle w:val="Tabletext"/>
        <w:rPr>
          <w:szCs w:val="18"/>
        </w:rPr>
      </w:pPr>
    </w:p>
    <w:p w:rsidR="00B23DFA" w:rsidRPr="00B23DFA" w:rsidRDefault="00B23DFA" w:rsidP="00B23DFA">
      <w:pPr>
        <w:pStyle w:val="Tabletext"/>
        <w:rPr>
          <w:szCs w:val="18"/>
        </w:rPr>
      </w:pPr>
    </w:p>
    <w:tbl>
      <w:tblPr>
        <w:tblStyle w:val="TableGrid"/>
        <w:tblW w:w="9390" w:type="dxa"/>
        <w:tblLook w:val="04A0"/>
      </w:tblPr>
      <w:tblGrid>
        <w:gridCol w:w="9390"/>
      </w:tblGrid>
      <w:tr w:rsidR="008E5029" w:rsidRPr="00B23DFA" w:rsidTr="00B23DFA">
        <w:trPr>
          <w:cnfStyle w:val="100000000000"/>
          <w:trHeight w:val="300"/>
        </w:trPr>
        <w:tc>
          <w:tcPr>
            <w:tcW w:w="9390" w:type="dxa"/>
            <w:noWrap/>
            <w:hideMark/>
          </w:tcPr>
          <w:p w:rsidR="008E5029" w:rsidRPr="00B23DFA" w:rsidRDefault="008E5029" w:rsidP="00B23DFA">
            <w:pPr>
              <w:pStyle w:val="Tabletext"/>
              <w:rPr>
                <w:szCs w:val="18"/>
                <w:lang w:bidi="he-IL"/>
              </w:rPr>
            </w:pPr>
            <w:r w:rsidRPr="00B23DFA">
              <w:rPr>
                <w:szCs w:val="18"/>
                <w:lang w:bidi="he-IL"/>
              </w:rPr>
              <w:t xml:space="preserve">                                     Estimate Std. Error z value Pr(&gt;|z|)    </w:t>
            </w:r>
          </w:p>
        </w:tc>
      </w:tr>
      <w:tr w:rsidR="008E5029" w:rsidRPr="00B23DFA" w:rsidTr="00B23DFA">
        <w:trPr>
          <w:trHeight w:val="300"/>
        </w:trPr>
        <w:tc>
          <w:tcPr>
            <w:tcW w:w="9390" w:type="dxa"/>
            <w:noWrap/>
            <w:hideMark/>
          </w:tcPr>
          <w:p w:rsidR="008E5029" w:rsidRPr="00B23DFA" w:rsidRDefault="008E5029" w:rsidP="00B23DFA">
            <w:pPr>
              <w:pStyle w:val="Tabletext"/>
              <w:rPr>
                <w:szCs w:val="18"/>
                <w:lang w:bidi="he-IL"/>
              </w:rPr>
            </w:pPr>
            <w:r w:rsidRPr="00B23DFA">
              <w:rPr>
                <w:szCs w:val="18"/>
                <w:lang w:bidi="he-IL"/>
              </w:rPr>
              <w:t>mid-Murrumbidgee - Lowbidgee         -4.5210     0.3058 -14.785 &lt;0.001 ***</w:t>
            </w:r>
          </w:p>
        </w:tc>
      </w:tr>
      <w:tr w:rsidR="008E5029" w:rsidRPr="00B23DFA" w:rsidTr="00B23DFA">
        <w:trPr>
          <w:trHeight w:val="300"/>
        </w:trPr>
        <w:tc>
          <w:tcPr>
            <w:tcW w:w="9390" w:type="dxa"/>
            <w:noWrap/>
            <w:hideMark/>
          </w:tcPr>
          <w:p w:rsidR="008E5029" w:rsidRPr="00B23DFA" w:rsidRDefault="008E5029" w:rsidP="00B23DFA">
            <w:pPr>
              <w:pStyle w:val="Tabletext"/>
              <w:rPr>
                <w:szCs w:val="18"/>
                <w:lang w:bidi="he-IL"/>
              </w:rPr>
            </w:pPr>
            <w:r w:rsidRPr="00B23DFA">
              <w:rPr>
                <w:szCs w:val="18"/>
                <w:lang w:bidi="he-IL"/>
              </w:rPr>
              <w:t>Western Lakes - Lowbidgee            -1.6347     0.2150  -7.604 &lt;0.001 ***</w:t>
            </w:r>
          </w:p>
        </w:tc>
      </w:tr>
      <w:tr w:rsidR="008E5029" w:rsidRPr="00B23DFA" w:rsidTr="00B23DFA">
        <w:trPr>
          <w:trHeight w:val="300"/>
        </w:trPr>
        <w:tc>
          <w:tcPr>
            <w:tcW w:w="9390" w:type="dxa"/>
            <w:noWrap/>
            <w:hideMark/>
          </w:tcPr>
          <w:p w:rsidR="008E5029" w:rsidRPr="00B23DFA" w:rsidRDefault="008E5029" w:rsidP="00B23DFA">
            <w:pPr>
              <w:pStyle w:val="Tabletext"/>
              <w:rPr>
                <w:szCs w:val="18"/>
                <w:lang w:bidi="he-IL"/>
              </w:rPr>
            </w:pPr>
            <w:r w:rsidRPr="00B23DFA">
              <w:rPr>
                <w:szCs w:val="18"/>
                <w:lang w:bidi="he-IL"/>
              </w:rPr>
              <w:t>Western Lakes - mid-Murrumbidgee     2.8864     0.3339   8.644  &lt;0.001 ***</w:t>
            </w:r>
          </w:p>
        </w:tc>
      </w:tr>
    </w:tbl>
    <w:p w:rsidR="008E5029" w:rsidRDefault="008E5029" w:rsidP="008E5029"/>
    <w:p w:rsidR="008E5029" w:rsidRDefault="008E5029" w:rsidP="008E5029">
      <w:r>
        <w:rPr>
          <w:noProof/>
          <w:lang w:eastAsia="en-AU"/>
        </w:rPr>
        <w:drawing>
          <wp:inline distT="0" distB="0" distL="0" distR="0">
            <wp:extent cx="5753100" cy="4689759"/>
            <wp:effectExtent l="19050" t="0" r="0" b="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cstate="print"/>
                    <a:stretch>
                      <a:fillRect/>
                    </a:stretch>
                  </pic:blipFill>
                  <pic:spPr>
                    <a:xfrm>
                      <a:off x="0" y="0"/>
                      <a:ext cx="5756327" cy="4692390"/>
                    </a:xfrm>
                    <a:prstGeom prst="rect">
                      <a:avLst/>
                    </a:prstGeom>
                  </pic:spPr>
                </pic:pic>
              </a:graphicData>
            </a:graphic>
          </wp:inline>
        </w:drawing>
      </w:r>
    </w:p>
    <w:p w:rsidR="00B27EB3" w:rsidRDefault="00B27EB3">
      <w:pPr>
        <w:spacing w:after="0" w:line="240" w:lineRule="auto"/>
        <w:jc w:val="left"/>
        <w:rPr>
          <w:rFonts w:eastAsia="Times New Roman"/>
          <w:iCs/>
          <w:color w:val="076028"/>
          <w:kern w:val="32"/>
          <w:sz w:val="24"/>
          <w:szCs w:val="26"/>
        </w:rPr>
      </w:pPr>
      <w:r>
        <w:br w:type="page"/>
      </w:r>
    </w:p>
    <w:p w:rsidR="000318BA" w:rsidRPr="000318BA" w:rsidRDefault="000318BA" w:rsidP="000318BA">
      <w:pPr>
        <w:pStyle w:val="Heading3"/>
      </w:pPr>
      <w:bookmarkStart w:id="543" w:name="_Toc370738897"/>
      <w:bookmarkStart w:id="544" w:name="_Toc378168611"/>
      <w:r>
        <w:t>Wetland fish</w:t>
      </w:r>
      <w:bookmarkEnd w:id="543"/>
      <w:bookmarkEnd w:id="544"/>
      <w:r>
        <w:t xml:space="preserve"> </w:t>
      </w:r>
    </w:p>
    <w:p w:rsidR="008E5029" w:rsidRPr="00FD779B" w:rsidRDefault="008E5029" w:rsidP="00B27EB3">
      <w:pPr>
        <w:pStyle w:val="Caption1"/>
      </w:pPr>
      <w:bookmarkStart w:id="545" w:name="_Toc370738898"/>
      <w:r>
        <w:t>Full model:</w:t>
      </w:r>
      <w:r w:rsidR="00B27EB3" w:rsidRPr="00B27EB3">
        <w:t xml:space="preserve"> </w:t>
      </w:r>
      <w:r w:rsidR="00B27EB3">
        <w:t>Model-averaged coefficients</w:t>
      </w:r>
      <w:bookmarkEnd w:id="545"/>
    </w:p>
    <w:tbl>
      <w:tblPr>
        <w:tblStyle w:val="TableGrid"/>
        <w:tblW w:w="0" w:type="auto"/>
        <w:tblLook w:val="04A0"/>
      </w:tblPr>
      <w:tblGrid>
        <w:gridCol w:w="1940"/>
        <w:gridCol w:w="856"/>
        <w:gridCol w:w="911"/>
        <w:gridCol w:w="773"/>
        <w:gridCol w:w="808"/>
      </w:tblGrid>
      <w:tr w:rsidR="008E5029" w:rsidRPr="00EF6E59" w:rsidTr="00B23DFA">
        <w:trPr>
          <w:cnfStyle w:val="100000000000"/>
          <w:trHeight w:val="300"/>
        </w:trPr>
        <w:tc>
          <w:tcPr>
            <w:tcW w:w="0" w:type="auto"/>
            <w:noWrap/>
            <w:hideMark/>
          </w:tcPr>
          <w:p w:rsidR="008E5029" w:rsidRPr="00EF6E59" w:rsidRDefault="008E5029" w:rsidP="00B23DFA">
            <w:pPr>
              <w:pStyle w:val="Tabletext"/>
              <w:rPr>
                <w:lang w:bidi="he-IL"/>
              </w:rPr>
            </w:pPr>
            <w:r w:rsidRPr="00EF6E59">
              <w:rPr>
                <w:lang w:bidi="he-IL"/>
              </w:rPr>
              <w:t>Coefficients:</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Estimate</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Std. Error</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z value</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Pr(&gt;|z|)</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(Intercept)</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4.74</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0.03</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160.21</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Veg.comp1</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-0.36</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0.01</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-48.58</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Veg.comp2</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-0.58</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0.02</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-31.05</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Veg.comp3</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-2.20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0.01</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-149.17</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WQ.comp1</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0.58</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159.59</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Lowbidgee</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-5.21</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0.05</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-103.12</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mid-Murrumbidgee</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-2.93</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0.05</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-61.71</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SmallfykeGambusia</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80.36</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Zoop_SUM</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21.43</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Zoop_Length</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68.98</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highFlowDays30d</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-0.11</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-99.98</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totalFlowSinceJuly</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-25.24</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r w:rsidR="008E5029" w:rsidRPr="00EF6E59" w:rsidTr="00B23DFA">
        <w:trPr>
          <w:trHeight w:val="300"/>
        </w:trPr>
        <w:tc>
          <w:tcPr>
            <w:tcW w:w="0" w:type="auto"/>
            <w:noWrap/>
            <w:hideMark/>
          </w:tcPr>
          <w:p w:rsidR="008E5029" w:rsidRPr="00EF6E59" w:rsidRDefault="008E5029" w:rsidP="00B23DFA">
            <w:pPr>
              <w:pStyle w:val="Tabletext"/>
              <w:rPr>
                <w:lang w:bidi="he-IL"/>
              </w:rPr>
            </w:pPr>
            <w:r w:rsidRPr="00EF6E59">
              <w:rPr>
                <w:lang w:bidi="he-IL"/>
              </w:rPr>
              <w:t>fillyearsin10</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6.17</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0.05</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126.93</w:t>
            </w:r>
          </w:p>
        </w:tc>
        <w:tc>
          <w:tcPr>
            <w:tcW w:w="0" w:type="auto"/>
            <w:noWrap/>
            <w:hideMark/>
          </w:tcPr>
          <w:p w:rsidR="008E5029" w:rsidRPr="00EF6E59" w:rsidRDefault="008E5029" w:rsidP="00B23DFA">
            <w:pPr>
              <w:pStyle w:val="Tabletext"/>
              <w:rPr>
                <w:rFonts w:ascii="Calibri" w:hAnsi="Calibri"/>
                <w:color w:val="000000"/>
                <w:lang w:bidi="he-IL"/>
              </w:rPr>
            </w:pPr>
            <w:r w:rsidRPr="00EF6E59">
              <w:rPr>
                <w:rFonts w:ascii="Calibri" w:hAnsi="Calibri"/>
                <w:color w:val="000000"/>
                <w:lang w:bidi="he-IL"/>
              </w:rPr>
              <w:t>&lt;0.001</w:t>
            </w:r>
          </w:p>
        </w:tc>
      </w:tr>
    </w:tbl>
    <w:p w:rsidR="008E5029" w:rsidRPr="00876782" w:rsidRDefault="008E5029" w:rsidP="00B23DFA">
      <w:pPr>
        <w:pStyle w:val="Tabletext"/>
      </w:pPr>
      <w:r w:rsidRPr="00876782">
        <w:t xml:space="preserve">Null deviance: </w:t>
      </w:r>
      <w:proofErr w:type="gramStart"/>
      <w:r w:rsidRPr="00876782">
        <w:t>244303  on</w:t>
      </w:r>
      <w:proofErr w:type="gramEnd"/>
      <w:r w:rsidRPr="00876782">
        <w:t xml:space="preserve"> 46  degrees of freedom</w:t>
      </w:r>
    </w:p>
    <w:p w:rsidR="008E5029" w:rsidRPr="00876782" w:rsidRDefault="008E5029" w:rsidP="00B23DFA">
      <w:pPr>
        <w:pStyle w:val="Tabletext"/>
      </w:pPr>
      <w:r w:rsidRPr="00876782">
        <w:t xml:space="preserve">Residual deviance:  </w:t>
      </w:r>
      <w:proofErr w:type="gramStart"/>
      <w:r w:rsidRPr="00876782">
        <w:t>63773  on</w:t>
      </w:r>
      <w:proofErr w:type="gramEnd"/>
      <w:r w:rsidRPr="00876782">
        <w:t xml:space="preserve"> 34  degrees of freedom</w:t>
      </w:r>
    </w:p>
    <w:p w:rsidR="008E5029" w:rsidRDefault="008E5029" w:rsidP="00B23DFA">
      <w:pPr>
        <w:pStyle w:val="Tabletext"/>
      </w:pPr>
    </w:p>
    <w:p w:rsidR="008E5029" w:rsidRDefault="008E5029" w:rsidP="00B23DFA">
      <w:pPr>
        <w:pStyle w:val="Tabletext"/>
      </w:pPr>
    </w:p>
    <w:p w:rsidR="008E5029" w:rsidRDefault="008E5029" w:rsidP="00B23DFA">
      <w:pPr>
        <w:pStyle w:val="Tabletext"/>
      </w:pPr>
    </w:p>
    <w:p w:rsidR="008E5029" w:rsidRDefault="008E5029" w:rsidP="00B23DFA">
      <w:pPr>
        <w:pStyle w:val="Tabletext"/>
      </w:pPr>
    </w:p>
    <w:p w:rsidR="008E5029" w:rsidRDefault="008E5029" w:rsidP="00B27EB3">
      <w:pPr>
        <w:pStyle w:val="Caption1"/>
      </w:pPr>
      <w:bookmarkStart w:id="546" w:name="_Toc370738899"/>
      <w:r>
        <w:t>Run through 2048 model combinations leaves us with the full model (above).</w:t>
      </w:r>
      <w:bookmarkEnd w:id="546"/>
    </w:p>
    <w:tbl>
      <w:tblPr>
        <w:tblStyle w:val="TableGrid"/>
        <w:tblW w:w="0" w:type="auto"/>
        <w:tblLayout w:type="fixed"/>
        <w:tblLook w:val="04A0"/>
      </w:tblPr>
      <w:tblGrid>
        <w:gridCol w:w="543"/>
        <w:gridCol w:w="544"/>
        <w:gridCol w:w="543"/>
        <w:gridCol w:w="544"/>
        <w:gridCol w:w="544"/>
        <w:gridCol w:w="543"/>
        <w:gridCol w:w="544"/>
        <w:gridCol w:w="544"/>
        <w:gridCol w:w="543"/>
        <w:gridCol w:w="544"/>
        <w:gridCol w:w="544"/>
        <w:gridCol w:w="543"/>
        <w:gridCol w:w="544"/>
        <w:gridCol w:w="544"/>
        <w:gridCol w:w="543"/>
        <w:gridCol w:w="544"/>
        <w:gridCol w:w="544"/>
      </w:tblGrid>
      <w:tr w:rsidR="008E5029" w:rsidRPr="000318BA" w:rsidTr="001F179D">
        <w:trPr>
          <w:cnfStyle w:val="100000000000"/>
          <w:trHeight w:val="2331"/>
        </w:trPr>
        <w:tc>
          <w:tcPr>
            <w:tcW w:w="543"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Intercept</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fillyearsin10</w:t>
            </w:r>
          </w:p>
        </w:tc>
        <w:tc>
          <w:tcPr>
            <w:tcW w:w="543"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highFlowDays30d</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location</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SmallfykeGambusia</w:t>
            </w:r>
          </w:p>
        </w:tc>
        <w:tc>
          <w:tcPr>
            <w:tcW w:w="543"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totalFlowSinceJul1</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Veg.comp1</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Veg.comp2</w:t>
            </w:r>
          </w:p>
        </w:tc>
        <w:tc>
          <w:tcPr>
            <w:tcW w:w="543"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Veg.comp3</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WQ.comp1</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Zoop_Length</w:t>
            </w:r>
          </w:p>
        </w:tc>
        <w:tc>
          <w:tcPr>
            <w:tcW w:w="543"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Zoop_SUM</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df</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logLik</w:t>
            </w:r>
          </w:p>
        </w:tc>
        <w:tc>
          <w:tcPr>
            <w:tcW w:w="543"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AICc</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delta</w:t>
            </w:r>
          </w:p>
        </w:tc>
        <w:tc>
          <w:tcPr>
            <w:tcW w:w="544" w:type="dxa"/>
            <w:noWrap/>
            <w:textDirection w:val="btLr"/>
            <w:hideMark/>
          </w:tcPr>
          <w:p w:rsidR="008E5029" w:rsidRPr="000318BA" w:rsidRDefault="008E5029" w:rsidP="00B23DFA">
            <w:pPr>
              <w:pStyle w:val="Tabletext"/>
              <w:rPr>
                <w:rFonts w:ascii="Calibri" w:hAnsi="Calibri"/>
                <w:color w:val="000000"/>
                <w:sz w:val="20"/>
                <w:szCs w:val="20"/>
                <w:lang w:bidi="he-IL"/>
              </w:rPr>
            </w:pPr>
            <w:r w:rsidRPr="000318BA">
              <w:rPr>
                <w:rFonts w:ascii="Calibri" w:hAnsi="Calibri"/>
                <w:color w:val="000000"/>
                <w:sz w:val="20"/>
                <w:szCs w:val="20"/>
                <w:lang w:bidi="he-IL"/>
              </w:rPr>
              <w:t>weight</w:t>
            </w:r>
          </w:p>
        </w:tc>
      </w:tr>
      <w:tr w:rsidR="008E5029" w:rsidRPr="000318BA" w:rsidTr="001F179D">
        <w:trPr>
          <w:trHeight w:val="300"/>
        </w:trPr>
        <w:tc>
          <w:tcPr>
            <w:tcW w:w="543"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4.74</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6.17</w:t>
            </w:r>
          </w:p>
        </w:tc>
        <w:tc>
          <w:tcPr>
            <w:tcW w:w="543"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-0.11</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0.00</w:t>
            </w:r>
          </w:p>
        </w:tc>
        <w:tc>
          <w:tcPr>
            <w:tcW w:w="543"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0.00</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-0.36</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-0.58</w:t>
            </w:r>
          </w:p>
        </w:tc>
        <w:tc>
          <w:tcPr>
            <w:tcW w:w="543"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-2.20</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0.58</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0.00</w:t>
            </w:r>
          </w:p>
        </w:tc>
        <w:tc>
          <w:tcPr>
            <w:tcW w:w="543"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0.00</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13.00</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-32025.20</w:t>
            </w:r>
          </w:p>
        </w:tc>
        <w:tc>
          <w:tcPr>
            <w:tcW w:w="543"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64087.42</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0.00</w:t>
            </w:r>
          </w:p>
        </w:tc>
        <w:tc>
          <w:tcPr>
            <w:tcW w:w="544" w:type="dxa"/>
            <w:noWrap/>
            <w:hideMark/>
          </w:tcPr>
          <w:p w:rsidR="008E5029" w:rsidRPr="000318BA" w:rsidRDefault="008E5029" w:rsidP="00B23DFA">
            <w:pPr>
              <w:pStyle w:val="Tabletext"/>
              <w:rPr>
                <w:rFonts w:ascii="Calibri" w:hAnsi="Calibri"/>
                <w:color w:val="000000"/>
                <w:sz w:val="16"/>
                <w:szCs w:val="16"/>
                <w:lang w:bidi="he-IL"/>
              </w:rPr>
            </w:pPr>
            <w:r w:rsidRPr="000318BA">
              <w:rPr>
                <w:rFonts w:ascii="Calibri" w:hAnsi="Calibri"/>
                <w:color w:val="000000"/>
                <w:sz w:val="16"/>
                <w:szCs w:val="16"/>
                <w:lang w:bidi="he-IL"/>
              </w:rPr>
              <w:t>1.00</w:t>
            </w:r>
          </w:p>
        </w:tc>
      </w:tr>
    </w:tbl>
    <w:p w:rsidR="008E5029" w:rsidRDefault="008E5029" w:rsidP="00B23DFA">
      <w:pPr>
        <w:pStyle w:val="Tabletext"/>
      </w:pPr>
    </w:p>
    <w:tbl>
      <w:tblPr>
        <w:tblStyle w:val="TableGrid"/>
        <w:tblW w:w="9390" w:type="dxa"/>
        <w:tblLook w:val="04A0"/>
      </w:tblPr>
      <w:tblGrid>
        <w:gridCol w:w="3120"/>
        <w:gridCol w:w="6270"/>
      </w:tblGrid>
      <w:tr w:rsidR="008E5029" w:rsidRPr="00EF6E59" w:rsidTr="00B23DFA">
        <w:trPr>
          <w:cnfStyle w:val="100000000000"/>
          <w:trHeight w:val="300"/>
        </w:trPr>
        <w:tc>
          <w:tcPr>
            <w:tcW w:w="9390" w:type="dxa"/>
            <w:gridSpan w:val="2"/>
            <w:noWrap/>
            <w:hideMark/>
          </w:tcPr>
          <w:p w:rsidR="008E5029" w:rsidRPr="00EF6E59" w:rsidRDefault="008E5029" w:rsidP="00B23DFA">
            <w:pPr>
              <w:pStyle w:val="Tabletext"/>
              <w:rPr>
                <w:lang w:bidi="he-IL"/>
              </w:rPr>
            </w:pPr>
            <w:r w:rsidRPr="00EF6E59">
              <w:rPr>
                <w:lang w:bidi="he-IL"/>
              </w:rPr>
              <w:t xml:space="preserve">                                      Estimate Std. Error z value Pr(&gt;|z|)    </w:t>
            </w:r>
          </w:p>
        </w:tc>
      </w:tr>
      <w:tr w:rsidR="001F179D" w:rsidRPr="00EF6E59" w:rsidTr="001F179D">
        <w:trPr>
          <w:trHeight w:val="300"/>
        </w:trPr>
        <w:tc>
          <w:tcPr>
            <w:tcW w:w="3120" w:type="dxa"/>
            <w:noWrap/>
            <w:hideMark/>
          </w:tcPr>
          <w:p w:rsidR="001F179D" w:rsidRPr="00EF6E59" w:rsidRDefault="001F179D" w:rsidP="00B23DFA">
            <w:pPr>
              <w:pStyle w:val="Tabletext"/>
              <w:rPr>
                <w:lang w:bidi="he-IL"/>
              </w:rPr>
            </w:pPr>
            <w:r w:rsidRPr="00EF6E59">
              <w:rPr>
                <w:lang w:bidi="he-IL"/>
              </w:rPr>
              <w:t>mid-Murrumbidgee - Lowbidgee</w:t>
            </w:r>
          </w:p>
        </w:tc>
        <w:tc>
          <w:tcPr>
            <w:tcW w:w="6270" w:type="dxa"/>
          </w:tcPr>
          <w:p w:rsidR="001F179D" w:rsidRPr="00EF6E59" w:rsidRDefault="001F179D" w:rsidP="001F179D">
            <w:pPr>
              <w:pStyle w:val="Tabletext"/>
              <w:rPr>
                <w:lang w:bidi="he-IL"/>
              </w:rPr>
            </w:pPr>
            <w:r w:rsidRPr="00EF6E59">
              <w:rPr>
                <w:lang w:bidi="he-IL"/>
              </w:rPr>
              <w:t>2.28808    0.03645   62.77   &lt;</w:t>
            </w:r>
            <w:r>
              <w:rPr>
                <w:lang w:bidi="he-IL"/>
              </w:rPr>
              <w:t>0.001</w:t>
            </w:r>
            <w:r w:rsidRPr="00EF6E59">
              <w:rPr>
                <w:lang w:bidi="he-IL"/>
              </w:rPr>
              <w:t xml:space="preserve"> ***</w:t>
            </w:r>
          </w:p>
        </w:tc>
      </w:tr>
      <w:tr w:rsidR="001F179D" w:rsidRPr="00EF6E59" w:rsidTr="001F179D">
        <w:trPr>
          <w:trHeight w:val="300"/>
        </w:trPr>
        <w:tc>
          <w:tcPr>
            <w:tcW w:w="3120" w:type="dxa"/>
            <w:noWrap/>
            <w:hideMark/>
          </w:tcPr>
          <w:p w:rsidR="001F179D" w:rsidRPr="00EF6E59" w:rsidRDefault="001F179D" w:rsidP="001F179D">
            <w:pPr>
              <w:pStyle w:val="Tabletext"/>
              <w:rPr>
                <w:lang w:bidi="he-IL"/>
              </w:rPr>
            </w:pPr>
            <w:r w:rsidRPr="00EF6E59">
              <w:rPr>
                <w:lang w:bidi="he-IL"/>
              </w:rPr>
              <w:t xml:space="preserve">Western Lakes - Lowbidgee </w:t>
            </w:r>
            <w:r>
              <w:rPr>
                <w:lang w:bidi="he-IL"/>
              </w:rPr>
              <w:t xml:space="preserve"> </w:t>
            </w:r>
            <w:r w:rsidRPr="00EF6E59">
              <w:rPr>
                <w:lang w:bidi="he-IL"/>
              </w:rPr>
              <w:t xml:space="preserve">         </w:t>
            </w:r>
          </w:p>
        </w:tc>
        <w:tc>
          <w:tcPr>
            <w:tcW w:w="6270" w:type="dxa"/>
          </w:tcPr>
          <w:p w:rsidR="001F179D" w:rsidRPr="00EF6E59" w:rsidRDefault="001F179D" w:rsidP="00B23DFA">
            <w:pPr>
              <w:pStyle w:val="Tabletext"/>
              <w:rPr>
                <w:lang w:bidi="he-IL"/>
              </w:rPr>
            </w:pPr>
            <w:r w:rsidRPr="00EF6E59">
              <w:rPr>
                <w:lang w:bidi="he-IL"/>
              </w:rPr>
              <w:t>5.21397    0.05056  103.12   &lt;</w:t>
            </w:r>
            <w:r>
              <w:rPr>
                <w:lang w:bidi="he-IL"/>
              </w:rPr>
              <w:t>0.001</w:t>
            </w:r>
            <w:r w:rsidRPr="00EF6E59">
              <w:rPr>
                <w:lang w:bidi="he-IL"/>
              </w:rPr>
              <w:t xml:space="preserve"> ***</w:t>
            </w:r>
          </w:p>
        </w:tc>
      </w:tr>
      <w:tr w:rsidR="001F179D" w:rsidRPr="00EF6E59" w:rsidTr="001F179D">
        <w:trPr>
          <w:trHeight w:val="300"/>
        </w:trPr>
        <w:tc>
          <w:tcPr>
            <w:tcW w:w="3120" w:type="dxa"/>
            <w:noWrap/>
            <w:hideMark/>
          </w:tcPr>
          <w:p w:rsidR="001F179D" w:rsidRPr="00EF6E59" w:rsidRDefault="001F179D" w:rsidP="001F179D">
            <w:pPr>
              <w:pStyle w:val="Tabletext"/>
              <w:rPr>
                <w:lang w:bidi="he-IL"/>
              </w:rPr>
            </w:pPr>
            <w:r w:rsidRPr="00EF6E59">
              <w:rPr>
                <w:lang w:bidi="he-IL"/>
              </w:rPr>
              <w:t xml:space="preserve">Western Lakes - mid- Murrumbidgee </w:t>
            </w:r>
            <w:r>
              <w:rPr>
                <w:lang w:bidi="he-IL"/>
              </w:rPr>
              <w:t xml:space="preserve"> </w:t>
            </w:r>
          </w:p>
        </w:tc>
        <w:tc>
          <w:tcPr>
            <w:tcW w:w="6270" w:type="dxa"/>
          </w:tcPr>
          <w:p w:rsidR="001F179D" w:rsidRPr="00EF6E59" w:rsidRDefault="001F179D" w:rsidP="00B23DFA">
            <w:pPr>
              <w:pStyle w:val="Tabletext"/>
              <w:rPr>
                <w:lang w:bidi="he-IL"/>
              </w:rPr>
            </w:pPr>
            <w:r>
              <w:rPr>
                <w:lang w:bidi="he-IL"/>
              </w:rPr>
              <w:t xml:space="preserve"> </w:t>
            </w:r>
            <w:r w:rsidRPr="00EF6E59">
              <w:rPr>
                <w:lang w:bidi="he-IL"/>
              </w:rPr>
              <w:t>2.92589    0.04742   61.71   &lt;</w:t>
            </w:r>
            <w:r>
              <w:rPr>
                <w:lang w:bidi="he-IL"/>
              </w:rPr>
              <w:t>0.001</w:t>
            </w:r>
            <w:r w:rsidRPr="00EF6E59">
              <w:rPr>
                <w:lang w:bidi="he-IL"/>
              </w:rPr>
              <w:t xml:space="preserve"> ***</w:t>
            </w:r>
          </w:p>
        </w:tc>
      </w:tr>
    </w:tbl>
    <w:p w:rsidR="008E5029" w:rsidRDefault="008E5029" w:rsidP="008E5029">
      <w:pPr>
        <w:rPr>
          <w:b/>
          <w:bCs/>
          <w:sz w:val="28"/>
          <w:szCs w:val="28"/>
        </w:rPr>
      </w:pPr>
    </w:p>
    <w:p w:rsidR="008E5029" w:rsidRDefault="008E5029" w:rsidP="008E5029">
      <w:pPr>
        <w:rPr>
          <w:b/>
          <w:bCs/>
          <w:sz w:val="28"/>
          <w:szCs w:val="28"/>
        </w:rPr>
      </w:pPr>
      <w:r>
        <w:rPr>
          <w:b/>
          <w:bCs/>
          <w:noProof/>
          <w:sz w:val="28"/>
          <w:szCs w:val="28"/>
          <w:lang w:eastAsia="en-AU"/>
        </w:rPr>
        <w:drawing>
          <wp:inline distT="0" distB="0" distL="0" distR="0">
            <wp:extent cx="5794395" cy="3933825"/>
            <wp:effectExtent l="19050" t="0" r="0" b="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plot.jpg"/>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96575" cy="3935305"/>
                    </a:xfrm>
                    <a:prstGeom prst="rect">
                      <a:avLst/>
                    </a:prstGeom>
                  </pic:spPr>
                </pic:pic>
              </a:graphicData>
            </a:graphic>
          </wp:inline>
        </w:drawing>
      </w:r>
    </w:p>
    <w:p w:rsidR="000318BA" w:rsidRDefault="000318BA">
      <w:pPr>
        <w:spacing w:after="0" w:line="240" w:lineRule="auto"/>
        <w:jc w:val="left"/>
        <w:rPr>
          <w:rFonts w:eastAsia="Times New Roman"/>
          <w:b/>
          <w:bCs/>
          <w:color w:val="07601F"/>
          <w:kern w:val="32"/>
          <w:sz w:val="32"/>
          <w:szCs w:val="32"/>
        </w:rPr>
      </w:pPr>
      <w:r>
        <w:rPr>
          <w:rFonts w:eastAsia="Times New Roman"/>
          <w:b/>
          <w:bCs/>
          <w:color w:val="07601F"/>
          <w:kern w:val="32"/>
          <w:sz w:val="32"/>
          <w:szCs w:val="32"/>
        </w:rPr>
        <w:br w:type="page"/>
      </w:r>
    </w:p>
    <w:p w:rsidR="008230C6" w:rsidRDefault="000318BA" w:rsidP="000318BA">
      <w:pPr>
        <w:pStyle w:val="Heading3"/>
      </w:pPr>
      <w:bookmarkStart w:id="547" w:name="_Toc370738900"/>
      <w:bookmarkStart w:id="548" w:name="_Toc378168612"/>
      <w:r>
        <w:t>Microcrustacea models</w:t>
      </w:r>
      <w:bookmarkEnd w:id="547"/>
      <w:bookmarkEnd w:id="548"/>
    </w:p>
    <w:p w:rsidR="000318BA" w:rsidRDefault="000318BA">
      <w:pPr>
        <w:spacing w:after="0" w:line="240" w:lineRule="auto"/>
        <w:jc w:val="left"/>
      </w:pPr>
    </w:p>
    <w:p w:rsidR="008E5029" w:rsidRDefault="008E5029" w:rsidP="00B27EB3">
      <w:pPr>
        <w:pStyle w:val="Caption1"/>
      </w:pPr>
      <w:bookmarkStart w:id="549" w:name="_Toc370738901"/>
      <w:r>
        <w:t>Full model:</w:t>
      </w:r>
      <w:r w:rsidR="00B27EB3" w:rsidRPr="00B27EB3">
        <w:t xml:space="preserve"> </w:t>
      </w:r>
      <w:r w:rsidR="00B27EB3">
        <w:t>Model-averaged coefficients</w:t>
      </w:r>
      <w:bookmarkEnd w:id="549"/>
    </w:p>
    <w:tbl>
      <w:tblPr>
        <w:tblStyle w:val="TableGrid"/>
        <w:tblW w:w="0" w:type="auto"/>
        <w:tblLook w:val="04A0"/>
      </w:tblPr>
      <w:tblGrid>
        <w:gridCol w:w="1940"/>
        <w:gridCol w:w="591"/>
        <w:gridCol w:w="536"/>
        <w:gridCol w:w="682"/>
        <w:gridCol w:w="717"/>
      </w:tblGrid>
      <w:tr w:rsidR="008E5029" w:rsidRPr="007A5702" w:rsidTr="008230C6">
        <w:trPr>
          <w:cnfStyle w:val="100000000000"/>
          <w:trHeight w:val="300"/>
        </w:trPr>
        <w:tc>
          <w:tcPr>
            <w:tcW w:w="0" w:type="auto"/>
            <w:noWrap/>
            <w:hideMark/>
          </w:tcPr>
          <w:p w:rsidR="008E5029" w:rsidRPr="007A5702" w:rsidRDefault="008E5029" w:rsidP="008230C6">
            <w:pPr>
              <w:pStyle w:val="Tabletext"/>
              <w:rPr>
                <w:lang w:bidi="he-IL"/>
              </w:rPr>
            </w:pPr>
            <w:r w:rsidRPr="007A5702">
              <w:rPr>
                <w:lang w:bidi="he-IL"/>
              </w:rPr>
              <w:t>(Intercept)</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3.44</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0.06</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62.16</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FD779B" w:rsidTr="008230C6">
        <w:trPr>
          <w:trHeight w:val="300"/>
        </w:trPr>
        <w:tc>
          <w:tcPr>
            <w:tcW w:w="0" w:type="auto"/>
            <w:noWrap/>
            <w:hideMark/>
          </w:tcPr>
          <w:p w:rsidR="008E5029" w:rsidRPr="007A5702" w:rsidRDefault="008E5029" w:rsidP="008230C6">
            <w:pPr>
              <w:pStyle w:val="Tabletext"/>
              <w:rPr>
                <w:lang w:bidi="he-IL"/>
              </w:rPr>
            </w:pPr>
            <w:r w:rsidRPr="007A5702">
              <w:rPr>
                <w:lang w:bidi="he-IL"/>
              </w:rPr>
              <w:t>Veg.comp1</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-0.33</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0.02</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-16.35</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7A5702" w:rsidTr="008230C6">
        <w:trPr>
          <w:trHeight w:val="300"/>
        </w:trPr>
        <w:tc>
          <w:tcPr>
            <w:tcW w:w="0" w:type="auto"/>
            <w:noWrap/>
            <w:hideMark/>
          </w:tcPr>
          <w:p w:rsidR="008E5029" w:rsidRPr="007A5702" w:rsidRDefault="008E5029" w:rsidP="008230C6">
            <w:pPr>
              <w:pStyle w:val="Tabletext"/>
              <w:rPr>
                <w:lang w:bidi="he-IL"/>
              </w:rPr>
            </w:pPr>
            <w:r w:rsidRPr="007A5702">
              <w:rPr>
                <w:lang w:bidi="he-IL"/>
              </w:rPr>
              <w:t>Veg.comp2</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-0.26</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0.03</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-9.69</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FD779B" w:rsidTr="008230C6">
        <w:trPr>
          <w:trHeight w:val="300"/>
        </w:trPr>
        <w:tc>
          <w:tcPr>
            <w:tcW w:w="0" w:type="auto"/>
            <w:noWrap/>
            <w:hideMark/>
          </w:tcPr>
          <w:p w:rsidR="008E5029" w:rsidRPr="007A5702" w:rsidRDefault="008E5029" w:rsidP="008230C6">
            <w:pPr>
              <w:pStyle w:val="Tabletext"/>
              <w:rPr>
                <w:lang w:bidi="he-IL"/>
              </w:rPr>
            </w:pPr>
            <w:r w:rsidRPr="007A5702">
              <w:rPr>
                <w:lang w:bidi="he-IL"/>
              </w:rPr>
              <w:t>Veg.comp3</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0.15</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0.03</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4.33</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7A5702" w:rsidTr="008230C6">
        <w:trPr>
          <w:trHeight w:val="300"/>
        </w:trPr>
        <w:tc>
          <w:tcPr>
            <w:tcW w:w="0" w:type="auto"/>
            <w:noWrap/>
            <w:hideMark/>
          </w:tcPr>
          <w:p w:rsidR="008E5029" w:rsidRPr="007A5702" w:rsidRDefault="008E5029" w:rsidP="008230C6">
            <w:pPr>
              <w:pStyle w:val="Tabletext"/>
              <w:rPr>
                <w:lang w:bidi="he-IL"/>
              </w:rPr>
            </w:pPr>
            <w:r w:rsidRPr="007A5702">
              <w:rPr>
                <w:lang w:bidi="he-IL"/>
              </w:rPr>
              <w:t>WQ.comp1</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-0.28</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0.02</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-16.62</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FD779B" w:rsidTr="008230C6">
        <w:trPr>
          <w:trHeight w:val="300"/>
        </w:trPr>
        <w:tc>
          <w:tcPr>
            <w:tcW w:w="0" w:type="auto"/>
            <w:noWrap/>
            <w:hideMark/>
          </w:tcPr>
          <w:p w:rsidR="008E5029" w:rsidRPr="007A5702" w:rsidRDefault="008E5029" w:rsidP="008230C6">
            <w:pPr>
              <w:pStyle w:val="Tabletext"/>
              <w:rPr>
                <w:lang w:bidi="he-IL"/>
              </w:rPr>
            </w:pPr>
            <w:r w:rsidRPr="007A5702">
              <w:rPr>
                <w:lang w:bidi="he-IL"/>
              </w:rPr>
              <w:t>Lowbidgee</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2.06</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0.09</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22.11</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7A5702" w:rsidTr="008230C6">
        <w:trPr>
          <w:trHeight w:val="300"/>
        </w:trPr>
        <w:tc>
          <w:tcPr>
            <w:tcW w:w="0" w:type="auto"/>
            <w:noWrap/>
            <w:hideMark/>
          </w:tcPr>
          <w:p w:rsidR="008E5029" w:rsidRPr="007A5702" w:rsidRDefault="008E5029" w:rsidP="008230C6">
            <w:pPr>
              <w:pStyle w:val="Tabletext"/>
              <w:rPr>
                <w:lang w:bidi="he-IL"/>
              </w:rPr>
            </w:pPr>
            <w:r w:rsidRPr="00FD779B">
              <w:rPr>
                <w:lang w:bidi="he-IL"/>
              </w:rPr>
              <w:t>mid-Murrumbidgee</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1.09</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0.10</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11.29</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FD779B" w:rsidTr="008230C6">
        <w:trPr>
          <w:trHeight w:val="300"/>
        </w:trPr>
        <w:tc>
          <w:tcPr>
            <w:tcW w:w="0" w:type="auto"/>
            <w:noWrap/>
            <w:hideMark/>
          </w:tcPr>
          <w:p w:rsidR="008E5029" w:rsidRPr="007A5702" w:rsidRDefault="008E5029" w:rsidP="008230C6">
            <w:pPr>
              <w:pStyle w:val="Tabletext"/>
              <w:rPr>
                <w:lang w:bidi="he-IL"/>
              </w:rPr>
            </w:pPr>
            <w:r w:rsidRPr="007A5702">
              <w:rPr>
                <w:lang w:bidi="he-IL"/>
              </w:rPr>
              <w:t>SmallfykeGambusia</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0.00</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0.00</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12.89</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7A5702" w:rsidTr="008230C6">
        <w:trPr>
          <w:trHeight w:val="300"/>
        </w:trPr>
        <w:tc>
          <w:tcPr>
            <w:tcW w:w="0" w:type="auto"/>
            <w:noWrap/>
            <w:hideMark/>
          </w:tcPr>
          <w:p w:rsidR="008E5029" w:rsidRPr="007A5702" w:rsidRDefault="008E5029" w:rsidP="008230C6">
            <w:pPr>
              <w:pStyle w:val="Tabletext"/>
              <w:rPr>
                <w:lang w:bidi="he-IL"/>
              </w:rPr>
            </w:pPr>
            <w:r w:rsidRPr="007A5702">
              <w:rPr>
                <w:lang w:bidi="he-IL"/>
              </w:rPr>
              <w:t>highFlowDays30d</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0.01</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0.00</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3.00</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FD779B" w:rsidTr="008230C6">
        <w:trPr>
          <w:trHeight w:val="300"/>
        </w:trPr>
        <w:tc>
          <w:tcPr>
            <w:tcW w:w="0" w:type="auto"/>
            <w:noWrap/>
            <w:hideMark/>
          </w:tcPr>
          <w:p w:rsidR="008E5029" w:rsidRPr="007A5702" w:rsidRDefault="008E5029" w:rsidP="008230C6">
            <w:pPr>
              <w:pStyle w:val="Tabletext"/>
              <w:rPr>
                <w:lang w:bidi="he-IL"/>
              </w:rPr>
            </w:pPr>
            <w:r w:rsidRPr="007A5702">
              <w:rPr>
                <w:lang w:bidi="he-IL"/>
              </w:rPr>
              <w:t>totalFlowSinceJuly</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0.00</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0.00</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-4.46</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r w:rsidR="008E5029" w:rsidRPr="007A5702" w:rsidTr="008230C6">
        <w:trPr>
          <w:trHeight w:val="300"/>
        </w:trPr>
        <w:tc>
          <w:tcPr>
            <w:tcW w:w="0" w:type="auto"/>
            <w:noWrap/>
            <w:hideMark/>
          </w:tcPr>
          <w:p w:rsidR="008E5029" w:rsidRPr="007A5702" w:rsidRDefault="008E5029" w:rsidP="008230C6">
            <w:pPr>
              <w:pStyle w:val="Tabletext"/>
              <w:rPr>
                <w:lang w:bidi="he-IL"/>
              </w:rPr>
            </w:pPr>
            <w:r w:rsidRPr="007A5702">
              <w:rPr>
                <w:lang w:bidi="he-IL"/>
              </w:rPr>
              <w:t>fillyearsin10</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-1.68</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0.11</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-14.80</w:t>
            </w:r>
          </w:p>
        </w:tc>
        <w:tc>
          <w:tcPr>
            <w:tcW w:w="0" w:type="auto"/>
            <w:noWrap/>
            <w:hideMark/>
          </w:tcPr>
          <w:p w:rsidR="008E5029" w:rsidRPr="007A5702" w:rsidRDefault="008E5029" w:rsidP="008230C6">
            <w:pPr>
              <w:pStyle w:val="Tabletext"/>
              <w:rPr>
                <w:rFonts w:ascii="Calibri" w:hAnsi="Calibri"/>
                <w:color w:val="000000"/>
                <w:lang w:bidi="he-IL"/>
              </w:rPr>
            </w:pPr>
            <w:r w:rsidRPr="007A5702">
              <w:rPr>
                <w:rFonts w:ascii="Calibri" w:hAnsi="Calibri"/>
                <w:color w:val="000000"/>
                <w:lang w:bidi="he-IL"/>
              </w:rPr>
              <w:t>&lt;0.001</w:t>
            </w:r>
          </w:p>
        </w:tc>
      </w:tr>
    </w:tbl>
    <w:p w:rsidR="008E5029" w:rsidRPr="004C2587" w:rsidRDefault="008E5029" w:rsidP="008230C6">
      <w:pPr>
        <w:pStyle w:val="Tabletext"/>
      </w:pPr>
      <w:r w:rsidRPr="004C2587">
        <w:t xml:space="preserve">Null deviance: </w:t>
      </w:r>
      <w:proofErr w:type="gramStart"/>
      <w:r w:rsidRPr="004C2587">
        <w:t>6221.9  on</w:t>
      </w:r>
      <w:proofErr w:type="gramEnd"/>
      <w:r w:rsidRPr="004C2587">
        <w:t xml:space="preserve"> 53  degrees of freedom</w:t>
      </w:r>
    </w:p>
    <w:p w:rsidR="008E5029" w:rsidRPr="004C2587" w:rsidRDefault="008E5029" w:rsidP="008230C6">
      <w:pPr>
        <w:pStyle w:val="Tabletext"/>
      </w:pPr>
      <w:r w:rsidRPr="004C2587">
        <w:t xml:space="preserve">Residual deviance: </w:t>
      </w:r>
      <w:proofErr w:type="gramStart"/>
      <w:r w:rsidRPr="004C2587">
        <w:t>3513.4  on</w:t>
      </w:r>
      <w:proofErr w:type="gramEnd"/>
      <w:r w:rsidRPr="004C2587">
        <w:t xml:space="preserve"> 43  degrees of freedom</w:t>
      </w:r>
    </w:p>
    <w:p w:rsidR="008E5029" w:rsidRDefault="008E5029" w:rsidP="008230C6">
      <w:pPr>
        <w:pStyle w:val="Tabletext"/>
        <w:rPr>
          <w:sz w:val="28"/>
          <w:szCs w:val="28"/>
        </w:rPr>
      </w:pPr>
    </w:p>
    <w:p w:rsidR="008E5029" w:rsidRDefault="008E5029" w:rsidP="008230C6">
      <w:pPr>
        <w:pStyle w:val="Tabletext"/>
        <w:rPr>
          <w:sz w:val="28"/>
          <w:szCs w:val="28"/>
        </w:rPr>
      </w:pPr>
    </w:p>
    <w:p w:rsidR="008E5029" w:rsidRDefault="008E5029" w:rsidP="008230C6">
      <w:pPr>
        <w:pStyle w:val="Tabletext"/>
        <w:rPr>
          <w:sz w:val="28"/>
          <w:szCs w:val="28"/>
        </w:rPr>
      </w:pPr>
    </w:p>
    <w:p w:rsidR="008E5029" w:rsidRDefault="008E5029" w:rsidP="00B27EB3">
      <w:pPr>
        <w:pStyle w:val="Caption1"/>
      </w:pPr>
      <w:bookmarkStart w:id="550" w:name="_Toc370738902"/>
      <w:r>
        <w:t>Run through 512 model combinations leaves us with the full model (above).</w:t>
      </w:r>
      <w:bookmarkEnd w:id="550"/>
    </w:p>
    <w:tbl>
      <w:tblPr>
        <w:tblStyle w:val="TableGrid"/>
        <w:tblW w:w="0" w:type="auto"/>
        <w:tblLook w:val="04A0"/>
      </w:tblPr>
      <w:tblGrid>
        <w:gridCol w:w="536"/>
        <w:gridCol w:w="591"/>
        <w:gridCol w:w="536"/>
        <w:gridCol w:w="448"/>
        <w:gridCol w:w="536"/>
        <w:gridCol w:w="536"/>
        <w:gridCol w:w="591"/>
        <w:gridCol w:w="591"/>
        <w:gridCol w:w="536"/>
        <w:gridCol w:w="591"/>
        <w:gridCol w:w="627"/>
        <w:gridCol w:w="864"/>
        <w:gridCol w:w="809"/>
        <w:gridCol w:w="536"/>
        <w:gridCol w:w="536"/>
      </w:tblGrid>
      <w:tr w:rsidR="008E5029" w:rsidRPr="004C2587" w:rsidTr="00B23DFA">
        <w:trPr>
          <w:cnfStyle w:val="100000000000"/>
          <w:trHeight w:val="2336"/>
        </w:trPr>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(Intercept)</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fillyearsin10</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highFlowDays30d</w:t>
            </w:r>
          </w:p>
        </w:tc>
        <w:tc>
          <w:tcPr>
            <w:tcW w:w="0" w:type="auto"/>
            <w:noWrap/>
            <w:textDirection w:val="btLr"/>
            <w:hideMark/>
          </w:tcPr>
          <w:p w:rsidR="008E5029" w:rsidRPr="004C2587" w:rsidRDefault="008E5029" w:rsidP="008230C6">
            <w:pPr>
              <w:pStyle w:val="Tabletext"/>
              <w:rPr>
                <w:rFonts w:ascii="Calibri" w:hAnsi="Calibri"/>
                <w:color w:val="000000"/>
                <w:lang w:bidi="he-IL"/>
              </w:rPr>
            </w:pPr>
            <w:r>
              <w:rPr>
                <w:rFonts w:ascii="Calibri" w:hAnsi="Calibri"/>
                <w:color w:val="000000"/>
                <w:lang w:bidi="he-IL"/>
              </w:rPr>
              <w:t>location</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SmallfykeGambusia</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totalFlowSinceJul1</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Veg.comp1</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Veg.comp2</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Veg.comp3</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WQ.comp1</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df</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logLik</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AICc</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delta</w:t>
            </w:r>
          </w:p>
        </w:tc>
        <w:tc>
          <w:tcPr>
            <w:tcW w:w="0" w:type="auto"/>
            <w:noWrap/>
            <w:textDirection w:val="btLr"/>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weight</w:t>
            </w:r>
          </w:p>
        </w:tc>
      </w:tr>
      <w:tr w:rsidR="008E5029" w:rsidRPr="004C2587" w:rsidTr="00B23DFA">
        <w:trPr>
          <w:trHeight w:val="300"/>
        </w:trPr>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3.44</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-1.68</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0.01</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0.00</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0.00</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-0.33</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-0.26</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0.15</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-0.28</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11.00</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-1882.32</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3792.92</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0.00</w:t>
            </w:r>
          </w:p>
        </w:tc>
        <w:tc>
          <w:tcPr>
            <w:tcW w:w="0" w:type="auto"/>
            <w:noWrap/>
            <w:hideMark/>
          </w:tcPr>
          <w:p w:rsidR="008E5029" w:rsidRPr="004C2587" w:rsidRDefault="008E5029" w:rsidP="008230C6">
            <w:pPr>
              <w:pStyle w:val="Tabletext"/>
              <w:rPr>
                <w:rFonts w:ascii="Calibri" w:hAnsi="Calibri"/>
                <w:color w:val="000000"/>
                <w:lang w:bidi="he-IL"/>
              </w:rPr>
            </w:pPr>
            <w:r w:rsidRPr="004C2587">
              <w:rPr>
                <w:rFonts w:ascii="Calibri" w:hAnsi="Calibri"/>
                <w:color w:val="000000"/>
                <w:lang w:bidi="he-IL"/>
              </w:rPr>
              <w:t>1.00</w:t>
            </w:r>
          </w:p>
        </w:tc>
      </w:tr>
    </w:tbl>
    <w:p w:rsidR="008E5029" w:rsidRDefault="008E5029" w:rsidP="008230C6">
      <w:pPr>
        <w:pStyle w:val="Tabletext"/>
      </w:pPr>
    </w:p>
    <w:tbl>
      <w:tblPr>
        <w:tblStyle w:val="TableGrid"/>
        <w:tblW w:w="0" w:type="auto"/>
        <w:tblLook w:val="04A0"/>
      </w:tblPr>
      <w:tblGrid>
        <w:gridCol w:w="3495"/>
        <w:gridCol w:w="3789"/>
      </w:tblGrid>
      <w:tr w:rsidR="008E5029" w:rsidRPr="00D02F62" w:rsidTr="00B23DFA">
        <w:trPr>
          <w:cnfStyle w:val="100000000000"/>
          <w:trHeight w:val="300"/>
        </w:trPr>
        <w:tc>
          <w:tcPr>
            <w:tcW w:w="0" w:type="auto"/>
            <w:gridSpan w:val="2"/>
            <w:noWrap/>
            <w:hideMark/>
          </w:tcPr>
          <w:p w:rsidR="008E5029" w:rsidRPr="00D02F62" w:rsidRDefault="008E5029" w:rsidP="008230C6">
            <w:pPr>
              <w:pStyle w:val="Tabletext"/>
              <w:rPr>
                <w:sz w:val="20"/>
                <w:szCs w:val="20"/>
                <w:lang w:bidi="he-IL"/>
              </w:rPr>
            </w:pPr>
            <w:r w:rsidRPr="00D02F62">
              <w:rPr>
                <w:sz w:val="20"/>
                <w:szCs w:val="20"/>
                <w:lang w:bidi="he-IL"/>
              </w:rPr>
              <w:t xml:space="preserve">                                      Estimate Std. Error z value Pr(&gt;|z|)    </w:t>
            </w:r>
          </w:p>
        </w:tc>
      </w:tr>
      <w:tr w:rsidR="001F179D" w:rsidRPr="00D02F62" w:rsidTr="001F179D">
        <w:trPr>
          <w:trHeight w:val="300"/>
        </w:trPr>
        <w:tc>
          <w:tcPr>
            <w:tcW w:w="3495" w:type="dxa"/>
            <w:noWrap/>
            <w:hideMark/>
          </w:tcPr>
          <w:p w:rsidR="001F179D" w:rsidRPr="00D02F62" w:rsidRDefault="001F179D" w:rsidP="008230C6">
            <w:pPr>
              <w:pStyle w:val="Tabletext"/>
              <w:rPr>
                <w:sz w:val="20"/>
                <w:szCs w:val="20"/>
                <w:lang w:bidi="he-IL"/>
              </w:rPr>
            </w:pPr>
            <w:r w:rsidRPr="00D02F62">
              <w:rPr>
                <w:sz w:val="20"/>
                <w:szCs w:val="20"/>
                <w:lang w:bidi="he-IL"/>
              </w:rPr>
              <w:t>mid-Murrumbidgee - Lowbidgee</w:t>
            </w:r>
          </w:p>
        </w:tc>
        <w:tc>
          <w:tcPr>
            <w:tcW w:w="3789" w:type="dxa"/>
          </w:tcPr>
          <w:p w:rsidR="001F179D" w:rsidRPr="00D02F62" w:rsidRDefault="001F179D" w:rsidP="001F179D">
            <w:pPr>
              <w:pStyle w:val="Tabletext"/>
              <w:rPr>
                <w:sz w:val="20"/>
                <w:szCs w:val="20"/>
                <w:lang w:bidi="he-IL"/>
              </w:rPr>
            </w:pPr>
            <w:r w:rsidRPr="00D02F62">
              <w:rPr>
                <w:sz w:val="20"/>
                <w:szCs w:val="20"/>
                <w:lang w:bidi="he-IL"/>
              </w:rPr>
              <w:t>2.28808    0.03645   62.77   &lt;</w:t>
            </w:r>
            <w:r>
              <w:rPr>
                <w:sz w:val="20"/>
                <w:szCs w:val="20"/>
                <w:lang w:bidi="he-IL"/>
              </w:rPr>
              <w:t>0.001</w:t>
            </w:r>
            <w:r w:rsidRPr="00D02F62">
              <w:rPr>
                <w:sz w:val="20"/>
                <w:szCs w:val="20"/>
                <w:lang w:bidi="he-IL"/>
              </w:rPr>
              <w:t xml:space="preserve"> ***</w:t>
            </w:r>
          </w:p>
        </w:tc>
      </w:tr>
      <w:tr w:rsidR="001F179D" w:rsidRPr="00D02F62" w:rsidTr="001F179D">
        <w:trPr>
          <w:trHeight w:val="300"/>
        </w:trPr>
        <w:tc>
          <w:tcPr>
            <w:tcW w:w="3495" w:type="dxa"/>
            <w:noWrap/>
            <w:hideMark/>
          </w:tcPr>
          <w:p w:rsidR="001F179D" w:rsidRPr="00D02F62" w:rsidRDefault="001F179D" w:rsidP="001F179D">
            <w:pPr>
              <w:pStyle w:val="Tabletext"/>
              <w:rPr>
                <w:sz w:val="20"/>
                <w:szCs w:val="20"/>
                <w:lang w:bidi="he-IL"/>
              </w:rPr>
            </w:pPr>
            <w:r w:rsidRPr="00D02F62">
              <w:rPr>
                <w:sz w:val="20"/>
                <w:szCs w:val="20"/>
                <w:lang w:bidi="he-IL"/>
              </w:rPr>
              <w:t xml:space="preserve">Western Lakes - Lowbidgee </w:t>
            </w:r>
            <w:r>
              <w:rPr>
                <w:sz w:val="20"/>
                <w:szCs w:val="20"/>
                <w:lang w:bidi="he-IL"/>
              </w:rPr>
              <w:t xml:space="preserve"> </w:t>
            </w:r>
            <w:r w:rsidRPr="00D02F62">
              <w:rPr>
                <w:sz w:val="20"/>
                <w:szCs w:val="20"/>
                <w:lang w:bidi="he-IL"/>
              </w:rPr>
              <w:t xml:space="preserve">         </w:t>
            </w:r>
          </w:p>
        </w:tc>
        <w:tc>
          <w:tcPr>
            <w:tcW w:w="3789" w:type="dxa"/>
          </w:tcPr>
          <w:p w:rsidR="001F179D" w:rsidRPr="00D02F62" w:rsidRDefault="001F179D" w:rsidP="008230C6">
            <w:pPr>
              <w:pStyle w:val="Tabletext"/>
              <w:rPr>
                <w:sz w:val="20"/>
                <w:szCs w:val="20"/>
                <w:lang w:bidi="he-IL"/>
              </w:rPr>
            </w:pPr>
            <w:r w:rsidRPr="00D02F62">
              <w:rPr>
                <w:sz w:val="20"/>
                <w:szCs w:val="20"/>
                <w:lang w:bidi="he-IL"/>
              </w:rPr>
              <w:t>5.21397    0.05056  103.12   &lt;</w:t>
            </w:r>
            <w:r>
              <w:rPr>
                <w:sz w:val="20"/>
                <w:szCs w:val="20"/>
                <w:lang w:bidi="he-IL"/>
              </w:rPr>
              <w:t>0.001</w:t>
            </w:r>
            <w:r w:rsidRPr="00D02F62">
              <w:rPr>
                <w:sz w:val="20"/>
                <w:szCs w:val="20"/>
                <w:lang w:bidi="he-IL"/>
              </w:rPr>
              <w:t xml:space="preserve"> ***</w:t>
            </w:r>
          </w:p>
        </w:tc>
      </w:tr>
      <w:tr w:rsidR="001F179D" w:rsidRPr="00D02F62" w:rsidTr="001F179D">
        <w:trPr>
          <w:trHeight w:val="300"/>
        </w:trPr>
        <w:tc>
          <w:tcPr>
            <w:tcW w:w="3495" w:type="dxa"/>
            <w:noWrap/>
            <w:hideMark/>
          </w:tcPr>
          <w:p w:rsidR="001F179D" w:rsidRPr="00D02F62" w:rsidRDefault="001F179D" w:rsidP="008230C6">
            <w:pPr>
              <w:pStyle w:val="Tabletext"/>
              <w:rPr>
                <w:sz w:val="20"/>
                <w:szCs w:val="20"/>
                <w:lang w:bidi="he-IL"/>
              </w:rPr>
            </w:pPr>
            <w:r w:rsidRPr="00D02F62">
              <w:rPr>
                <w:sz w:val="20"/>
                <w:szCs w:val="20"/>
                <w:lang w:bidi="he-IL"/>
              </w:rPr>
              <w:t>Western Lakes - mid-Murrumbidgee</w:t>
            </w:r>
          </w:p>
        </w:tc>
        <w:tc>
          <w:tcPr>
            <w:tcW w:w="3789" w:type="dxa"/>
          </w:tcPr>
          <w:p w:rsidR="001F179D" w:rsidRPr="00D02F62" w:rsidRDefault="001F179D" w:rsidP="001F179D">
            <w:pPr>
              <w:pStyle w:val="Tabletext"/>
              <w:rPr>
                <w:sz w:val="20"/>
                <w:szCs w:val="20"/>
                <w:lang w:bidi="he-IL"/>
              </w:rPr>
            </w:pPr>
            <w:r w:rsidRPr="00D02F62">
              <w:rPr>
                <w:sz w:val="20"/>
                <w:szCs w:val="20"/>
                <w:lang w:bidi="he-IL"/>
              </w:rPr>
              <w:t>2.92589    0.04742   61.71   &lt;</w:t>
            </w:r>
            <w:r>
              <w:rPr>
                <w:sz w:val="20"/>
                <w:szCs w:val="20"/>
                <w:lang w:bidi="he-IL"/>
              </w:rPr>
              <w:t>0.001</w:t>
            </w:r>
            <w:r w:rsidRPr="00D02F62">
              <w:rPr>
                <w:sz w:val="20"/>
                <w:szCs w:val="20"/>
                <w:lang w:bidi="he-IL"/>
              </w:rPr>
              <w:t xml:space="preserve"> ***</w:t>
            </w:r>
          </w:p>
        </w:tc>
      </w:tr>
    </w:tbl>
    <w:p w:rsidR="008E5029" w:rsidRDefault="008E5029" w:rsidP="008230C6">
      <w:pPr>
        <w:pStyle w:val="Tabletext"/>
        <w:rPr>
          <w:b/>
          <w:bCs/>
        </w:rPr>
      </w:pPr>
    </w:p>
    <w:p w:rsidR="008E5029" w:rsidRDefault="008E5029" w:rsidP="008E5029">
      <w:pPr>
        <w:rPr>
          <w:b/>
          <w:bCs/>
          <w:sz w:val="28"/>
          <w:szCs w:val="28"/>
        </w:rPr>
      </w:pPr>
      <w:r>
        <w:rPr>
          <w:b/>
          <w:bCs/>
          <w:noProof/>
          <w:sz w:val="28"/>
          <w:szCs w:val="28"/>
          <w:lang w:eastAsia="en-AU"/>
        </w:rPr>
        <w:drawing>
          <wp:inline distT="0" distB="0" distL="0" distR="0">
            <wp:extent cx="5781675" cy="3925189"/>
            <wp:effectExtent l="19050" t="0" r="9525" b="0"/>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plot2.jpg"/>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87002" cy="3928805"/>
                    </a:xfrm>
                    <a:prstGeom prst="rect">
                      <a:avLst/>
                    </a:prstGeom>
                  </pic:spPr>
                </pic:pic>
              </a:graphicData>
            </a:graphic>
          </wp:inline>
        </w:drawing>
      </w:r>
    </w:p>
    <w:p w:rsidR="001F179D" w:rsidRDefault="001F179D">
      <w:pPr>
        <w:spacing w:after="0" w:line="240" w:lineRule="auto"/>
        <w:jc w:val="left"/>
        <w:rPr>
          <w:rFonts w:eastAsia="Times New Roman"/>
          <w:iCs/>
          <w:color w:val="076028"/>
          <w:kern w:val="32"/>
          <w:sz w:val="24"/>
          <w:szCs w:val="26"/>
        </w:rPr>
      </w:pPr>
      <w:bookmarkStart w:id="551" w:name="_Toc370299266"/>
      <w:r>
        <w:br w:type="page"/>
      </w:r>
    </w:p>
    <w:p w:rsidR="008E5029" w:rsidRDefault="008E5029" w:rsidP="001F179D">
      <w:pPr>
        <w:pStyle w:val="Heading3"/>
      </w:pPr>
      <w:bookmarkStart w:id="552" w:name="_Toc370738903"/>
      <w:bookmarkStart w:id="553" w:name="_Toc378168613"/>
      <w:r w:rsidRPr="007A5702">
        <w:t>Microcrusteaca</w:t>
      </w:r>
      <w:r>
        <w:t xml:space="preserve"> Length</w:t>
      </w:r>
      <w:bookmarkEnd w:id="551"/>
      <w:bookmarkEnd w:id="552"/>
      <w:bookmarkEnd w:id="553"/>
    </w:p>
    <w:p w:rsidR="008E5029" w:rsidRDefault="008E5029" w:rsidP="00B27EB3">
      <w:pPr>
        <w:pStyle w:val="Caption1"/>
      </w:pPr>
      <w:bookmarkStart w:id="554" w:name="_Toc370738904"/>
      <w:r>
        <w:t>Full model:</w:t>
      </w:r>
      <w:r w:rsidR="00B27EB3" w:rsidRPr="00B27EB3">
        <w:t xml:space="preserve"> </w:t>
      </w:r>
      <w:r w:rsidR="00B27EB3">
        <w:t>Model-averaged coefficients</w:t>
      </w:r>
      <w:bookmarkEnd w:id="554"/>
    </w:p>
    <w:tbl>
      <w:tblPr>
        <w:tblStyle w:val="TableGrid"/>
        <w:tblW w:w="0" w:type="auto"/>
        <w:tblLook w:val="04A0"/>
      </w:tblPr>
      <w:tblGrid>
        <w:gridCol w:w="2169"/>
        <w:gridCol w:w="856"/>
        <w:gridCol w:w="911"/>
        <w:gridCol w:w="721"/>
        <w:gridCol w:w="808"/>
      </w:tblGrid>
      <w:tr w:rsidR="008E5029" w:rsidRPr="002D796F" w:rsidTr="008230C6">
        <w:trPr>
          <w:cnfStyle w:val="100000000000"/>
          <w:trHeight w:val="300"/>
        </w:trPr>
        <w:tc>
          <w:tcPr>
            <w:tcW w:w="0" w:type="auto"/>
            <w:noWrap/>
            <w:hideMark/>
          </w:tcPr>
          <w:p w:rsidR="008E5029" w:rsidRPr="002D796F" w:rsidRDefault="008E5029" w:rsidP="008230C6">
            <w:pPr>
              <w:pStyle w:val="Tabletext"/>
              <w:rPr>
                <w:rFonts w:ascii="Calibri" w:hAnsi="Calibri"/>
                <w:color w:val="000000"/>
                <w:lang w:bidi="he-IL"/>
              </w:rPr>
            </w:pP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Estimate</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Std. Error</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z value</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Pr(&gt;|z|)</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(Intercept)</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7.24</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0.01</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760.22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&lt;0.001</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Veg.comp1</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-0.15</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0.00</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-45.72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&lt;0.001</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Veg.comp2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-0.16</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0.01</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-26.91</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&lt;0.001</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Veg.comp3</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0.01</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-2.74</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0.01</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WQ.comp1</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-0.12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0.00</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-39.33</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&lt;0.001</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Lowbidgee</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-0.52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-21.04</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&lt;0.001</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mid-Murrumbidgee</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-0.22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-10.85</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&lt;0.001</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SmallfykeGambusia</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0.00</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0.00</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27.54</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&lt;0.001</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highFlowDays30d</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0.00</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0.00</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-0.44</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0.66</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totalFlowSinceJuly</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0.00</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0.00</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-3.72</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&lt;0.001</w:t>
            </w:r>
          </w:p>
        </w:tc>
      </w:tr>
      <w:tr w:rsidR="008E5029" w:rsidRPr="002D796F" w:rsidTr="008230C6">
        <w:trPr>
          <w:trHeight w:val="300"/>
        </w:trPr>
        <w:tc>
          <w:tcPr>
            <w:tcW w:w="0" w:type="auto"/>
            <w:noWrap/>
            <w:hideMark/>
          </w:tcPr>
          <w:p w:rsidR="008E5029" w:rsidRPr="002D796F" w:rsidRDefault="008E5029" w:rsidP="008230C6">
            <w:pPr>
              <w:pStyle w:val="Tabletext"/>
              <w:rPr>
                <w:rFonts w:ascii="Lucida Console" w:hAnsi="Lucida Console"/>
                <w:szCs w:val="20"/>
                <w:lang w:bidi="he-IL"/>
              </w:rPr>
            </w:pPr>
            <w:r w:rsidRPr="002D796F">
              <w:rPr>
                <w:rFonts w:ascii="Lucida Console" w:hAnsi="Lucida Console"/>
                <w:szCs w:val="20"/>
                <w:lang w:bidi="he-IL"/>
              </w:rPr>
              <w:t>fillyearsin10</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0.14</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0.03</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4.58</w:t>
            </w:r>
          </w:p>
        </w:tc>
        <w:tc>
          <w:tcPr>
            <w:tcW w:w="0" w:type="auto"/>
            <w:noWrap/>
            <w:hideMark/>
          </w:tcPr>
          <w:p w:rsidR="008E5029" w:rsidRPr="002D796F" w:rsidRDefault="008E5029" w:rsidP="008230C6">
            <w:pPr>
              <w:pStyle w:val="Tabletext"/>
              <w:rPr>
                <w:rFonts w:ascii="Calibri" w:hAnsi="Calibri"/>
                <w:color w:val="000000"/>
                <w:lang w:bidi="he-IL"/>
              </w:rPr>
            </w:pPr>
            <w:r w:rsidRPr="002D796F">
              <w:rPr>
                <w:rFonts w:ascii="Calibri" w:hAnsi="Calibri"/>
                <w:color w:val="000000"/>
                <w:lang w:bidi="he-IL"/>
              </w:rPr>
              <w:t>&lt;0.001</w:t>
            </w:r>
          </w:p>
        </w:tc>
      </w:tr>
    </w:tbl>
    <w:p w:rsidR="008E5029" w:rsidRPr="002D796F" w:rsidRDefault="008E5029" w:rsidP="008230C6">
      <w:pPr>
        <w:pStyle w:val="Tabletext"/>
      </w:pPr>
    </w:p>
    <w:p w:rsidR="008E5029" w:rsidRDefault="008E5029" w:rsidP="00B27EB3">
      <w:pPr>
        <w:pStyle w:val="Caption1"/>
      </w:pPr>
      <w:bookmarkStart w:id="555" w:name="_Toc370738905"/>
      <w:r>
        <w:t>Run through 512 model combinations (take out ‘</w:t>
      </w:r>
      <w:r w:rsidRPr="00FB0F35">
        <w:t>highFlowDays30d</w:t>
      </w:r>
      <w:r>
        <w:t>’)</w:t>
      </w:r>
      <w:bookmarkEnd w:id="555"/>
    </w:p>
    <w:tbl>
      <w:tblPr>
        <w:tblStyle w:val="TableGrid"/>
        <w:tblW w:w="0" w:type="auto"/>
        <w:tblLook w:val="04A0"/>
      </w:tblPr>
      <w:tblGrid>
        <w:gridCol w:w="566"/>
        <w:gridCol w:w="566"/>
        <w:gridCol w:w="449"/>
        <w:gridCol w:w="566"/>
        <w:gridCol w:w="566"/>
        <w:gridCol w:w="625"/>
        <w:gridCol w:w="625"/>
        <w:gridCol w:w="625"/>
        <w:gridCol w:w="625"/>
        <w:gridCol w:w="665"/>
        <w:gridCol w:w="1024"/>
        <w:gridCol w:w="965"/>
        <w:gridCol w:w="566"/>
        <w:gridCol w:w="566"/>
      </w:tblGrid>
      <w:tr w:rsidR="008E5029" w:rsidRPr="008230C6" w:rsidTr="00C477E5">
        <w:trPr>
          <w:cnfStyle w:val="100000000000"/>
          <w:trHeight w:val="2287"/>
        </w:trPr>
        <w:tc>
          <w:tcPr>
            <w:tcW w:w="0" w:type="auto"/>
            <w:noWrap/>
            <w:textDirection w:val="btLr"/>
            <w:hideMark/>
          </w:tcPr>
          <w:p w:rsidR="008E5029" w:rsidRPr="008230C6" w:rsidRDefault="008E5029" w:rsidP="00C477E5">
            <w:pPr>
              <w:pStyle w:val="Tabletext"/>
              <w:rPr>
                <w:b/>
                <w:lang w:bidi="he-IL"/>
              </w:rPr>
            </w:pPr>
            <w:r w:rsidRPr="008230C6">
              <w:rPr>
                <w:b/>
                <w:lang w:bidi="he-IL"/>
              </w:rPr>
              <w:t>(Intercept)</w:t>
            </w:r>
          </w:p>
        </w:tc>
        <w:tc>
          <w:tcPr>
            <w:tcW w:w="0" w:type="auto"/>
            <w:noWrap/>
            <w:textDirection w:val="btLr"/>
            <w:hideMark/>
          </w:tcPr>
          <w:p w:rsidR="008E5029" w:rsidRPr="008230C6" w:rsidRDefault="008E5029" w:rsidP="00C477E5">
            <w:pPr>
              <w:pStyle w:val="Tabletext"/>
              <w:rPr>
                <w:b/>
                <w:lang w:bidi="he-IL"/>
              </w:rPr>
            </w:pPr>
            <w:r w:rsidRPr="008230C6">
              <w:rPr>
                <w:b/>
                <w:lang w:bidi="he-IL"/>
              </w:rPr>
              <w:t>fillyearsin10</w:t>
            </w:r>
          </w:p>
        </w:tc>
        <w:tc>
          <w:tcPr>
            <w:tcW w:w="0" w:type="auto"/>
            <w:noWrap/>
            <w:textDirection w:val="btLr"/>
            <w:hideMark/>
          </w:tcPr>
          <w:p w:rsidR="008E5029" w:rsidRPr="008230C6" w:rsidRDefault="008E5029" w:rsidP="00C477E5">
            <w:pPr>
              <w:pStyle w:val="Tabletext"/>
              <w:rPr>
                <w:b/>
                <w:lang w:bidi="he-IL"/>
              </w:rPr>
            </w:pPr>
            <w:r w:rsidRPr="008230C6">
              <w:rPr>
                <w:b/>
                <w:lang w:bidi="he-IL"/>
              </w:rPr>
              <w:t>location</w:t>
            </w:r>
          </w:p>
        </w:tc>
        <w:tc>
          <w:tcPr>
            <w:tcW w:w="0" w:type="auto"/>
            <w:noWrap/>
            <w:textDirection w:val="btLr"/>
            <w:hideMark/>
          </w:tcPr>
          <w:p w:rsidR="008E5029" w:rsidRPr="008230C6" w:rsidRDefault="008E5029" w:rsidP="00C477E5">
            <w:pPr>
              <w:pStyle w:val="Tabletext"/>
              <w:rPr>
                <w:b/>
                <w:lang w:bidi="he-IL"/>
              </w:rPr>
            </w:pPr>
            <w:r w:rsidRPr="008230C6">
              <w:rPr>
                <w:b/>
                <w:lang w:bidi="he-IL"/>
              </w:rPr>
              <w:t>SmallfykeGambusia</w:t>
            </w:r>
          </w:p>
        </w:tc>
        <w:tc>
          <w:tcPr>
            <w:tcW w:w="0" w:type="auto"/>
            <w:noWrap/>
            <w:textDirection w:val="btLr"/>
            <w:hideMark/>
          </w:tcPr>
          <w:p w:rsidR="008E5029" w:rsidRPr="008230C6" w:rsidRDefault="008E5029" w:rsidP="00C477E5">
            <w:pPr>
              <w:pStyle w:val="Tabletext"/>
              <w:rPr>
                <w:b/>
                <w:lang w:bidi="he-IL"/>
              </w:rPr>
            </w:pPr>
            <w:r w:rsidRPr="008230C6">
              <w:rPr>
                <w:b/>
                <w:lang w:bidi="he-IL"/>
              </w:rPr>
              <w:t>totalFlowSinceJul1</w:t>
            </w:r>
          </w:p>
        </w:tc>
        <w:tc>
          <w:tcPr>
            <w:tcW w:w="0" w:type="auto"/>
            <w:noWrap/>
            <w:textDirection w:val="btLr"/>
            <w:hideMark/>
          </w:tcPr>
          <w:p w:rsidR="008E5029" w:rsidRPr="008230C6" w:rsidRDefault="008E5029" w:rsidP="00C477E5">
            <w:pPr>
              <w:pStyle w:val="Tabletext"/>
              <w:rPr>
                <w:b/>
                <w:lang w:bidi="he-IL"/>
              </w:rPr>
            </w:pPr>
            <w:r w:rsidRPr="008230C6">
              <w:rPr>
                <w:b/>
                <w:lang w:bidi="he-IL"/>
              </w:rPr>
              <w:t>Veg.comp1</w:t>
            </w:r>
          </w:p>
        </w:tc>
        <w:tc>
          <w:tcPr>
            <w:tcW w:w="0" w:type="auto"/>
            <w:noWrap/>
            <w:textDirection w:val="btLr"/>
            <w:hideMark/>
          </w:tcPr>
          <w:p w:rsidR="008E5029" w:rsidRPr="008230C6" w:rsidRDefault="008E5029" w:rsidP="00C477E5">
            <w:pPr>
              <w:pStyle w:val="Tabletext"/>
              <w:rPr>
                <w:b/>
                <w:lang w:bidi="he-IL"/>
              </w:rPr>
            </w:pPr>
            <w:r w:rsidRPr="008230C6">
              <w:rPr>
                <w:b/>
                <w:lang w:bidi="he-IL"/>
              </w:rPr>
              <w:t>Veg.comp2</w:t>
            </w:r>
          </w:p>
        </w:tc>
        <w:tc>
          <w:tcPr>
            <w:tcW w:w="0" w:type="auto"/>
            <w:noWrap/>
            <w:textDirection w:val="btLr"/>
            <w:hideMark/>
          </w:tcPr>
          <w:p w:rsidR="008E5029" w:rsidRPr="008230C6" w:rsidRDefault="008E5029" w:rsidP="00C477E5">
            <w:pPr>
              <w:pStyle w:val="Tabletext"/>
              <w:rPr>
                <w:b/>
                <w:lang w:bidi="he-IL"/>
              </w:rPr>
            </w:pPr>
            <w:r w:rsidRPr="008230C6">
              <w:rPr>
                <w:b/>
                <w:lang w:bidi="he-IL"/>
              </w:rPr>
              <w:t>Veg.comp3</w:t>
            </w:r>
          </w:p>
        </w:tc>
        <w:tc>
          <w:tcPr>
            <w:tcW w:w="0" w:type="auto"/>
            <w:noWrap/>
            <w:textDirection w:val="btLr"/>
            <w:hideMark/>
          </w:tcPr>
          <w:p w:rsidR="008E5029" w:rsidRPr="008230C6" w:rsidRDefault="008E5029" w:rsidP="00C477E5">
            <w:pPr>
              <w:pStyle w:val="Tabletext"/>
              <w:rPr>
                <w:b/>
                <w:lang w:bidi="he-IL"/>
              </w:rPr>
            </w:pPr>
            <w:r w:rsidRPr="008230C6">
              <w:rPr>
                <w:b/>
                <w:lang w:bidi="he-IL"/>
              </w:rPr>
              <w:t>WQ.comp1</w:t>
            </w:r>
          </w:p>
        </w:tc>
        <w:tc>
          <w:tcPr>
            <w:tcW w:w="0" w:type="auto"/>
            <w:noWrap/>
            <w:textDirection w:val="btLr"/>
            <w:hideMark/>
          </w:tcPr>
          <w:p w:rsidR="008E5029" w:rsidRPr="008230C6" w:rsidRDefault="008E5029" w:rsidP="00C477E5">
            <w:pPr>
              <w:pStyle w:val="Tabletext"/>
              <w:rPr>
                <w:b/>
                <w:lang w:bidi="he-IL"/>
              </w:rPr>
            </w:pPr>
            <w:r w:rsidRPr="008230C6">
              <w:rPr>
                <w:b/>
                <w:lang w:bidi="he-IL"/>
              </w:rPr>
              <w:t>df</w:t>
            </w:r>
          </w:p>
        </w:tc>
        <w:tc>
          <w:tcPr>
            <w:tcW w:w="0" w:type="auto"/>
            <w:noWrap/>
            <w:textDirection w:val="btLr"/>
            <w:hideMark/>
          </w:tcPr>
          <w:p w:rsidR="008E5029" w:rsidRPr="008230C6" w:rsidRDefault="008E5029" w:rsidP="00C477E5">
            <w:pPr>
              <w:pStyle w:val="Tabletext"/>
              <w:rPr>
                <w:b/>
                <w:lang w:bidi="he-IL"/>
              </w:rPr>
            </w:pPr>
            <w:r w:rsidRPr="008230C6">
              <w:rPr>
                <w:b/>
                <w:lang w:bidi="he-IL"/>
              </w:rPr>
              <w:t>logLik</w:t>
            </w:r>
          </w:p>
        </w:tc>
        <w:tc>
          <w:tcPr>
            <w:tcW w:w="0" w:type="auto"/>
            <w:noWrap/>
            <w:textDirection w:val="btLr"/>
            <w:hideMark/>
          </w:tcPr>
          <w:p w:rsidR="008E5029" w:rsidRPr="008230C6" w:rsidRDefault="008E5029" w:rsidP="00C477E5">
            <w:pPr>
              <w:pStyle w:val="Tabletext"/>
              <w:rPr>
                <w:b/>
                <w:lang w:bidi="he-IL"/>
              </w:rPr>
            </w:pPr>
            <w:r w:rsidRPr="008230C6">
              <w:rPr>
                <w:b/>
                <w:lang w:bidi="he-IL"/>
              </w:rPr>
              <w:t>AICc</w:t>
            </w:r>
          </w:p>
        </w:tc>
        <w:tc>
          <w:tcPr>
            <w:tcW w:w="0" w:type="auto"/>
            <w:noWrap/>
            <w:textDirection w:val="btLr"/>
            <w:hideMark/>
          </w:tcPr>
          <w:p w:rsidR="008E5029" w:rsidRPr="008230C6" w:rsidRDefault="008E5029" w:rsidP="00C477E5">
            <w:pPr>
              <w:pStyle w:val="Tabletext"/>
              <w:rPr>
                <w:b/>
                <w:lang w:bidi="he-IL"/>
              </w:rPr>
            </w:pPr>
            <w:r w:rsidRPr="008230C6">
              <w:rPr>
                <w:b/>
                <w:lang w:bidi="he-IL"/>
              </w:rPr>
              <w:t>delta</w:t>
            </w:r>
          </w:p>
        </w:tc>
        <w:tc>
          <w:tcPr>
            <w:tcW w:w="0" w:type="auto"/>
            <w:noWrap/>
            <w:textDirection w:val="btLr"/>
            <w:hideMark/>
          </w:tcPr>
          <w:p w:rsidR="008E5029" w:rsidRPr="008230C6" w:rsidRDefault="008E5029" w:rsidP="00C477E5">
            <w:pPr>
              <w:pStyle w:val="Tabletext"/>
              <w:rPr>
                <w:b/>
                <w:lang w:bidi="he-IL"/>
              </w:rPr>
            </w:pPr>
            <w:r w:rsidRPr="008230C6">
              <w:rPr>
                <w:b/>
                <w:lang w:bidi="he-IL"/>
              </w:rPr>
              <w:t>weight</w:t>
            </w:r>
          </w:p>
        </w:tc>
      </w:tr>
      <w:tr w:rsidR="008E5029" w:rsidRPr="00D536F8" w:rsidTr="00C477E5">
        <w:trPr>
          <w:trHeight w:val="300"/>
        </w:trPr>
        <w:tc>
          <w:tcPr>
            <w:tcW w:w="0" w:type="auto"/>
            <w:noWrap/>
            <w:hideMark/>
          </w:tcPr>
          <w:p w:rsidR="008E5029" w:rsidRPr="00D536F8" w:rsidRDefault="008E5029" w:rsidP="00C477E5">
            <w:pPr>
              <w:pStyle w:val="Tabletext"/>
              <w:rPr>
                <w:lang w:bidi="he-IL"/>
              </w:rPr>
            </w:pPr>
            <w:r w:rsidRPr="00D536F8">
              <w:rPr>
                <w:lang w:bidi="he-IL"/>
              </w:rPr>
              <w:t>7.24</w:t>
            </w:r>
          </w:p>
        </w:tc>
        <w:tc>
          <w:tcPr>
            <w:tcW w:w="0" w:type="auto"/>
            <w:noWrap/>
            <w:hideMark/>
          </w:tcPr>
          <w:p w:rsidR="008E5029" w:rsidRPr="00D536F8" w:rsidRDefault="008E5029" w:rsidP="00C477E5">
            <w:pPr>
              <w:pStyle w:val="Tabletext"/>
              <w:rPr>
                <w:lang w:bidi="he-IL"/>
              </w:rPr>
            </w:pPr>
            <w:r w:rsidRPr="00D536F8">
              <w:rPr>
                <w:lang w:bidi="he-IL"/>
              </w:rPr>
              <w:t>0.14</w:t>
            </w:r>
          </w:p>
        </w:tc>
        <w:tc>
          <w:tcPr>
            <w:tcW w:w="0" w:type="auto"/>
            <w:noWrap/>
            <w:hideMark/>
          </w:tcPr>
          <w:p w:rsidR="008E5029" w:rsidRPr="00D536F8" w:rsidRDefault="008E5029" w:rsidP="00C477E5">
            <w:pPr>
              <w:pStyle w:val="Tabletext"/>
              <w:rPr>
                <w:lang w:bidi="he-IL"/>
              </w:rPr>
            </w:pPr>
            <w:r w:rsidRPr="00D536F8">
              <w:rPr>
                <w:lang w:bidi="he-IL"/>
              </w:rPr>
              <w:t>+</w:t>
            </w:r>
          </w:p>
        </w:tc>
        <w:tc>
          <w:tcPr>
            <w:tcW w:w="0" w:type="auto"/>
            <w:noWrap/>
            <w:hideMark/>
          </w:tcPr>
          <w:p w:rsidR="008E5029" w:rsidRPr="00D536F8" w:rsidRDefault="008E5029" w:rsidP="00C477E5">
            <w:pPr>
              <w:pStyle w:val="Tabletext"/>
              <w:rPr>
                <w:lang w:bidi="he-IL"/>
              </w:rPr>
            </w:pPr>
            <w:r w:rsidRPr="00D536F8">
              <w:rPr>
                <w:lang w:bidi="he-IL"/>
              </w:rPr>
              <w:t>0.00</w:t>
            </w:r>
          </w:p>
        </w:tc>
        <w:tc>
          <w:tcPr>
            <w:tcW w:w="0" w:type="auto"/>
            <w:noWrap/>
            <w:hideMark/>
          </w:tcPr>
          <w:p w:rsidR="008E5029" w:rsidRPr="00D536F8" w:rsidRDefault="008E5029" w:rsidP="00C477E5">
            <w:pPr>
              <w:pStyle w:val="Tabletext"/>
              <w:rPr>
                <w:lang w:bidi="he-IL"/>
              </w:rPr>
            </w:pPr>
            <w:r w:rsidRPr="00D536F8">
              <w:rPr>
                <w:lang w:bidi="he-IL"/>
              </w:rPr>
              <w:t>0.00</w:t>
            </w:r>
          </w:p>
        </w:tc>
        <w:tc>
          <w:tcPr>
            <w:tcW w:w="0" w:type="auto"/>
            <w:noWrap/>
            <w:hideMark/>
          </w:tcPr>
          <w:p w:rsidR="008E5029" w:rsidRPr="00D536F8" w:rsidRDefault="008E5029" w:rsidP="00C477E5">
            <w:pPr>
              <w:pStyle w:val="Tabletext"/>
              <w:rPr>
                <w:lang w:bidi="he-IL"/>
              </w:rPr>
            </w:pPr>
            <w:r w:rsidRPr="00D536F8">
              <w:rPr>
                <w:lang w:bidi="he-IL"/>
              </w:rPr>
              <w:t>-0.15</w:t>
            </w:r>
          </w:p>
        </w:tc>
        <w:tc>
          <w:tcPr>
            <w:tcW w:w="0" w:type="auto"/>
            <w:noWrap/>
            <w:hideMark/>
          </w:tcPr>
          <w:p w:rsidR="008E5029" w:rsidRPr="00D536F8" w:rsidRDefault="008E5029" w:rsidP="00C477E5">
            <w:pPr>
              <w:pStyle w:val="Tabletext"/>
              <w:rPr>
                <w:lang w:bidi="he-IL"/>
              </w:rPr>
            </w:pPr>
            <w:r w:rsidRPr="00D536F8">
              <w:rPr>
                <w:lang w:bidi="he-IL"/>
              </w:rPr>
              <w:t>-0.16</w:t>
            </w:r>
          </w:p>
        </w:tc>
        <w:tc>
          <w:tcPr>
            <w:tcW w:w="0" w:type="auto"/>
            <w:noWrap/>
            <w:hideMark/>
          </w:tcPr>
          <w:p w:rsidR="008E5029" w:rsidRPr="00D536F8" w:rsidRDefault="008E5029" w:rsidP="00C477E5">
            <w:pPr>
              <w:pStyle w:val="Tabletext"/>
              <w:rPr>
                <w:lang w:bidi="he-IL"/>
              </w:rPr>
            </w:pPr>
            <w:r w:rsidRPr="00D536F8">
              <w:rPr>
                <w:lang w:bidi="he-IL"/>
              </w:rPr>
              <w:t>-0.02</w:t>
            </w:r>
          </w:p>
        </w:tc>
        <w:tc>
          <w:tcPr>
            <w:tcW w:w="0" w:type="auto"/>
            <w:noWrap/>
            <w:hideMark/>
          </w:tcPr>
          <w:p w:rsidR="008E5029" w:rsidRPr="00D536F8" w:rsidRDefault="008E5029" w:rsidP="00C477E5">
            <w:pPr>
              <w:pStyle w:val="Tabletext"/>
              <w:rPr>
                <w:lang w:bidi="he-IL"/>
              </w:rPr>
            </w:pPr>
            <w:r w:rsidRPr="00D536F8">
              <w:rPr>
                <w:lang w:bidi="he-IL"/>
              </w:rPr>
              <w:t>-0.12</w:t>
            </w:r>
          </w:p>
        </w:tc>
        <w:tc>
          <w:tcPr>
            <w:tcW w:w="0" w:type="auto"/>
            <w:noWrap/>
            <w:hideMark/>
          </w:tcPr>
          <w:p w:rsidR="008E5029" w:rsidRPr="00D536F8" w:rsidRDefault="008E5029" w:rsidP="00C477E5">
            <w:pPr>
              <w:pStyle w:val="Tabletext"/>
              <w:rPr>
                <w:lang w:bidi="he-IL"/>
              </w:rPr>
            </w:pPr>
            <w:r w:rsidRPr="00D536F8">
              <w:rPr>
                <w:lang w:bidi="he-IL"/>
              </w:rPr>
              <w:t>10.00</w:t>
            </w:r>
          </w:p>
        </w:tc>
        <w:tc>
          <w:tcPr>
            <w:tcW w:w="0" w:type="auto"/>
            <w:noWrap/>
            <w:hideMark/>
          </w:tcPr>
          <w:p w:rsidR="008E5029" w:rsidRPr="00D536F8" w:rsidRDefault="008E5029" w:rsidP="00C477E5">
            <w:pPr>
              <w:pStyle w:val="Tabletext"/>
              <w:rPr>
                <w:lang w:bidi="he-IL"/>
              </w:rPr>
            </w:pPr>
            <w:r w:rsidRPr="00D536F8">
              <w:rPr>
                <w:lang w:bidi="he-IL"/>
              </w:rPr>
              <w:t>-10508.42</w:t>
            </w:r>
          </w:p>
        </w:tc>
        <w:tc>
          <w:tcPr>
            <w:tcW w:w="0" w:type="auto"/>
            <w:noWrap/>
            <w:hideMark/>
          </w:tcPr>
          <w:p w:rsidR="008E5029" w:rsidRPr="00D536F8" w:rsidRDefault="008E5029" w:rsidP="00C477E5">
            <w:pPr>
              <w:pStyle w:val="Tabletext"/>
              <w:rPr>
                <w:lang w:bidi="he-IL"/>
              </w:rPr>
            </w:pPr>
            <w:r w:rsidRPr="00D536F8">
              <w:rPr>
                <w:lang w:bidi="he-IL"/>
              </w:rPr>
              <w:t>21041.96</w:t>
            </w:r>
          </w:p>
        </w:tc>
        <w:tc>
          <w:tcPr>
            <w:tcW w:w="0" w:type="auto"/>
            <w:noWrap/>
            <w:hideMark/>
          </w:tcPr>
          <w:p w:rsidR="008E5029" w:rsidRPr="00D536F8" w:rsidRDefault="008E5029" w:rsidP="00C477E5">
            <w:pPr>
              <w:pStyle w:val="Tabletext"/>
              <w:rPr>
                <w:lang w:bidi="he-IL"/>
              </w:rPr>
            </w:pPr>
            <w:r w:rsidRPr="00D536F8">
              <w:rPr>
                <w:lang w:bidi="he-IL"/>
              </w:rPr>
              <w:t>0.00</w:t>
            </w:r>
          </w:p>
        </w:tc>
        <w:tc>
          <w:tcPr>
            <w:tcW w:w="0" w:type="auto"/>
            <w:noWrap/>
            <w:hideMark/>
          </w:tcPr>
          <w:p w:rsidR="008E5029" w:rsidRPr="00D536F8" w:rsidRDefault="008E5029" w:rsidP="00C477E5">
            <w:pPr>
              <w:pStyle w:val="Tabletext"/>
              <w:rPr>
                <w:lang w:bidi="he-IL"/>
              </w:rPr>
            </w:pPr>
            <w:r w:rsidRPr="00D536F8">
              <w:rPr>
                <w:lang w:bidi="he-IL"/>
              </w:rPr>
              <w:t>1.00</w:t>
            </w:r>
          </w:p>
        </w:tc>
      </w:tr>
    </w:tbl>
    <w:p w:rsidR="00C477E5" w:rsidRDefault="00C477E5" w:rsidP="008E5029">
      <w:pPr>
        <w:rPr>
          <w:b/>
          <w:bCs/>
          <w:sz w:val="28"/>
          <w:szCs w:val="28"/>
        </w:rPr>
      </w:pPr>
    </w:p>
    <w:p w:rsidR="00C477E5" w:rsidRDefault="00C477E5">
      <w:pPr>
        <w:spacing w:after="0" w:line="240" w:lineRule="auto"/>
        <w:jc w:val="left"/>
        <w:rPr>
          <w:b/>
          <w:bCs/>
          <w:sz w:val="28"/>
          <w:szCs w:val="28"/>
        </w:rPr>
      </w:pPr>
      <w:r>
        <w:rPr>
          <w:b/>
          <w:bCs/>
          <w:sz w:val="28"/>
          <w:szCs w:val="28"/>
        </w:rPr>
        <w:br w:type="page"/>
      </w:r>
    </w:p>
    <w:p w:rsidR="008E5029" w:rsidRDefault="008E5029" w:rsidP="00C477E5">
      <w:pPr>
        <w:pStyle w:val="Tabletext"/>
      </w:pPr>
    </w:p>
    <w:tbl>
      <w:tblPr>
        <w:tblStyle w:val="TableGrid"/>
        <w:tblW w:w="0" w:type="auto"/>
        <w:tblLook w:val="04A0"/>
      </w:tblPr>
      <w:tblGrid>
        <w:gridCol w:w="2747"/>
        <w:gridCol w:w="950"/>
        <w:gridCol w:w="967"/>
        <w:gridCol w:w="828"/>
        <w:gridCol w:w="937"/>
      </w:tblGrid>
      <w:tr w:rsidR="008E5029" w:rsidRPr="00260725" w:rsidTr="00C477E5">
        <w:trPr>
          <w:cnfStyle w:val="100000000000"/>
          <w:trHeight w:val="300"/>
        </w:trPr>
        <w:tc>
          <w:tcPr>
            <w:tcW w:w="0" w:type="auto"/>
            <w:noWrap/>
            <w:hideMark/>
          </w:tcPr>
          <w:p w:rsidR="008E5029" w:rsidRPr="00260725" w:rsidRDefault="008E5029" w:rsidP="00C477E5">
            <w:pPr>
              <w:pStyle w:val="Tabletext"/>
              <w:rPr>
                <w:lang w:bidi="he-IL"/>
              </w:rPr>
            </w:pPr>
          </w:p>
        </w:tc>
        <w:tc>
          <w:tcPr>
            <w:tcW w:w="0" w:type="auto"/>
            <w:noWrap/>
            <w:hideMark/>
          </w:tcPr>
          <w:p w:rsidR="008E5029" w:rsidRPr="00260725" w:rsidRDefault="008E5029" w:rsidP="00C477E5">
            <w:pPr>
              <w:pStyle w:val="Tabletext"/>
              <w:rPr>
                <w:lang w:bidi="he-IL"/>
              </w:rPr>
            </w:pPr>
            <w:r w:rsidRPr="00260725">
              <w:rPr>
                <w:lang w:bidi="he-IL"/>
              </w:rPr>
              <w:t>Estimate</w:t>
            </w:r>
          </w:p>
        </w:tc>
        <w:tc>
          <w:tcPr>
            <w:tcW w:w="0" w:type="auto"/>
            <w:noWrap/>
            <w:hideMark/>
          </w:tcPr>
          <w:p w:rsidR="008E5029" w:rsidRPr="00260725" w:rsidRDefault="008E5029" w:rsidP="00C477E5">
            <w:pPr>
              <w:pStyle w:val="Tabletext"/>
              <w:rPr>
                <w:lang w:bidi="he-IL"/>
              </w:rPr>
            </w:pPr>
            <w:r w:rsidRPr="00260725">
              <w:rPr>
                <w:lang w:bidi="he-IL"/>
              </w:rPr>
              <w:t>Std. Error</w:t>
            </w:r>
          </w:p>
        </w:tc>
        <w:tc>
          <w:tcPr>
            <w:tcW w:w="0" w:type="auto"/>
            <w:noWrap/>
            <w:hideMark/>
          </w:tcPr>
          <w:p w:rsidR="008E5029" w:rsidRPr="00260725" w:rsidRDefault="008E5029" w:rsidP="00C477E5">
            <w:pPr>
              <w:pStyle w:val="Tabletext"/>
              <w:rPr>
                <w:lang w:bidi="he-IL"/>
              </w:rPr>
            </w:pPr>
            <w:r w:rsidRPr="00260725">
              <w:rPr>
                <w:lang w:bidi="he-IL"/>
              </w:rPr>
              <w:t>z value</w:t>
            </w:r>
          </w:p>
        </w:tc>
        <w:tc>
          <w:tcPr>
            <w:tcW w:w="0" w:type="auto"/>
            <w:noWrap/>
            <w:hideMark/>
          </w:tcPr>
          <w:p w:rsidR="008E5029" w:rsidRPr="00260725" w:rsidRDefault="008E5029" w:rsidP="00C477E5">
            <w:pPr>
              <w:pStyle w:val="Tabletext"/>
              <w:rPr>
                <w:lang w:bidi="he-IL"/>
              </w:rPr>
            </w:pPr>
            <w:r w:rsidRPr="00260725">
              <w:rPr>
                <w:lang w:bidi="he-IL"/>
              </w:rPr>
              <w:t>Pr(&gt;|z|)</w:t>
            </w:r>
          </w:p>
        </w:tc>
      </w:tr>
      <w:tr w:rsidR="008E5029" w:rsidRPr="00260725" w:rsidTr="00C477E5">
        <w:trPr>
          <w:trHeight w:val="300"/>
        </w:trPr>
        <w:tc>
          <w:tcPr>
            <w:tcW w:w="0" w:type="auto"/>
            <w:noWrap/>
            <w:hideMark/>
          </w:tcPr>
          <w:p w:rsidR="008E5029" w:rsidRPr="00260725" w:rsidRDefault="008E5029" w:rsidP="00C477E5">
            <w:pPr>
              <w:pStyle w:val="Tabletext"/>
              <w:rPr>
                <w:rFonts w:ascii="Lucida Console" w:hAnsi="Lucida Console"/>
                <w:sz w:val="20"/>
                <w:szCs w:val="20"/>
                <w:lang w:bidi="he-IL"/>
              </w:rPr>
            </w:pPr>
            <w:r w:rsidRPr="00260725">
              <w:rPr>
                <w:rFonts w:ascii="Lucida Console" w:hAnsi="Lucida Console"/>
                <w:sz w:val="20"/>
                <w:szCs w:val="20"/>
                <w:lang w:bidi="he-IL"/>
              </w:rPr>
              <w:t>(Intercept)</w:t>
            </w:r>
          </w:p>
        </w:tc>
        <w:tc>
          <w:tcPr>
            <w:tcW w:w="0" w:type="auto"/>
            <w:noWrap/>
            <w:hideMark/>
          </w:tcPr>
          <w:p w:rsidR="008E5029" w:rsidRPr="00260725" w:rsidRDefault="008E5029" w:rsidP="00C477E5">
            <w:pPr>
              <w:pStyle w:val="Tabletext"/>
              <w:rPr>
                <w:lang w:bidi="he-IL"/>
              </w:rPr>
            </w:pPr>
            <w:r w:rsidRPr="00260725">
              <w:rPr>
                <w:lang w:bidi="he-IL"/>
              </w:rPr>
              <w:t>7.24</w:t>
            </w:r>
          </w:p>
        </w:tc>
        <w:tc>
          <w:tcPr>
            <w:tcW w:w="0" w:type="auto"/>
            <w:noWrap/>
            <w:hideMark/>
          </w:tcPr>
          <w:p w:rsidR="008E5029" w:rsidRPr="00260725" w:rsidRDefault="008E5029" w:rsidP="00C477E5">
            <w:pPr>
              <w:pStyle w:val="Tabletext"/>
              <w:rPr>
                <w:lang w:bidi="he-IL"/>
              </w:rPr>
            </w:pPr>
            <w:r w:rsidRPr="00260725">
              <w:rPr>
                <w:lang w:bidi="he-IL"/>
              </w:rPr>
              <w:t>0.01</w:t>
            </w:r>
          </w:p>
        </w:tc>
        <w:tc>
          <w:tcPr>
            <w:tcW w:w="0" w:type="auto"/>
            <w:noWrap/>
            <w:hideMark/>
          </w:tcPr>
          <w:p w:rsidR="008E5029" w:rsidRPr="00260725" w:rsidRDefault="008E5029" w:rsidP="00C477E5">
            <w:pPr>
              <w:pStyle w:val="Tabletext"/>
              <w:rPr>
                <w:lang w:bidi="he-IL"/>
              </w:rPr>
            </w:pPr>
            <w:r w:rsidRPr="00260725">
              <w:rPr>
                <w:lang w:bidi="he-IL"/>
              </w:rPr>
              <w:t>837.33</w:t>
            </w:r>
          </w:p>
        </w:tc>
        <w:tc>
          <w:tcPr>
            <w:tcW w:w="0" w:type="auto"/>
            <w:noWrap/>
            <w:hideMark/>
          </w:tcPr>
          <w:p w:rsidR="008E5029" w:rsidRPr="00260725" w:rsidRDefault="008E5029" w:rsidP="00C477E5">
            <w:pPr>
              <w:pStyle w:val="Tabletext"/>
              <w:rPr>
                <w:lang w:bidi="he-IL"/>
              </w:rPr>
            </w:pPr>
            <w:r w:rsidRPr="00260725">
              <w:rPr>
                <w:lang w:bidi="he-IL"/>
              </w:rPr>
              <w:t>&lt;0.001</w:t>
            </w:r>
          </w:p>
        </w:tc>
      </w:tr>
      <w:tr w:rsidR="008E5029" w:rsidRPr="00260725" w:rsidTr="00C477E5">
        <w:trPr>
          <w:trHeight w:val="300"/>
        </w:trPr>
        <w:tc>
          <w:tcPr>
            <w:tcW w:w="0" w:type="auto"/>
            <w:noWrap/>
            <w:hideMark/>
          </w:tcPr>
          <w:p w:rsidR="008E5029" w:rsidRPr="00260725" w:rsidRDefault="008E5029" w:rsidP="00C477E5">
            <w:pPr>
              <w:pStyle w:val="Tabletext"/>
              <w:rPr>
                <w:rFonts w:ascii="Lucida Console" w:hAnsi="Lucida Console"/>
                <w:sz w:val="20"/>
                <w:szCs w:val="20"/>
                <w:lang w:bidi="he-IL"/>
              </w:rPr>
            </w:pPr>
            <w:r w:rsidRPr="00260725">
              <w:rPr>
                <w:rFonts w:ascii="Lucida Console" w:hAnsi="Lucida Console"/>
                <w:sz w:val="20"/>
                <w:szCs w:val="20"/>
                <w:lang w:bidi="he-IL"/>
              </w:rPr>
              <w:t>Veg.comp1</w:t>
            </w:r>
          </w:p>
        </w:tc>
        <w:tc>
          <w:tcPr>
            <w:tcW w:w="0" w:type="auto"/>
            <w:noWrap/>
            <w:hideMark/>
          </w:tcPr>
          <w:p w:rsidR="008E5029" w:rsidRPr="00260725" w:rsidRDefault="008E5029" w:rsidP="00C477E5">
            <w:pPr>
              <w:pStyle w:val="Tabletext"/>
              <w:rPr>
                <w:lang w:bidi="he-IL"/>
              </w:rPr>
            </w:pPr>
            <w:r w:rsidRPr="00260725">
              <w:rPr>
                <w:lang w:bidi="he-IL"/>
              </w:rPr>
              <w:t>-0.15</w:t>
            </w:r>
          </w:p>
        </w:tc>
        <w:tc>
          <w:tcPr>
            <w:tcW w:w="0" w:type="auto"/>
            <w:noWrap/>
            <w:hideMark/>
          </w:tcPr>
          <w:p w:rsidR="008E5029" w:rsidRPr="00260725" w:rsidRDefault="008E5029" w:rsidP="00C477E5">
            <w:pPr>
              <w:pStyle w:val="Tabletext"/>
              <w:rPr>
                <w:lang w:bidi="he-IL"/>
              </w:rPr>
            </w:pPr>
            <w:r w:rsidRPr="00260725">
              <w:rPr>
                <w:lang w:bidi="he-IL"/>
              </w:rPr>
              <w:t>0.00</w:t>
            </w:r>
          </w:p>
        </w:tc>
        <w:tc>
          <w:tcPr>
            <w:tcW w:w="0" w:type="auto"/>
            <w:noWrap/>
            <w:hideMark/>
          </w:tcPr>
          <w:p w:rsidR="008E5029" w:rsidRPr="00260725" w:rsidRDefault="008E5029" w:rsidP="00C477E5">
            <w:pPr>
              <w:pStyle w:val="Tabletext"/>
              <w:rPr>
                <w:lang w:bidi="he-IL"/>
              </w:rPr>
            </w:pPr>
            <w:r w:rsidRPr="00260725">
              <w:rPr>
                <w:lang w:bidi="he-IL"/>
              </w:rPr>
              <w:t>-45.72</w:t>
            </w:r>
          </w:p>
        </w:tc>
        <w:tc>
          <w:tcPr>
            <w:tcW w:w="0" w:type="auto"/>
            <w:noWrap/>
            <w:hideMark/>
          </w:tcPr>
          <w:p w:rsidR="008E5029" w:rsidRPr="00260725" w:rsidRDefault="008E5029" w:rsidP="00C477E5">
            <w:pPr>
              <w:pStyle w:val="Tabletext"/>
              <w:rPr>
                <w:lang w:bidi="he-IL"/>
              </w:rPr>
            </w:pPr>
            <w:r w:rsidRPr="00260725">
              <w:rPr>
                <w:lang w:bidi="he-IL"/>
              </w:rPr>
              <w:t>&lt;0.001</w:t>
            </w:r>
          </w:p>
        </w:tc>
      </w:tr>
      <w:tr w:rsidR="008E5029" w:rsidRPr="00260725" w:rsidTr="00C477E5">
        <w:trPr>
          <w:trHeight w:val="300"/>
        </w:trPr>
        <w:tc>
          <w:tcPr>
            <w:tcW w:w="0" w:type="auto"/>
            <w:noWrap/>
            <w:hideMark/>
          </w:tcPr>
          <w:p w:rsidR="008E5029" w:rsidRPr="00260725" w:rsidRDefault="008E5029" w:rsidP="00C477E5">
            <w:pPr>
              <w:pStyle w:val="Tabletext"/>
              <w:rPr>
                <w:rFonts w:ascii="Lucida Console" w:hAnsi="Lucida Console"/>
                <w:sz w:val="20"/>
                <w:szCs w:val="20"/>
                <w:lang w:bidi="he-IL"/>
              </w:rPr>
            </w:pPr>
            <w:r w:rsidRPr="00260725">
              <w:rPr>
                <w:rFonts w:ascii="Lucida Console" w:hAnsi="Lucida Console"/>
                <w:sz w:val="20"/>
                <w:szCs w:val="20"/>
                <w:lang w:bidi="he-IL"/>
              </w:rPr>
              <w:t>Veg.comp2</w:t>
            </w:r>
          </w:p>
        </w:tc>
        <w:tc>
          <w:tcPr>
            <w:tcW w:w="0" w:type="auto"/>
            <w:noWrap/>
            <w:hideMark/>
          </w:tcPr>
          <w:p w:rsidR="008E5029" w:rsidRPr="00260725" w:rsidRDefault="008E5029" w:rsidP="00C477E5">
            <w:pPr>
              <w:pStyle w:val="Tabletext"/>
              <w:rPr>
                <w:lang w:bidi="he-IL"/>
              </w:rPr>
            </w:pPr>
            <w:r w:rsidRPr="00260725">
              <w:rPr>
                <w:lang w:bidi="he-IL"/>
              </w:rPr>
              <w:t>-0.16</w:t>
            </w:r>
          </w:p>
        </w:tc>
        <w:tc>
          <w:tcPr>
            <w:tcW w:w="0" w:type="auto"/>
            <w:noWrap/>
            <w:hideMark/>
          </w:tcPr>
          <w:p w:rsidR="008E5029" w:rsidRPr="00260725" w:rsidRDefault="008E5029" w:rsidP="00C477E5">
            <w:pPr>
              <w:pStyle w:val="Tabletext"/>
              <w:rPr>
                <w:lang w:bidi="he-IL"/>
              </w:rPr>
            </w:pPr>
            <w:r w:rsidRPr="00260725">
              <w:rPr>
                <w:lang w:bidi="he-IL"/>
              </w:rPr>
              <w:t>0.01</w:t>
            </w:r>
          </w:p>
        </w:tc>
        <w:tc>
          <w:tcPr>
            <w:tcW w:w="0" w:type="auto"/>
            <w:noWrap/>
            <w:hideMark/>
          </w:tcPr>
          <w:p w:rsidR="008E5029" w:rsidRPr="00260725" w:rsidRDefault="008E5029" w:rsidP="00C477E5">
            <w:pPr>
              <w:pStyle w:val="Tabletext"/>
              <w:rPr>
                <w:lang w:bidi="he-IL"/>
              </w:rPr>
            </w:pPr>
            <w:r w:rsidRPr="00260725">
              <w:rPr>
                <w:lang w:bidi="he-IL"/>
              </w:rPr>
              <w:t>-27.14</w:t>
            </w:r>
          </w:p>
        </w:tc>
        <w:tc>
          <w:tcPr>
            <w:tcW w:w="0" w:type="auto"/>
            <w:noWrap/>
            <w:hideMark/>
          </w:tcPr>
          <w:p w:rsidR="008E5029" w:rsidRPr="00260725" w:rsidRDefault="008E5029" w:rsidP="00C477E5">
            <w:pPr>
              <w:pStyle w:val="Tabletext"/>
              <w:rPr>
                <w:lang w:bidi="he-IL"/>
              </w:rPr>
            </w:pPr>
            <w:r w:rsidRPr="00260725">
              <w:rPr>
                <w:lang w:bidi="he-IL"/>
              </w:rPr>
              <w:t>&lt;0.001</w:t>
            </w:r>
          </w:p>
        </w:tc>
      </w:tr>
      <w:tr w:rsidR="008E5029" w:rsidRPr="00260725" w:rsidTr="00C477E5">
        <w:trPr>
          <w:trHeight w:val="300"/>
        </w:trPr>
        <w:tc>
          <w:tcPr>
            <w:tcW w:w="0" w:type="auto"/>
            <w:noWrap/>
            <w:hideMark/>
          </w:tcPr>
          <w:p w:rsidR="008E5029" w:rsidRPr="00260725" w:rsidRDefault="008E5029" w:rsidP="00C477E5">
            <w:pPr>
              <w:pStyle w:val="Tabletext"/>
              <w:rPr>
                <w:rFonts w:ascii="Lucida Console" w:hAnsi="Lucida Console"/>
                <w:sz w:val="20"/>
                <w:szCs w:val="20"/>
                <w:lang w:bidi="he-IL"/>
              </w:rPr>
            </w:pPr>
            <w:r w:rsidRPr="00260725">
              <w:rPr>
                <w:rFonts w:ascii="Lucida Console" w:hAnsi="Lucida Console"/>
                <w:sz w:val="20"/>
                <w:szCs w:val="20"/>
                <w:lang w:bidi="he-IL"/>
              </w:rPr>
              <w:t>Veg.comp3</w:t>
            </w:r>
          </w:p>
        </w:tc>
        <w:tc>
          <w:tcPr>
            <w:tcW w:w="0" w:type="auto"/>
            <w:noWrap/>
            <w:hideMark/>
          </w:tcPr>
          <w:p w:rsidR="008E5029" w:rsidRPr="00260725" w:rsidRDefault="008E5029" w:rsidP="00C477E5">
            <w:pPr>
              <w:pStyle w:val="Tabletext"/>
              <w:rPr>
                <w:lang w:bidi="he-IL"/>
              </w:rPr>
            </w:pPr>
            <w:r w:rsidRPr="00260725">
              <w:rPr>
                <w:lang w:bidi="he-IL"/>
              </w:rPr>
              <w:t>-0.02</w:t>
            </w:r>
          </w:p>
        </w:tc>
        <w:tc>
          <w:tcPr>
            <w:tcW w:w="0" w:type="auto"/>
            <w:noWrap/>
            <w:hideMark/>
          </w:tcPr>
          <w:p w:rsidR="008E5029" w:rsidRPr="00260725" w:rsidRDefault="008E5029" w:rsidP="00C477E5">
            <w:pPr>
              <w:pStyle w:val="Tabletext"/>
              <w:rPr>
                <w:lang w:bidi="he-IL"/>
              </w:rPr>
            </w:pPr>
            <w:r w:rsidRPr="00260725">
              <w:rPr>
                <w:lang w:bidi="he-IL"/>
              </w:rPr>
              <w:t>0.01</w:t>
            </w:r>
          </w:p>
        </w:tc>
        <w:tc>
          <w:tcPr>
            <w:tcW w:w="0" w:type="auto"/>
            <w:noWrap/>
            <w:hideMark/>
          </w:tcPr>
          <w:p w:rsidR="008E5029" w:rsidRPr="00260725" w:rsidRDefault="008E5029" w:rsidP="00C477E5">
            <w:pPr>
              <w:pStyle w:val="Tabletext"/>
              <w:rPr>
                <w:lang w:bidi="he-IL"/>
              </w:rPr>
            </w:pPr>
            <w:r w:rsidRPr="00260725">
              <w:rPr>
                <w:lang w:bidi="he-IL"/>
              </w:rPr>
              <w:t>-2.87</w:t>
            </w:r>
          </w:p>
        </w:tc>
        <w:tc>
          <w:tcPr>
            <w:tcW w:w="0" w:type="auto"/>
            <w:noWrap/>
            <w:hideMark/>
          </w:tcPr>
          <w:p w:rsidR="008E5029" w:rsidRPr="00260725" w:rsidRDefault="008E5029" w:rsidP="00C477E5">
            <w:pPr>
              <w:pStyle w:val="Tabletext"/>
              <w:rPr>
                <w:lang w:bidi="he-IL"/>
              </w:rPr>
            </w:pPr>
            <w:r w:rsidRPr="00260725">
              <w:rPr>
                <w:lang w:bidi="he-IL"/>
              </w:rPr>
              <w:t>&lt;0.001</w:t>
            </w:r>
          </w:p>
        </w:tc>
      </w:tr>
      <w:tr w:rsidR="008E5029" w:rsidRPr="00260725" w:rsidTr="00C477E5">
        <w:trPr>
          <w:trHeight w:val="300"/>
        </w:trPr>
        <w:tc>
          <w:tcPr>
            <w:tcW w:w="0" w:type="auto"/>
            <w:noWrap/>
            <w:hideMark/>
          </w:tcPr>
          <w:p w:rsidR="008E5029" w:rsidRPr="00260725" w:rsidRDefault="008E5029" w:rsidP="00C477E5">
            <w:pPr>
              <w:pStyle w:val="Tabletext"/>
              <w:rPr>
                <w:rFonts w:ascii="Lucida Console" w:hAnsi="Lucida Console"/>
                <w:sz w:val="20"/>
                <w:szCs w:val="20"/>
                <w:lang w:bidi="he-IL"/>
              </w:rPr>
            </w:pPr>
            <w:r w:rsidRPr="00260725">
              <w:rPr>
                <w:rFonts w:ascii="Lucida Console" w:hAnsi="Lucida Console"/>
                <w:sz w:val="20"/>
                <w:szCs w:val="20"/>
                <w:lang w:bidi="he-IL"/>
              </w:rPr>
              <w:t>WQ.comp1</w:t>
            </w:r>
          </w:p>
        </w:tc>
        <w:tc>
          <w:tcPr>
            <w:tcW w:w="0" w:type="auto"/>
            <w:noWrap/>
            <w:hideMark/>
          </w:tcPr>
          <w:p w:rsidR="008E5029" w:rsidRPr="00260725" w:rsidRDefault="008E5029" w:rsidP="00C477E5">
            <w:pPr>
              <w:pStyle w:val="Tabletext"/>
              <w:rPr>
                <w:lang w:bidi="he-IL"/>
              </w:rPr>
            </w:pPr>
            <w:r w:rsidRPr="00260725">
              <w:rPr>
                <w:lang w:bidi="he-IL"/>
              </w:rPr>
              <w:t>-0.12</w:t>
            </w:r>
          </w:p>
        </w:tc>
        <w:tc>
          <w:tcPr>
            <w:tcW w:w="0" w:type="auto"/>
            <w:noWrap/>
            <w:hideMark/>
          </w:tcPr>
          <w:p w:rsidR="008E5029" w:rsidRPr="00260725" w:rsidRDefault="008E5029" w:rsidP="00C477E5">
            <w:pPr>
              <w:pStyle w:val="Tabletext"/>
              <w:rPr>
                <w:lang w:bidi="he-IL"/>
              </w:rPr>
            </w:pPr>
            <w:r w:rsidRPr="00260725">
              <w:rPr>
                <w:lang w:bidi="he-IL"/>
              </w:rPr>
              <w:t>0.00</w:t>
            </w:r>
          </w:p>
        </w:tc>
        <w:tc>
          <w:tcPr>
            <w:tcW w:w="0" w:type="auto"/>
            <w:noWrap/>
            <w:hideMark/>
          </w:tcPr>
          <w:p w:rsidR="008E5029" w:rsidRPr="00260725" w:rsidRDefault="008E5029" w:rsidP="00C477E5">
            <w:pPr>
              <w:pStyle w:val="Tabletext"/>
              <w:rPr>
                <w:lang w:bidi="he-IL"/>
              </w:rPr>
            </w:pPr>
            <w:r w:rsidRPr="00260725">
              <w:rPr>
                <w:lang w:bidi="he-IL"/>
              </w:rPr>
              <w:t>-39.43</w:t>
            </w:r>
          </w:p>
        </w:tc>
        <w:tc>
          <w:tcPr>
            <w:tcW w:w="0" w:type="auto"/>
            <w:noWrap/>
            <w:hideMark/>
          </w:tcPr>
          <w:p w:rsidR="008E5029" w:rsidRPr="00260725" w:rsidRDefault="008E5029" w:rsidP="00C477E5">
            <w:pPr>
              <w:pStyle w:val="Tabletext"/>
              <w:rPr>
                <w:lang w:bidi="he-IL"/>
              </w:rPr>
            </w:pPr>
            <w:r w:rsidRPr="00260725">
              <w:rPr>
                <w:lang w:bidi="he-IL"/>
              </w:rPr>
              <w:t>&lt;0.001</w:t>
            </w:r>
          </w:p>
        </w:tc>
      </w:tr>
      <w:tr w:rsidR="008E5029" w:rsidRPr="00260725" w:rsidTr="00C477E5">
        <w:trPr>
          <w:trHeight w:val="300"/>
        </w:trPr>
        <w:tc>
          <w:tcPr>
            <w:tcW w:w="0" w:type="auto"/>
            <w:noWrap/>
            <w:hideMark/>
          </w:tcPr>
          <w:p w:rsidR="008E5029" w:rsidRPr="00260725" w:rsidRDefault="008E5029" w:rsidP="00C477E5">
            <w:pPr>
              <w:pStyle w:val="Tabletext"/>
              <w:rPr>
                <w:rFonts w:ascii="Lucida Console" w:hAnsi="Lucida Console"/>
                <w:sz w:val="20"/>
                <w:szCs w:val="20"/>
                <w:lang w:bidi="he-IL"/>
              </w:rPr>
            </w:pPr>
            <w:r w:rsidRPr="00260725">
              <w:rPr>
                <w:rFonts w:ascii="Lucida Console" w:hAnsi="Lucida Console"/>
                <w:sz w:val="20"/>
                <w:szCs w:val="20"/>
                <w:lang w:bidi="he-IL"/>
              </w:rPr>
              <w:t>Lowbidgee</w:t>
            </w:r>
          </w:p>
        </w:tc>
        <w:tc>
          <w:tcPr>
            <w:tcW w:w="0" w:type="auto"/>
            <w:noWrap/>
            <w:hideMark/>
          </w:tcPr>
          <w:p w:rsidR="008E5029" w:rsidRPr="00260725" w:rsidRDefault="008E5029" w:rsidP="00C477E5">
            <w:pPr>
              <w:pStyle w:val="Tabletext"/>
              <w:rPr>
                <w:lang w:bidi="he-IL"/>
              </w:rPr>
            </w:pPr>
            <w:r w:rsidRPr="00260725">
              <w:rPr>
                <w:lang w:bidi="he-IL"/>
              </w:rPr>
              <w:t>-0.53</w:t>
            </w:r>
          </w:p>
        </w:tc>
        <w:tc>
          <w:tcPr>
            <w:tcW w:w="0" w:type="auto"/>
            <w:noWrap/>
            <w:hideMark/>
          </w:tcPr>
          <w:p w:rsidR="008E5029" w:rsidRPr="00260725" w:rsidRDefault="008E5029" w:rsidP="00C477E5">
            <w:pPr>
              <w:pStyle w:val="Tabletext"/>
              <w:rPr>
                <w:lang w:bidi="he-IL"/>
              </w:rPr>
            </w:pPr>
            <w:r w:rsidRPr="00260725">
              <w:rPr>
                <w:lang w:bidi="he-IL"/>
              </w:rPr>
              <w:t>0.02</w:t>
            </w:r>
          </w:p>
        </w:tc>
        <w:tc>
          <w:tcPr>
            <w:tcW w:w="0" w:type="auto"/>
            <w:noWrap/>
            <w:hideMark/>
          </w:tcPr>
          <w:p w:rsidR="008E5029" w:rsidRPr="00260725" w:rsidRDefault="008E5029" w:rsidP="00C477E5">
            <w:pPr>
              <w:pStyle w:val="Tabletext"/>
              <w:rPr>
                <w:lang w:bidi="he-IL"/>
              </w:rPr>
            </w:pPr>
            <w:r w:rsidRPr="00260725">
              <w:rPr>
                <w:lang w:bidi="he-IL"/>
              </w:rPr>
              <w:t>-21.18</w:t>
            </w:r>
          </w:p>
        </w:tc>
        <w:tc>
          <w:tcPr>
            <w:tcW w:w="0" w:type="auto"/>
            <w:noWrap/>
            <w:hideMark/>
          </w:tcPr>
          <w:p w:rsidR="008E5029" w:rsidRPr="00260725" w:rsidRDefault="008E5029" w:rsidP="00C477E5">
            <w:pPr>
              <w:pStyle w:val="Tabletext"/>
              <w:rPr>
                <w:lang w:bidi="he-IL"/>
              </w:rPr>
            </w:pPr>
            <w:r w:rsidRPr="00260725">
              <w:rPr>
                <w:lang w:bidi="he-IL"/>
              </w:rPr>
              <w:t>&lt;0.001</w:t>
            </w:r>
          </w:p>
        </w:tc>
      </w:tr>
      <w:tr w:rsidR="008E5029" w:rsidRPr="00260725" w:rsidTr="00C477E5">
        <w:trPr>
          <w:trHeight w:val="300"/>
        </w:trPr>
        <w:tc>
          <w:tcPr>
            <w:tcW w:w="0" w:type="auto"/>
            <w:noWrap/>
            <w:hideMark/>
          </w:tcPr>
          <w:p w:rsidR="008E5029" w:rsidRPr="00260725" w:rsidRDefault="008E5029" w:rsidP="00C477E5">
            <w:pPr>
              <w:pStyle w:val="Tabletext"/>
              <w:rPr>
                <w:rFonts w:ascii="Lucida Console" w:hAnsi="Lucida Console"/>
                <w:sz w:val="20"/>
                <w:szCs w:val="20"/>
                <w:lang w:bidi="he-IL"/>
              </w:rPr>
            </w:pPr>
            <w:r w:rsidRPr="00260725">
              <w:rPr>
                <w:rFonts w:ascii="Lucida Console" w:hAnsi="Lucida Console"/>
                <w:sz w:val="20"/>
                <w:szCs w:val="20"/>
                <w:lang w:bidi="he-IL"/>
              </w:rPr>
              <w:t>mid-Murrumbidgee</w:t>
            </w:r>
          </w:p>
        </w:tc>
        <w:tc>
          <w:tcPr>
            <w:tcW w:w="0" w:type="auto"/>
            <w:noWrap/>
            <w:hideMark/>
          </w:tcPr>
          <w:p w:rsidR="008E5029" w:rsidRPr="00260725" w:rsidRDefault="008E5029" w:rsidP="00C477E5">
            <w:pPr>
              <w:pStyle w:val="Tabletext"/>
              <w:rPr>
                <w:lang w:bidi="he-IL"/>
              </w:rPr>
            </w:pPr>
            <w:r w:rsidRPr="00260725">
              <w:rPr>
                <w:lang w:bidi="he-IL"/>
              </w:rPr>
              <w:t>-0.22</w:t>
            </w:r>
          </w:p>
        </w:tc>
        <w:tc>
          <w:tcPr>
            <w:tcW w:w="0" w:type="auto"/>
            <w:noWrap/>
            <w:hideMark/>
          </w:tcPr>
          <w:p w:rsidR="008E5029" w:rsidRPr="00260725" w:rsidRDefault="008E5029" w:rsidP="00C477E5">
            <w:pPr>
              <w:pStyle w:val="Tabletext"/>
              <w:rPr>
                <w:lang w:bidi="he-IL"/>
              </w:rPr>
            </w:pPr>
            <w:r w:rsidRPr="00260725">
              <w:rPr>
                <w:lang w:bidi="he-IL"/>
              </w:rPr>
              <w:t>0.02</w:t>
            </w:r>
          </w:p>
        </w:tc>
        <w:tc>
          <w:tcPr>
            <w:tcW w:w="0" w:type="auto"/>
            <w:noWrap/>
            <w:hideMark/>
          </w:tcPr>
          <w:p w:rsidR="008E5029" w:rsidRPr="00260725" w:rsidRDefault="008E5029" w:rsidP="00C477E5">
            <w:pPr>
              <w:pStyle w:val="Tabletext"/>
              <w:rPr>
                <w:lang w:bidi="he-IL"/>
              </w:rPr>
            </w:pPr>
            <w:r w:rsidRPr="00260725">
              <w:rPr>
                <w:lang w:bidi="he-IL"/>
              </w:rPr>
              <w:t>-10.89</w:t>
            </w:r>
          </w:p>
        </w:tc>
        <w:tc>
          <w:tcPr>
            <w:tcW w:w="0" w:type="auto"/>
            <w:noWrap/>
            <w:hideMark/>
          </w:tcPr>
          <w:p w:rsidR="008E5029" w:rsidRPr="00260725" w:rsidRDefault="008E5029" w:rsidP="00C477E5">
            <w:pPr>
              <w:pStyle w:val="Tabletext"/>
              <w:rPr>
                <w:lang w:bidi="he-IL"/>
              </w:rPr>
            </w:pPr>
            <w:r w:rsidRPr="00260725">
              <w:rPr>
                <w:lang w:bidi="he-IL"/>
              </w:rPr>
              <w:t>&lt;0.001</w:t>
            </w:r>
          </w:p>
        </w:tc>
      </w:tr>
      <w:tr w:rsidR="008E5029" w:rsidRPr="00260725" w:rsidTr="00C477E5">
        <w:trPr>
          <w:trHeight w:val="300"/>
        </w:trPr>
        <w:tc>
          <w:tcPr>
            <w:tcW w:w="0" w:type="auto"/>
            <w:noWrap/>
            <w:hideMark/>
          </w:tcPr>
          <w:p w:rsidR="008E5029" w:rsidRPr="00260725" w:rsidRDefault="008E5029" w:rsidP="00C477E5">
            <w:pPr>
              <w:pStyle w:val="Tabletext"/>
              <w:rPr>
                <w:rFonts w:ascii="Lucida Console" w:hAnsi="Lucida Console"/>
                <w:sz w:val="20"/>
                <w:szCs w:val="20"/>
                <w:lang w:bidi="he-IL"/>
              </w:rPr>
            </w:pPr>
            <w:r w:rsidRPr="00260725">
              <w:rPr>
                <w:rFonts w:ascii="Lucida Console" w:hAnsi="Lucida Console"/>
                <w:sz w:val="20"/>
                <w:szCs w:val="20"/>
                <w:lang w:bidi="he-IL"/>
              </w:rPr>
              <w:t>Small</w:t>
            </w:r>
            <w:r w:rsidR="00C477E5">
              <w:rPr>
                <w:rFonts w:ascii="Lucida Console" w:hAnsi="Lucida Console"/>
                <w:sz w:val="20"/>
                <w:szCs w:val="20"/>
                <w:lang w:bidi="he-IL"/>
              </w:rPr>
              <w:t xml:space="preserve"> </w:t>
            </w:r>
            <w:r w:rsidRPr="00260725">
              <w:rPr>
                <w:rFonts w:ascii="Lucida Console" w:hAnsi="Lucida Console"/>
                <w:sz w:val="20"/>
                <w:szCs w:val="20"/>
                <w:lang w:bidi="he-IL"/>
              </w:rPr>
              <w:t>fyke</w:t>
            </w:r>
            <w:r w:rsidR="00C477E5">
              <w:rPr>
                <w:rFonts w:ascii="Lucida Console" w:hAnsi="Lucida Console"/>
                <w:sz w:val="20"/>
                <w:szCs w:val="20"/>
                <w:lang w:bidi="he-IL"/>
              </w:rPr>
              <w:t xml:space="preserve"> </w:t>
            </w:r>
            <w:r w:rsidRPr="00260725">
              <w:rPr>
                <w:rFonts w:ascii="Lucida Console" w:hAnsi="Lucida Console"/>
                <w:sz w:val="20"/>
                <w:szCs w:val="20"/>
                <w:lang w:bidi="he-IL"/>
              </w:rPr>
              <w:t>Gambusia</w:t>
            </w:r>
          </w:p>
        </w:tc>
        <w:tc>
          <w:tcPr>
            <w:tcW w:w="0" w:type="auto"/>
            <w:noWrap/>
            <w:hideMark/>
          </w:tcPr>
          <w:p w:rsidR="008E5029" w:rsidRPr="00260725" w:rsidRDefault="008E5029" w:rsidP="00C477E5">
            <w:pPr>
              <w:pStyle w:val="Tabletext"/>
              <w:rPr>
                <w:lang w:bidi="he-IL"/>
              </w:rPr>
            </w:pPr>
            <w:r w:rsidRPr="00260725">
              <w:rPr>
                <w:lang w:bidi="he-IL"/>
              </w:rPr>
              <w:t>0.00</w:t>
            </w:r>
          </w:p>
        </w:tc>
        <w:tc>
          <w:tcPr>
            <w:tcW w:w="0" w:type="auto"/>
            <w:noWrap/>
            <w:hideMark/>
          </w:tcPr>
          <w:p w:rsidR="008E5029" w:rsidRPr="00260725" w:rsidRDefault="008E5029" w:rsidP="00C477E5">
            <w:pPr>
              <w:pStyle w:val="Tabletext"/>
              <w:rPr>
                <w:lang w:bidi="he-IL"/>
              </w:rPr>
            </w:pPr>
            <w:r w:rsidRPr="00260725">
              <w:rPr>
                <w:lang w:bidi="he-IL"/>
              </w:rPr>
              <w:t>0.00</w:t>
            </w:r>
          </w:p>
        </w:tc>
        <w:tc>
          <w:tcPr>
            <w:tcW w:w="0" w:type="auto"/>
            <w:noWrap/>
            <w:hideMark/>
          </w:tcPr>
          <w:p w:rsidR="008E5029" w:rsidRPr="00260725" w:rsidRDefault="008E5029" w:rsidP="00C477E5">
            <w:pPr>
              <w:pStyle w:val="Tabletext"/>
              <w:rPr>
                <w:lang w:bidi="he-IL"/>
              </w:rPr>
            </w:pPr>
            <w:r w:rsidRPr="00260725">
              <w:rPr>
                <w:lang w:bidi="he-IL"/>
              </w:rPr>
              <w:t>27.64</w:t>
            </w:r>
          </w:p>
        </w:tc>
        <w:tc>
          <w:tcPr>
            <w:tcW w:w="0" w:type="auto"/>
            <w:noWrap/>
            <w:hideMark/>
          </w:tcPr>
          <w:p w:rsidR="008E5029" w:rsidRPr="00260725" w:rsidRDefault="008E5029" w:rsidP="00C477E5">
            <w:pPr>
              <w:pStyle w:val="Tabletext"/>
              <w:rPr>
                <w:lang w:bidi="he-IL"/>
              </w:rPr>
            </w:pPr>
            <w:r w:rsidRPr="00260725">
              <w:rPr>
                <w:lang w:bidi="he-IL"/>
              </w:rPr>
              <w:t>&lt;0.001</w:t>
            </w:r>
          </w:p>
        </w:tc>
      </w:tr>
      <w:tr w:rsidR="008E5029" w:rsidRPr="00260725" w:rsidTr="00C477E5">
        <w:trPr>
          <w:trHeight w:val="300"/>
        </w:trPr>
        <w:tc>
          <w:tcPr>
            <w:tcW w:w="0" w:type="auto"/>
            <w:noWrap/>
            <w:hideMark/>
          </w:tcPr>
          <w:p w:rsidR="008E5029" w:rsidRPr="00260725" w:rsidRDefault="00C477E5" w:rsidP="00C477E5">
            <w:pPr>
              <w:pStyle w:val="Tabletext"/>
              <w:rPr>
                <w:rFonts w:ascii="Lucida Console" w:hAnsi="Lucida Console"/>
                <w:sz w:val="20"/>
                <w:szCs w:val="20"/>
                <w:lang w:bidi="he-IL"/>
              </w:rPr>
            </w:pPr>
            <w:r w:rsidRPr="00260725">
              <w:rPr>
                <w:rFonts w:ascii="Lucida Console" w:hAnsi="Lucida Console"/>
                <w:sz w:val="20"/>
                <w:szCs w:val="20"/>
                <w:lang w:bidi="he-IL"/>
              </w:rPr>
              <w:t>T</w:t>
            </w:r>
            <w:r w:rsidR="008E5029" w:rsidRPr="00260725">
              <w:rPr>
                <w:rFonts w:ascii="Lucida Console" w:hAnsi="Lucida Console"/>
                <w:sz w:val="20"/>
                <w:szCs w:val="20"/>
                <w:lang w:bidi="he-IL"/>
              </w:rPr>
              <w:t>otal</w:t>
            </w:r>
            <w:r>
              <w:rPr>
                <w:rFonts w:ascii="Lucida Console" w:hAnsi="Lucida Console"/>
                <w:sz w:val="20"/>
                <w:szCs w:val="20"/>
                <w:lang w:bidi="he-IL"/>
              </w:rPr>
              <w:t xml:space="preserve"> </w:t>
            </w:r>
            <w:r w:rsidR="008E5029" w:rsidRPr="00260725">
              <w:rPr>
                <w:rFonts w:ascii="Lucida Console" w:hAnsi="Lucida Console"/>
                <w:sz w:val="20"/>
                <w:szCs w:val="20"/>
                <w:lang w:bidi="he-IL"/>
              </w:rPr>
              <w:t>Flow</w:t>
            </w:r>
            <w:r>
              <w:rPr>
                <w:rFonts w:ascii="Lucida Console" w:hAnsi="Lucida Console"/>
                <w:sz w:val="20"/>
                <w:szCs w:val="20"/>
                <w:lang w:bidi="he-IL"/>
              </w:rPr>
              <w:t xml:space="preserve"> </w:t>
            </w:r>
            <w:r w:rsidR="008E5029" w:rsidRPr="00260725">
              <w:rPr>
                <w:rFonts w:ascii="Lucida Console" w:hAnsi="Lucida Console"/>
                <w:sz w:val="20"/>
                <w:szCs w:val="20"/>
                <w:lang w:bidi="he-IL"/>
              </w:rPr>
              <w:t>Since</w:t>
            </w:r>
            <w:r>
              <w:rPr>
                <w:rFonts w:ascii="Lucida Console" w:hAnsi="Lucida Console"/>
                <w:sz w:val="20"/>
                <w:szCs w:val="20"/>
                <w:lang w:bidi="he-IL"/>
              </w:rPr>
              <w:t xml:space="preserve"> </w:t>
            </w:r>
            <w:r w:rsidR="008E5029" w:rsidRPr="00260725">
              <w:rPr>
                <w:rFonts w:ascii="Lucida Console" w:hAnsi="Lucida Console"/>
                <w:sz w:val="20"/>
                <w:szCs w:val="20"/>
                <w:lang w:bidi="he-IL"/>
              </w:rPr>
              <w:t>July</w:t>
            </w:r>
          </w:p>
        </w:tc>
        <w:tc>
          <w:tcPr>
            <w:tcW w:w="0" w:type="auto"/>
            <w:noWrap/>
            <w:hideMark/>
          </w:tcPr>
          <w:p w:rsidR="008E5029" w:rsidRPr="00260725" w:rsidRDefault="008E5029" w:rsidP="00C477E5">
            <w:pPr>
              <w:pStyle w:val="Tabletext"/>
              <w:rPr>
                <w:lang w:bidi="he-IL"/>
              </w:rPr>
            </w:pPr>
            <w:r w:rsidRPr="00260725">
              <w:rPr>
                <w:lang w:bidi="he-IL"/>
              </w:rPr>
              <w:t>0.00</w:t>
            </w:r>
          </w:p>
        </w:tc>
        <w:tc>
          <w:tcPr>
            <w:tcW w:w="0" w:type="auto"/>
            <w:noWrap/>
            <w:hideMark/>
          </w:tcPr>
          <w:p w:rsidR="008E5029" w:rsidRPr="00260725" w:rsidRDefault="008E5029" w:rsidP="00C477E5">
            <w:pPr>
              <w:pStyle w:val="Tabletext"/>
              <w:rPr>
                <w:lang w:bidi="he-IL"/>
              </w:rPr>
            </w:pPr>
            <w:r w:rsidRPr="00260725">
              <w:rPr>
                <w:lang w:bidi="he-IL"/>
              </w:rPr>
              <w:t>0.00</w:t>
            </w:r>
          </w:p>
        </w:tc>
        <w:tc>
          <w:tcPr>
            <w:tcW w:w="0" w:type="auto"/>
            <w:noWrap/>
            <w:hideMark/>
          </w:tcPr>
          <w:p w:rsidR="008E5029" w:rsidRPr="00260725" w:rsidRDefault="008E5029" w:rsidP="00C477E5">
            <w:pPr>
              <w:pStyle w:val="Tabletext"/>
              <w:rPr>
                <w:lang w:bidi="he-IL"/>
              </w:rPr>
            </w:pPr>
            <w:r w:rsidRPr="00260725">
              <w:rPr>
                <w:lang w:bidi="he-IL"/>
              </w:rPr>
              <w:t>-3.73</w:t>
            </w:r>
          </w:p>
        </w:tc>
        <w:tc>
          <w:tcPr>
            <w:tcW w:w="0" w:type="auto"/>
            <w:noWrap/>
            <w:hideMark/>
          </w:tcPr>
          <w:p w:rsidR="008E5029" w:rsidRPr="00260725" w:rsidRDefault="008E5029" w:rsidP="00C477E5">
            <w:pPr>
              <w:pStyle w:val="Tabletext"/>
              <w:rPr>
                <w:lang w:bidi="he-IL"/>
              </w:rPr>
            </w:pPr>
            <w:r w:rsidRPr="00260725">
              <w:rPr>
                <w:lang w:bidi="he-IL"/>
              </w:rPr>
              <w:t>&lt;0.001</w:t>
            </w:r>
          </w:p>
        </w:tc>
      </w:tr>
      <w:tr w:rsidR="008E5029" w:rsidRPr="00260725" w:rsidTr="00C477E5">
        <w:trPr>
          <w:trHeight w:val="300"/>
        </w:trPr>
        <w:tc>
          <w:tcPr>
            <w:tcW w:w="0" w:type="auto"/>
            <w:noWrap/>
            <w:hideMark/>
          </w:tcPr>
          <w:p w:rsidR="008E5029" w:rsidRPr="00260725" w:rsidRDefault="00C477E5" w:rsidP="00C477E5">
            <w:pPr>
              <w:pStyle w:val="Tabletext"/>
              <w:rPr>
                <w:rFonts w:ascii="Lucida Console" w:hAnsi="Lucida Console"/>
                <w:sz w:val="20"/>
                <w:szCs w:val="20"/>
                <w:lang w:bidi="he-IL"/>
              </w:rPr>
            </w:pPr>
            <w:r w:rsidRPr="00260725">
              <w:rPr>
                <w:rFonts w:ascii="Lucida Console" w:hAnsi="Lucida Console"/>
                <w:sz w:val="20"/>
                <w:szCs w:val="20"/>
                <w:lang w:bidi="he-IL"/>
              </w:rPr>
              <w:t>F</w:t>
            </w:r>
            <w:r w:rsidR="008E5029" w:rsidRPr="00260725">
              <w:rPr>
                <w:rFonts w:ascii="Lucida Console" w:hAnsi="Lucida Console"/>
                <w:sz w:val="20"/>
                <w:szCs w:val="20"/>
                <w:lang w:bidi="he-IL"/>
              </w:rPr>
              <w:t>ill</w:t>
            </w:r>
            <w:r>
              <w:rPr>
                <w:rFonts w:ascii="Lucida Console" w:hAnsi="Lucida Console"/>
                <w:sz w:val="20"/>
                <w:szCs w:val="20"/>
                <w:lang w:bidi="he-IL"/>
              </w:rPr>
              <w:t xml:space="preserve"> </w:t>
            </w:r>
            <w:r w:rsidR="008E5029" w:rsidRPr="00260725">
              <w:rPr>
                <w:rFonts w:ascii="Lucida Console" w:hAnsi="Lucida Console"/>
                <w:sz w:val="20"/>
                <w:szCs w:val="20"/>
                <w:lang w:bidi="he-IL"/>
              </w:rPr>
              <w:t>years</w:t>
            </w:r>
            <w:r w:rsidR="005D696F">
              <w:rPr>
                <w:rFonts w:ascii="Lucida Console" w:hAnsi="Lucida Console"/>
                <w:sz w:val="20"/>
                <w:szCs w:val="20"/>
                <w:lang w:bidi="he-IL"/>
              </w:rPr>
              <w:t xml:space="preserve"> </w:t>
            </w:r>
            <w:r w:rsidR="008E5029" w:rsidRPr="00260725">
              <w:rPr>
                <w:rFonts w:ascii="Lucida Console" w:hAnsi="Lucida Console"/>
                <w:sz w:val="20"/>
                <w:szCs w:val="20"/>
                <w:lang w:bidi="he-IL"/>
              </w:rPr>
              <w:t>in10</w:t>
            </w:r>
          </w:p>
        </w:tc>
        <w:tc>
          <w:tcPr>
            <w:tcW w:w="0" w:type="auto"/>
            <w:noWrap/>
            <w:hideMark/>
          </w:tcPr>
          <w:p w:rsidR="008E5029" w:rsidRPr="00260725" w:rsidRDefault="008E5029" w:rsidP="00C477E5">
            <w:pPr>
              <w:pStyle w:val="Tabletext"/>
              <w:rPr>
                <w:lang w:bidi="he-IL"/>
              </w:rPr>
            </w:pPr>
            <w:r w:rsidRPr="00260725">
              <w:rPr>
                <w:lang w:bidi="he-IL"/>
              </w:rPr>
              <w:t>0.14</w:t>
            </w:r>
          </w:p>
        </w:tc>
        <w:tc>
          <w:tcPr>
            <w:tcW w:w="0" w:type="auto"/>
            <w:noWrap/>
            <w:hideMark/>
          </w:tcPr>
          <w:p w:rsidR="008E5029" w:rsidRPr="00260725" w:rsidRDefault="008E5029" w:rsidP="00C477E5">
            <w:pPr>
              <w:pStyle w:val="Tabletext"/>
              <w:rPr>
                <w:lang w:bidi="he-IL"/>
              </w:rPr>
            </w:pPr>
            <w:r w:rsidRPr="00260725">
              <w:rPr>
                <w:lang w:bidi="he-IL"/>
              </w:rPr>
              <w:t>0.03</w:t>
            </w:r>
          </w:p>
        </w:tc>
        <w:tc>
          <w:tcPr>
            <w:tcW w:w="0" w:type="auto"/>
            <w:noWrap/>
            <w:hideMark/>
          </w:tcPr>
          <w:p w:rsidR="008E5029" w:rsidRPr="00260725" w:rsidRDefault="008E5029" w:rsidP="00C477E5">
            <w:pPr>
              <w:pStyle w:val="Tabletext"/>
              <w:rPr>
                <w:lang w:bidi="he-IL"/>
              </w:rPr>
            </w:pPr>
            <w:r w:rsidRPr="00260725">
              <w:rPr>
                <w:lang w:bidi="he-IL"/>
              </w:rPr>
              <w:t>4.59</w:t>
            </w:r>
          </w:p>
        </w:tc>
        <w:tc>
          <w:tcPr>
            <w:tcW w:w="0" w:type="auto"/>
            <w:noWrap/>
            <w:hideMark/>
          </w:tcPr>
          <w:p w:rsidR="008E5029" w:rsidRPr="00260725" w:rsidRDefault="008E5029" w:rsidP="00C477E5">
            <w:pPr>
              <w:pStyle w:val="Tabletext"/>
              <w:rPr>
                <w:lang w:bidi="he-IL"/>
              </w:rPr>
            </w:pPr>
            <w:r w:rsidRPr="00260725">
              <w:rPr>
                <w:lang w:bidi="he-IL"/>
              </w:rPr>
              <w:t>&lt;0.001</w:t>
            </w:r>
          </w:p>
        </w:tc>
      </w:tr>
    </w:tbl>
    <w:p w:rsidR="008E5029" w:rsidRDefault="008E5029" w:rsidP="008E5029">
      <w:pPr>
        <w:rPr>
          <w:b/>
          <w:bCs/>
          <w:sz w:val="28"/>
          <w:szCs w:val="28"/>
        </w:rPr>
      </w:pPr>
    </w:p>
    <w:p w:rsidR="008E5029" w:rsidRPr="00EA4549" w:rsidRDefault="008E5029" w:rsidP="008E5029">
      <w:r w:rsidRPr="00EA4549">
        <w:t xml:space="preserve">Null deviance: </w:t>
      </w:r>
      <w:proofErr w:type="gramStart"/>
      <w:r w:rsidRPr="00EA4549">
        <w:t>33460  on</w:t>
      </w:r>
      <w:proofErr w:type="gramEnd"/>
      <w:r w:rsidRPr="00EA4549">
        <w:t xml:space="preserve"> 53  degrees of freedom</w:t>
      </w:r>
    </w:p>
    <w:p w:rsidR="008E5029" w:rsidRPr="00EA4549" w:rsidRDefault="008E5029" w:rsidP="008E5029">
      <w:r w:rsidRPr="00EA4549">
        <w:t xml:space="preserve">Residual deviance: </w:t>
      </w:r>
      <w:proofErr w:type="gramStart"/>
      <w:r w:rsidRPr="00EA4549">
        <w:t>20595  on</w:t>
      </w:r>
      <w:proofErr w:type="gramEnd"/>
      <w:r w:rsidRPr="00EA4549">
        <w:t xml:space="preserve"> 44  degrees of freedom</w:t>
      </w:r>
    </w:p>
    <w:p w:rsidR="008E5029" w:rsidRDefault="008E5029" w:rsidP="008E5029"/>
    <w:tbl>
      <w:tblPr>
        <w:tblStyle w:val="TableGrid"/>
        <w:tblW w:w="0" w:type="auto"/>
        <w:tblLook w:val="04A0"/>
      </w:tblPr>
      <w:tblGrid>
        <w:gridCol w:w="3000"/>
        <w:gridCol w:w="3528"/>
      </w:tblGrid>
      <w:tr w:rsidR="008E5029" w:rsidRPr="002C1D5B" w:rsidTr="008E5029">
        <w:trPr>
          <w:cnfStyle w:val="100000000000"/>
          <w:trHeight w:val="300"/>
        </w:trPr>
        <w:tc>
          <w:tcPr>
            <w:tcW w:w="0" w:type="auto"/>
            <w:gridSpan w:val="2"/>
            <w:noWrap/>
            <w:hideMark/>
          </w:tcPr>
          <w:p w:rsidR="008E5029" w:rsidRPr="002C1D5B" w:rsidRDefault="008E5029" w:rsidP="008E5029">
            <w:pPr>
              <w:pStyle w:val="Tabletext"/>
              <w:rPr>
                <w:lang w:bidi="he-IL"/>
              </w:rPr>
            </w:pPr>
            <w:r w:rsidRPr="002C1D5B">
              <w:rPr>
                <w:lang w:bidi="he-IL"/>
              </w:rPr>
              <w:t xml:space="preserve">                                     Estimate Std. Error z value Pr(&gt;|z|)    </w:t>
            </w:r>
          </w:p>
        </w:tc>
      </w:tr>
      <w:tr w:rsidR="00C477E5" w:rsidRPr="002C1D5B" w:rsidTr="00C477E5">
        <w:trPr>
          <w:trHeight w:val="300"/>
        </w:trPr>
        <w:tc>
          <w:tcPr>
            <w:tcW w:w="3000" w:type="dxa"/>
            <w:noWrap/>
            <w:hideMark/>
          </w:tcPr>
          <w:p w:rsidR="00C477E5" w:rsidRPr="002C1D5B" w:rsidRDefault="00C477E5" w:rsidP="008E5029">
            <w:pPr>
              <w:pStyle w:val="Tabletext"/>
              <w:rPr>
                <w:lang w:bidi="he-IL"/>
              </w:rPr>
            </w:pPr>
            <w:r w:rsidRPr="002C1D5B">
              <w:rPr>
                <w:lang w:bidi="he-IL"/>
              </w:rPr>
              <w:t>mid-Murrumbidgee - Lowbidgee</w:t>
            </w:r>
          </w:p>
        </w:tc>
        <w:tc>
          <w:tcPr>
            <w:tcW w:w="3528" w:type="dxa"/>
          </w:tcPr>
          <w:p w:rsidR="00C477E5" w:rsidRPr="002C1D5B" w:rsidRDefault="00C477E5" w:rsidP="00C477E5">
            <w:pPr>
              <w:pStyle w:val="Tabletext"/>
              <w:rPr>
                <w:lang w:bidi="he-IL"/>
              </w:rPr>
            </w:pPr>
            <w:r w:rsidRPr="002C1D5B">
              <w:rPr>
                <w:lang w:bidi="he-IL"/>
              </w:rPr>
              <w:t>2.28808    0.03645   62.77   &lt;</w:t>
            </w:r>
            <w:r>
              <w:rPr>
                <w:lang w:bidi="he-IL"/>
              </w:rPr>
              <w:t>0.001</w:t>
            </w:r>
            <w:r w:rsidRPr="002C1D5B">
              <w:rPr>
                <w:lang w:bidi="he-IL"/>
              </w:rPr>
              <w:t xml:space="preserve"> ***</w:t>
            </w:r>
          </w:p>
        </w:tc>
      </w:tr>
      <w:tr w:rsidR="00C477E5" w:rsidRPr="002C1D5B" w:rsidTr="00C477E5">
        <w:trPr>
          <w:trHeight w:val="300"/>
        </w:trPr>
        <w:tc>
          <w:tcPr>
            <w:tcW w:w="3000" w:type="dxa"/>
            <w:noWrap/>
            <w:hideMark/>
          </w:tcPr>
          <w:p w:rsidR="00C477E5" w:rsidRPr="002C1D5B" w:rsidRDefault="00C477E5" w:rsidP="00C477E5">
            <w:pPr>
              <w:pStyle w:val="Tabletext"/>
              <w:rPr>
                <w:lang w:bidi="he-IL"/>
              </w:rPr>
            </w:pPr>
            <w:r w:rsidRPr="002C1D5B">
              <w:rPr>
                <w:lang w:bidi="he-IL"/>
              </w:rPr>
              <w:t xml:space="preserve">Western Lakes - Lowbidgee          </w:t>
            </w:r>
          </w:p>
        </w:tc>
        <w:tc>
          <w:tcPr>
            <w:tcW w:w="3528" w:type="dxa"/>
          </w:tcPr>
          <w:p w:rsidR="00C477E5" w:rsidRPr="002C1D5B" w:rsidRDefault="00C477E5" w:rsidP="008E5029">
            <w:pPr>
              <w:pStyle w:val="Tabletext"/>
              <w:rPr>
                <w:lang w:bidi="he-IL"/>
              </w:rPr>
            </w:pPr>
            <w:r w:rsidRPr="002C1D5B">
              <w:rPr>
                <w:lang w:bidi="he-IL"/>
              </w:rPr>
              <w:t>5.21397    0.05056  103.12   &lt;</w:t>
            </w:r>
            <w:r>
              <w:rPr>
                <w:lang w:bidi="he-IL"/>
              </w:rPr>
              <w:t>0.001</w:t>
            </w:r>
            <w:r w:rsidRPr="002C1D5B">
              <w:rPr>
                <w:lang w:bidi="he-IL"/>
              </w:rPr>
              <w:t xml:space="preserve"> ***</w:t>
            </w:r>
          </w:p>
        </w:tc>
      </w:tr>
      <w:tr w:rsidR="00C477E5" w:rsidRPr="002C1D5B" w:rsidTr="00C477E5">
        <w:trPr>
          <w:trHeight w:val="300"/>
        </w:trPr>
        <w:tc>
          <w:tcPr>
            <w:tcW w:w="3000" w:type="dxa"/>
            <w:noWrap/>
            <w:hideMark/>
          </w:tcPr>
          <w:p w:rsidR="00C477E5" w:rsidRPr="002C1D5B" w:rsidRDefault="00C477E5" w:rsidP="00C477E5">
            <w:pPr>
              <w:pStyle w:val="Tabletext"/>
              <w:rPr>
                <w:lang w:bidi="he-IL"/>
              </w:rPr>
            </w:pPr>
            <w:r w:rsidRPr="002C1D5B">
              <w:rPr>
                <w:lang w:bidi="he-IL"/>
              </w:rPr>
              <w:t xml:space="preserve">Western Lakes - mid-Murrumbidgee </w:t>
            </w:r>
          </w:p>
        </w:tc>
        <w:tc>
          <w:tcPr>
            <w:tcW w:w="3528" w:type="dxa"/>
          </w:tcPr>
          <w:p w:rsidR="00C477E5" w:rsidRPr="002C1D5B" w:rsidRDefault="00C477E5" w:rsidP="008E5029">
            <w:pPr>
              <w:pStyle w:val="Tabletext"/>
              <w:rPr>
                <w:lang w:bidi="he-IL"/>
              </w:rPr>
            </w:pPr>
            <w:r w:rsidRPr="002C1D5B">
              <w:rPr>
                <w:lang w:bidi="he-IL"/>
              </w:rPr>
              <w:t>2.92589    0.04742   61.71   &lt;</w:t>
            </w:r>
            <w:r>
              <w:rPr>
                <w:lang w:bidi="he-IL"/>
              </w:rPr>
              <w:t>0.001</w:t>
            </w:r>
            <w:r w:rsidRPr="002C1D5B">
              <w:rPr>
                <w:lang w:bidi="he-IL"/>
              </w:rPr>
              <w:t xml:space="preserve"> ***</w:t>
            </w:r>
          </w:p>
        </w:tc>
      </w:tr>
    </w:tbl>
    <w:p w:rsidR="008E5029" w:rsidRDefault="008E5029" w:rsidP="008E5029"/>
    <w:p w:rsidR="008E5029" w:rsidRPr="000F4251" w:rsidRDefault="008E5029" w:rsidP="008E5029">
      <w:r>
        <w:rPr>
          <w:noProof/>
          <w:lang w:eastAsia="en-AU"/>
        </w:rPr>
        <w:drawing>
          <wp:inline distT="0" distB="0" distL="0" distR="0">
            <wp:extent cx="5696184" cy="3867150"/>
            <wp:effectExtent l="1905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plot3.jpg"/>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98327" cy="3868605"/>
                    </a:xfrm>
                    <a:prstGeom prst="rect">
                      <a:avLst/>
                    </a:prstGeom>
                  </pic:spPr>
                </pic:pic>
              </a:graphicData>
            </a:graphic>
          </wp:inline>
        </w:drawing>
      </w:r>
    </w:p>
    <w:p w:rsidR="00AE567A" w:rsidRDefault="00AE567A" w:rsidP="00257956"/>
    <w:p w:rsidR="006171E9" w:rsidRDefault="006171E9" w:rsidP="00257956"/>
    <w:p w:rsidR="008422C0" w:rsidRDefault="008422C0" w:rsidP="00257956"/>
    <w:sectPr w:rsidR="008422C0" w:rsidSect="00B80BE4">
      <w:type w:val="continuous"/>
      <w:pgSz w:w="11907" w:h="16839" w:code="9"/>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24C4B" w:rsidRDefault="00324C4B">
      <w:pPr>
        <w:spacing w:line="240" w:lineRule="auto"/>
      </w:pPr>
      <w:r>
        <w:separator/>
      </w:r>
    </w:p>
  </w:endnote>
  <w:endnote w:type="continuationSeparator" w:id="0">
    <w:p w:rsidR="00324C4B" w:rsidRDefault="00324C4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notTrueType/>
    <w:pitch w:val="variable"/>
    <w:sig w:usb0="00000003" w:usb1="00000000" w:usb2="00000000" w:usb3="00000000" w:csb0="00000001" w:csb1="00000000"/>
  </w:font>
  <w:font w:name="Angsana New">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Bold">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Lucida Console">
    <w:panose1 w:val="020B0609040504020204"/>
    <w:charset w:val="00"/>
    <w:family w:val="modern"/>
    <w:pitch w:val="fixed"/>
    <w:sig w:usb0="8000028F" w:usb1="00001800" w:usb2="00000000" w:usb3="00000000" w:csb0="0000001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909" w:rsidRDefault="00D1190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6FC" w:rsidRDefault="006E06FC" w:rsidP="00DA6F16">
    <w:pPr>
      <w:pStyle w:val="Footer"/>
      <w:jc w:val="right"/>
    </w:pPr>
  </w:p>
  <w:p w:rsidR="006E06FC" w:rsidRDefault="006E06FC">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909" w:rsidRDefault="00D1190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728864"/>
      <w:docPartObj>
        <w:docPartGallery w:val="Page Numbers (Bottom of Page)"/>
        <w:docPartUnique/>
      </w:docPartObj>
    </w:sdtPr>
    <w:sdtEndPr>
      <w:rPr>
        <w:color w:val="7F7F7F" w:themeColor="background1" w:themeShade="7F"/>
        <w:spacing w:val="60"/>
      </w:rPr>
    </w:sdtEndPr>
    <w:sdtContent>
      <w:p w:rsidR="006E06FC" w:rsidRDefault="00D20FAE">
        <w:pPr>
          <w:pStyle w:val="Footer"/>
          <w:pBdr>
            <w:top w:val="single" w:sz="4" w:space="1" w:color="D9D9D9" w:themeColor="background1" w:themeShade="D9"/>
          </w:pBdr>
          <w:jc w:val="right"/>
        </w:pPr>
        <w:fldSimple w:instr=" PAGE   \* MERGEFORMAT ">
          <w:r w:rsidR="00D11909">
            <w:rPr>
              <w:noProof/>
            </w:rPr>
            <w:t>vii</w:t>
          </w:r>
        </w:fldSimple>
        <w:r w:rsidR="006E06FC">
          <w:t xml:space="preserve"> | </w:t>
        </w:r>
        <w:r w:rsidR="006E06FC">
          <w:rPr>
            <w:color w:val="7F7F7F" w:themeColor="background1" w:themeShade="7F"/>
            <w:spacing w:val="60"/>
          </w:rPr>
          <w:t>Page</w:t>
        </w:r>
      </w:p>
    </w:sdtContent>
  </w:sdt>
  <w:p w:rsidR="006E06FC" w:rsidRDefault="006E06FC">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728869"/>
      <w:docPartObj>
        <w:docPartGallery w:val="Page Numbers (Bottom of Page)"/>
        <w:docPartUnique/>
      </w:docPartObj>
    </w:sdtPr>
    <w:sdtEndPr>
      <w:rPr>
        <w:color w:val="7F7F7F" w:themeColor="background1" w:themeShade="7F"/>
        <w:spacing w:val="60"/>
      </w:rPr>
    </w:sdtEndPr>
    <w:sdtContent>
      <w:p w:rsidR="006E06FC" w:rsidRDefault="00D20FAE">
        <w:pPr>
          <w:pStyle w:val="Footer"/>
          <w:pBdr>
            <w:top w:val="single" w:sz="4" w:space="1" w:color="D9D9D9" w:themeColor="background1" w:themeShade="D9"/>
          </w:pBdr>
          <w:jc w:val="right"/>
        </w:pPr>
        <w:fldSimple w:instr=" PAGE   \* MERGEFORMAT ">
          <w:r w:rsidR="00D11909">
            <w:rPr>
              <w:noProof/>
            </w:rPr>
            <w:t>175</w:t>
          </w:r>
        </w:fldSimple>
        <w:r w:rsidR="006E06FC">
          <w:t xml:space="preserve"> | </w:t>
        </w:r>
        <w:r w:rsidR="006E06FC">
          <w:rPr>
            <w:color w:val="7F7F7F" w:themeColor="background1" w:themeShade="7F"/>
            <w:spacing w:val="60"/>
          </w:rPr>
          <w:t>Page</w:t>
        </w:r>
      </w:p>
    </w:sdtContent>
  </w:sdt>
  <w:p w:rsidR="006E06FC" w:rsidRDefault="006E06F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24C4B" w:rsidRDefault="00324C4B">
      <w:pPr>
        <w:spacing w:line="240" w:lineRule="auto"/>
      </w:pPr>
      <w:r>
        <w:separator/>
      </w:r>
    </w:p>
  </w:footnote>
  <w:footnote w:type="continuationSeparator" w:id="0">
    <w:p w:rsidR="00324C4B" w:rsidRDefault="00324C4B">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909" w:rsidRDefault="00D1190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909" w:rsidRDefault="00D11909">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909" w:rsidRDefault="00D11909">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E06FC" w:rsidRDefault="006E06FC">
    <w:pPr>
      <w:pStyle w:val="BodyText1"/>
      <w:pBdr>
        <w:bottom w:val="single" w:sz="4" w:space="1" w:color="auto"/>
      </w:pBdr>
      <w:spacing w:line="240" w:lineRule="auto"/>
      <w:rPr>
        <w:sz w:val="16"/>
        <w:szCs w:val="16"/>
      </w:rPr>
    </w:pPr>
    <w:r w:rsidRPr="00505588">
      <w:rPr>
        <w:sz w:val="16"/>
        <w:szCs w:val="16"/>
      </w:rPr>
      <w:t xml:space="preserve">Wassens, Jenkins, Spencer et al (2013) Monitoring the ecological response of Commonwealth environmental water delivered in 2012-13 to the </w:t>
    </w:r>
    <w:r>
      <w:rPr>
        <w:sz w:val="16"/>
        <w:szCs w:val="16"/>
      </w:rPr>
      <w:t>Murrumbidgee river system</w:t>
    </w:r>
    <w:r w:rsidRPr="00505588">
      <w:rPr>
        <w:sz w:val="16"/>
        <w:szCs w:val="16"/>
      </w:rPr>
      <w:t>. Final report.</w:t>
    </w:r>
  </w:p>
  <w:p w:rsidR="006E06FC" w:rsidRPr="00574F0D" w:rsidRDefault="006E06FC">
    <w:pPr>
      <w:pStyle w:val="Header"/>
      <w:rPr>
        <w:rFonts w:ascii="Century Gothic" w:hAnsi="Century Gothic"/>
        <w:sz w:val="20"/>
        <w:szCs w:val="2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BC6E2F"/>
    <w:multiLevelType w:val="hybridMultilevel"/>
    <w:tmpl w:val="A95EEA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C94343E"/>
    <w:multiLevelType w:val="hybridMultilevel"/>
    <w:tmpl w:val="F5D0BDC8"/>
    <w:lvl w:ilvl="0" w:tplc="B9822C8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FFB372E"/>
    <w:multiLevelType w:val="hybridMultilevel"/>
    <w:tmpl w:val="5C4672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2F62398"/>
    <w:multiLevelType w:val="hybridMultilevel"/>
    <w:tmpl w:val="7A14CA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15702D31"/>
    <w:multiLevelType w:val="hybridMultilevel"/>
    <w:tmpl w:val="C972B708"/>
    <w:lvl w:ilvl="0" w:tplc="0C090011">
      <w:start w:val="1"/>
      <w:numFmt w:val="decimal"/>
      <w:lvlText w:val="%1)"/>
      <w:lvlJc w:val="left"/>
      <w:pPr>
        <w:ind w:left="786"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15854042"/>
    <w:multiLevelType w:val="hybridMultilevel"/>
    <w:tmpl w:val="C76039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70710E2"/>
    <w:multiLevelType w:val="hybridMultilevel"/>
    <w:tmpl w:val="A48046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79E4F7E"/>
    <w:multiLevelType w:val="hybridMultilevel"/>
    <w:tmpl w:val="D5828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89A007D"/>
    <w:multiLevelType w:val="hybridMultilevel"/>
    <w:tmpl w:val="3B54782A"/>
    <w:lvl w:ilvl="0" w:tplc="6CDCD0BC">
      <w:start w:val="1"/>
      <w:numFmt w:val="decimal"/>
      <w:lvlText w:val="%1.1"/>
      <w:lvlJc w:val="left"/>
      <w:pPr>
        <w:ind w:left="862" w:hanging="360"/>
      </w:pPr>
      <w:rPr>
        <w:rFonts w:hint="default"/>
      </w:r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9">
    <w:nsid w:val="19EE7B22"/>
    <w:multiLevelType w:val="hybridMultilevel"/>
    <w:tmpl w:val="24F29A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C867D41"/>
    <w:multiLevelType w:val="hybridMultilevel"/>
    <w:tmpl w:val="0FA0BD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D0160F5"/>
    <w:multiLevelType w:val="hybridMultilevel"/>
    <w:tmpl w:val="B286384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21C966F4"/>
    <w:multiLevelType w:val="hybridMultilevel"/>
    <w:tmpl w:val="CBEA527E"/>
    <w:lvl w:ilvl="0" w:tplc="B9822C8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24632CA6"/>
    <w:multiLevelType w:val="hybridMultilevel"/>
    <w:tmpl w:val="13922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B1E59D1"/>
    <w:multiLevelType w:val="hybridMultilevel"/>
    <w:tmpl w:val="F1CA5E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0EC0791"/>
    <w:multiLevelType w:val="hybridMultilevel"/>
    <w:tmpl w:val="0E6EF1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33422072"/>
    <w:multiLevelType w:val="hybridMultilevel"/>
    <w:tmpl w:val="EA02D6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55F3076"/>
    <w:multiLevelType w:val="hybridMultilevel"/>
    <w:tmpl w:val="7B32D3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3BB25035"/>
    <w:multiLevelType w:val="hybridMultilevel"/>
    <w:tmpl w:val="7D6E52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42AB63A9"/>
    <w:multiLevelType w:val="multilevel"/>
    <w:tmpl w:val="E850FDF6"/>
    <w:styleLink w:val="headings"/>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3.%2.1"/>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42BC6395"/>
    <w:multiLevelType w:val="multilevel"/>
    <w:tmpl w:val="814603E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nsid w:val="45603CA5"/>
    <w:multiLevelType w:val="multilevel"/>
    <w:tmpl w:val="67324D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C726BDD"/>
    <w:multiLevelType w:val="hybridMultilevel"/>
    <w:tmpl w:val="88FEDA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E654A71"/>
    <w:multiLevelType w:val="hybridMultilevel"/>
    <w:tmpl w:val="1E0AC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5A88505E"/>
    <w:multiLevelType w:val="hybridMultilevel"/>
    <w:tmpl w:val="EA08B1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BDA77FB"/>
    <w:multiLevelType w:val="hybridMultilevel"/>
    <w:tmpl w:val="48D0AE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nsid w:val="67B8471E"/>
    <w:multiLevelType w:val="hybridMultilevel"/>
    <w:tmpl w:val="2674A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6849783D"/>
    <w:multiLevelType w:val="hybridMultilevel"/>
    <w:tmpl w:val="188AADCC"/>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8">
    <w:nsid w:val="6A701527"/>
    <w:multiLevelType w:val="hybridMultilevel"/>
    <w:tmpl w:val="6B24D5EE"/>
    <w:lvl w:ilvl="0" w:tplc="B9822C8A">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6A840B52"/>
    <w:multiLevelType w:val="hybridMultilevel"/>
    <w:tmpl w:val="DB4C6C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6A9D6699"/>
    <w:multiLevelType w:val="multilevel"/>
    <w:tmpl w:val="0C090025"/>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nsid w:val="6D8C7010"/>
    <w:multiLevelType w:val="hybridMultilevel"/>
    <w:tmpl w:val="E64478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7047297D"/>
    <w:multiLevelType w:val="hybridMultilevel"/>
    <w:tmpl w:val="B83C51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765D0FBD"/>
    <w:multiLevelType w:val="hybridMultilevel"/>
    <w:tmpl w:val="51A46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768D4DC4"/>
    <w:multiLevelType w:val="hybridMultilevel"/>
    <w:tmpl w:val="363E6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7984203"/>
    <w:multiLevelType w:val="hybridMultilevel"/>
    <w:tmpl w:val="3F007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793948F7"/>
    <w:multiLevelType w:val="hybridMultilevel"/>
    <w:tmpl w:val="F942037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nsid w:val="7BD1499F"/>
    <w:multiLevelType w:val="hybridMultilevel"/>
    <w:tmpl w:val="475E4D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7DED3163"/>
    <w:multiLevelType w:val="hybridMultilevel"/>
    <w:tmpl w:val="AF609580"/>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39">
    <w:nsid w:val="7EE854BE"/>
    <w:multiLevelType w:val="hybridMultilevel"/>
    <w:tmpl w:val="AAF63A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7FF768BF"/>
    <w:multiLevelType w:val="hybridMultilevel"/>
    <w:tmpl w:val="7F600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9"/>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20" w:hanging="360"/>
        </w:pPr>
        <w:rPr>
          <w:rFonts w:hint="default"/>
        </w:rPr>
      </w:lvl>
    </w:lvlOverride>
    <w:lvlOverride w:ilvl="2">
      <w:lvl w:ilvl="2">
        <w:start w:val="1"/>
        <w:numFmt w:val="decimal"/>
        <w:lvlText w:val="%3.%2.1"/>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
    <w:abstractNumId w:val="4"/>
  </w:num>
  <w:num w:numId="3">
    <w:abstractNumId w:val="25"/>
  </w:num>
  <w:num w:numId="4">
    <w:abstractNumId w:val="33"/>
  </w:num>
  <w:num w:numId="5">
    <w:abstractNumId w:val="6"/>
  </w:num>
  <w:num w:numId="6">
    <w:abstractNumId w:val="1"/>
  </w:num>
  <w:num w:numId="7">
    <w:abstractNumId w:val="12"/>
  </w:num>
  <w:num w:numId="8">
    <w:abstractNumId w:val="19"/>
    <w:lvlOverride w:ilvl="0">
      <w:startOverride w:val="1"/>
      <w:lvl w:ilvl="0">
        <w:start w:val="1"/>
        <w:numFmt w:val="decimal"/>
        <w:lvlText w:val="%1."/>
        <w:lvlJc w:val="left"/>
        <w:pPr>
          <w:ind w:left="360" w:hanging="360"/>
        </w:pPr>
      </w:lvl>
    </w:lvlOverride>
    <w:lvlOverride w:ilvl="1">
      <w:startOverride w:val="1"/>
      <w:lvl w:ilvl="1">
        <w:start w:val="1"/>
        <w:numFmt w:val="decimal"/>
        <w:lvlText w:val="%1.%2."/>
        <w:lvlJc w:val="left"/>
        <w:pPr>
          <w:ind w:left="792" w:hanging="432"/>
        </w:pPr>
      </w:lvl>
    </w:lvlOverride>
    <w:lvlOverride w:ilvl="2">
      <w:startOverride w:val="1"/>
      <w:lvl w:ilvl="2">
        <w:start w:val="1"/>
        <w:numFmt w:val="decimal"/>
        <w:lvlText w:val="%1.%2.%3."/>
        <w:lvlJc w:val="left"/>
        <w:pPr>
          <w:ind w:left="1781" w:hanging="504"/>
        </w:pPr>
      </w:lvl>
    </w:lvlOverride>
    <w:lvlOverride w:ilvl="3">
      <w:startOverride w:val="1"/>
      <w:lvl w:ilvl="3">
        <w:start w:val="1"/>
        <w:numFmt w:val="decimal"/>
        <w:lvlText w:val="%1.%2.%3.%4."/>
        <w:lvlJc w:val="left"/>
        <w:pPr>
          <w:ind w:left="1728" w:hanging="648"/>
        </w:pPr>
      </w:lvl>
    </w:lvlOverride>
    <w:lvlOverride w:ilvl="4">
      <w:startOverride w:val="1"/>
      <w:lvl w:ilvl="4">
        <w:start w:val="1"/>
        <w:numFmt w:val="decimal"/>
        <w:lvlText w:val="%1.%2.%3.%4.%5."/>
        <w:lvlJc w:val="left"/>
        <w:pPr>
          <w:ind w:left="2232" w:hanging="792"/>
        </w:pPr>
      </w:lvl>
    </w:lvlOverride>
    <w:lvlOverride w:ilvl="5">
      <w:startOverride w:val="1"/>
      <w:lvl w:ilvl="5">
        <w:start w:val="1"/>
        <w:numFmt w:val="decimal"/>
        <w:lvlText w:val="%1.%2.%3.%4.%5.%6."/>
        <w:lvlJc w:val="left"/>
        <w:pPr>
          <w:ind w:left="2736" w:hanging="936"/>
        </w:pPr>
      </w:lvl>
    </w:lvlOverride>
    <w:lvlOverride w:ilvl="6">
      <w:startOverride w:val="1"/>
      <w:lvl w:ilvl="6">
        <w:start w:val="1"/>
        <w:numFmt w:val="decimal"/>
        <w:lvlText w:val="%1.%2.%3.%4.%5.%6.%7."/>
        <w:lvlJc w:val="left"/>
        <w:pPr>
          <w:ind w:left="3240" w:hanging="1080"/>
        </w:pPr>
      </w:lvl>
    </w:lvlOverride>
    <w:lvlOverride w:ilvl="7">
      <w:startOverride w:val="1"/>
      <w:lvl w:ilvl="7">
        <w:start w:val="1"/>
        <w:numFmt w:val="decimal"/>
        <w:lvlText w:val="%1.%2.%3.%4.%5.%6.%7.%8."/>
        <w:lvlJc w:val="left"/>
        <w:pPr>
          <w:ind w:left="3744" w:hanging="1224"/>
        </w:pPr>
      </w:lvl>
    </w:lvlOverride>
    <w:lvlOverride w:ilvl="8">
      <w:startOverride w:val="1"/>
      <w:lvl w:ilvl="8">
        <w:start w:val="1"/>
        <w:numFmt w:val="decimal"/>
        <w:lvlText w:val="%1.%2.%3.%4.%5.%6.%7.%8.%9."/>
        <w:lvlJc w:val="left"/>
        <w:pPr>
          <w:ind w:left="4320" w:hanging="1440"/>
        </w:pPr>
      </w:lvl>
    </w:lvlOverride>
  </w:num>
  <w:num w:numId="9">
    <w:abstractNumId w:val="37"/>
  </w:num>
  <w:num w:numId="10">
    <w:abstractNumId w:val="13"/>
  </w:num>
  <w:num w:numId="11">
    <w:abstractNumId w:val="0"/>
  </w:num>
  <w:num w:numId="12">
    <w:abstractNumId w:val="36"/>
  </w:num>
  <w:num w:numId="13">
    <w:abstractNumId w:val="22"/>
  </w:num>
  <w:num w:numId="14">
    <w:abstractNumId w:val="15"/>
  </w:num>
  <w:num w:numId="15">
    <w:abstractNumId w:val="19"/>
  </w:num>
  <w:num w:numId="16">
    <w:abstractNumId w:val="16"/>
  </w:num>
  <w:num w:numId="17">
    <w:abstractNumId w:val="18"/>
  </w:num>
  <w:num w:numId="18">
    <w:abstractNumId w:val="3"/>
  </w:num>
  <w:num w:numId="19">
    <w:abstractNumId w:val="38"/>
  </w:num>
  <w:num w:numId="20">
    <w:abstractNumId w:val="17"/>
  </w:num>
  <w:num w:numId="21">
    <w:abstractNumId w:val="23"/>
  </w:num>
  <w:num w:numId="22">
    <w:abstractNumId w:val="14"/>
  </w:num>
  <w:num w:numId="23">
    <w:abstractNumId w:val="29"/>
  </w:num>
  <w:num w:numId="24">
    <w:abstractNumId w:val="26"/>
  </w:num>
  <w:num w:numId="25">
    <w:abstractNumId w:val="27"/>
  </w:num>
  <w:num w:numId="26">
    <w:abstractNumId w:val="19"/>
    <w:lvlOverride w:ilvl="0">
      <w:startOverride w:val="1"/>
      <w:lvl w:ilvl="0">
        <w:start w:val="1"/>
        <w:numFmt w:val="decimal"/>
        <w:lvlText w:val="%1"/>
        <w:lvlJc w:val="left"/>
        <w:pPr>
          <w:ind w:left="360" w:hanging="360"/>
        </w:pPr>
        <w:rPr>
          <w:rFonts w:hint="default"/>
        </w:rPr>
      </w:lvl>
    </w:lvlOverride>
    <w:lvlOverride w:ilvl="1">
      <w:startOverride w:val="1"/>
      <w:lvl w:ilvl="1">
        <w:start w:val="1"/>
        <w:numFmt w:val="decimal"/>
        <w:lvlText w:val="%1.%2"/>
        <w:lvlJc w:val="left"/>
        <w:pPr>
          <w:ind w:left="720" w:hanging="360"/>
        </w:pPr>
        <w:rPr>
          <w:rFonts w:hint="default"/>
        </w:rPr>
      </w:lvl>
    </w:lvlOverride>
    <w:lvlOverride w:ilvl="2">
      <w:startOverride w:val="1"/>
      <w:lvl w:ilvl="2">
        <w:start w:val="1"/>
        <w:numFmt w:val="decimal"/>
        <w:lvlText w:val="%3.%2.1"/>
        <w:lvlJc w:val="left"/>
        <w:pPr>
          <w:ind w:left="1080" w:hanging="360"/>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7">
    <w:abstractNumId w:val="19"/>
    <w:lvlOverride w:ilvl="0">
      <w:lvl w:ilvl="0">
        <w:start w:val="1"/>
        <w:numFmt w:val="decimal"/>
        <w:lvlText w:val="%1."/>
        <w:lvlJc w:val="left"/>
        <w:pPr>
          <w:ind w:left="360" w:hanging="360"/>
        </w:pPr>
        <w:rPr>
          <w:rFonts w:cs="Times New Roman"/>
        </w:rPr>
      </w:lvl>
    </w:lvlOverride>
    <w:lvlOverride w:ilvl="1">
      <w:lvl w:ilvl="1">
        <w:start w:val="1"/>
        <w:numFmt w:val="decimal"/>
        <w:lvlText w:val="%1.%2."/>
        <w:lvlJc w:val="left"/>
        <w:pPr>
          <w:ind w:left="792" w:hanging="432"/>
        </w:pPr>
        <w:rPr>
          <w:rFonts w:cs="Times New Roman"/>
        </w:rPr>
      </w:lvl>
    </w:lvlOverride>
    <w:lvlOverride w:ilvl="2">
      <w:lvl w:ilvl="2">
        <w:start w:val="1"/>
        <w:numFmt w:val="decimal"/>
        <w:lvlText w:val="%1.%2.%3."/>
        <w:lvlJc w:val="left"/>
        <w:pPr>
          <w:ind w:left="1224" w:hanging="504"/>
        </w:pPr>
        <w:rPr>
          <w:rFonts w:cs="Times New Roman"/>
        </w:rPr>
      </w:lvl>
    </w:lvlOverride>
    <w:lvlOverride w:ilvl="3">
      <w:lvl w:ilvl="3">
        <w:start w:val="1"/>
        <w:numFmt w:val="decimal"/>
        <w:lvlText w:val="%1.%2.%3.%4."/>
        <w:lvlJc w:val="left"/>
        <w:pPr>
          <w:ind w:left="1728" w:hanging="648"/>
        </w:pPr>
        <w:rPr>
          <w:rFonts w:cs="Times New Roman"/>
        </w:rPr>
      </w:lvl>
    </w:lvlOverride>
    <w:lvlOverride w:ilvl="4">
      <w:lvl w:ilvl="4">
        <w:start w:val="1"/>
        <w:numFmt w:val="decimal"/>
        <w:lvlText w:val="%1.%2.%3.%4.%5."/>
        <w:lvlJc w:val="left"/>
        <w:pPr>
          <w:ind w:left="2232" w:hanging="792"/>
        </w:pPr>
        <w:rPr>
          <w:rFonts w:cs="Times New Roman"/>
        </w:rPr>
      </w:lvl>
    </w:lvlOverride>
    <w:lvlOverride w:ilvl="5">
      <w:lvl w:ilvl="5">
        <w:start w:val="1"/>
        <w:numFmt w:val="decimal"/>
        <w:lvlText w:val="%1.%2.%3.%4.%5.%6."/>
        <w:lvlJc w:val="left"/>
        <w:pPr>
          <w:ind w:left="2736" w:hanging="936"/>
        </w:pPr>
        <w:rPr>
          <w:rFonts w:cs="Times New Roman"/>
        </w:rPr>
      </w:lvl>
    </w:lvlOverride>
    <w:lvlOverride w:ilvl="6">
      <w:lvl w:ilvl="6">
        <w:start w:val="1"/>
        <w:numFmt w:val="decimal"/>
        <w:lvlText w:val="%1.%2.%3.%4.%5.%6.%7."/>
        <w:lvlJc w:val="left"/>
        <w:pPr>
          <w:ind w:left="3240" w:hanging="1080"/>
        </w:pPr>
        <w:rPr>
          <w:rFonts w:cs="Times New Roman"/>
        </w:rPr>
      </w:lvl>
    </w:lvlOverride>
    <w:lvlOverride w:ilvl="7">
      <w:lvl w:ilvl="7">
        <w:start w:val="1"/>
        <w:numFmt w:val="decimal"/>
        <w:lvlText w:val="%1.%2.%3.%4.%5.%6.%7.%8."/>
        <w:lvlJc w:val="left"/>
        <w:pPr>
          <w:ind w:left="3744" w:hanging="1224"/>
        </w:pPr>
        <w:rPr>
          <w:rFonts w:cs="Times New Roman"/>
        </w:rPr>
      </w:lvl>
    </w:lvlOverride>
    <w:lvlOverride w:ilvl="8">
      <w:lvl w:ilvl="8">
        <w:start w:val="1"/>
        <w:numFmt w:val="decimal"/>
        <w:lvlText w:val="%1.%2.%3.%4.%5.%6.%7.%8.%9."/>
        <w:lvlJc w:val="left"/>
        <w:pPr>
          <w:ind w:left="4320" w:hanging="1440"/>
        </w:pPr>
        <w:rPr>
          <w:rFonts w:cs="Times New Roman"/>
        </w:rPr>
      </w:lvl>
    </w:lvlOverride>
  </w:num>
  <w:num w:numId="28">
    <w:abstractNumId w:val="34"/>
  </w:num>
  <w:num w:numId="29">
    <w:abstractNumId w:val="32"/>
  </w:num>
  <w:num w:numId="30">
    <w:abstractNumId w:val="19"/>
    <w:lvlOverride w:ilvl="0">
      <w:lvl w:ilvl="0">
        <w:start w:val="1"/>
        <w:numFmt w:val="decimal"/>
        <w:lvlText w:val="%1."/>
        <w:lvlJc w:val="left"/>
        <w:pPr>
          <w:ind w:left="360" w:hanging="360"/>
        </w:pPr>
      </w:lvl>
    </w:lvlOverride>
    <w:lvlOverride w:ilvl="1">
      <w:lvl w:ilvl="1">
        <w:start w:val="1"/>
        <w:numFmt w:val="decimal"/>
        <w:lvlText w:val="%1.%2."/>
        <w:lvlJc w:val="left"/>
        <w:pPr>
          <w:ind w:left="792" w:hanging="432"/>
        </w:pPr>
      </w:lvl>
    </w:lvlOverride>
    <w:lvlOverride w:ilvl="2">
      <w:lvl w:ilvl="2">
        <w:start w:val="1"/>
        <w:numFmt w:val="decimal"/>
        <w:lvlText w:val="%1.%2.%3."/>
        <w:lvlJc w:val="left"/>
        <w:pPr>
          <w:ind w:left="1781"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31">
    <w:abstractNumId w:val="8"/>
  </w:num>
  <w:num w:numId="32">
    <w:abstractNumId w:val="30"/>
  </w:num>
  <w:num w:numId="33">
    <w:abstractNumId w:val="30"/>
  </w:num>
  <w:num w:numId="34">
    <w:abstractNumId w:val="11"/>
  </w:num>
  <w:num w:numId="35">
    <w:abstractNumId w:val="20"/>
  </w:num>
  <w:num w:numId="36">
    <w:abstractNumId w:val="28"/>
  </w:num>
  <w:num w:numId="37">
    <w:abstractNumId w:val="19"/>
    <w:lvlOverride w:ilvl="0">
      <w:lvl w:ilvl="0">
        <w:start w:val="1"/>
        <w:numFmt w:val="decimal"/>
        <w:lvlText w:val="%1"/>
        <w:lvlJc w:val="left"/>
        <w:pPr>
          <w:ind w:left="360" w:hanging="360"/>
        </w:pPr>
        <w:rPr>
          <w:rFonts w:hint="default"/>
        </w:rPr>
      </w:lvl>
    </w:lvlOverride>
    <w:lvlOverride w:ilvl="1">
      <w:lvl w:ilvl="1">
        <w:start w:val="1"/>
        <w:numFmt w:val="decimal"/>
        <w:lvlText w:val="%1.%2"/>
        <w:lvlJc w:val="left"/>
        <w:pPr>
          <w:ind w:left="720" w:hanging="360"/>
        </w:pPr>
        <w:rPr>
          <w:rFonts w:hint="default"/>
        </w:rPr>
      </w:lvl>
    </w:lvlOverride>
    <w:lvlOverride w:ilvl="2">
      <w:lvl w:ilvl="2">
        <w:start w:val="1"/>
        <w:numFmt w:val="decimal"/>
        <w:lvlText w:val="%3.%2.1"/>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8">
    <w:abstractNumId w:val="31"/>
  </w:num>
  <w:num w:numId="39">
    <w:abstractNumId w:val="7"/>
  </w:num>
  <w:num w:numId="40">
    <w:abstractNumId w:val="5"/>
  </w:num>
  <w:num w:numId="41">
    <w:abstractNumId w:val="39"/>
  </w:num>
  <w:num w:numId="42">
    <w:abstractNumId w:val="9"/>
  </w:num>
  <w:num w:numId="43">
    <w:abstractNumId w:val="21"/>
  </w:num>
  <w:num w:numId="44">
    <w:abstractNumId w:val="24"/>
  </w:num>
  <w:num w:numId="45">
    <w:abstractNumId w:val="40"/>
  </w:num>
  <w:num w:numId="46">
    <w:abstractNumId w:val="2"/>
  </w:num>
  <w:num w:numId="47">
    <w:abstractNumId w:val="35"/>
  </w:num>
  <w:num w:numId="48">
    <w:abstractNumId w:val="10"/>
  </w:num>
  <w:num w:numId="49">
    <w:abstractNumId w:val="20"/>
  </w:num>
  <w:num w:numId="50">
    <w:abstractNumId w:val="20"/>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proofState w:grammar="clean"/>
  <w:defaultTabStop w:val="720"/>
  <w:drawingGridHorizontalSpacing w:val="110"/>
  <w:displayHorizontalDrawingGridEvery w:val="2"/>
  <w:characterSpacingControl w:val="doNotCompress"/>
  <w:hdrShapeDefaults>
    <o:shapedefaults v:ext="edit" spidmax="8193">
      <o:colormru v:ext="edit" colors="#339f33,#5f497a"/>
    </o:shapedefaults>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Author-Date Copy&lt;/Style&gt;&lt;LeftDelim&gt;{&lt;/LeftDelim&gt;&lt;RightDelim&gt;}&lt;/RightDelim&gt;&lt;FontName&gt;Century Gothic&lt;/FontName&gt;&lt;FontSize&gt;11&lt;/FontSize&gt;&lt;ReflistTitle&gt;&lt;/ReflistTitle&gt;&lt;StartingRefnum&gt;1&lt;/StartingRefnum&gt;&lt;FirstLineIndent&gt;0&lt;/FirstLineIndent&gt;&lt;HangingIndent&gt;720&lt;/HangingIndent&gt;&lt;LineSpacing&gt;0&lt;/LineSpacing&gt;&lt;SpaceAfter&gt;2&lt;/SpaceAfter&gt;&lt;HyperlinksEnabled&gt;1&lt;/HyperlinksEnabled&gt;&lt;HyperlinksVisible&gt;0&lt;/HyperlinksVisible&gt;&lt;/ENLayout&gt;"/>
    <w:docVar w:name="EN.Libraries" w:val="&lt;Libraries&gt;&lt;item db-id=&quot;vxxvsda2b05fxpeaw2dp552mtrd5trxdrf0s&quot;&gt;main database&lt;record-ids&gt;&lt;item&gt;1524&lt;/item&gt;&lt;item&gt;1640&lt;/item&gt;&lt;item&gt;2699&lt;/item&gt;&lt;item&gt;2708&lt;/item&gt;&lt;item&gt;2710&lt;/item&gt;&lt;item&gt;2733&lt;/item&gt;&lt;item&gt;2737&lt;/item&gt;&lt;item&gt;2739&lt;/item&gt;&lt;item&gt;2742&lt;/item&gt;&lt;item&gt;2749&lt;/item&gt;&lt;item&gt;2834&lt;/item&gt;&lt;item&gt;2926&lt;/item&gt;&lt;item&gt;2949&lt;/item&gt;&lt;item&gt;2951&lt;/item&gt;&lt;item&gt;2983&lt;/item&gt;&lt;item&gt;2992&lt;/item&gt;&lt;item&gt;3054&lt;/item&gt;&lt;item&gt;3063&lt;/item&gt;&lt;item&gt;3094&lt;/item&gt;&lt;item&gt;3161&lt;/item&gt;&lt;item&gt;3164&lt;/item&gt;&lt;item&gt;3165&lt;/item&gt;&lt;item&gt;3171&lt;/item&gt;&lt;item&gt;3172&lt;/item&gt;&lt;item&gt;3177&lt;/item&gt;&lt;item&gt;3178&lt;/item&gt;&lt;item&gt;3179&lt;/item&gt;&lt;item&gt;3180&lt;/item&gt;&lt;item&gt;3186&lt;/item&gt;&lt;item&gt;3188&lt;/item&gt;&lt;item&gt;3205&lt;/item&gt;&lt;item&gt;3208&lt;/item&gt;&lt;item&gt;3214&lt;/item&gt;&lt;item&gt;3216&lt;/item&gt;&lt;item&gt;3217&lt;/item&gt;&lt;item&gt;3223&lt;/item&gt;&lt;item&gt;3228&lt;/item&gt;&lt;item&gt;3251&lt;/item&gt;&lt;item&gt;3252&lt;/item&gt;&lt;item&gt;3253&lt;/item&gt;&lt;item&gt;3254&lt;/item&gt;&lt;item&gt;3256&lt;/item&gt;&lt;item&gt;3258&lt;/item&gt;&lt;item&gt;3267&lt;/item&gt;&lt;item&gt;3268&lt;/item&gt;&lt;item&gt;3271&lt;/item&gt;&lt;item&gt;3272&lt;/item&gt;&lt;item&gt;3288&lt;/item&gt;&lt;item&gt;3292&lt;/item&gt;&lt;item&gt;3294&lt;/item&gt;&lt;item&gt;3296&lt;/item&gt;&lt;item&gt;3297&lt;/item&gt;&lt;item&gt;3298&lt;/item&gt;&lt;item&gt;3299&lt;/item&gt;&lt;item&gt;3301&lt;/item&gt;&lt;item&gt;3302&lt;/item&gt;&lt;item&gt;3303&lt;/item&gt;&lt;item&gt;3321&lt;/item&gt;&lt;item&gt;3322&lt;/item&gt;&lt;item&gt;3324&lt;/item&gt;&lt;item&gt;3326&lt;/item&gt;&lt;item&gt;3327&lt;/item&gt;&lt;item&gt;3331&lt;/item&gt;&lt;item&gt;3360&lt;/item&gt;&lt;item&gt;3373&lt;/item&gt;&lt;item&gt;3374&lt;/item&gt;&lt;item&gt;3375&lt;/item&gt;&lt;item&gt;3376&lt;/item&gt;&lt;item&gt;3381&lt;/item&gt;&lt;item&gt;3383&lt;/item&gt;&lt;item&gt;3404&lt;/item&gt;&lt;item&gt;3416&lt;/item&gt;&lt;item&gt;3417&lt;/item&gt;&lt;item&gt;3418&lt;/item&gt;&lt;item&gt;3421&lt;/item&gt;&lt;item&gt;3422&lt;/item&gt;&lt;item&gt;3423&lt;/item&gt;&lt;item&gt;3424&lt;/item&gt;&lt;item&gt;3425&lt;/item&gt;&lt;item&gt;3426&lt;/item&gt;&lt;item&gt;3428&lt;/item&gt;&lt;item&gt;3429&lt;/item&gt;&lt;item&gt;3430&lt;/item&gt;&lt;item&gt;3432&lt;/item&gt;&lt;item&gt;3433&lt;/item&gt;&lt;item&gt;3434&lt;/item&gt;&lt;item&gt;3435&lt;/item&gt;&lt;item&gt;3437&lt;/item&gt;&lt;item&gt;3438&lt;/item&gt;&lt;item&gt;3439&lt;/item&gt;&lt;item&gt;3440&lt;/item&gt;&lt;item&gt;3442&lt;/item&gt;&lt;item&gt;3443&lt;/item&gt;&lt;item&gt;3446&lt;/item&gt;&lt;item&gt;3447&lt;/item&gt;&lt;item&gt;3451&lt;/item&gt;&lt;item&gt;3452&lt;/item&gt;&lt;item&gt;3453&lt;/item&gt;&lt;item&gt;3454&lt;/item&gt;&lt;item&gt;3455&lt;/item&gt;&lt;item&gt;3456&lt;/item&gt;&lt;item&gt;3457&lt;/item&gt;&lt;item&gt;3458&lt;/item&gt;&lt;item&gt;3459&lt;/item&gt;&lt;item&gt;3460&lt;/item&gt;&lt;item&gt;3461&lt;/item&gt;&lt;item&gt;3465&lt;/item&gt;&lt;item&gt;3466&lt;/item&gt;&lt;item&gt;3467&lt;/item&gt;&lt;item&gt;3468&lt;/item&gt;&lt;item&gt;3469&lt;/item&gt;&lt;item&gt;3471&lt;/item&gt;&lt;/record-ids&gt;&lt;/item&gt;&lt;/Libraries&gt;"/>
  </w:docVars>
  <w:rsids>
    <w:rsidRoot w:val="00366597"/>
    <w:rsid w:val="0000165F"/>
    <w:rsid w:val="00002D6D"/>
    <w:rsid w:val="000039B1"/>
    <w:rsid w:val="00005202"/>
    <w:rsid w:val="00007CAB"/>
    <w:rsid w:val="000114C2"/>
    <w:rsid w:val="00012DF0"/>
    <w:rsid w:val="00012EB1"/>
    <w:rsid w:val="0001382A"/>
    <w:rsid w:val="00014DDF"/>
    <w:rsid w:val="000166B8"/>
    <w:rsid w:val="000173A3"/>
    <w:rsid w:val="00020CDB"/>
    <w:rsid w:val="00021590"/>
    <w:rsid w:val="000215FF"/>
    <w:rsid w:val="00021AD7"/>
    <w:rsid w:val="00023B0D"/>
    <w:rsid w:val="00024A82"/>
    <w:rsid w:val="00024DC2"/>
    <w:rsid w:val="0002798C"/>
    <w:rsid w:val="0003161A"/>
    <w:rsid w:val="000318BA"/>
    <w:rsid w:val="00031F77"/>
    <w:rsid w:val="00036593"/>
    <w:rsid w:val="00037E26"/>
    <w:rsid w:val="00040DED"/>
    <w:rsid w:val="00043388"/>
    <w:rsid w:val="00044FBF"/>
    <w:rsid w:val="00045939"/>
    <w:rsid w:val="00047BD7"/>
    <w:rsid w:val="000506AD"/>
    <w:rsid w:val="0005083B"/>
    <w:rsid w:val="000529BE"/>
    <w:rsid w:val="00055380"/>
    <w:rsid w:val="000625BC"/>
    <w:rsid w:val="000631EF"/>
    <w:rsid w:val="00065510"/>
    <w:rsid w:val="00065B1E"/>
    <w:rsid w:val="00067136"/>
    <w:rsid w:val="00070DB4"/>
    <w:rsid w:val="00072011"/>
    <w:rsid w:val="000748A3"/>
    <w:rsid w:val="000762C5"/>
    <w:rsid w:val="00077548"/>
    <w:rsid w:val="00082036"/>
    <w:rsid w:val="00082EBD"/>
    <w:rsid w:val="00082EBE"/>
    <w:rsid w:val="000836FE"/>
    <w:rsid w:val="00086774"/>
    <w:rsid w:val="000867FC"/>
    <w:rsid w:val="00087A88"/>
    <w:rsid w:val="000910C4"/>
    <w:rsid w:val="00091EE9"/>
    <w:rsid w:val="0009270F"/>
    <w:rsid w:val="000933A0"/>
    <w:rsid w:val="00093FC3"/>
    <w:rsid w:val="00096FB0"/>
    <w:rsid w:val="000A2598"/>
    <w:rsid w:val="000A3B93"/>
    <w:rsid w:val="000A4CE2"/>
    <w:rsid w:val="000A551F"/>
    <w:rsid w:val="000A5F08"/>
    <w:rsid w:val="000A6987"/>
    <w:rsid w:val="000A6C7F"/>
    <w:rsid w:val="000B066B"/>
    <w:rsid w:val="000B0C97"/>
    <w:rsid w:val="000B2A2E"/>
    <w:rsid w:val="000B3CBC"/>
    <w:rsid w:val="000B7EEE"/>
    <w:rsid w:val="000C2710"/>
    <w:rsid w:val="000C2DDB"/>
    <w:rsid w:val="000C4E0F"/>
    <w:rsid w:val="000C6E80"/>
    <w:rsid w:val="000C7745"/>
    <w:rsid w:val="000D0715"/>
    <w:rsid w:val="000D0C58"/>
    <w:rsid w:val="000D0C9A"/>
    <w:rsid w:val="000D2774"/>
    <w:rsid w:val="000D2A05"/>
    <w:rsid w:val="000D4CF3"/>
    <w:rsid w:val="000D52CB"/>
    <w:rsid w:val="000D597D"/>
    <w:rsid w:val="000D5988"/>
    <w:rsid w:val="000D6C4F"/>
    <w:rsid w:val="000E02AD"/>
    <w:rsid w:val="000E2123"/>
    <w:rsid w:val="000E2ED7"/>
    <w:rsid w:val="000E5861"/>
    <w:rsid w:val="000E5974"/>
    <w:rsid w:val="000E7978"/>
    <w:rsid w:val="000F1688"/>
    <w:rsid w:val="000F40B6"/>
    <w:rsid w:val="000F5435"/>
    <w:rsid w:val="000F6A1D"/>
    <w:rsid w:val="000F6D76"/>
    <w:rsid w:val="000F7732"/>
    <w:rsid w:val="000F78B0"/>
    <w:rsid w:val="00100FDB"/>
    <w:rsid w:val="0010512A"/>
    <w:rsid w:val="00105CD5"/>
    <w:rsid w:val="00110FD5"/>
    <w:rsid w:val="00111AC6"/>
    <w:rsid w:val="00112748"/>
    <w:rsid w:val="0011450B"/>
    <w:rsid w:val="001145B3"/>
    <w:rsid w:val="00114C5E"/>
    <w:rsid w:val="00117D37"/>
    <w:rsid w:val="00120559"/>
    <w:rsid w:val="00123CA4"/>
    <w:rsid w:val="00126A40"/>
    <w:rsid w:val="00127860"/>
    <w:rsid w:val="001310C1"/>
    <w:rsid w:val="001315A6"/>
    <w:rsid w:val="00133C62"/>
    <w:rsid w:val="00134760"/>
    <w:rsid w:val="00135EC6"/>
    <w:rsid w:val="00135FF1"/>
    <w:rsid w:val="001405D4"/>
    <w:rsid w:val="00141BB3"/>
    <w:rsid w:val="00142A10"/>
    <w:rsid w:val="00142D51"/>
    <w:rsid w:val="001435E0"/>
    <w:rsid w:val="00145433"/>
    <w:rsid w:val="00151A42"/>
    <w:rsid w:val="00152180"/>
    <w:rsid w:val="001523B7"/>
    <w:rsid w:val="00153062"/>
    <w:rsid w:val="00154586"/>
    <w:rsid w:val="00154FAA"/>
    <w:rsid w:val="00155729"/>
    <w:rsid w:val="00157E90"/>
    <w:rsid w:val="0016017C"/>
    <w:rsid w:val="001623F4"/>
    <w:rsid w:val="0016312E"/>
    <w:rsid w:val="0016348B"/>
    <w:rsid w:val="00163F20"/>
    <w:rsid w:val="00164C62"/>
    <w:rsid w:val="00165152"/>
    <w:rsid w:val="00167559"/>
    <w:rsid w:val="00170132"/>
    <w:rsid w:val="00170279"/>
    <w:rsid w:val="001773D8"/>
    <w:rsid w:val="0018326F"/>
    <w:rsid w:val="0018740B"/>
    <w:rsid w:val="00190DFF"/>
    <w:rsid w:val="00191F3E"/>
    <w:rsid w:val="001923F5"/>
    <w:rsid w:val="00193122"/>
    <w:rsid w:val="00193C49"/>
    <w:rsid w:val="00197569"/>
    <w:rsid w:val="001A1CC0"/>
    <w:rsid w:val="001A2BE4"/>
    <w:rsid w:val="001A4C5D"/>
    <w:rsid w:val="001A61DC"/>
    <w:rsid w:val="001A6340"/>
    <w:rsid w:val="001A7D29"/>
    <w:rsid w:val="001B097F"/>
    <w:rsid w:val="001B2A24"/>
    <w:rsid w:val="001B2B80"/>
    <w:rsid w:val="001B3877"/>
    <w:rsid w:val="001B3929"/>
    <w:rsid w:val="001B4624"/>
    <w:rsid w:val="001B56D9"/>
    <w:rsid w:val="001B5728"/>
    <w:rsid w:val="001B6801"/>
    <w:rsid w:val="001B6FA7"/>
    <w:rsid w:val="001C0F87"/>
    <w:rsid w:val="001C23DD"/>
    <w:rsid w:val="001C52F8"/>
    <w:rsid w:val="001C65D1"/>
    <w:rsid w:val="001C7575"/>
    <w:rsid w:val="001D033C"/>
    <w:rsid w:val="001D059F"/>
    <w:rsid w:val="001D1165"/>
    <w:rsid w:val="001D2D0B"/>
    <w:rsid w:val="001E2440"/>
    <w:rsid w:val="001E3E34"/>
    <w:rsid w:val="001E7F76"/>
    <w:rsid w:val="001F179D"/>
    <w:rsid w:val="001F2BB7"/>
    <w:rsid w:val="001F6D08"/>
    <w:rsid w:val="001F750B"/>
    <w:rsid w:val="002020F0"/>
    <w:rsid w:val="00202DCC"/>
    <w:rsid w:val="00202FB2"/>
    <w:rsid w:val="0020795B"/>
    <w:rsid w:val="002118F2"/>
    <w:rsid w:val="002126A8"/>
    <w:rsid w:val="00213920"/>
    <w:rsid w:val="00213D8D"/>
    <w:rsid w:val="00214627"/>
    <w:rsid w:val="00214CB3"/>
    <w:rsid w:val="002156AA"/>
    <w:rsid w:val="00216A8C"/>
    <w:rsid w:val="00221D29"/>
    <w:rsid w:val="002229A2"/>
    <w:rsid w:val="00223470"/>
    <w:rsid w:val="002248CE"/>
    <w:rsid w:val="00226433"/>
    <w:rsid w:val="00226EF5"/>
    <w:rsid w:val="00230A2D"/>
    <w:rsid w:val="002319A7"/>
    <w:rsid w:val="002334F5"/>
    <w:rsid w:val="00237C96"/>
    <w:rsid w:val="002407AF"/>
    <w:rsid w:val="0024418E"/>
    <w:rsid w:val="00244CF9"/>
    <w:rsid w:val="00247ADE"/>
    <w:rsid w:val="002558B1"/>
    <w:rsid w:val="00256321"/>
    <w:rsid w:val="00256340"/>
    <w:rsid w:val="002576EE"/>
    <w:rsid w:val="00257956"/>
    <w:rsid w:val="002612D0"/>
    <w:rsid w:val="00262455"/>
    <w:rsid w:val="0026266B"/>
    <w:rsid w:val="00263729"/>
    <w:rsid w:val="0026452C"/>
    <w:rsid w:val="002708EE"/>
    <w:rsid w:val="00270973"/>
    <w:rsid w:val="0027368A"/>
    <w:rsid w:val="00273903"/>
    <w:rsid w:val="00273C11"/>
    <w:rsid w:val="00276C4B"/>
    <w:rsid w:val="002804AF"/>
    <w:rsid w:val="00283292"/>
    <w:rsid w:val="0028476C"/>
    <w:rsid w:val="002858C2"/>
    <w:rsid w:val="00286341"/>
    <w:rsid w:val="002871A2"/>
    <w:rsid w:val="00287CFF"/>
    <w:rsid w:val="00290530"/>
    <w:rsid w:val="00291614"/>
    <w:rsid w:val="002917CC"/>
    <w:rsid w:val="00294A57"/>
    <w:rsid w:val="00295166"/>
    <w:rsid w:val="002A0BBB"/>
    <w:rsid w:val="002A17A2"/>
    <w:rsid w:val="002A520D"/>
    <w:rsid w:val="002A63C5"/>
    <w:rsid w:val="002A670B"/>
    <w:rsid w:val="002A6ADF"/>
    <w:rsid w:val="002A7014"/>
    <w:rsid w:val="002B2136"/>
    <w:rsid w:val="002B375E"/>
    <w:rsid w:val="002B3DBE"/>
    <w:rsid w:val="002B4156"/>
    <w:rsid w:val="002B499B"/>
    <w:rsid w:val="002C04A8"/>
    <w:rsid w:val="002C0B87"/>
    <w:rsid w:val="002C2A7A"/>
    <w:rsid w:val="002C622E"/>
    <w:rsid w:val="002C6D49"/>
    <w:rsid w:val="002C71AC"/>
    <w:rsid w:val="002C7732"/>
    <w:rsid w:val="002C7B08"/>
    <w:rsid w:val="002D0505"/>
    <w:rsid w:val="002D1072"/>
    <w:rsid w:val="002D1E6A"/>
    <w:rsid w:val="002D4EF2"/>
    <w:rsid w:val="002D5E69"/>
    <w:rsid w:val="002D672A"/>
    <w:rsid w:val="002E06C6"/>
    <w:rsid w:val="002E0C5F"/>
    <w:rsid w:val="002E2A89"/>
    <w:rsid w:val="002E3DDC"/>
    <w:rsid w:val="002E6705"/>
    <w:rsid w:val="002E6866"/>
    <w:rsid w:val="002E736C"/>
    <w:rsid w:val="002F2083"/>
    <w:rsid w:val="002F6051"/>
    <w:rsid w:val="002F6529"/>
    <w:rsid w:val="002F7478"/>
    <w:rsid w:val="00300301"/>
    <w:rsid w:val="00302847"/>
    <w:rsid w:val="00302CE3"/>
    <w:rsid w:val="00303CDD"/>
    <w:rsid w:val="00303E35"/>
    <w:rsid w:val="0030429F"/>
    <w:rsid w:val="003137DB"/>
    <w:rsid w:val="00314317"/>
    <w:rsid w:val="0031556D"/>
    <w:rsid w:val="00315791"/>
    <w:rsid w:val="00315B1A"/>
    <w:rsid w:val="003163DA"/>
    <w:rsid w:val="0031732B"/>
    <w:rsid w:val="00317EAF"/>
    <w:rsid w:val="0032121F"/>
    <w:rsid w:val="003218D6"/>
    <w:rsid w:val="0032212D"/>
    <w:rsid w:val="0032320D"/>
    <w:rsid w:val="00324458"/>
    <w:rsid w:val="00324C4B"/>
    <w:rsid w:val="00330213"/>
    <w:rsid w:val="00330B59"/>
    <w:rsid w:val="00331778"/>
    <w:rsid w:val="0033209B"/>
    <w:rsid w:val="00333F5A"/>
    <w:rsid w:val="003352E9"/>
    <w:rsid w:val="00340961"/>
    <w:rsid w:val="003431A5"/>
    <w:rsid w:val="00350D45"/>
    <w:rsid w:val="00350EBD"/>
    <w:rsid w:val="0035114A"/>
    <w:rsid w:val="003517E7"/>
    <w:rsid w:val="00352F52"/>
    <w:rsid w:val="00353CFB"/>
    <w:rsid w:val="003543D4"/>
    <w:rsid w:val="00354511"/>
    <w:rsid w:val="0035655F"/>
    <w:rsid w:val="00356754"/>
    <w:rsid w:val="00356BBF"/>
    <w:rsid w:val="003606B8"/>
    <w:rsid w:val="00361F3B"/>
    <w:rsid w:val="0036431B"/>
    <w:rsid w:val="00364608"/>
    <w:rsid w:val="0036479A"/>
    <w:rsid w:val="003647C8"/>
    <w:rsid w:val="00365B6E"/>
    <w:rsid w:val="00365BC8"/>
    <w:rsid w:val="00366597"/>
    <w:rsid w:val="00366980"/>
    <w:rsid w:val="00367F86"/>
    <w:rsid w:val="003700B7"/>
    <w:rsid w:val="00371F9D"/>
    <w:rsid w:val="0037211D"/>
    <w:rsid w:val="003723EA"/>
    <w:rsid w:val="00374714"/>
    <w:rsid w:val="0037591E"/>
    <w:rsid w:val="003759FE"/>
    <w:rsid w:val="00375C2E"/>
    <w:rsid w:val="0037705B"/>
    <w:rsid w:val="00377188"/>
    <w:rsid w:val="003777B9"/>
    <w:rsid w:val="0038039F"/>
    <w:rsid w:val="003850A8"/>
    <w:rsid w:val="00386CE5"/>
    <w:rsid w:val="00387039"/>
    <w:rsid w:val="00390471"/>
    <w:rsid w:val="003923DF"/>
    <w:rsid w:val="00392EB4"/>
    <w:rsid w:val="00393BFB"/>
    <w:rsid w:val="0039571B"/>
    <w:rsid w:val="003A0C3E"/>
    <w:rsid w:val="003A1EA1"/>
    <w:rsid w:val="003A3273"/>
    <w:rsid w:val="003A345A"/>
    <w:rsid w:val="003A3ED6"/>
    <w:rsid w:val="003A45F4"/>
    <w:rsid w:val="003A5364"/>
    <w:rsid w:val="003A5C28"/>
    <w:rsid w:val="003A72D8"/>
    <w:rsid w:val="003A76F5"/>
    <w:rsid w:val="003B1FA3"/>
    <w:rsid w:val="003B2D29"/>
    <w:rsid w:val="003B53BF"/>
    <w:rsid w:val="003C23DC"/>
    <w:rsid w:val="003C2933"/>
    <w:rsid w:val="003C2B37"/>
    <w:rsid w:val="003C4E65"/>
    <w:rsid w:val="003C54B9"/>
    <w:rsid w:val="003D06FF"/>
    <w:rsid w:val="003D09D1"/>
    <w:rsid w:val="003D2B57"/>
    <w:rsid w:val="003D40C5"/>
    <w:rsid w:val="003D52C1"/>
    <w:rsid w:val="003D5E67"/>
    <w:rsid w:val="003D6E49"/>
    <w:rsid w:val="003D7933"/>
    <w:rsid w:val="003E083C"/>
    <w:rsid w:val="003E235E"/>
    <w:rsid w:val="003E4E68"/>
    <w:rsid w:val="003F0B6B"/>
    <w:rsid w:val="003F255B"/>
    <w:rsid w:val="003F4397"/>
    <w:rsid w:val="003F4C3E"/>
    <w:rsid w:val="003F4F18"/>
    <w:rsid w:val="003F5E7C"/>
    <w:rsid w:val="003F639A"/>
    <w:rsid w:val="0040041B"/>
    <w:rsid w:val="00403EC9"/>
    <w:rsid w:val="004043A7"/>
    <w:rsid w:val="00404EF0"/>
    <w:rsid w:val="00407848"/>
    <w:rsid w:val="004100E3"/>
    <w:rsid w:val="0041159B"/>
    <w:rsid w:val="0041186A"/>
    <w:rsid w:val="004125D1"/>
    <w:rsid w:val="004131E1"/>
    <w:rsid w:val="004157F4"/>
    <w:rsid w:val="00420186"/>
    <w:rsid w:val="0042289D"/>
    <w:rsid w:val="004240B8"/>
    <w:rsid w:val="00424C6F"/>
    <w:rsid w:val="004342B4"/>
    <w:rsid w:val="00434389"/>
    <w:rsid w:val="00434831"/>
    <w:rsid w:val="00434F03"/>
    <w:rsid w:val="00436595"/>
    <w:rsid w:val="004369A4"/>
    <w:rsid w:val="004418C2"/>
    <w:rsid w:val="00445E45"/>
    <w:rsid w:val="004462E5"/>
    <w:rsid w:val="0044683B"/>
    <w:rsid w:val="004471D1"/>
    <w:rsid w:val="0045056E"/>
    <w:rsid w:val="00451E57"/>
    <w:rsid w:val="00454425"/>
    <w:rsid w:val="00454D52"/>
    <w:rsid w:val="00455A7B"/>
    <w:rsid w:val="0045645A"/>
    <w:rsid w:val="00457A43"/>
    <w:rsid w:val="00460AD2"/>
    <w:rsid w:val="00461991"/>
    <w:rsid w:val="004621D7"/>
    <w:rsid w:val="004623A4"/>
    <w:rsid w:val="00464CD2"/>
    <w:rsid w:val="004722C0"/>
    <w:rsid w:val="0047384F"/>
    <w:rsid w:val="00474155"/>
    <w:rsid w:val="00474688"/>
    <w:rsid w:val="0048092B"/>
    <w:rsid w:val="00481774"/>
    <w:rsid w:val="004860C0"/>
    <w:rsid w:val="00487691"/>
    <w:rsid w:val="00487D0A"/>
    <w:rsid w:val="00490DBB"/>
    <w:rsid w:val="004938B9"/>
    <w:rsid w:val="0049470E"/>
    <w:rsid w:val="00494F9E"/>
    <w:rsid w:val="0049577F"/>
    <w:rsid w:val="004A0D16"/>
    <w:rsid w:val="004A2C56"/>
    <w:rsid w:val="004A3F44"/>
    <w:rsid w:val="004A5EE6"/>
    <w:rsid w:val="004A7685"/>
    <w:rsid w:val="004A7DB2"/>
    <w:rsid w:val="004B0735"/>
    <w:rsid w:val="004B1AE2"/>
    <w:rsid w:val="004B4F24"/>
    <w:rsid w:val="004B7B55"/>
    <w:rsid w:val="004C1ED6"/>
    <w:rsid w:val="004C6B89"/>
    <w:rsid w:val="004C6DCC"/>
    <w:rsid w:val="004C738F"/>
    <w:rsid w:val="004C7F58"/>
    <w:rsid w:val="004D2733"/>
    <w:rsid w:val="004D56C6"/>
    <w:rsid w:val="004D65FE"/>
    <w:rsid w:val="004D709E"/>
    <w:rsid w:val="004D7858"/>
    <w:rsid w:val="004E135B"/>
    <w:rsid w:val="004E1ED3"/>
    <w:rsid w:val="004E2E14"/>
    <w:rsid w:val="004E44F3"/>
    <w:rsid w:val="004E57DA"/>
    <w:rsid w:val="004E5C17"/>
    <w:rsid w:val="004E6D51"/>
    <w:rsid w:val="004F186B"/>
    <w:rsid w:val="004F40BE"/>
    <w:rsid w:val="004F427B"/>
    <w:rsid w:val="005030EE"/>
    <w:rsid w:val="00504A24"/>
    <w:rsid w:val="00505588"/>
    <w:rsid w:val="0050629F"/>
    <w:rsid w:val="00506ACC"/>
    <w:rsid w:val="0051237D"/>
    <w:rsid w:val="00512568"/>
    <w:rsid w:val="00515FAA"/>
    <w:rsid w:val="00517E91"/>
    <w:rsid w:val="0052528C"/>
    <w:rsid w:val="0052756F"/>
    <w:rsid w:val="00527607"/>
    <w:rsid w:val="00527DA2"/>
    <w:rsid w:val="00530140"/>
    <w:rsid w:val="005346D9"/>
    <w:rsid w:val="0053488D"/>
    <w:rsid w:val="005349C3"/>
    <w:rsid w:val="005349D9"/>
    <w:rsid w:val="00535F8B"/>
    <w:rsid w:val="00536572"/>
    <w:rsid w:val="0053721A"/>
    <w:rsid w:val="005404E1"/>
    <w:rsid w:val="0054150C"/>
    <w:rsid w:val="00542465"/>
    <w:rsid w:val="00542968"/>
    <w:rsid w:val="00545B8B"/>
    <w:rsid w:val="00550A3E"/>
    <w:rsid w:val="005518DB"/>
    <w:rsid w:val="0055242D"/>
    <w:rsid w:val="0055249F"/>
    <w:rsid w:val="0055354A"/>
    <w:rsid w:val="00557B25"/>
    <w:rsid w:val="00560598"/>
    <w:rsid w:val="00564508"/>
    <w:rsid w:val="00564DD8"/>
    <w:rsid w:val="00566D7B"/>
    <w:rsid w:val="00567122"/>
    <w:rsid w:val="005678D4"/>
    <w:rsid w:val="0057037E"/>
    <w:rsid w:val="00570433"/>
    <w:rsid w:val="00571161"/>
    <w:rsid w:val="00571D7D"/>
    <w:rsid w:val="005733B6"/>
    <w:rsid w:val="00573894"/>
    <w:rsid w:val="00574F0D"/>
    <w:rsid w:val="005811DF"/>
    <w:rsid w:val="00583849"/>
    <w:rsid w:val="0058506F"/>
    <w:rsid w:val="00586AE7"/>
    <w:rsid w:val="00587881"/>
    <w:rsid w:val="00592568"/>
    <w:rsid w:val="00593170"/>
    <w:rsid w:val="005938B1"/>
    <w:rsid w:val="00593ACC"/>
    <w:rsid w:val="00593E37"/>
    <w:rsid w:val="00595325"/>
    <w:rsid w:val="005960D9"/>
    <w:rsid w:val="005A1733"/>
    <w:rsid w:val="005A318B"/>
    <w:rsid w:val="005A73F2"/>
    <w:rsid w:val="005A75C1"/>
    <w:rsid w:val="005B1A20"/>
    <w:rsid w:val="005B2691"/>
    <w:rsid w:val="005B288B"/>
    <w:rsid w:val="005B2A21"/>
    <w:rsid w:val="005B2DE8"/>
    <w:rsid w:val="005B39E7"/>
    <w:rsid w:val="005B788A"/>
    <w:rsid w:val="005B7C3A"/>
    <w:rsid w:val="005B7EE7"/>
    <w:rsid w:val="005C0014"/>
    <w:rsid w:val="005C0280"/>
    <w:rsid w:val="005C1168"/>
    <w:rsid w:val="005C208C"/>
    <w:rsid w:val="005C3963"/>
    <w:rsid w:val="005C71A3"/>
    <w:rsid w:val="005D0188"/>
    <w:rsid w:val="005D0F9A"/>
    <w:rsid w:val="005D2124"/>
    <w:rsid w:val="005D2383"/>
    <w:rsid w:val="005D3B56"/>
    <w:rsid w:val="005D696F"/>
    <w:rsid w:val="005E2DC7"/>
    <w:rsid w:val="005E32A5"/>
    <w:rsid w:val="005E3A85"/>
    <w:rsid w:val="005E4144"/>
    <w:rsid w:val="005E61FC"/>
    <w:rsid w:val="005E6B48"/>
    <w:rsid w:val="005E6D6A"/>
    <w:rsid w:val="005E7272"/>
    <w:rsid w:val="005F12A1"/>
    <w:rsid w:val="005F28D3"/>
    <w:rsid w:val="005F3305"/>
    <w:rsid w:val="005F596E"/>
    <w:rsid w:val="005F5E45"/>
    <w:rsid w:val="00604303"/>
    <w:rsid w:val="0060488F"/>
    <w:rsid w:val="00610529"/>
    <w:rsid w:val="00611CB4"/>
    <w:rsid w:val="00612CB4"/>
    <w:rsid w:val="0061323B"/>
    <w:rsid w:val="0061505E"/>
    <w:rsid w:val="006154F2"/>
    <w:rsid w:val="006171E9"/>
    <w:rsid w:val="00617287"/>
    <w:rsid w:val="00623136"/>
    <w:rsid w:val="006240CE"/>
    <w:rsid w:val="006257BC"/>
    <w:rsid w:val="00625CBE"/>
    <w:rsid w:val="00627898"/>
    <w:rsid w:val="00630078"/>
    <w:rsid w:val="00630B64"/>
    <w:rsid w:val="00630F9C"/>
    <w:rsid w:val="00634741"/>
    <w:rsid w:val="0063496A"/>
    <w:rsid w:val="00635A04"/>
    <w:rsid w:val="0063645C"/>
    <w:rsid w:val="00636D17"/>
    <w:rsid w:val="006372AF"/>
    <w:rsid w:val="00637355"/>
    <w:rsid w:val="00641831"/>
    <w:rsid w:val="00643124"/>
    <w:rsid w:val="00645108"/>
    <w:rsid w:val="00647B4E"/>
    <w:rsid w:val="006502F7"/>
    <w:rsid w:val="006516D0"/>
    <w:rsid w:val="00651888"/>
    <w:rsid w:val="0065207A"/>
    <w:rsid w:val="00655702"/>
    <w:rsid w:val="006634AD"/>
    <w:rsid w:val="00663596"/>
    <w:rsid w:val="0066371D"/>
    <w:rsid w:val="006679C2"/>
    <w:rsid w:val="006711AB"/>
    <w:rsid w:val="00673144"/>
    <w:rsid w:val="006731F3"/>
    <w:rsid w:val="00675D2B"/>
    <w:rsid w:val="00677A85"/>
    <w:rsid w:val="006810E6"/>
    <w:rsid w:val="00681BA2"/>
    <w:rsid w:val="0068274C"/>
    <w:rsid w:val="00683267"/>
    <w:rsid w:val="00687FA9"/>
    <w:rsid w:val="0069024A"/>
    <w:rsid w:val="006903D0"/>
    <w:rsid w:val="00691BEA"/>
    <w:rsid w:val="006A09D0"/>
    <w:rsid w:val="006A0B9F"/>
    <w:rsid w:val="006A12F3"/>
    <w:rsid w:val="006A2BD9"/>
    <w:rsid w:val="006A45E7"/>
    <w:rsid w:val="006A556A"/>
    <w:rsid w:val="006A6D5D"/>
    <w:rsid w:val="006B09C0"/>
    <w:rsid w:val="006B26D6"/>
    <w:rsid w:val="006B2938"/>
    <w:rsid w:val="006B2B41"/>
    <w:rsid w:val="006B305A"/>
    <w:rsid w:val="006B6685"/>
    <w:rsid w:val="006B6EA2"/>
    <w:rsid w:val="006B77AA"/>
    <w:rsid w:val="006C1E70"/>
    <w:rsid w:val="006C1E85"/>
    <w:rsid w:val="006C26D8"/>
    <w:rsid w:val="006C2E98"/>
    <w:rsid w:val="006C483D"/>
    <w:rsid w:val="006D2B82"/>
    <w:rsid w:val="006E0587"/>
    <w:rsid w:val="006E06FC"/>
    <w:rsid w:val="006E10F8"/>
    <w:rsid w:val="006E6B43"/>
    <w:rsid w:val="006F00EC"/>
    <w:rsid w:val="006F0395"/>
    <w:rsid w:val="006F0B71"/>
    <w:rsid w:val="006F19F0"/>
    <w:rsid w:val="006F3FCC"/>
    <w:rsid w:val="006F4423"/>
    <w:rsid w:val="006F4ED0"/>
    <w:rsid w:val="006F732B"/>
    <w:rsid w:val="006F74FF"/>
    <w:rsid w:val="006F75AE"/>
    <w:rsid w:val="0070006E"/>
    <w:rsid w:val="00701605"/>
    <w:rsid w:val="0070315E"/>
    <w:rsid w:val="00706870"/>
    <w:rsid w:val="0070757E"/>
    <w:rsid w:val="0071078C"/>
    <w:rsid w:val="00711436"/>
    <w:rsid w:val="00716AE0"/>
    <w:rsid w:val="00717D8C"/>
    <w:rsid w:val="00720DB5"/>
    <w:rsid w:val="007244C9"/>
    <w:rsid w:val="007246AF"/>
    <w:rsid w:val="0072653E"/>
    <w:rsid w:val="00730704"/>
    <w:rsid w:val="00731C3E"/>
    <w:rsid w:val="00732A7A"/>
    <w:rsid w:val="007364DE"/>
    <w:rsid w:val="00736C6C"/>
    <w:rsid w:val="007469E0"/>
    <w:rsid w:val="00747C58"/>
    <w:rsid w:val="00747E0A"/>
    <w:rsid w:val="00751605"/>
    <w:rsid w:val="00753458"/>
    <w:rsid w:val="00753800"/>
    <w:rsid w:val="00755491"/>
    <w:rsid w:val="0075609C"/>
    <w:rsid w:val="0075720E"/>
    <w:rsid w:val="007638A3"/>
    <w:rsid w:val="00765991"/>
    <w:rsid w:val="00766DF0"/>
    <w:rsid w:val="00770F52"/>
    <w:rsid w:val="00771540"/>
    <w:rsid w:val="00772399"/>
    <w:rsid w:val="00776374"/>
    <w:rsid w:val="00776E10"/>
    <w:rsid w:val="007800B6"/>
    <w:rsid w:val="00780A0C"/>
    <w:rsid w:val="007819A4"/>
    <w:rsid w:val="00782F81"/>
    <w:rsid w:val="00783EAD"/>
    <w:rsid w:val="00784387"/>
    <w:rsid w:val="00785772"/>
    <w:rsid w:val="0079093D"/>
    <w:rsid w:val="00794327"/>
    <w:rsid w:val="007A084D"/>
    <w:rsid w:val="007A0BDA"/>
    <w:rsid w:val="007A20B1"/>
    <w:rsid w:val="007A2ADA"/>
    <w:rsid w:val="007B18BF"/>
    <w:rsid w:val="007B1FA6"/>
    <w:rsid w:val="007B21FA"/>
    <w:rsid w:val="007B34F6"/>
    <w:rsid w:val="007B3FE3"/>
    <w:rsid w:val="007B729E"/>
    <w:rsid w:val="007B7C6A"/>
    <w:rsid w:val="007C304B"/>
    <w:rsid w:val="007D138C"/>
    <w:rsid w:val="007D1691"/>
    <w:rsid w:val="007D2459"/>
    <w:rsid w:val="007D50AD"/>
    <w:rsid w:val="007E49BF"/>
    <w:rsid w:val="007E52C1"/>
    <w:rsid w:val="007F14ED"/>
    <w:rsid w:val="007F1BCB"/>
    <w:rsid w:val="007F53DE"/>
    <w:rsid w:val="00802F05"/>
    <w:rsid w:val="008041A1"/>
    <w:rsid w:val="00804759"/>
    <w:rsid w:val="008049FC"/>
    <w:rsid w:val="00805611"/>
    <w:rsid w:val="00806356"/>
    <w:rsid w:val="0080641B"/>
    <w:rsid w:val="0080675E"/>
    <w:rsid w:val="008107E0"/>
    <w:rsid w:val="008112E9"/>
    <w:rsid w:val="008138C7"/>
    <w:rsid w:val="008148D0"/>
    <w:rsid w:val="008149ED"/>
    <w:rsid w:val="00816AE1"/>
    <w:rsid w:val="008172D3"/>
    <w:rsid w:val="00821373"/>
    <w:rsid w:val="008222EE"/>
    <w:rsid w:val="00822A14"/>
    <w:rsid w:val="008230C6"/>
    <w:rsid w:val="00824C9A"/>
    <w:rsid w:val="00826579"/>
    <w:rsid w:val="00826604"/>
    <w:rsid w:val="00830026"/>
    <w:rsid w:val="008310AD"/>
    <w:rsid w:val="00832E83"/>
    <w:rsid w:val="00834E37"/>
    <w:rsid w:val="00837C83"/>
    <w:rsid w:val="0084141C"/>
    <w:rsid w:val="008422C0"/>
    <w:rsid w:val="0084247A"/>
    <w:rsid w:val="0084257E"/>
    <w:rsid w:val="008426F4"/>
    <w:rsid w:val="008435D3"/>
    <w:rsid w:val="00844A49"/>
    <w:rsid w:val="00844EB1"/>
    <w:rsid w:val="0084656E"/>
    <w:rsid w:val="00846AFB"/>
    <w:rsid w:val="00850214"/>
    <w:rsid w:val="00850A9D"/>
    <w:rsid w:val="00850ABD"/>
    <w:rsid w:val="00850FD5"/>
    <w:rsid w:val="00852C60"/>
    <w:rsid w:val="00854ADD"/>
    <w:rsid w:val="0085590E"/>
    <w:rsid w:val="008567BF"/>
    <w:rsid w:val="00856CC3"/>
    <w:rsid w:val="008570F0"/>
    <w:rsid w:val="0085733A"/>
    <w:rsid w:val="00860462"/>
    <w:rsid w:val="008642CE"/>
    <w:rsid w:val="008654A8"/>
    <w:rsid w:val="008655D6"/>
    <w:rsid w:val="008656E3"/>
    <w:rsid w:val="0086594E"/>
    <w:rsid w:val="00865CB1"/>
    <w:rsid w:val="00866518"/>
    <w:rsid w:val="008701AF"/>
    <w:rsid w:val="0087202F"/>
    <w:rsid w:val="00872D93"/>
    <w:rsid w:val="008739FC"/>
    <w:rsid w:val="0087411B"/>
    <w:rsid w:val="00874916"/>
    <w:rsid w:val="00882D29"/>
    <w:rsid w:val="00883D44"/>
    <w:rsid w:val="00885576"/>
    <w:rsid w:val="00886D6A"/>
    <w:rsid w:val="0089204C"/>
    <w:rsid w:val="008924F1"/>
    <w:rsid w:val="008954A4"/>
    <w:rsid w:val="00896915"/>
    <w:rsid w:val="008A5858"/>
    <w:rsid w:val="008A6EBB"/>
    <w:rsid w:val="008B109F"/>
    <w:rsid w:val="008B1E6E"/>
    <w:rsid w:val="008B2015"/>
    <w:rsid w:val="008B7777"/>
    <w:rsid w:val="008C1112"/>
    <w:rsid w:val="008C3D82"/>
    <w:rsid w:val="008C4012"/>
    <w:rsid w:val="008D0882"/>
    <w:rsid w:val="008D18F6"/>
    <w:rsid w:val="008D2EE4"/>
    <w:rsid w:val="008D6296"/>
    <w:rsid w:val="008E285A"/>
    <w:rsid w:val="008E5029"/>
    <w:rsid w:val="008F016F"/>
    <w:rsid w:val="008F24FA"/>
    <w:rsid w:val="008F52E1"/>
    <w:rsid w:val="008F6D38"/>
    <w:rsid w:val="008F6FC3"/>
    <w:rsid w:val="008F71EF"/>
    <w:rsid w:val="009038F3"/>
    <w:rsid w:val="00907C1F"/>
    <w:rsid w:val="009130D3"/>
    <w:rsid w:val="009131DD"/>
    <w:rsid w:val="00913AF6"/>
    <w:rsid w:val="00914AB7"/>
    <w:rsid w:val="00915DCF"/>
    <w:rsid w:val="00922591"/>
    <w:rsid w:val="009225BE"/>
    <w:rsid w:val="009240EB"/>
    <w:rsid w:val="00924E36"/>
    <w:rsid w:val="00925B4F"/>
    <w:rsid w:val="00931ABE"/>
    <w:rsid w:val="00932D24"/>
    <w:rsid w:val="0093511F"/>
    <w:rsid w:val="00935482"/>
    <w:rsid w:val="00937A67"/>
    <w:rsid w:val="00942A21"/>
    <w:rsid w:val="00943920"/>
    <w:rsid w:val="00943A05"/>
    <w:rsid w:val="00943DA6"/>
    <w:rsid w:val="0094475A"/>
    <w:rsid w:val="00946748"/>
    <w:rsid w:val="00947257"/>
    <w:rsid w:val="00950161"/>
    <w:rsid w:val="00951869"/>
    <w:rsid w:val="00951DB3"/>
    <w:rsid w:val="00954DDB"/>
    <w:rsid w:val="0095524F"/>
    <w:rsid w:val="00960BCB"/>
    <w:rsid w:val="00960FEB"/>
    <w:rsid w:val="00961A71"/>
    <w:rsid w:val="00964D59"/>
    <w:rsid w:val="00965737"/>
    <w:rsid w:val="00967AB6"/>
    <w:rsid w:val="009702FB"/>
    <w:rsid w:val="00973A5C"/>
    <w:rsid w:val="009744DD"/>
    <w:rsid w:val="00974EFA"/>
    <w:rsid w:val="009775F6"/>
    <w:rsid w:val="0098532D"/>
    <w:rsid w:val="009854A1"/>
    <w:rsid w:val="0099263C"/>
    <w:rsid w:val="009937A6"/>
    <w:rsid w:val="009A2B56"/>
    <w:rsid w:val="009A300F"/>
    <w:rsid w:val="009A46C7"/>
    <w:rsid w:val="009A6FB5"/>
    <w:rsid w:val="009B308C"/>
    <w:rsid w:val="009B7D9F"/>
    <w:rsid w:val="009C2000"/>
    <w:rsid w:val="009C6892"/>
    <w:rsid w:val="009C709B"/>
    <w:rsid w:val="009D099C"/>
    <w:rsid w:val="009D1DBB"/>
    <w:rsid w:val="009D5586"/>
    <w:rsid w:val="009E2C5C"/>
    <w:rsid w:val="009E3B21"/>
    <w:rsid w:val="009E58C6"/>
    <w:rsid w:val="009E7250"/>
    <w:rsid w:val="009E788D"/>
    <w:rsid w:val="009E7F2C"/>
    <w:rsid w:val="009F2B3A"/>
    <w:rsid w:val="009F4766"/>
    <w:rsid w:val="00A04E94"/>
    <w:rsid w:val="00A05851"/>
    <w:rsid w:val="00A10B1C"/>
    <w:rsid w:val="00A111DB"/>
    <w:rsid w:val="00A151D1"/>
    <w:rsid w:val="00A153A5"/>
    <w:rsid w:val="00A16A23"/>
    <w:rsid w:val="00A1707F"/>
    <w:rsid w:val="00A177FF"/>
    <w:rsid w:val="00A2183E"/>
    <w:rsid w:val="00A21F97"/>
    <w:rsid w:val="00A236EB"/>
    <w:rsid w:val="00A25961"/>
    <w:rsid w:val="00A26896"/>
    <w:rsid w:val="00A31701"/>
    <w:rsid w:val="00A31EEB"/>
    <w:rsid w:val="00A32306"/>
    <w:rsid w:val="00A32552"/>
    <w:rsid w:val="00A32796"/>
    <w:rsid w:val="00A33558"/>
    <w:rsid w:val="00A34BCB"/>
    <w:rsid w:val="00A35DA5"/>
    <w:rsid w:val="00A35DFC"/>
    <w:rsid w:val="00A3614F"/>
    <w:rsid w:val="00A3708E"/>
    <w:rsid w:val="00A37CAB"/>
    <w:rsid w:val="00A44C85"/>
    <w:rsid w:val="00A45B95"/>
    <w:rsid w:val="00A47A7D"/>
    <w:rsid w:val="00A47FFE"/>
    <w:rsid w:val="00A50116"/>
    <w:rsid w:val="00A50993"/>
    <w:rsid w:val="00A54284"/>
    <w:rsid w:val="00A5580F"/>
    <w:rsid w:val="00A55B8E"/>
    <w:rsid w:val="00A568D5"/>
    <w:rsid w:val="00A57475"/>
    <w:rsid w:val="00A57C86"/>
    <w:rsid w:val="00A60367"/>
    <w:rsid w:val="00A6357E"/>
    <w:rsid w:val="00A639E7"/>
    <w:rsid w:val="00A64182"/>
    <w:rsid w:val="00A67F52"/>
    <w:rsid w:val="00A716D9"/>
    <w:rsid w:val="00A7176B"/>
    <w:rsid w:val="00A718D7"/>
    <w:rsid w:val="00A71CED"/>
    <w:rsid w:val="00A75AAB"/>
    <w:rsid w:val="00A812F6"/>
    <w:rsid w:val="00A821D4"/>
    <w:rsid w:val="00A856B8"/>
    <w:rsid w:val="00A8637A"/>
    <w:rsid w:val="00A86F0C"/>
    <w:rsid w:val="00A902A2"/>
    <w:rsid w:val="00A94264"/>
    <w:rsid w:val="00A94E6E"/>
    <w:rsid w:val="00AA0822"/>
    <w:rsid w:val="00AA12B3"/>
    <w:rsid w:val="00AA13FB"/>
    <w:rsid w:val="00AA4D58"/>
    <w:rsid w:val="00AB11D3"/>
    <w:rsid w:val="00AB2238"/>
    <w:rsid w:val="00AB34C0"/>
    <w:rsid w:val="00AB4254"/>
    <w:rsid w:val="00AB7B17"/>
    <w:rsid w:val="00AC25E9"/>
    <w:rsid w:val="00AC69E7"/>
    <w:rsid w:val="00AD0301"/>
    <w:rsid w:val="00AD0E0C"/>
    <w:rsid w:val="00AD1B84"/>
    <w:rsid w:val="00AD4C14"/>
    <w:rsid w:val="00AD6281"/>
    <w:rsid w:val="00AD7858"/>
    <w:rsid w:val="00AE4D80"/>
    <w:rsid w:val="00AE54A5"/>
    <w:rsid w:val="00AE567A"/>
    <w:rsid w:val="00AF0814"/>
    <w:rsid w:val="00AF29B9"/>
    <w:rsid w:val="00AF2DF6"/>
    <w:rsid w:val="00AF3053"/>
    <w:rsid w:val="00AF4509"/>
    <w:rsid w:val="00AF4C97"/>
    <w:rsid w:val="00AF6831"/>
    <w:rsid w:val="00AF7FC8"/>
    <w:rsid w:val="00B004CA"/>
    <w:rsid w:val="00B01C7B"/>
    <w:rsid w:val="00B04057"/>
    <w:rsid w:val="00B04AAE"/>
    <w:rsid w:val="00B04ACC"/>
    <w:rsid w:val="00B11BCD"/>
    <w:rsid w:val="00B11DE2"/>
    <w:rsid w:val="00B200A8"/>
    <w:rsid w:val="00B20868"/>
    <w:rsid w:val="00B21389"/>
    <w:rsid w:val="00B23DFA"/>
    <w:rsid w:val="00B24FB9"/>
    <w:rsid w:val="00B27A96"/>
    <w:rsid w:val="00B27EB3"/>
    <w:rsid w:val="00B30E25"/>
    <w:rsid w:val="00B31D14"/>
    <w:rsid w:val="00B34BF1"/>
    <w:rsid w:val="00B34C66"/>
    <w:rsid w:val="00B354B5"/>
    <w:rsid w:val="00B35FF8"/>
    <w:rsid w:val="00B4741A"/>
    <w:rsid w:val="00B51343"/>
    <w:rsid w:val="00B52B50"/>
    <w:rsid w:val="00B5695C"/>
    <w:rsid w:val="00B57E86"/>
    <w:rsid w:val="00B61301"/>
    <w:rsid w:val="00B62686"/>
    <w:rsid w:val="00B62B5B"/>
    <w:rsid w:val="00B67229"/>
    <w:rsid w:val="00B67554"/>
    <w:rsid w:val="00B70788"/>
    <w:rsid w:val="00B70CD0"/>
    <w:rsid w:val="00B733EA"/>
    <w:rsid w:val="00B74DE8"/>
    <w:rsid w:val="00B757F3"/>
    <w:rsid w:val="00B7715F"/>
    <w:rsid w:val="00B80BE4"/>
    <w:rsid w:val="00B84A75"/>
    <w:rsid w:val="00B84D49"/>
    <w:rsid w:val="00B859C7"/>
    <w:rsid w:val="00B91EAF"/>
    <w:rsid w:val="00B9396A"/>
    <w:rsid w:val="00B941A0"/>
    <w:rsid w:val="00B94E9B"/>
    <w:rsid w:val="00BA14D2"/>
    <w:rsid w:val="00BA28CC"/>
    <w:rsid w:val="00BA2CA3"/>
    <w:rsid w:val="00BA3155"/>
    <w:rsid w:val="00BA34A1"/>
    <w:rsid w:val="00BA38F9"/>
    <w:rsid w:val="00BA39DE"/>
    <w:rsid w:val="00BA3FC9"/>
    <w:rsid w:val="00BA470A"/>
    <w:rsid w:val="00BB1EAD"/>
    <w:rsid w:val="00BB22F8"/>
    <w:rsid w:val="00BB2DA9"/>
    <w:rsid w:val="00BB3CCF"/>
    <w:rsid w:val="00BB413B"/>
    <w:rsid w:val="00BB51A1"/>
    <w:rsid w:val="00BB74DA"/>
    <w:rsid w:val="00BC3A69"/>
    <w:rsid w:val="00BC3E32"/>
    <w:rsid w:val="00BC5375"/>
    <w:rsid w:val="00BC6D5C"/>
    <w:rsid w:val="00BC6DFA"/>
    <w:rsid w:val="00BD098E"/>
    <w:rsid w:val="00BD3710"/>
    <w:rsid w:val="00BE0607"/>
    <w:rsid w:val="00BE2C19"/>
    <w:rsid w:val="00BE42CC"/>
    <w:rsid w:val="00BE4AFF"/>
    <w:rsid w:val="00BF24EB"/>
    <w:rsid w:val="00BF268C"/>
    <w:rsid w:val="00BF277B"/>
    <w:rsid w:val="00BF3112"/>
    <w:rsid w:val="00BF3658"/>
    <w:rsid w:val="00BF39C5"/>
    <w:rsid w:val="00BF41DA"/>
    <w:rsid w:val="00BF551E"/>
    <w:rsid w:val="00C0132E"/>
    <w:rsid w:val="00C013EB"/>
    <w:rsid w:val="00C02FD4"/>
    <w:rsid w:val="00C0326F"/>
    <w:rsid w:val="00C046EC"/>
    <w:rsid w:val="00C04E5E"/>
    <w:rsid w:val="00C1145E"/>
    <w:rsid w:val="00C11896"/>
    <w:rsid w:val="00C11A72"/>
    <w:rsid w:val="00C11CDF"/>
    <w:rsid w:val="00C12A04"/>
    <w:rsid w:val="00C13917"/>
    <w:rsid w:val="00C1433E"/>
    <w:rsid w:val="00C1475A"/>
    <w:rsid w:val="00C14A78"/>
    <w:rsid w:val="00C15548"/>
    <w:rsid w:val="00C17D00"/>
    <w:rsid w:val="00C201C6"/>
    <w:rsid w:val="00C20DB4"/>
    <w:rsid w:val="00C20F5D"/>
    <w:rsid w:val="00C20FEA"/>
    <w:rsid w:val="00C22BDA"/>
    <w:rsid w:val="00C23188"/>
    <w:rsid w:val="00C23601"/>
    <w:rsid w:val="00C26BC6"/>
    <w:rsid w:val="00C32A7E"/>
    <w:rsid w:val="00C40A07"/>
    <w:rsid w:val="00C44F46"/>
    <w:rsid w:val="00C460BC"/>
    <w:rsid w:val="00C4685E"/>
    <w:rsid w:val="00C477E5"/>
    <w:rsid w:val="00C4796B"/>
    <w:rsid w:val="00C50098"/>
    <w:rsid w:val="00C51518"/>
    <w:rsid w:val="00C528BB"/>
    <w:rsid w:val="00C52B4B"/>
    <w:rsid w:val="00C62133"/>
    <w:rsid w:val="00C625C4"/>
    <w:rsid w:val="00C62A78"/>
    <w:rsid w:val="00C63F30"/>
    <w:rsid w:val="00C67024"/>
    <w:rsid w:val="00C67FD3"/>
    <w:rsid w:val="00C72C87"/>
    <w:rsid w:val="00C73195"/>
    <w:rsid w:val="00C73557"/>
    <w:rsid w:val="00C73C47"/>
    <w:rsid w:val="00C743BC"/>
    <w:rsid w:val="00C833C4"/>
    <w:rsid w:val="00C85B58"/>
    <w:rsid w:val="00C8761D"/>
    <w:rsid w:val="00C909C4"/>
    <w:rsid w:val="00C918BE"/>
    <w:rsid w:val="00C91D03"/>
    <w:rsid w:val="00C93271"/>
    <w:rsid w:val="00C9611B"/>
    <w:rsid w:val="00C96A46"/>
    <w:rsid w:val="00C96BC5"/>
    <w:rsid w:val="00C970E5"/>
    <w:rsid w:val="00CA1DD8"/>
    <w:rsid w:val="00CA346D"/>
    <w:rsid w:val="00CA49FE"/>
    <w:rsid w:val="00CA7165"/>
    <w:rsid w:val="00CB0659"/>
    <w:rsid w:val="00CB0CD7"/>
    <w:rsid w:val="00CB1BE5"/>
    <w:rsid w:val="00CB1F39"/>
    <w:rsid w:val="00CB3E3C"/>
    <w:rsid w:val="00CB4AD5"/>
    <w:rsid w:val="00CB4CE5"/>
    <w:rsid w:val="00CB5EEF"/>
    <w:rsid w:val="00CC43A3"/>
    <w:rsid w:val="00CC6151"/>
    <w:rsid w:val="00CC65A7"/>
    <w:rsid w:val="00CC7C7E"/>
    <w:rsid w:val="00CD44C2"/>
    <w:rsid w:val="00CD463A"/>
    <w:rsid w:val="00CD55CC"/>
    <w:rsid w:val="00CD5B1E"/>
    <w:rsid w:val="00CE0257"/>
    <w:rsid w:val="00CE0BC5"/>
    <w:rsid w:val="00CE2909"/>
    <w:rsid w:val="00CE3571"/>
    <w:rsid w:val="00CF05D6"/>
    <w:rsid w:val="00CF2149"/>
    <w:rsid w:val="00CF3B28"/>
    <w:rsid w:val="00CF571F"/>
    <w:rsid w:val="00D003FA"/>
    <w:rsid w:val="00D00B56"/>
    <w:rsid w:val="00D016C0"/>
    <w:rsid w:val="00D01A38"/>
    <w:rsid w:val="00D05561"/>
    <w:rsid w:val="00D1083D"/>
    <w:rsid w:val="00D1153F"/>
    <w:rsid w:val="00D11909"/>
    <w:rsid w:val="00D1346D"/>
    <w:rsid w:val="00D1399F"/>
    <w:rsid w:val="00D145E4"/>
    <w:rsid w:val="00D14E0E"/>
    <w:rsid w:val="00D16334"/>
    <w:rsid w:val="00D16657"/>
    <w:rsid w:val="00D166A8"/>
    <w:rsid w:val="00D17AD4"/>
    <w:rsid w:val="00D20FAE"/>
    <w:rsid w:val="00D218AA"/>
    <w:rsid w:val="00D21D06"/>
    <w:rsid w:val="00D246B9"/>
    <w:rsid w:val="00D2472E"/>
    <w:rsid w:val="00D25A03"/>
    <w:rsid w:val="00D26927"/>
    <w:rsid w:val="00D3114E"/>
    <w:rsid w:val="00D312F8"/>
    <w:rsid w:val="00D31D5F"/>
    <w:rsid w:val="00D3301E"/>
    <w:rsid w:val="00D34A54"/>
    <w:rsid w:val="00D34D23"/>
    <w:rsid w:val="00D37895"/>
    <w:rsid w:val="00D404A4"/>
    <w:rsid w:val="00D40F2D"/>
    <w:rsid w:val="00D427B4"/>
    <w:rsid w:val="00D428B2"/>
    <w:rsid w:val="00D45166"/>
    <w:rsid w:val="00D45D25"/>
    <w:rsid w:val="00D45EB8"/>
    <w:rsid w:val="00D471C7"/>
    <w:rsid w:val="00D50F79"/>
    <w:rsid w:val="00D51F8D"/>
    <w:rsid w:val="00D52CB6"/>
    <w:rsid w:val="00D57FFE"/>
    <w:rsid w:val="00D6264D"/>
    <w:rsid w:val="00D67203"/>
    <w:rsid w:val="00D706BB"/>
    <w:rsid w:val="00D77A5E"/>
    <w:rsid w:val="00D80C8D"/>
    <w:rsid w:val="00D84358"/>
    <w:rsid w:val="00D9155C"/>
    <w:rsid w:val="00D91B1D"/>
    <w:rsid w:val="00D957DD"/>
    <w:rsid w:val="00D95C35"/>
    <w:rsid w:val="00D9682C"/>
    <w:rsid w:val="00DA1C27"/>
    <w:rsid w:val="00DA2195"/>
    <w:rsid w:val="00DA38AC"/>
    <w:rsid w:val="00DA47B2"/>
    <w:rsid w:val="00DA56A9"/>
    <w:rsid w:val="00DA5C57"/>
    <w:rsid w:val="00DA620C"/>
    <w:rsid w:val="00DA6F16"/>
    <w:rsid w:val="00DB1376"/>
    <w:rsid w:val="00DB1B77"/>
    <w:rsid w:val="00DB1E54"/>
    <w:rsid w:val="00DB3F41"/>
    <w:rsid w:val="00DC043A"/>
    <w:rsid w:val="00DC11D3"/>
    <w:rsid w:val="00DC1B70"/>
    <w:rsid w:val="00DC6EEC"/>
    <w:rsid w:val="00DD04B2"/>
    <w:rsid w:val="00DD0858"/>
    <w:rsid w:val="00DD186E"/>
    <w:rsid w:val="00DD249C"/>
    <w:rsid w:val="00DD3202"/>
    <w:rsid w:val="00DD476B"/>
    <w:rsid w:val="00DD75C9"/>
    <w:rsid w:val="00DE1178"/>
    <w:rsid w:val="00DE7FD8"/>
    <w:rsid w:val="00DF1562"/>
    <w:rsid w:val="00DF1E5A"/>
    <w:rsid w:val="00DF21C4"/>
    <w:rsid w:val="00DF2559"/>
    <w:rsid w:val="00DF380D"/>
    <w:rsid w:val="00DF61C0"/>
    <w:rsid w:val="00DF6F4F"/>
    <w:rsid w:val="00E03D55"/>
    <w:rsid w:val="00E04178"/>
    <w:rsid w:val="00E0509C"/>
    <w:rsid w:val="00E1206F"/>
    <w:rsid w:val="00E12FC3"/>
    <w:rsid w:val="00E16383"/>
    <w:rsid w:val="00E1766B"/>
    <w:rsid w:val="00E206A3"/>
    <w:rsid w:val="00E215B6"/>
    <w:rsid w:val="00E235F2"/>
    <w:rsid w:val="00E2611D"/>
    <w:rsid w:val="00E262F7"/>
    <w:rsid w:val="00E26337"/>
    <w:rsid w:val="00E276CD"/>
    <w:rsid w:val="00E27E9A"/>
    <w:rsid w:val="00E3071C"/>
    <w:rsid w:val="00E32181"/>
    <w:rsid w:val="00E35E94"/>
    <w:rsid w:val="00E37AB2"/>
    <w:rsid w:val="00E40383"/>
    <w:rsid w:val="00E42580"/>
    <w:rsid w:val="00E42583"/>
    <w:rsid w:val="00E43DC9"/>
    <w:rsid w:val="00E45EE5"/>
    <w:rsid w:val="00E46EA6"/>
    <w:rsid w:val="00E46ECA"/>
    <w:rsid w:val="00E471CA"/>
    <w:rsid w:val="00E54707"/>
    <w:rsid w:val="00E54A42"/>
    <w:rsid w:val="00E557DF"/>
    <w:rsid w:val="00E5600D"/>
    <w:rsid w:val="00E57521"/>
    <w:rsid w:val="00E600BC"/>
    <w:rsid w:val="00E61064"/>
    <w:rsid w:val="00E611A6"/>
    <w:rsid w:val="00E61A03"/>
    <w:rsid w:val="00E6486C"/>
    <w:rsid w:val="00E66500"/>
    <w:rsid w:val="00E66813"/>
    <w:rsid w:val="00E66AAE"/>
    <w:rsid w:val="00E6797B"/>
    <w:rsid w:val="00E70A43"/>
    <w:rsid w:val="00E717EC"/>
    <w:rsid w:val="00E722F5"/>
    <w:rsid w:val="00E72664"/>
    <w:rsid w:val="00E72BC2"/>
    <w:rsid w:val="00E75983"/>
    <w:rsid w:val="00E7706F"/>
    <w:rsid w:val="00E80F39"/>
    <w:rsid w:val="00E816DB"/>
    <w:rsid w:val="00E81D67"/>
    <w:rsid w:val="00E82D33"/>
    <w:rsid w:val="00E83F2E"/>
    <w:rsid w:val="00E85F94"/>
    <w:rsid w:val="00E9275A"/>
    <w:rsid w:val="00E96825"/>
    <w:rsid w:val="00E976EE"/>
    <w:rsid w:val="00EA0772"/>
    <w:rsid w:val="00EA1184"/>
    <w:rsid w:val="00EA1204"/>
    <w:rsid w:val="00EA258B"/>
    <w:rsid w:val="00EA6E52"/>
    <w:rsid w:val="00EB3814"/>
    <w:rsid w:val="00EB55F1"/>
    <w:rsid w:val="00EB5617"/>
    <w:rsid w:val="00EB77ED"/>
    <w:rsid w:val="00EB78FA"/>
    <w:rsid w:val="00EC31B2"/>
    <w:rsid w:val="00EC32BB"/>
    <w:rsid w:val="00EC4478"/>
    <w:rsid w:val="00EC5B2B"/>
    <w:rsid w:val="00EC6F74"/>
    <w:rsid w:val="00EC7BC3"/>
    <w:rsid w:val="00ED331F"/>
    <w:rsid w:val="00ED409C"/>
    <w:rsid w:val="00ED6223"/>
    <w:rsid w:val="00ED6B16"/>
    <w:rsid w:val="00EE2622"/>
    <w:rsid w:val="00EE3055"/>
    <w:rsid w:val="00EE3EAD"/>
    <w:rsid w:val="00EE7557"/>
    <w:rsid w:val="00EF3FDB"/>
    <w:rsid w:val="00EF4502"/>
    <w:rsid w:val="00EF5D1F"/>
    <w:rsid w:val="00EF6BC1"/>
    <w:rsid w:val="00EF6DE6"/>
    <w:rsid w:val="00EF7BF3"/>
    <w:rsid w:val="00F031A1"/>
    <w:rsid w:val="00F03FB6"/>
    <w:rsid w:val="00F047F7"/>
    <w:rsid w:val="00F04A3B"/>
    <w:rsid w:val="00F0513A"/>
    <w:rsid w:val="00F058F5"/>
    <w:rsid w:val="00F059E0"/>
    <w:rsid w:val="00F06A14"/>
    <w:rsid w:val="00F074BA"/>
    <w:rsid w:val="00F10D5E"/>
    <w:rsid w:val="00F12FE4"/>
    <w:rsid w:val="00F15611"/>
    <w:rsid w:val="00F156F9"/>
    <w:rsid w:val="00F17356"/>
    <w:rsid w:val="00F20B32"/>
    <w:rsid w:val="00F226EF"/>
    <w:rsid w:val="00F23154"/>
    <w:rsid w:val="00F24E2F"/>
    <w:rsid w:val="00F25080"/>
    <w:rsid w:val="00F26D1A"/>
    <w:rsid w:val="00F272C9"/>
    <w:rsid w:val="00F31414"/>
    <w:rsid w:val="00F32008"/>
    <w:rsid w:val="00F32F8E"/>
    <w:rsid w:val="00F33AFD"/>
    <w:rsid w:val="00F34102"/>
    <w:rsid w:val="00F41C2C"/>
    <w:rsid w:val="00F42B58"/>
    <w:rsid w:val="00F445D1"/>
    <w:rsid w:val="00F4545B"/>
    <w:rsid w:val="00F45B4E"/>
    <w:rsid w:val="00F46DB2"/>
    <w:rsid w:val="00F47EC5"/>
    <w:rsid w:val="00F47F1A"/>
    <w:rsid w:val="00F47F7F"/>
    <w:rsid w:val="00F5009B"/>
    <w:rsid w:val="00F517B0"/>
    <w:rsid w:val="00F51AAD"/>
    <w:rsid w:val="00F51B67"/>
    <w:rsid w:val="00F52517"/>
    <w:rsid w:val="00F52A92"/>
    <w:rsid w:val="00F543FB"/>
    <w:rsid w:val="00F630DF"/>
    <w:rsid w:val="00F64B38"/>
    <w:rsid w:val="00F64E80"/>
    <w:rsid w:val="00F66411"/>
    <w:rsid w:val="00F675E2"/>
    <w:rsid w:val="00F67C32"/>
    <w:rsid w:val="00F7066B"/>
    <w:rsid w:val="00F70C62"/>
    <w:rsid w:val="00F717EC"/>
    <w:rsid w:val="00F77388"/>
    <w:rsid w:val="00F818D7"/>
    <w:rsid w:val="00F85CC5"/>
    <w:rsid w:val="00F9172A"/>
    <w:rsid w:val="00F9265D"/>
    <w:rsid w:val="00F93C05"/>
    <w:rsid w:val="00F93F34"/>
    <w:rsid w:val="00F94D0C"/>
    <w:rsid w:val="00F96AE4"/>
    <w:rsid w:val="00F97BDE"/>
    <w:rsid w:val="00FA102E"/>
    <w:rsid w:val="00FA33D8"/>
    <w:rsid w:val="00FA3467"/>
    <w:rsid w:val="00FA3D07"/>
    <w:rsid w:val="00FA583C"/>
    <w:rsid w:val="00FB1785"/>
    <w:rsid w:val="00FB3A5E"/>
    <w:rsid w:val="00FB6448"/>
    <w:rsid w:val="00FC1E04"/>
    <w:rsid w:val="00FC1F5E"/>
    <w:rsid w:val="00FC369E"/>
    <w:rsid w:val="00FC51C4"/>
    <w:rsid w:val="00FC57DC"/>
    <w:rsid w:val="00FC672B"/>
    <w:rsid w:val="00FD04A8"/>
    <w:rsid w:val="00FD6F19"/>
    <w:rsid w:val="00FD745E"/>
    <w:rsid w:val="00FE2B3A"/>
    <w:rsid w:val="00FE2FBC"/>
    <w:rsid w:val="00FE3B5B"/>
    <w:rsid w:val="00FE6C58"/>
    <w:rsid w:val="00FE78C1"/>
    <w:rsid w:val="00FE7AC0"/>
    <w:rsid w:val="00FF1036"/>
    <w:rsid w:val="00FF163B"/>
    <w:rsid w:val="00FF2154"/>
    <w:rsid w:val="00FF499A"/>
    <w:rsid w:val="00FF49D9"/>
    <w:rsid w:val="00FF4E3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martTagType w:namespaceuri="isiresearchsoft-com/cwyw" w:name="citation"/>
  <w:shapeDefaults>
    <o:shapedefaults v:ext="edit" spidmax="8193">
      <o:colormru v:ext="edit" colors="#339f33,#5f497a"/>
    </o:shapedefaults>
    <o:shapelayout v:ext="edit">
      <o:idmap v:ext="edit" data="1"/>
      <o:rules v:ext="edit">
        <o:r id="V:Rule13" type="connector" idref="#_x0000_s1050"/>
        <o:r id="V:Rule14" type="connector" idref="#_x0000_s1042"/>
        <o:r id="V:Rule15" type="connector" idref="#_x0000_s1051"/>
        <o:r id="V:Rule16" type="connector" idref="#_x0000_s1032"/>
        <o:r id="V:Rule17" type="connector" idref="#_x0000_s1031"/>
        <o:r id="V:Rule18" type="connector" idref="#_x0000_s1033"/>
        <o:r id="V:Rule19" type="connector" idref="#_x0000_s1053"/>
        <o:r id="V:Rule20" type="connector" idref="#_x0000_s1041"/>
        <o:r id="V:Rule21" type="connector" idref="#_x0000_s1049"/>
        <o:r id="V:Rule22" type="connector" idref="#_x0000_s1054"/>
        <o:r id="V:Rule23" type="connector" idref="#_x0000_s1052"/>
        <o:r id="V:Rule24" type="connector" idref="#_x0000_s104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annotation reference" w:uiPriority="0"/>
    <w:lsdException w:name="Title" w:semiHidden="0" w:unhideWhenUsed="0" w:qFormat="1"/>
    <w:lsdException w:name="Default Paragraph Font" w:uiPriority="1"/>
    <w:lsdException w:name="Body Text" w:uiPriority="0"/>
    <w:lsdException w:name="Subtitle" w:semiHidden="0" w:uiPriority="11" w:unhideWhenUsed="0" w:qFormat="1"/>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5E6B48"/>
    <w:pPr>
      <w:spacing w:after="120" w:line="360" w:lineRule="auto"/>
      <w:jc w:val="both"/>
    </w:pPr>
    <w:rPr>
      <w:rFonts w:ascii="Century Gothic" w:hAnsi="Century Gothic"/>
      <w:sz w:val="22"/>
      <w:szCs w:val="22"/>
      <w:lang w:eastAsia="en-US"/>
    </w:rPr>
  </w:style>
  <w:style w:type="paragraph" w:styleId="Heading1">
    <w:name w:val="heading 1"/>
    <w:next w:val="Normal"/>
    <w:link w:val="Heading1Char"/>
    <w:uiPriority w:val="99"/>
    <w:qFormat/>
    <w:rsid w:val="00DD186E"/>
    <w:pPr>
      <w:keepNext/>
      <w:numPr>
        <w:numId w:val="35"/>
      </w:numPr>
      <w:spacing w:before="240" w:after="240" w:line="276" w:lineRule="auto"/>
      <w:outlineLvl w:val="0"/>
    </w:pPr>
    <w:rPr>
      <w:rFonts w:ascii="Century Gothic" w:eastAsia="Times New Roman" w:hAnsi="Century Gothic"/>
      <w:b/>
      <w:bCs/>
      <w:color w:val="07601F"/>
      <w:kern w:val="32"/>
      <w:sz w:val="32"/>
      <w:szCs w:val="32"/>
      <w:lang w:eastAsia="en-US"/>
    </w:rPr>
  </w:style>
  <w:style w:type="paragraph" w:styleId="Heading2">
    <w:name w:val="heading 2"/>
    <w:basedOn w:val="Heading1"/>
    <w:next w:val="Normal"/>
    <w:link w:val="Heading2Char"/>
    <w:autoRedefine/>
    <w:uiPriority w:val="99"/>
    <w:qFormat/>
    <w:rsid w:val="006810E6"/>
    <w:pPr>
      <w:numPr>
        <w:ilvl w:val="1"/>
      </w:numPr>
      <w:spacing w:before="200" w:after="200" w:line="240" w:lineRule="auto"/>
      <w:jc w:val="both"/>
      <w:outlineLvl w:val="1"/>
    </w:pPr>
    <w:rPr>
      <w:iCs/>
      <w:color w:val="076028"/>
      <w:sz w:val="28"/>
      <w:szCs w:val="28"/>
    </w:rPr>
  </w:style>
  <w:style w:type="paragraph" w:styleId="Heading3">
    <w:name w:val="heading 3"/>
    <w:basedOn w:val="Heading2"/>
    <w:next w:val="Normal"/>
    <w:link w:val="Heading3Char"/>
    <w:uiPriority w:val="99"/>
    <w:unhideWhenUsed/>
    <w:qFormat/>
    <w:rsid w:val="00D00B56"/>
    <w:pPr>
      <w:numPr>
        <w:ilvl w:val="0"/>
        <w:numId w:val="0"/>
      </w:numPr>
      <w:outlineLvl w:val="2"/>
    </w:pPr>
    <w:rPr>
      <w:b w:val="0"/>
      <w:bCs w:val="0"/>
      <w:sz w:val="24"/>
      <w:szCs w:val="26"/>
    </w:rPr>
  </w:style>
  <w:style w:type="paragraph" w:styleId="Heading4">
    <w:name w:val="heading 4"/>
    <w:basedOn w:val="Heading3"/>
    <w:next w:val="Normal"/>
    <w:link w:val="Heading4Char"/>
    <w:uiPriority w:val="99"/>
    <w:unhideWhenUsed/>
    <w:qFormat/>
    <w:rsid w:val="00366597"/>
    <w:pPr>
      <w:numPr>
        <w:ilvl w:val="3"/>
      </w:numPr>
      <w:spacing w:before="240" w:after="60"/>
      <w:outlineLvl w:val="3"/>
    </w:pPr>
    <w:rPr>
      <w:b/>
      <w:bCs/>
      <w:color w:val="000000"/>
      <w:szCs w:val="28"/>
    </w:rPr>
  </w:style>
  <w:style w:type="paragraph" w:styleId="Heading5">
    <w:name w:val="heading 5"/>
    <w:basedOn w:val="Normal"/>
    <w:next w:val="Normal"/>
    <w:link w:val="Heading5Char"/>
    <w:uiPriority w:val="9"/>
    <w:unhideWhenUsed/>
    <w:rsid w:val="00257956"/>
    <w:pPr>
      <w:keepNext/>
      <w:keepLines/>
      <w:numPr>
        <w:ilvl w:val="4"/>
        <w:numId w:val="35"/>
      </w:numPr>
      <w:spacing w:before="40" w:after="0" w:line="259" w:lineRule="auto"/>
      <w:jc w:val="left"/>
      <w:outlineLvl w:val="4"/>
    </w:pPr>
    <w:rPr>
      <w:rFonts w:ascii="Cambria" w:eastAsia="Times New Roman" w:hAnsi="Cambria"/>
      <w:color w:val="365F91"/>
    </w:rPr>
  </w:style>
  <w:style w:type="paragraph" w:styleId="Heading6">
    <w:name w:val="heading 6"/>
    <w:basedOn w:val="Normal"/>
    <w:next w:val="Normal"/>
    <w:link w:val="Heading6Char"/>
    <w:uiPriority w:val="9"/>
    <w:unhideWhenUsed/>
    <w:qFormat/>
    <w:rsid w:val="001C7575"/>
    <w:pPr>
      <w:numPr>
        <w:ilvl w:val="5"/>
        <w:numId w:val="35"/>
      </w:numPr>
      <w:spacing w:before="240" w:after="60"/>
      <w:outlineLvl w:val="5"/>
    </w:pPr>
    <w:rPr>
      <w:rFonts w:ascii="Calibri" w:eastAsia="Times New Roman" w:hAnsi="Calibri"/>
      <w:b/>
      <w:bCs/>
    </w:rPr>
  </w:style>
  <w:style w:type="paragraph" w:styleId="Heading7">
    <w:name w:val="heading 7"/>
    <w:basedOn w:val="Normal"/>
    <w:next w:val="Normal"/>
    <w:link w:val="Heading7Char"/>
    <w:uiPriority w:val="9"/>
    <w:semiHidden/>
    <w:unhideWhenUsed/>
    <w:qFormat/>
    <w:rsid w:val="00E42583"/>
    <w:pPr>
      <w:keepNext/>
      <w:keepLines/>
      <w:numPr>
        <w:ilvl w:val="6"/>
        <w:numId w:val="35"/>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42583"/>
    <w:pPr>
      <w:keepNext/>
      <w:keepLines/>
      <w:numPr>
        <w:ilvl w:val="7"/>
        <w:numId w:val="35"/>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42583"/>
    <w:pPr>
      <w:keepNext/>
      <w:keepLines/>
      <w:numPr>
        <w:ilvl w:val="8"/>
        <w:numId w:val="3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6810E6"/>
    <w:rPr>
      <w:rFonts w:ascii="Century Gothic" w:eastAsia="Times New Roman" w:hAnsi="Century Gothic"/>
      <w:b/>
      <w:bCs/>
      <w:iCs/>
      <w:color w:val="076028"/>
      <w:kern w:val="32"/>
      <w:sz w:val="28"/>
      <w:szCs w:val="28"/>
      <w:lang w:eastAsia="en-US"/>
    </w:rPr>
  </w:style>
  <w:style w:type="character" w:customStyle="1" w:styleId="Heading1Char">
    <w:name w:val="Heading 1 Char"/>
    <w:basedOn w:val="DefaultParagraphFont"/>
    <w:link w:val="Heading1"/>
    <w:uiPriority w:val="99"/>
    <w:rsid w:val="00DD186E"/>
    <w:rPr>
      <w:rFonts w:ascii="Century Gothic" w:eastAsia="Times New Roman" w:hAnsi="Century Gothic"/>
      <w:b/>
      <w:bCs/>
      <w:color w:val="07601F"/>
      <w:kern w:val="32"/>
      <w:sz w:val="32"/>
      <w:szCs w:val="32"/>
      <w:lang w:eastAsia="en-US"/>
    </w:rPr>
  </w:style>
  <w:style w:type="character" w:customStyle="1" w:styleId="Heading3Char">
    <w:name w:val="Heading 3 Char"/>
    <w:basedOn w:val="DefaultParagraphFont"/>
    <w:link w:val="Heading3"/>
    <w:uiPriority w:val="99"/>
    <w:rsid w:val="00D57FFE"/>
    <w:rPr>
      <w:rFonts w:ascii="Century Gothic" w:eastAsia="Times New Roman" w:hAnsi="Century Gothic"/>
      <w:iCs/>
      <w:color w:val="076028"/>
      <w:kern w:val="32"/>
      <w:sz w:val="24"/>
      <w:szCs w:val="26"/>
      <w:lang w:eastAsia="en-US"/>
    </w:rPr>
  </w:style>
  <w:style w:type="character" w:customStyle="1" w:styleId="Heading4Char">
    <w:name w:val="Heading 4 Char"/>
    <w:basedOn w:val="DefaultParagraphFont"/>
    <w:link w:val="Heading4"/>
    <w:uiPriority w:val="99"/>
    <w:rsid w:val="00366597"/>
    <w:rPr>
      <w:rFonts w:ascii="Century Gothic" w:eastAsia="Times New Roman" w:hAnsi="Century Gothic"/>
      <w:b/>
      <w:bCs/>
      <w:iCs/>
      <w:color w:val="000000"/>
      <w:kern w:val="32"/>
      <w:sz w:val="24"/>
      <w:szCs w:val="28"/>
      <w:lang w:eastAsia="en-US"/>
    </w:rPr>
  </w:style>
  <w:style w:type="numbering" w:customStyle="1" w:styleId="headings">
    <w:name w:val="headings"/>
    <w:rsid w:val="003A1EA1"/>
    <w:pPr>
      <w:numPr>
        <w:numId w:val="15"/>
      </w:numPr>
    </w:pPr>
  </w:style>
  <w:style w:type="character" w:styleId="Hyperlink">
    <w:name w:val="Hyperlink"/>
    <w:uiPriority w:val="99"/>
    <w:unhideWhenUsed/>
    <w:rsid w:val="004C7F58"/>
    <w:rPr>
      <w:rFonts w:ascii="Times New Roman" w:hAnsi="Times New Roman" w:cs="Times New Roman" w:hint="default"/>
      <w:color w:val="0000FF"/>
      <w:u w:val="single"/>
    </w:rPr>
  </w:style>
  <w:style w:type="paragraph" w:customStyle="1" w:styleId="Caption1">
    <w:name w:val="Caption1"/>
    <w:basedOn w:val="Normal"/>
    <w:next w:val="Normal"/>
    <w:link w:val="captionChar"/>
    <w:uiPriority w:val="11"/>
    <w:qFormat/>
    <w:rsid w:val="00961A71"/>
    <w:pPr>
      <w:spacing w:after="60" w:line="240" w:lineRule="auto"/>
      <w:outlineLvl w:val="1"/>
    </w:pPr>
    <w:rPr>
      <w:rFonts w:eastAsia="Times New Roman"/>
      <w:sz w:val="20"/>
      <w:szCs w:val="24"/>
    </w:rPr>
  </w:style>
  <w:style w:type="character" w:customStyle="1" w:styleId="TitleChar">
    <w:name w:val="Title Char"/>
    <w:basedOn w:val="DefaultParagraphFont"/>
    <w:link w:val="Caption1"/>
    <w:uiPriority w:val="99"/>
    <w:rsid w:val="00142A10"/>
    <w:rPr>
      <w:rFonts w:ascii="Century Gothic" w:eastAsia="Times New Roman" w:hAnsi="Century Gothic"/>
      <w:b/>
      <w:color w:val="07601F"/>
      <w:spacing w:val="5"/>
      <w:kern w:val="28"/>
      <w:sz w:val="32"/>
      <w:szCs w:val="52"/>
      <w:lang w:eastAsia="en-US"/>
    </w:rPr>
  </w:style>
  <w:style w:type="paragraph" w:styleId="Subtitle">
    <w:name w:val="Subtitle"/>
    <w:aliases w:val="Subtitle1,caption1"/>
    <w:basedOn w:val="Normal"/>
    <w:next w:val="Normal"/>
    <w:link w:val="SubtitleChar"/>
    <w:uiPriority w:val="11"/>
    <w:qFormat/>
    <w:rsid w:val="001A4C5D"/>
    <w:pPr>
      <w:spacing w:after="60" w:line="240" w:lineRule="auto"/>
      <w:outlineLvl w:val="1"/>
    </w:pPr>
    <w:rPr>
      <w:rFonts w:eastAsia="Times New Roman"/>
      <w:sz w:val="20"/>
      <w:szCs w:val="24"/>
    </w:rPr>
  </w:style>
  <w:style w:type="character" w:customStyle="1" w:styleId="SubtitleChar">
    <w:name w:val="Subtitle Char"/>
    <w:aliases w:val="Subtitle1 Char,caption1 Char"/>
    <w:basedOn w:val="DefaultParagraphFont"/>
    <w:link w:val="Subtitle"/>
    <w:uiPriority w:val="11"/>
    <w:rsid w:val="00961A71"/>
    <w:rPr>
      <w:rFonts w:ascii="Century Gothic" w:eastAsia="Times New Roman" w:hAnsi="Century Gothic"/>
      <w:szCs w:val="24"/>
      <w:lang w:eastAsia="en-US"/>
    </w:rPr>
  </w:style>
  <w:style w:type="paragraph" w:styleId="ListBullet">
    <w:name w:val="List Bullet"/>
    <w:basedOn w:val="Normal"/>
    <w:uiPriority w:val="99"/>
    <w:unhideWhenUsed/>
    <w:rsid w:val="001A4C5D"/>
    <w:pPr>
      <w:tabs>
        <w:tab w:val="num" w:pos="360"/>
      </w:tabs>
      <w:spacing w:after="0" w:line="240" w:lineRule="auto"/>
      <w:ind w:left="360" w:hanging="360"/>
      <w:contextualSpacing/>
    </w:pPr>
    <w:rPr>
      <w:rFonts w:ascii="Helvetica" w:eastAsia="Times New Roman" w:hAnsi="Helvetica"/>
      <w:szCs w:val="20"/>
    </w:rPr>
  </w:style>
  <w:style w:type="table" w:styleId="TableGrid">
    <w:name w:val="Table Grid"/>
    <w:aliases w:val="box"/>
    <w:basedOn w:val="TableNormal"/>
    <w:rsid w:val="00193122"/>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rPr>
        <w:color w:val="auto"/>
      </w:rPr>
      <w:tblPr/>
      <w:tcPr>
        <w:shd w:val="clear" w:color="auto" w:fill="86B29E"/>
      </w:tcPr>
    </w:tblStylePr>
  </w:style>
  <w:style w:type="paragraph" w:styleId="ListParagraph">
    <w:name w:val="List Paragraph"/>
    <w:basedOn w:val="Normal"/>
    <w:uiPriority w:val="99"/>
    <w:qFormat/>
    <w:rsid w:val="00D9682C"/>
    <w:pPr>
      <w:spacing w:line="240" w:lineRule="auto"/>
      <w:ind w:left="720"/>
      <w:contextualSpacing/>
    </w:pPr>
  </w:style>
  <w:style w:type="character" w:styleId="CommentReference">
    <w:name w:val="annotation reference"/>
    <w:unhideWhenUsed/>
    <w:rsid w:val="00D9682C"/>
    <w:rPr>
      <w:sz w:val="16"/>
      <w:szCs w:val="16"/>
    </w:rPr>
  </w:style>
  <w:style w:type="paragraph" w:styleId="CommentText">
    <w:name w:val="annotation text"/>
    <w:basedOn w:val="Normal"/>
    <w:link w:val="CommentTextChar"/>
    <w:unhideWhenUsed/>
    <w:rsid w:val="00AD7858"/>
    <w:rPr>
      <w:sz w:val="20"/>
      <w:szCs w:val="20"/>
    </w:rPr>
  </w:style>
  <w:style w:type="character" w:customStyle="1" w:styleId="CommentTextChar">
    <w:name w:val="Comment Text Char"/>
    <w:basedOn w:val="DefaultParagraphFont"/>
    <w:link w:val="CommentText"/>
    <w:rsid w:val="00AD7858"/>
    <w:rPr>
      <w:rFonts w:ascii="Century Gothic" w:hAnsi="Century Gothic"/>
      <w:lang w:eastAsia="en-US"/>
    </w:rPr>
  </w:style>
  <w:style w:type="paragraph" w:customStyle="1" w:styleId="BodyText1">
    <w:name w:val="Body Text1"/>
    <w:basedOn w:val="CommentText"/>
    <w:next w:val="TOCHeading"/>
    <w:qFormat/>
    <w:rsid w:val="00D9682C"/>
    <w:pPr>
      <w:tabs>
        <w:tab w:val="left" w:pos="851"/>
      </w:tabs>
      <w:spacing w:before="120"/>
    </w:pPr>
    <w:rPr>
      <w:rFonts w:eastAsia="Times New Roman" w:cs="Angsana New"/>
      <w:sz w:val="22"/>
      <w:szCs w:val="22"/>
      <w:lang w:eastAsia="zh-CN" w:bidi="th-TH"/>
    </w:rPr>
  </w:style>
  <w:style w:type="character" w:customStyle="1" w:styleId="st">
    <w:name w:val="st"/>
    <w:basedOn w:val="DefaultParagraphFont"/>
    <w:rsid w:val="00D9682C"/>
  </w:style>
  <w:style w:type="paragraph" w:styleId="TOCHeading">
    <w:name w:val="TOC Heading"/>
    <w:basedOn w:val="Heading1"/>
    <w:next w:val="Normal"/>
    <w:uiPriority w:val="39"/>
    <w:unhideWhenUsed/>
    <w:qFormat/>
    <w:rsid w:val="00D9682C"/>
    <w:pPr>
      <w:numPr>
        <w:numId w:val="0"/>
      </w:numPr>
      <w:outlineLvl w:val="9"/>
    </w:pPr>
    <w:rPr>
      <w:rFonts w:ascii="Cambria" w:hAnsi="Cambria"/>
      <w:color w:val="auto"/>
    </w:rPr>
  </w:style>
  <w:style w:type="paragraph" w:styleId="BalloonText">
    <w:name w:val="Balloon Text"/>
    <w:basedOn w:val="Normal"/>
    <w:link w:val="BalloonTextChar"/>
    <w:uiPriority w:val="99"/>
    <w:semiHidden/>
    <w:unhideWhenUsed/>
    <w:rsid w:val="00D968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682C"/>
    <w:rPr>
      <w:rFonts w:ascii="Tahoma" w:hAnsi="Tahoma" w:cs="Tahoma"/>
      <w:sz w:val="16"/>
      <w:szCs w:val="16"/>
      <w:lang w:eastAsia="en-US"/>
    </w:rPr>
  </w:style>
  <w:style w:type="paragraph" w:styleId="NoSpacing">
    <w:name w:val="No Spacing"/>
    <w:aliases w:val="box text"/>
    <w:uiPriority w:val="1"/>
    <w:qFormat/>
    <w:rsid w:val="00142A10"/>
    <w:pPr>
      <w:spacing w:before="120" w:after="120"/>
      <w:jc w:val="both"/>
    </w:pPr>
    <w:rPr>
      <w:rFonts w:ascii="Century Gothic" w:hAnsi="Century Gothic"/>
      <w:szCs w:val="22"/>
      <w:lang w:eastAsia="en-US"/>
    </w:rPr>
  </w:style>
  <w:style w:type="paragraph" w:styleId="Caption">
    <w:name w:val="caption"/>
    <w:aliases w:val="Figure,CDM B/Caption,Table Caption,TABLE,Char,Item"/>
    <w:basedOn w:val="Normal"/>
    <w:link w:val="CaptionChar0"/>
    <w:unhideWhenUsed/>
    <w:qFormat/>
    <w:rsid w:val="0063645C"/>
    <w:pPr>
      <w:jc w:val="left"/>
    </w:pPr>
    <w:rPr>
      <w:rFonts w:ascii="Calibri" w:hAnsi="Calibri"/>
      <w:b/>
      <w:bCs/>
      <w:sz w:val="20"/>
      <w:szCs w:val="20"/>
    </w:rPr>
  </w:style>
  <w:style w:type="paragraph" w:styleId="CommentSubject">
    <w:name w:val="annotation subject"/>
    <w:basedOn w:val="CommentText"/>
    <w:next w:val="CommentText"/>
    <w:link w:val="CommentSubjectChar"/>
    <w:uiPriority w:val="99"/>
    <w:semiHidden/>
    <w:unhideWhenUsed/>
    <w:rsid w:val="00530140"/>
    <w:rPr>
      <w:b/>
      <w:bCs/>
    </w:rPr>
  </w:style>
  <w:style w:type="character" w:customStyle="1" w:styleId="CommentSubjectChar">
    <w:name w:val="Comment Subject Char"/>
    <w:basedOn w:val="CommentTextChar"/>
    <w:link w:val="CommentSubject"/>
    <w:uiPriority w:val="99"/>
    <w:semiHidden/>
    <w:rsid w:val="00530140"/>
    <w:rPr>
      <w:rFonts w:ascii="Century Gothic" w:hAnsi="Century Gothic"/>
      <w:b/>
      <w:bCs/>
    </w:rPr>
  </w:style>
  <w:style w:type="character" w:customStyle="1" w:styleId="Heading5Char">
    <w:name w:val="Heading 5 Char"/>
    <w:basedOn w:val="DefaultParagraphFont"/>
    <w:link w:val="Heading5"/>
    <w:uiPriority w:val="9"/>
    <w:rsid w:val="00257956"/>
    <w:rPr>
      <w:rFonts w:ascii="Cambria" w:eastAsia="Times New Roman" w:hAnsi="Cambria"/>
      <w:color w:val="365F91"/>
      <w:sz w:val="22"/>
      <w:szCs w:val="22"/>
      <w:lang w:eastAsia="en-US"/>
    </w:rPr>
  </w:style>
  <w:style w:type="paragraph" w:styleId="Header">
    <w:name w:val="header"/>
    <w:basedOn w:val="Normal"/>
    <w:link w:val="HeaderChar"/>
    <w:uiPriority w:val="99"/>
    <w:rsid w:val="00257956"/>
    <w:pPr>
      <w:tabs>
        <w:tab w:val="center" w:pos="4153"/>
        <w:tab w:val="right" w:pos="8306"/>
      </w:tabs>
      <w:spacing w:after="0" w:line="240" w:lineRule="auto"/>
      <w:jc w:val="left"/>
    </w:pPr>
    <w:rPr>
      <w:rFonts w:ascii="Times New Roman" w:eastAsia="Times New Roman" w:hAnsi="Times New Roman"/>
      <w:sz w:val="24"/>
      <w:szCs w:val="24"/>
      <w:lang w:eastAsia="en-AU"/>
    </w:rPr>
  </w:style>
  <w:style w:type="character" w:customStyle="1" w:styleId="HeaderChar">
    <w:name w:val="Header Char"/>
    <w:basedOn w:val="DefaultParagraphFont"/>
    <w:link w:val="Header"/>
    <w:uiPriority w:val="99"/>
    <w:rsid w:val="00257956"/>
    <w:rPr>
      <w:rFonts w:ascii="Times New Roman" w:eastAsia="Times New Roman" w:hAnsi="Times New Roman"/>
      <w:sz w:val="24"/>
      <w:szCs w:val="24"/>
    </w:rPr>
  </w:style>
  <w:style w:type="paragraph" w:styleId="BodyText">
    <w:name w:val="Body Text"/>
    <w:basedOn w:val="Normal"/>
    <w:link w:val="BodyTextChar"/>
    <w:rsid w:val="00257956"/>
    <w:pPr>
      <w:spacing w:before="120" w:line="280" w:lineRule="atLeast"/>
      <w:jc w:val="left"/>
    </w:pPr>
    <w:rPr>
      <w:rFonts w:ascii="Arial" w:eastAsia="Times New Roman" w:hAnsi="Arial"/>
      <w:sz w:val="20"/>
      <w:lang w:eastAsia="en-AU"/>
    </w:rPr>
  </w:style>
  <w:style w:type="character" w:customStyle="1" w:styleId="BodyTextChar">
    <w:name w:val="Body Text Char"/>
    <w:basedOn w:val="DefaultParagraphFont"/>
    <w:link w:val="BodyText"/>
    <w:rsid w:val="00257956"/>
    <w:rPr>
      <w:rFonts w:ascii="Arial" w:eastAsia="Times New Roman" w:hAnsi="Arial"/>
      <w:szCs w:val="22"/>
    </w:rPr>
  </w:style>
  <w:style w:type="paragraph" w:customStyle="1" w:styleId="Tablecolumnheading">
    <w:name w:val="Table column heading"/>
    <w:basedOn w:val="Normal"/>
    <w:rsid w:val="00257956"/>
    <w:pPr>
      <w:keepNext/>
      <w:spacing w:before="60" w:after="60" w:line="240" w:lineRule="auto"/>
      <w:jc w:val="center"/>
    </w:pPr>
    <w:rPr>
      <w:rFonts w:ascii="Arial" w:eastAsia="Times New Roman" w:hAnsi="Arial"/>
      <w:b/>
      <w:sz w:val="18"/>
      <w:szCs w:val="18"/>
      <w:lang w:eastAsia="en-AU"/>
    </w:rPr>
  </w:style>
  <w:style w:type="paragraph" w:customStyle="1" w:styleId="Tablebody">
    <w:name w:val="Table body"/>
    <w:basedOn w:val="Tablecolumnheading"/>
    <w:link w:val="TablebodyChar"/>
    <w:rsid w:val="00257956"/>
    <w:pPr>
      <w:keepNext w:val="0"/>
      <w:tabs>
        <w:tab w:val="left" w:pos="3828"/>
      </w:tabs>
      <w:jc w:val="left"/>
    </w:pPr>
    <w:rPr>
      <w:b w:val="0"/>
    </w:rPr>
  </w:style>
  <w:style w:type="character" w:customStyle="1" w:styleId="TablebodyChar">
    <w:name w:val="Table body Char"/>
    <w:basedOn w:val="DefaultParagraphFont"/>
    <w:link w:val="Tablebody"/>
    <w:rsid w:val="00257956"/>
    <w:rPr>
      <w:rFonts w:ascii="Arial" w:eastAsia="Times New Roman" w:hAnsi="Arial"/>
      <w:sz w:val="18"/>
      <w:szCs w:val="18"/>
    </w:rPr>
  </w:style>
  <w:style w:type="paragraph" w:customStyle="1" w:styleId="Appendix">
    <w:name w:val="Appendix"/>
    <w:basedOn w:val="Normal"/>
    <w:next w:val="Normal"/>
    <w:link w:val="AppendixChar"/>
    <w:uiPriority w:val="99"/>
    <w:qFormat/>
    <w:rsid w:val="0005083B"/>
    <w:pPr>
      <w:keepNext/>
      <w:spacing w:before="240" w:after="100" w:afterAutospacing="1" w:line="240" w:lineRule="auto"/>
      <w:jc w:val="left"/>
      <w:outlineLvl w:val="0"/>
    </w:pPr>
    <w:rPr>
      <w:rFonts w:eastAsia="Times New Roman" w:cs="Arial"/>
      <w:b/>
      <w:bCs/>
      <w:kern w:val="32"/>
      <w:szCs w:val="24"/>
      <w:lang w:eastAsia="en-AU"/>
    </w:rPr>
  </w:style>
  <w:style w:type="character" w:customStyle="1" w:styleId="AppendixChar">
    <w:name w:val="Appendix Char"/>
    <w:basedOn w:val="DefaultParagraphFont"/>
    <w:link w:val="Appendix"/>
    <w:uiPriority w:val="99"/>
    <w:locked/>
    <w:rsid w:val="0005083B"/>
    <w:rPr>
      <w:rFonts w:ascii="Century Gothic" w:eastAsia="Times New Roman" w:hAnsi="Century Gothic" w:cs="Arial"/>
      <w:b/>
      <w:bCs/>
      <w:kern w:val="32"/>
      <w:sz w:val="22"/>
      <w:szCs w:val="24"/>
    </w:rPr>
  </w:style>
  <w:style w:type="character" w:customStyle="1" w:styleId="scientific-name1">
    <w:name w:val="scientific-name1"/>
    <w:basedOn w:val="DefaultParagraphFont"/>
    <w:rsid w:val="00257956"/>
    <w:rPr>
      <w:i/>
      <w:iCs/>
    </w:rPr>
  </w:style>
  <w:style w:type="paragraph" w:customStyle="1" w:styleId="Tabletext">
    <w:name w:val="Table text"/>
    <w:basedOn w:val="Normal"/>
    <w:qFormat/>
    <w:rsid w:val="0027368A"/>
    <w:pPr>
      <w:spacing w:after="0" w:line="240" w:lineRule="auto"/>
      <w:jc w:val="left"/>
    </w:pPr>
    <w:rPr>
      <w:rFonts w:eastAsia="Times New Roman"/>
      <w:sz w:val="18"/>
      <w:lang w:eastAsia="en-AU"/>
    </w:rPr>
  </w:style>
  <w:style w:type="paragraph" w:customStyle="1" w:styleId="Default">
    <w:name w:val="Default"/>
    <w:rsid w:val="00257956"/>
    <w:pPr>
      <w:autoSpaceDE w:val="0"/>
      <w:autoSpaceDN w:val="0"/>
      <w:adjustRightInd w:val="0"/>
    </w:pPr>
    <w:rPr>
      <w:rFonts w:ascii="Times New Roman" w:eastAsia="Times New Roman" w:hAnsi="Times New Roman"/>
      <w:color w:val="000000"/>
      <w:sz w:val="24"/>
      <w:szCs w:val="24"/>
    </w:rPr>
  </w:style>
  <w:style w:type="character" w:styleId="Emphasis">
    <w:name w:val="Emphasis"/>
    <w:basedOn w:val="DefaultParagraphFont"/>
    <w:uiPriority w:val="20"/>
    <w:rsid w:val="00257956"/>
    <w:rPr>
      <w:rFonts w:ascii="Arial" w:hAnsi="Arial" w:cs="Times New Roman"/>
      <w:i/>
      <w:iCs/>
      <w:lang w:val="en-AU" w:eastAsia="en-US" w:bidi="ar-SA"/>
    </w:rPr>
  </w:style>
  <w:style w:type="paragraph" w:styleId="TOC1">
    <w:name w:val="toc 1"/>
    <w:basedOn w:val="Normal"/>
    <w:next w:val="Normal"/>
    <w:autoRedefine/>
    <w:uiPriority w:val="39"/>
    <w:unhideWhenUsed/>
    <w:qFormat/>
    <w:rsid w:val="00257956"/>
    <w:pPr>
      <w:spacing w:before="360" w:after="0"/>
      <w:jc w:val="left"/>
    </w:pPr>
    <w:rPr>
      <w:rFonts w:asciiTheme="majorHAnsi" w:hAnsiTheme="majorHAnsi"/>
      <w:b/>
      <w:bCs/>
      <w:caps/>
      <w:sz w:val="24"/>
      <w:szCs w:val="24"/>
    </w:rPr>
  </w:style>
  <w:style w:type="paragraph" w:styleId="TOC2">
    <w:name w:val="toc 2"/>
    <w:basedOn w:val="Normal"/>
    <w:next w:val="Normal"/>
    <w:autoRedefine/>
    <w:uiPriority w:val="39"/>
    <w:unhideWhenUsed/>
    <w:qFormat/>
    <w:rsid w:val="00257956"/>
    <w:pPr>
      <w:spacing w:before="240" w:after="0"/>
      <w:jc w:val="left"/>
    </w:pPr>
    <w:rPr>
      <w:rFonts w:asciiTheme="minorHAnsi" w:hAnsiTheme="minorHAnsi" w:cstheme="minorHAnsi"/>
      <w:b/>
      <w:bCs/>
      <w:sz w:val="20"/>
      <w:szCs w:val="20"/>
    </w:rPr>
  </w:style>
  <w:style w:type="paragraph" w:styleId="TOC3">
    <w:name w:val="toc 3"/>
    <w:basedOn w:val="Normal"/>
    <w:next w:val="Normal"/>
    <w:autoRedefine/>
    <w:uiPriority w:val="39"/>
    <w:unhideWhenUsed/>
    <w:qFormat/>
    <w:rsid w:val="00257956"/>
    <w:pPr>
      <w:spacing w:after="0"/>
      <w:ind w:left="220"/>
      <w:jc w:val="left"/>
    </w:pPr>
    <w:rPr>
      <w:rFonts w:asciiTheme="minorHAnsi" w:hAnsiTheme="minorHAnsi" w:cstheme="minorHAnsi"/>
      <w:sz w:val="20"/>
      <w:szCs w:val="20"/>
    </w:rPr>
  </w:style>
  <w:style w:type="paragraph" w:styleId="Footer">
    <w:name w:val="footer"/>
    <w:basedOn w:val="Normal"/>
    <w:link w:val="FooterChar"/>
    <w:uiPriority w:val="99"/>
    <w:unhideWhenUsed/>
    <w:rsid w:val="00257956"/>
    <w:pPr>
      <w:tabs>
        <w:tab w:val="center" w:pos="4513"/>
        <w:tab w:val="right" w:pos="9026"/>
      </w:tabs>
      <w:spacing w:after="0" w:line="240" w:lineRule="auto"/>
      <w:jc w:val="left"/>
    </w:pPr>
    <w:rPr>
      <w:rFonts w:ascii="Calibri" w:hAnsi="Calibri"/>
    </w:rPr>
  </w:style>
  <w:style w:type="character" w:customStyle="1" w:styleId="FooterChar">
    <w:name w:val="Footer Char"/>
    <w:basedOn w:val="DefaultParagraphFont"/>
    <w:link w:val="Footer"/>
    <w:uiPriority w:val="99"/>
    <w:rsid w:val="00257956"/>
    <w:rPr>
      <w:rFonts w:ascii="Calibri" w:eastAsia="Calibri" w:hAnsi="Calibri" w:cs="Times New Roman"/>
      <w:sz w:val="22"/>
      <w:szCs w:val="22"/>
      <w:lang w:eastAsia="en-US"/>
    </w:rPr>
  </w:style>
  <w:style w:type="paragraph" w:customStyle="1" w:styleId="TableNew">
    <w:name w:val="Table New"/>
    <w:basedOn w:val="Normal"/>
    <w:next w:val="Normal"/>
    <w:autoRedefine/>
    <w:rsid w:val="00257956"/>
    <w:pPr>
      <w:keepNext/>
      <w:tabs>
        <w:tab w:val="num" w:pos="1134"/>
      </w:tabs>
      <w:spacing w:after="0" w:line="240" w:lineRule="auto"/>
      <w:ind w:left="1134" w:hanging="1134"/>
      <w:jc w:val="left"/>
    </w:pPr>
    <w:rPr>
      <w:rFonts w:ascii="Arial" w:eastAsia="Times New Roman" w:hAnsi="Arial"/>
      <w:sz w:val="20"/>
      <w:szCs w:val="20"/>
    </w:rPr>
  </w:style>
  <w:style w:type="character" w:customStyle="1" w:styleId="CaptionChar0">
    <w:name w:val="Caption Char"/>
    <w:aliases w:val="Figure Char,CDM B/Caption Char,Table Caption Char,TABLE Char,Char Char,Item Char"/>
    <w:link w:val="Caption"/>
    <w:uiPriority w:val="99"/>
    <w:locked/>
    <w:rsid w:val="0032121F"/>
    <w:rPr>
      <w:rFonts w:cs="Calibri"/>
      <w:b/>
      <w:bCs/>
    </w:rPr>
  </w:style>
  <w:style w:type="character" w:customStyle="1" w:styleId="apple-converted-space">
    <w:name w:val="apple-converted-space"/>
    <w:basedOn w:val="DefaultParagraphFont"/>
    <w:rsid w:val="00D37895"/>
  </w:style>
  <w:style w:type="paragraph" w:styleId="NormalWeb">
    <w:name w:val="Normal (Web)"/>
    <w:basedOn w:val="Normal"/>
    <w:uiPriority w:val="99"/>
    <w:rsid w:val="00A5580F"/>
    <w:pPr>
      <w:spacing w:before="100" w:beforeAutospacing="1" w:after="100" w:afterAutospacing="1" w:line="240" w:lineRule="auto"/>
      <w:jc w:val="left"/>
    </w:pPr>
    <w:rPr>
      <w:rFonts w:ascii="Times New Roman" w:eastAsia="Times New Roman" w:hAnsi="Times New Roman"/>
      <w:sz w:val="24"/>
      <w:szCs w:val="24"/>
      <w:lang w:eastAsia="en-AU"/>
    </w:rPr>
  </w:style>
  <w:style w:type="table" w:styleId="LightList-Accent3">
    <w:name w:val="Light List Accent 3"/>
    <w:basedOn w:val="TableNormal"/>
    <w:uiPriority w:val="61"/>
    <w:rsid w:val="00896915"/>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7601F"/>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CEWO">
    <w:name w:val="CEWO"/>
    <w:basedOn w:val="TableNormal"/>
    <w:uiPriority w:val="99"/>
    <w:qFormat/>
    <w:rsid w:val="009E7250"/>
    <w:tblPr>
      <w:tblInd w:w="0" w:type="dxa"/>
      <w:tblBorders>
        <w:top w:val="single" w:sz="4" w:space="0" w:color="07601F"/>
        <w:left w:val="single" w:sz="4" w:space="0" w:color="07601F"/>
        <w:bottom w:val="single" w:sz="4" w:space="0" w:color="07601F"/>
        <w:right w:val="single" w:sz="4" w:space="0" w:color="07601F"/>
        <w:insideH w:val="single" w:sz="4" w:space="0" w:color="07601F"/>
        <w:insideV w:val="single" w:sz="4" w:space="0" w:color="07601F"/>
      </w:tblBorders>
      <w:tblCellMar>
        <w:top w:w="0" w:type="dxa"/>
        <w:left w:w="108" w:type="dxa"/>
        <w:bottom w:w="0" w:type="dxa"/>
        <w:right w:w="108" w:type="dxa"/>
      </w:tblCellMar>
    </w:tblPr>
    <w:tblStylePr w:type="firstRow">
      <w:rPr>
        <w:rFonts w:ascii="Tahoma" w:hAnsi="Tahoma"/>
        <w:b/>
        <w:color w:val="FFFFFF"/>
        <w:sz w:val="20"/>
      </w:rPr>
      <w:tblPr/>
      <w:tcPr>
        <w:shd w:val="clear" w:color="auto" w:fill="07601F"/>
      </w:tcPr>
    </w:tblStylePr>
  </w:style>
  <w:style w:type="paragraph" w:styleId="Title">
    <w:name w:val="Title"/>
    <w:basedOn w:val="Normal"/>
    <w:next w:val="Normal"/>
    <w:link w:val="TitleChar1"/>
    <w:uiPriority w:val="99"/>
    <w:qFormat/>
    <w:rsid w:val="00193122"/>
    <w:pPr>
      <w:spacing w:before="240" w:after="60"/>
      <w:jc w:val="center"/>
      <w:outlineLvl w:val="0"/>
    </w:pPr>
    <w:rPr>
      <w:rFonts w:eastAsia="Times New Roman"/>
      <w:b/>
      <w:bCs/>
      <w:color w:val="FFFFFF"/>
      <w:kern w:val="28"/>
      <w:sz w:val="32"/>
      <w:szCs w:val="32"/>
    </w:rPr>
  </w:style>
  <w:style w:type="character" w:customStyle="1" w:styleId="TitleChar1">
    <w:name w:val="Title Char1"/>
    <w:basedOn w:val="DefaultParagraphFont"/>
    <w:link w:val="Title"/>
    <w:uiPriority w:val="99"/>
    <w:rsid w:val="00193122"/>
    <w:rPr>
      <w:rFonts w:ascii="Century Gothic" w:eastAsia="Times New Roman" w:hAnsi="Century Gothic"/>
      <w:b/>
      <w:bCs/>
      <w:color w:val="FFFFFF"/>
      <w:kern w:val="28"/>
      <w:sz w:val="32"/>
      <w:szCs w:val="32"/>
      <w:lang w:eastAsia="en-US"/>
    </w:rPr>
  </w:style>
  <w:style w:type="character" w:styleId="SubtleEmphasis">
    <w:name w:val="Subtle Emphasis"/>
    <w:basedOn w:val="DefaultParagraphFont"/>
    <w:uiPriority w:val="19"/>
    <w:rsid w:val="000748A3"/>
    <w:rPr>
      <w:i/>
      <w:iCs/>
      <w:color w:val="808080"/>
    </w:rPr>
  </w:style>
  <w:style w:type="paragraph" w:styleId="Revision">
    <w:name w:val="Revision"/>
    <w:hidden/>
    <w:uiPriority w:val="99"/>
    <w:semiHidden/>
    <w:rsid w:val="00942A21"/>
    <w:rPr>
      <w:sz w:val="22"/>
      <w:szCs w:val="22"/>
      <w:lang w:eastAsia="en-US"/>
    </w:rPr>
  </w:style>
  <w:style w:type="table" w:customStyle="1" w:styleId="MediumShading2-Accent11">
    <w:name w:val="Medium Shading 2 - Accent 11"/>
    <w:basedOn w:val="TableNormal"/>
    <w:uiPriority w:val="64"/>
    <w:rsid w:val="00942A21"/>
    <w:rPr>
      <w:sz w:val="22"/>
      <w:szCs w:val="22"/>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2-Accent1">
    <w:name w:val="Medium Grid 2 Accent 1"/>
    <w:basedOn w:val="TableNormal"/>
    <w:uiPriority w:val="68"/>
    <w:rsid w:val="00942A21"/>
    <w:rPr>
      <w:rFonts w:ascii="Cambria" w:eastAsia="Times New Roman" w:hAnsi="Cambria"/>
      <w:color w:val="000000"/>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character" w:styleId="PlaceholderText">
    <w:name w:val="Placeholder Text"/>
    <w:basedOn w:val="DefaultParagraphFont"/>
    <w:uiPriority w:val="99"/>
    <w:semiHidden/>
    <w:rsid w:val="00942A21"/>
    <w:rPr>
      <w:color w:val="808080"/>
    </w:rPr>
  </w:style>
  <w:style w:type="table" w:customStyle="1" w:styleId="LightShading-Accent11">
    <w:name w:val="Light Shading - Accent 11"/>
    <w:basedOn w:val="TableNormal"/>
    <w:uiPriority w:val="60"/>
    <w:rsid w:val="00942A21"/>
    <w:rPr>
      <w:color w:val="365F91"/>
      <w:sz w:val="22"/>
      <w:szCs w:val="22"/>
      <w:lang w:eastAsia="en-US"/>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List-Accent11">
    <w:name w:val="Light List - Accent 11"/>
    <w:basedOn w:val="TableNormal"/>
    <w:uiPriority w:val="61"/>
    <w:rsid w:val="00942A21"/>
    <w:rPr>
      <w:sz w:val="22"/>
      <w:szCs w:val="22"/>
      <w:lang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Heading6Char">
    <w:name w:val="Heading 6 Char"/>
    <w:basedOn w:val="DefaultParagraphFont"/>
    <w:link w:val="Heading6"/>
    <w:uiPriority w:val="9"/>
    <w:rsid w:val="001C7575"/>
    <w:rPr>
      <w:rFonts w:eastAsia="Times New Roman"/>
      <w:b/>
      <w:bCs/>
      <w:sz w:val="22"/>
      <w:szCs w:val="22"/>
      <w:lang w:eastAsia="en-US"/>
    </w:rPr>
  </w:style>
  <w:style w:type="paragraph" w:customStyle="1" w:styleId="CEWHtext">
    <w:name w:val="CEWH text"/>
    <w:basedOn w:val="Normal"/>
    <w:link w:val="CEWHtextChar"/>
    <w:uiPriority w:val="99"/>
    <w:qFormat/>
    <w:rsid w:val="008D2EE4"/>
    <w:pPr>
      <w:spacing w:line="276" w:lineRule="auto"/>
    </w:pPr>
    <w:rPr>
      <w:rFonts w:ascii="Calibri" w:hAnsi="Calibri"/>
    </w:rPr>
  </w:style>
  <w:style w:type="character" w:customStyle="1" w:styleId="CEWHtextChar">
    <w:name w:val="CEWH text Char"/>
    <w:basedOn w:val="DefaultParagraphFont"/>
    <w:link w:val="CEWHtext"/>
    <w:uiPriority w:val="99"/>
    <w:locked/>
    <w:rsid w:val="008D2EE4"/>
    <w:rPr>
      <w:sz w:val="22"/>
      <w:szCs w:val="22"/>
      <w:lang w:eastAsia="en-US"/>
    </w:rPr>
  </w:style>
  <w:style w:type="table" w:customStyle="1" w:styleId="LightShading-Accent12">
    <w:name w:val="Light Shading - Accent 12"/>
    <w:basedOn w:val="TableNormal"/>
    <w:uiPriority w:val="60"/>
    <w:rsid w:val="000910C4"/>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captionChar">
    <w:name w:val="caption Char"/>
    <w:basedOn w:val="DefaultParagraphFont"/>
    <w:link w:val="Caption1"/>
    <w:uiPriority w:val="11"/>
    <w:rsid w:val="00961A71"/>
    <w:rPr>
      <w:rFonts w:ascii="Century Gothic" w:eastAsia="Times New Roman" w:hAnsi="Century Gothic"/>
      <w:szCs w:val="24"/>
      <w:lang w:eastAsia="en-US"/>
    </w:rPr>
  </w:style>
  <w:style w:type="numbering" w:customStyle="1" w:styleId="CEWHreports">
    <w:name w:val="CEWH_reports"/>
    <w:uiPriority w:val="99"/>
    <w:rsid w:val="00D57FFE"/>
  </w:style>
  <w:style w:type="character" w:customStyle="1" w:styleId="Heading7Char">
    <w:name w:val="Heading 7 Char"/>
    <w:basedOn w:val="DefaultParagraphFont"/>
    <w:link w:val="Heading7"/>
    <w:uiPriority w:val="9"/>
    <w:semiHidden/>
    <w:rsid w:val="00E42583"/>
    <w:rPr>
      <w:rFonts w:asciiTheme="majorHAnsi" w:eastAsiaTheme="majorEastAsia" w:hAnsiTheme="majorHAnsi" w:cstheme="majorBidi"/>
      <w:i/>
      <w:iCs/>
      <w:color w:val="404040" w:themeColor="text1" w:themeTint="BF"/>
      <w:sz w:val="22"/>
      <w:szCs w:val="22"/>
      <w:lang w:eastAsia="en-US"/>
    </w:rPr>
  </w:style>
  <w:style w:type="character" w:customStyle="1" w:styleId="Heading8Char">
    <w:name w:val="Heading 8 Char"/>
    <w:basedOn w:val="DefaultParagraphFont"/>
    <w:link w:val="Heading8"/>
    <w:uiPriority w:val="9"/>
    <w:semiHidden/>
    <w:rsid w:val="00E42583"/>
    <w:rPr>
      <w:rFonts w:asciiTheme="majorHAnsi" w:eastAsiaTheme="majorEastAsia" w:hAnsiTheme="majorHAnsi" w:cstheme="majorBidi"/>
      <w:color w:val="404040" w:themeColor="text1" w:themeTint="BF"/>
      <w:lang w:eastAsia="en-US"/>
    </w:rPr>
  </w:style>
  <w:style w:type="character" w:customStyle="1" w:styleId="Heading9Char">
    <w:name w:val="Heading 9 Char"/>
    <w:basedOn w:val="DefaultParagraphFont"/>
    <w:link w:val="Heading9"/>
    <w:uiPriority w:val="9"/>
    <w:semiHidden/>
    <w:rsid w:val="00E42583"/>
    <w:rPr>
      <w:rFonts w:asciiTheme="majorHAnsi" w:eastAsiaTheme="majorEastAsia" w:hAnsiTheme="majorHAnsi" w:cstheme="majorBidi"/>
      <w:i/>
      <w:iCs/>
      <w:color w:val="404040" w:themeColor="text1" w:themeTint="BF"/>
      <w:lang w:eastAsia="en-US"/>
    </w:rPr>
  </w:style>
  <w:style w:type="table" w:customStyle="1" w:styleId="LightShading-Accent13">
    <w:name w:val="Light Shading - Accent 13"/>
    <w:basedOn w:val="TableNormal"/>
    <w:uiPriority w:val="60"/>
    <w:rsid w:val="008E5029"/>
    <w:rPr>
      <w:rFonts w:asciiTheme="minorHAnsi" w:eastAsiaTheme="minorHAnsi" w:hAnsiTheme="minorHAnsi" w:cstheme="minorBidi"/>
      <w:color w:val="365F91" w:themeColor="accent1" w:themeShade="BF"/>
      <w:sz w:val="22"/>
      <w:szCs w:val="22"/>
      <w:lang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OC4">
    <w:name w:val="toc 4"/>
    <w:basedOn w:val="Normal"/>
    <w:next w:val="Normal"/>
    <w:autoRedefine/>
    <w:uiPriority w:val="39"/>
    <w:unhideWhenUsed/>
    <w:rsid w:val="003723EA"/>
    <w:pPr>
      <w:spacing w:after="0"/>
      <w:ind w:left="44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3723EA"/>
    <w:pPr>
      <w:spacing w:after="0"/>
      <w:ind w:left="66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3723EA"/>
    <w:pPr>
      <w:spacing w:after="0"/>
      <w:ind w:left="88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3723EA"/>
    <w:pPr>
      <w:spacing w:after="0"/>
      <w:ind w:left="11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3723EA"/>
    <w:pPr>
      <w:spacing w:after="0"/>
      <w:ind w:left="132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3723EA"/>
    <w:pPr>
      <w:spacing w:after="0"/>
      <w:ind w:left="1540"/>
      <w:jc w:val="left"/>
    </w:pPr>
    <w:rPr>
      <w:rFonts w:asciiTheme="minorHAnsi" w:hAnsiTheme="minorHAnsi" w:cstheme="minorHAnsi"/>
      <w:sz w:val="20"/>
      <w:szCs w:val="20"/>
    </w:rPr>
  </w:style>
  <w:style w:type="character" w:customStyle="1" w:styleId="st1">
    <w:name w:val="st1"/>
    <w:basedOn w:val="DefaultParagraphFont"/>
    <w:rsid w:val="00037E26"/>
  </w:style>
  <w:style w:type="character" w:customStyle="1" w:styleId="kno-fv-vq">
    <w:name w:val="kno-fv-vq"/>
    <w:basedOn w:val="DefaultParagraphFont"/>
    <w:rsid w:val="00037E26"/>
  </w:style>
  <w:style w:type="paragraph" w:customStyle="1" w:styleId="Normalreferences">
    <w:name w:val="Normal references"/>
    <w:basedOn w:val="Normal"/>
    <w:qFormat/>
    <w:rsid w:val="00B67229"/>
    <w:pPr>
      <w:spacing w:before="120" w:after="0" w:line="260" w:lineRule="atLeast"/>
      <w:ind w:left="680" w:hanging="680"/>
      <w:jc w:val="left"/>
    </w:pPr>
    <w:rPr>
      <w:rFonts w:ascii="Arial" w:eastAsia="Times New Roman" w:hAnsi="Arial"/>
      <w:sz w:val="20"/>
      <w:lang w:eastAsia="en-AU"/>
    </w:rPr>
  </w:style>
  <w:style w:type="paragraph" w:customStyle="1" w:styleId="bodytext10">
    <w:name w:val="bodytext1"/>
    <w:basedOn w:val="Normal"/>
    <w:rsid w:val="00BB74DA"/>
    <w:pPr>
      <w:spacing w:before="120"/>
    </w:pPr>
    <w:rPr>
      <w:rFonts w:eastAsiaTheme="minorHAnsi"/>
      <w:lang w:eastAsia="en-AU"/>
    </w:rPr>
  </w:style>
</w:styles>
</file>

<file path=word/webSettings.xml><?xml version="1.0" encoding="utf-8"?>
<w:webSettings xmlns:r="http://schemas.openxmlformats.org/officeDocument/2006/relationships" xmlns:w="http://schemas.openxmlformats.org/wordprocessingml/2006/main">
  <w:divs>
    <w:div w:id="268125272">
      <w:bodyDiv w:val="1"/>
      <w:marLeft w:val="0"/>
      <w:marRight w:val="0"/>
      <w:marTop w:val="0"/>
      <w:marBottom w:val="0"/>
      <w:divBdr>
        <w:top w:val="none" w:sz="0" w:space="0" w:color="auto"/>
        <w:left w:val="none" w:sz="0" w:space="0" w:color="auto"/>
        <w:bottom w:val="none" w:sz="0" w:space="0" w:color="auto"/>
        <w:right w:val="none" w:sz="0" w:space="0" w:color="auto"/>
      </w:divBdr>
    </w:div>
    <w:div w:id="285703198">
      <w:bodyDiv w:val="1"/>
      <w:marLeft w:val="0"/>
      <w:marRight w:val="0"/>
      <w:marTop w:val="45"/>
      <w:marBottom w:val="0"/>
      <w:divBdr>
        <w:top w:val="none" w:sz="0" w:space="0" w:color="auto"/>
        <w:left w:val="none" w:sz="0" w:space="0" w:color="auto"/>
        <w:bottom w:val="none" w:sz="0" w:space="0" w:color="auto"/>
        <w:right w:val="none" w:sz="0" w:space="0" w:color="auto"/>
      </w:divBdr>
      <w:divsChild>
        <w:div w:id="1880317515">
          <w:marLeft w:val="0"/>
          <w:marRight w:val="0"/>
          <w:marTop w:val="0"/>
          <w:marBottom w:val="0"/>
          <w:divBdr>
            <w:top w:val="none" w:sz="0" w:space="0" w:color="auto"/>
            <w:left w:val="none" w:sz="0" w:space="0" w:color="auto"/>
            <w:bottom w:val="none" w:sz="0" w:space="0" w:color="auto"/>
            <w:right w:val="none" w:sz="0" w:space="0" w:color="auto"/>
          </w:divBdr>
          <w:divsChild>
            <w:div w:id="716010160">
              <w:marLeft w:val="0"/>
              <w:marRight w:val="0"/>
              <w:marTop w:val="0"/>
              <w:marBottom w:val="0"/>
              <w:divBdr>
                <w:top w:val="none" w:sz="0" w:space="0" w:color="auto"/>
                <w:left w:val="none" w:sz="0" w:space="0" w:color="auto"/>
                <w:bottom w:val="none" w:sz="0" w:space="0" w:color="auto"/>
                <w:right w:val="none" w:sz="0" w:space="0" w:color="auto"/>
              </w:divBdr>
              <w:divsChild>
                <w:div w:id="956644717">
                  <w:marLeft w:val="0"/>
                  <w:marRight w:val="0"/>
                  <w:marTop w:val="0"/>
                  <w:marBottom w:val="0"/>
                  <w:divBdr>
                    <w:top w:val="none" w:sz="0" w:space="0" w:color="auto"/>
                    <w:left w:val="none" w:sz="0" w:space="0" w:color="auto"/>
                    <w:bottom w:val="none" w:sz="0" w:space="0" w:color="auto"/>
                    <w:right w:val="none" w:sz="0" w:space="0" w:color="auto"/>
                  </w:divBdr>
                  <w:divsChild>
                    <w:div w:id="1222668641">
                      <w:marLeft w:val="0"/>
                      <w:marRight w:val="0"/>
                      <w:marTop w:val="0"/>
                      <w:marBottom w:val="0"/>
                      <w:divBdr>
                        <w:top w:val="none" w:sz="0" w:space="0" w:color="auto"/>
                        <w:left w:val="none" w:sz="0" w:space="0" w:color="auto"/>
                        <w:bottom w:val="none" w:sz="0" w:space="0" w:color="auto"/>
                        <w:right w:val="none" w:sz="0" w:space="0" w:color="auto"/>
                      </w:divBdr>
                      <w:divsChild>
                        <w:div w:id="1357384743">
                          <w:marLeft w:val="0"/>
                          <w:marRight w:val="0"/>
                          <w:marTop w:val="45"/>
                          <w:marBottom w:val="0"/>
                          <w:divBdr>
                            <w:top w:val="none" w:sz="0" w:space="0" w:color="auto"/>
                            <w:left w:val="none" w:sz="0" w:space="0" w:color="auto"/>
                            <w:bottom w:val="none" w:sz="0" w:space="0" w:color="auto"/>
                            <w:right w:val="none" w:sz="0" w:space="0" w:color="auto"/>
                          </w:divBdr>
                          <w:divsChild>
                            <w:div w:id="796803305">
                              <w:marLeft w:val="0"/>
                              <w:marRight w:val="0"/>
                              <w:marTop w:val="0"/>
                              <w:marBottom w:val="0"/>
                              <w:divBdr>
                                <w:top w:val="none" w:sz="0" w:space="0" w:color="auto"/>
                                <w:left w:val="none" w:sz="0" w:space="0" w:color="auto"/>
                                <w:bottom w:val="none" w:sz="0" w:space="0" w:color="auto"/>
                                <w:right w:val="none" w:sz="0" w:space="0" w:color="auto"/>
                              </w:divBdr>
                              <w:divsChild>
                                <w:div w:id="1270360155">
                                  <w:marLeft w:val="0"/>
                                  <w:marRight w:val="0"/>
                                  <w:marTop w:val="0"/>
                                  <w:marBottom w:val="0"/>
                                  <w:divBdr>
                                    <w:top w:val="none" w:sz="0" w:space="0" w:color="auto"/>
                                    <w:left w:val="none" w:sz="0" w:space="0" w:color="auto"/>
                                    <w:bottom w:val="none" w:sz="0" w:space="0" w:color="auto"/>
                                    <w:right w:val="none" w:sz="0" w:space="0" w:color="auto"/>
                                  </w:divBdr>
                                  <w:divsChild>
                                    <w:div w:id="920869816">
                                      <w:marLeft w:val="10530"/>
                                      <w:marRight w:val="0"/>
                                      <w:marTop w:val="0"/>
                                      <w:marBottom w:val="0"/>
                                      <w:divBdr>
                                        <w:top w:val="none" w:sz="0" w:space="0" w:color="auto"/>
                                        <w:left w:val="none" w:sz="0" w:space="0" w:color="auto"/>
                                        <w:bottom w:val="none" w:sz="0" w:space="0" w:color="auto"/>
                                        <w:right w:val="none" w:sz="0" w:space="0" w:color="auto"/>
                                      </w:divBdr>
                                      <w:divsChild>
                                        <w:div w:id="374156216">
                                          <w:marLeft w:val="0"/>
                                          <w:marRight w:val="0"/>
                                          <w:marTop w:val="0"/>
                                          <w:marBottom w:val="0"/>
                                          <w:divBdr>
                                            <w:top w:val="none" w:sz="0" w:space="0" w:color="auto"/>
                                            <w:left w:val="none" w:sz="0" w:space="0" w:color="auto"/>
                                            <w:bottom w:val="none" w:sz="0" w:space="0" w:color="auto"/>
                                            <w:right w:val="none" w:sz="0" w:space="0" w:color="auto"/>
                                          </w:divBdr>
                                          <w:divsChild>
                                            <w:div w:id="1633444938">
                                              <w:marLeft w:val="0"/>
                                              <w:marRight w:val="0"/>
                                              <w:marTop w:val="0"/>
                                              <w:marBottom w:val="0"/>
                                              <w:divBdr>
                                                <w:top w:val="none" w:sz="0" w:space="0" w:color="auto"/>
                                                <w:left w:val="none" w:sz="0" w:space="0" w:color="auto"/>
                                                <w:bottom w:val="none" w:sz="0" w:space="0" w:color="auto"/>
                                                <w:right w:val="none" w:sz="0" w:space="0" w:color="auto"/>
                                              </w:divBdr>
                                              <w:divsChild>
                                                <w:div w:id="1497767597">
                                                  <w:marLeft w:val="0"/>
                                                  <w:marRight w:val="0"/>
                                                  <w:marTop w:val="0"/>
                                                  <w:marBottom w:val="0"/>
                                                  <w:divBdr>
                                                    <w:top w:val="none" w:sz="0" w:space="0" w:color="auto"/>
                                                    <w:left w:val="none" w:sz="0" w:space="0" w:color="auto"/>
                                                    <w:bottom w:val="none" w:sz="0" w:space="0" w:color="auto"/>
                                                    <w:right w:val="none" w:sz="0" w:space="0" w:color="auto"/>
                                                  </w:divBdr>
                                                  <w:divsChild>
                                                    <w:div w:id="1454978381">
                                                      <w:marLeft w:val="0"/>
                                                      <w:marRight w:val="0"/>
                                                      <w:marTop w:val="0"/>
                                                      <w:marBottom w:val="0"/>
                                                      <w:divBdr>
                                                        <w:top w:val="none" w:sz="0" w:space="0" w:color="auto"/>
                                                        <w:left w:val="none" w:sz="0" w:space="0" w:color="auto"/>
                                                        <w:bottom w:val="none" w:sz="0" w:space="0" w:color="auto"/>
                                                        <w:right w:val="none" w:sz="0" w:space="0" w:color="auto"/>
                                                      </w:divBdr>
                                                      <w:divsChild>
                                                        <w:div w:id="2005429995">
                                                          <w:marLeft w:val="0"/>
                                                          <w:marRight w:val="0"/>
                                                          <w:marTop w:val="0"/>
                                                          <w:marBottom w:val="0"/>
                                                          <w:divBdr>
                                                            <w:top w:val="none" w:sz="0" w:space="0" w:color="auto"/>
                                                            <w:left w:val="none" w:sz="0" w:space="0" w:color="auto"/>
                                                            <w:bottom w:val="none" w:sz="0" w:space="0" w:color="auto"/>
                                                            <w:right w:val="none" w:sz="0" w:space="0" w:color="auto"/>
                                                          </w:divBdr>
                                                          <w:divsChild>
                                                            <w:div w:id="891578081">
                                                              <w:marLeft w:val="0"/>
                                                              <w:marRight w:val="0"/>
                                                              <w:marTop w:val="0"/>
                                                              <w:marBottom w:val="0"/>
                                                              <w:divBdr>
                                                                <w:top w:val="none" w:sz="0" w:space="0" w:color="auto"/>
                                                                <w:left w:val="none" w:sz="0" w:space="0" w:color="auto"/>
                                                                <w:bottom w:val="none" w:sz="0" w:space="0" w:color="auto"/>
                                                                <w:right w:val="none" w:sz="0" w:space="0" w:color="auto"/>
                                                              </w:divBdr>
                                                              <w:divsChild>
                                                                <w:div w:id="710887801">
                                                                  <w:marLeft w:val="0"/>
                                                                  <w:marRight w:val="0"/>
                                                                  <w:marTop w:val="0"/>
                                                                  <w:marBottom w:val="0"/>
                                                                  <w:divBdr>
                                                                    <w:top w:val="none" w:sz="0" w:space="0" w:color="auto"/>
                                                                    <w:left w:val="none" w:sz="0" w:space="0" w:color="auto"/>
                                                                    <w:bottom w:val="none" w:sz="0" w:space="0" w:color="auto"/>
                                                                    <w:right w:val="none" w:sz="0" w:space="0" w:color="auto"/>
                                                                  </w:divBdr>
                                                                  <w:divsChild>
                                                                    <w:div w:id="57181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69212487">
      <w:bodyDiv w:val="1"/>
      <w:marLeft w:val="0"/>
      <w:marRight w:val="0"/>
      <w:marTop w:val="0"/>
      <w:marBottom w:val="0"/>
      <w:divBdr>
        <w:top w:val="none" w:sz="0" w:space="0" w:color="auto"/>
        <w:left w:val="none" w:sz="0" w:space="0" w:color="auto"/>
        <w:bottom w:val="none" w:sz="0" w:space="0" w:color="auto"/>
        <w:right w:val="none" w:sz="0" w:space="0" w:color="auto"/>
      </w:divBdr>
    </w:div>
    <w:div w:id="1255434773">
      <w:bodyDiv w:val="1"/>
      <w:marLeft w:val="0"/>
      <w:marRight w:val="0"/>
      <w:marTop w:val="0"/>
      <w:marBottom w:val="0"/>
      <w:divBdr>
        <w:top w:val="none" w:sz="0" w:space="0" w:color="auto"/>
        <w:left w:val="none" w:sz="0" w:space="0" w:color="auto"/>
        <w:bottom w:val="none" w:sz="0" w:space="0" w:color="auto"/>
        <w:right w:val="none" w:sz="0" w:space="0" w:color="auto"/>
      </w:divBdr>
    </w:div>
    <w:div w:id="1615819036">
      <w:bodyDiv w:val="1"/>
      <w:marLeft w:val="0"/>
      <w:marRight w:val="0"/>
      <w:marTop w:val="0"/>
      <w:marBottom w:val="0"/>
      <w:divBdr>
        <w:top w:val="none" w:sz="0" w:space="0" w:color="auto"/>
        <w:left w:val="none" w:sz="0" w:space="0" w:color="auto"/>
        <w:bottom w:val="none" w:sz="0" w:space="0" w:color="auto"/>
        <w:right w:val="none" w:sz="0" w:space="0" w:color="auto"/>
      </w:divBdr>
    </w:div>
    <w:div w:id="1671983842">
      <w:bodyDiv w:val="1"/>
      <w:marLeft w:val="0"/>
      <w:marRight w:val="0"/>
      <w:marTop w:val="0"/>
      <w:marBottom w:val="0"/>
      <w:divBdr>
        <w:top w:val="none" w:sz="0" w:space="0" w:color="auto"/>
        <w:left w:val="none" w:sz="0" w:space="0" w:color="auto"/>
        <w:bottom w:val="none" w:sz="0" w:space="0" w:color="auto"/>
        <w:right w:val="none" w:sz="0" w:space="0" w:color="auto"/>
      </w:divBdr>
    </w:div>
    <w:div w:id="1891572850">
      <w:bodyDiv w:val="1"/>
      <w:marLeft w:val="0"/>
      <w:marRight w:val="0"/>
      <w:marTop w:val="0"/>
      <w:marBottom w:val="0"/>
      <w:divBdr>
        <w:top w:val="none" w:sz="0" w:space="0" w:color="auto"/>
        <w:left w:val="none" w:sz="0" w:space="0" w:color="auto"/>
        <w:bottom w:val="none" w:sz="0" w:space="0" w:color="auto"/>
        <w:right w:val="none" w:sz="0" w:space="0" w:color="auto"/>
      </w:divBdr>
    </w:div>
    <w:div w:id="1914776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www.environment.gov.au/cgi-bin/sprat/public/publicspecies.pl?taxon_id=66633" TargetMode="External"/><Relationship Id="rId117" Type="http://schemas.openxmlformats.org/officeDocument/2006/relationships/image" Target="media/image94.jpeg"/><Relationship Id="rId21" Type="http://schemas.openxmlformats.org/officeDocument/2006/relationships/header" Target="header3.xml"/><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5.png"/><Relationship Id="rId89" Type="http://schemas.openxmlformats.org/officeDocument/2006/relationships/oleObject" Target="embeddings/oleObject2.bin"/><Relationship Id="rId112" Type="http://schemas.openxmlformats.org/officeDocument/2006/relationships/image" Target="media/image89.jpeg"/><Relationship Id="rId133" Type="http://schemas.openxmlformats.org/officeDocument/2006/relationships/image" Target="media/image108.jpeg"/><Relationship Id="rId138" Type="http://schemas.openxmlformats.org/officeDocument/2006/relationships/image" Target="media/image113.emf"/><Relationship Id="rId154" Type="http://schemas.openxmlformats.org/officeDocument/2006/relationships/image" Target="media/image128.jpeg"/><Relationship Id="rId159" Type="http://schemas.openxmlformats.org/officeDocument/2006/relationships/image" Target="media/image133.png"/><Relationship Id="rId175" Type="http://schemas.openxmlformats.org/officeDocument/2006/relationships/image" Target="media/image149.png"/><Relationship Id="rId170" Type="http://schemas.openxmlformats.org/officeDocument/2006/relationships/image" Target="media/image144.png"/><Relationship Id="rId16" Type="http://schemas.openxmlformats.org/officeDocument/2006/relationships/hyperlink" Target="http://creativecommons.org/licenses/by/3.0/au/" TargetMode="External"/><Relationship Id="rId107" Type="http://schemas.openxmlformats.org/officeDocument/2006/relationships/image" Target="media/image84.jpeg"/><Relationship Id="rId11" Type="http://schemas.openxmlformats.org/officeDocument/2006/relationships/image" Target="media/image5.png"/><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pn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79.jpeg"/><Relationship Id="rId123" Type="http://schemas.openxmlformats.org/officeDocument/2006/relationships/image" Target="media/image100.png"/><Relationship Id="rId128" Type="http://schemas.openxmlformats.org/officeDocument/2006/relationships/image" Target="media/image103.png"/><Relationship Id="rId144" Type="http://schemas.openxmlformats.org/officeDocument/2006/relationships/image" Target="media/image119.emf"/><Relationship Id="rId149" Type="http://schemas.openxmlformats.org/officeDocument/2006/relationships/image" Target="media/image123.jpeg"/><Relationship Id="rId5" Type="http://schemas.openxmlformats.org/officeDocument/2006/relationships/footnotes" Target="footnotes.xml"/><Relationship Id="rId90" Type="http://schemas.openxmlformats.org/officeDocument/2006/relationships/image" Target="media/image70.wmf"/><Relationship Id="rId95" Type="http://schemas.openxmlformats.org/officeDocument/2006/relationships/oleObject" Target="embeddings/oleObject5.bin"/><Relationship Id="rId160" Type="http://schemas.openxmlformats.org/officeDocument/2006/relationships/image" Target="media/image134.png"/><Relationship Id="rId165" Type="http://schemas.openxmlformats.org/officeDocument/2006/relationships/image" Target="media/image139.png"/><Relationship Id="rId181" Type="http://schemas.openxmlformats.org/officeDocument/2006/relationships/fontTable" Target="fontTable.xml"/><Relationship Id="rId22" Type="http://schemas.openxmlformats.org/officeDocument/2006/relationships/footer" Target="footer3.xml"/><Relationship Id="rId27" Type="http://schemas.openxmlformats.org/officeDocument/2006/relationships/image" Target="media/image10.jpe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png"/><Relationship Id="rId69" Type="http://schemas.openxmlformats.org/officeDocument/2006/relationships/image" Target="media/image51.jpeg"/><Relationship Id="rId113" Type="http://schemas.openxmlformats.org/officeDocument/2006/relationships/image" Target="media/image90.png"/><Relationship Id="rId118" Type="http://schemas.openxmlformats.org/officeDocument/2006/relationships/image" Target="media/image95.jpeg"/><Relationship Id="rId134" Type="http://schemas.openxmlformats.org/officeDocument/2006/relationships/image" Target="media/image109.jpeg"/><Relationship Id="rId139" Type="http://schemas.openxmlformats.org/officeDocument/2006/relationships/image" Target="media/image114.emf"/><Relationship Id="rId80" Type="http://schemas.openxmlformats.org/officeDocument/2006/relationships/image" Target="media/image62.wmf"/><Relationship Id="rId85" Type="http://schemas.openxmlformats.org/officeDocument/2006/relationships/image" Target="media/image66.png"/><Relationship Id="rId150" Type="http://schemas.openxmlformats.org/officeDocument/2006/relationships/image" Target="media/image124.jpeg"/><Relationship Id="rId155" Type="http://schemas.openxmlformats.org/officeDocument/2006/relationships/image" Target="media/image129.jpeg"/><Relationship Id="rId171" Type="http://schemas.openxmlformats.org/officeDocument/2006/relationships/image" Target="media/image145.png"/><Relationship Id="rId176" Type="http://schemas.openxmlformats.org/officeDocument/2006/relationships/image" Target="media/image150.png"/><Relationship Id="rId12" Type="http://schemas.openxmlformats.org/officeDocument/2006/relationships/image" Target="media/image6.jpeg"/><Relationship Id="rId17" Type="http://schemas.openxmlformats.org/officeDocument/2006/relationships/header" Target="header1.xml"/><Relationship Id="rId33" Type="http://schemas.openxmlformats.org/officeDocument/2006/relationships/image" Target="media/image15.png"/><Relationship Id="rId38" Type="http://schemas.openxmlformats.org/officeDocument/2006/relationships/image" Target="media/image20.jpeg"/><Relationship Id="rId59" Type="http://schemas.openxmlformats.org/officeDocument/2006/relationships/image" Target="media/image41.png"/><Relationship Id="rId103" Type="http://schemas.openxmlformats.org/officeDocument/2006/relationships/image" Target="media/image80.jpeg"/><Relationship Id="rId108" Type="http://schemas.openxmlformats.org/officeDocument/2006/relationships/image" Target="media/image85.jpeg"/><Relationship Id="rId124" Type="http://schemas.openxmlformats.org/officeDocument/2006/relationships/image" Target="media/image101.png"/><Relationship Id="rId129" Type="http://schemas.openxmlformats.org/officeDocument/2006/relationships/image" Target="media/image104.png"/><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oleObject" Target="embeddings/oleObject3.bin"/><Relationship Id="rId96" Type="http://schemas.openxmlformats.org/officeDocument/2006/relationships/image" Target="media/image73.jpeg"/><Relationship Id="rId140" Type="http://schemas.openxmlformats.org/officeDocument/2006/relationships/image" Target="media/image115.emf"/><Relationship Id="rId145" Type="http://schemas.openxmlformats.org/officeDocument/2006/relationships/image" Target="media/image120.png"/><Relationship Id="rId161" Type="http://schemas.openxmlformats.org/officeDocument/2006/relationships/image" Target="media/image135.png"/><Relationship Id="rId166" Type="http://schemas.openxmlformats.org/officeDocument/2006/relationships/image" Target="media/image140.jpeg"/><Relationship Id="rId18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4.xml"/><Relationship Id="rId28" Type="http://schemas.openxmlformats.org/officeDocument/2006/relationships/image" Target="media/image11.jpeg"/><Relationship Id="rId49" Type="http://schemas.openxmlformats.org/officeDocument/2006/relationships/image" Target="media/image31.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26.jpe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oleObject" Target="embeddings/oleObject1.bin"/><Relationship Id="rId86" Type="http://schemas.openxmlformats.org/officeDocument/2006/relationships/image" Target="media/image67.png"/><Relationship Id="rId130" Type="http://schemas.openxmlformats.org/officeDocument/2006/relationships/image" Target="media/image105.png"/><Relationship Id="rId135" Type="http://schemas.openxmlformats.org/officeDocument/2006/relationships/image" Target="media/image110.emf"/><Relationship Id="rId151" Type="http://schemas.openxmlformats.org/officeDocument/2006/relationships/image" Target="media/image125.jpeg"/><Relationship Id="rId156" Type="http://schemas.openxmlformats.org/officeDocument/2006/relationships/image" Target="media/image130.jpeg"/><Relationship Id="rId177" Type="http://schemas.openxmlformats.org/officeDocument/2006/relationships/image" Target="media/image151.pn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46.png"/><Relationship Id="rId180" Type="http://schemas.openxmlformats.org/officeDocument/2006/relationships/image" Target="media/image154.jpeg"/><Relationship Id="rId13" Type="http://schemas.openxmlformats.org/officeDocument/2006/relationships/image" Target="media/image7.jpeg"/><Relationship Id="rId18" Type="http://schemas.openxmlformats.org/officeDocument/2006/relationships/header" Target="header2.xml"/><Relationship Id="rId39" Type="http://schemas.openxmlformats.org/officeDocument/2006/relationships/image" Target="media/image21.jpeg"/><Relationship Id="rId109" Type="http://schemas.openxmlformats.org/officeDocument/2006/relationships/image" Target="media/image86.jpe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6.emf"/><Relationship Id="rId146" Type="http://schemas.openxmlformats.org/officeDocument/2006/relationships/image" Target="cid:image001.png@01CE938E.0BD6AAE0" TargetMode="External"/><Relationship Id="rId167" Type="http://schemas.openxmlformats.org/officeDocument/2006/relationships/image" Target="media/image141.jpeg"/><Relationship Id="rId7" Type="http://schemas.openxmlformats.org/officeDocument/2006/relationships/image" Target="media/image1.png"/><Relationship Id="rId71" Type="http://schemas.openxmlformats.org/officeDocument/2006/relationships/image" Target="media/image53.jpeg"/><Relationship Id="rId92" Type="http://schemas.openxmlformats.org/officeDocument/2006/relationships/image" Target="media/image71.wmf"/><Relationship Id="rId162" Type="http://schemas.openxmlformats.org/officeDocument/2006/relationships/image" Target="media/image136.png"/><Relationship Id="rId2" Type="http://schemas.openxmlformats.org/officeDocument/2006/relationships/styles" Target="styles.xml"/><Relationship Id="rId29" Type="http://schemas.openxmlformats.org/officeDocument/2006/relationships/image" Target="media/image12.jpeg"/><Relationship Id="rId24" Type="http://schemas.openxmlformats.org/officeDocument/2006/relationships/footer" Target="footer4.xml"/><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8.png"/><Relationship Id="rId110" Type="http://schemas.openxmlformats.org/officeDocument/2006/relationships/image" Target="media/image87.jpeg"/><Relationship Id="rId115" Type="http://schemas.openxmlformats.org/officeDocument/2006/relationships/image" Target="media/image92.png"/><Relationship Id="rId131" Type="http://schemas.openxmlformats.org/officeDocument/2006/relationships/image" Target="media/image106.jpeg"/><Relationship Id="rId136" Type="http://schemas.openxmlformats.org/officeDocument/2006/relationships/image" Target="media/image111.emf"/><Relationship Id="rId157" Type="http://schemas.openxmlformats.org/officeDocument/2006/relationships/image" Target="media/image131.jpeg"/><Relationship Id="rId178" Type="http://schemas.openxmlformats.org/officeDocument/2006/relationships/image" Target="media/image152.jpeg"/><Relationship Id="rId61" Type="http://schemas.openxmlformats.org/officeDocument/2006/relationships/image" Target="media/image43.png"/><Relationship Id="rId82" Type="http://schemas.openxmlformats.org/officeDocument/2006/relationships/image" Target="media/image63.png"/><Relationship Id="rId152" Type="http://schemas.openxmlformats.org/officeDocument/2006/relationships/image" Target="media/image126.png"/><Relationship Id="rId173" Type="http://schemas.openxmlformats.org/officeDocument/2006/relationships/image" Target="media/image147.jpeg"/><Relationship Id="rId19" Type="http://schemas.openxmlformats.org/officeDocument/2006/relationships/footer" Target="footer1.xml"/><Relationship Id="rId14" Type="http://schemas.openxmlformats.org/officeDocument/2006/relationships/image" Target="media/image8.jpeg"/><Relationship Id="rId30" Type="http://schemas.openxmlformats.org/officeDocument/2006/relationships/image" Target="media/image13.jpeg"/><Relationship Id="rId35" Type="http://schemas.openxmlformats.org/officeDocument/2006/relationships/image" Target="media/image17.png"/><Relationship Id="rId56" Type="http://schemas.openxmlformats.org/officeDocument/2006/relationships/image" Target="media/image38.jpeg"/><Relationship Id="rId77" Type="http://schemas.openxmlformats.org/officeDocument/2006/relationships/image" Target="media/image59.png"/><Relationship Id="rId100" Type="http://schemas.openxmlformats.org/officeDocument/2006/relationships/image" Target="media/image77.png"/><Relationship Id="rId105" Type="http://schemas.openxmlformats.org/officeDocument/2006/relationships/image" Target="media/image82.jpeg"/><Relationship Id="rId126" Type="http://schemas.openxmlformats.org/officeDocument/2006/relationships/chart" Target="charts/chart1.xml"/><Relationship Id="rId147" Type="http://schemas.openxmlformats.org/officeDocument/2006/relationships/image" Target="media/image121.jpeg"/><Relationship Id="rId168" Type="http://schemas.openxmlformats.org/officeDocument/2006/relationships/image" Target="media/image142.jpeg"/><Relationship Id="rId8" Type="http://schemas.openxmlformats.org/officeDocument/2006/relationships/image" Target="media/image2.png"/><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oleObject" Target="embeddings/oleObject4.bin"/><Relationship Id="rId98" Type="http://schemas.openxmlformats.org/officeDocument/2006/relationships/image" Target="media/image75.jpeg"/><Relationship Id="rId121" Type="http://schemas.openxmlformats.org/officeDocument/2006/relationships/image" Target="media/image98.png"/><Relationship Id="rId142" Type="http://schemas.openxmlformats.org/officeDocument/2006/relationships/image" Target="media/image117.emf"/><Relationship Id="rId163" Type="http://schemas.openxmlformats.org/officeDocument/2006/relationships/image" Target="media/image137.png"/><Relationship Id="rId3" Type="http://schemas.openxmlformats.org/officeDocument/2006/relationships/settings" Target="settings.xml"/><Relationship Id="rId25" Type="http://schemas.openxmlformats.org/officeDocument/2006/relationships/hyperlink" Target="http://www.environment.gov.au/cgi-bin/sprat/public/publicspecies.pl?taxon_id=26171" TargetMode="External"/><Relationship Id="rId46" Type="http://schemas.openxmlformats.org/officeDocument/2006/relationships/image" Target="media/image28.jpeg"/><Relationship Id="rId67" Type="http://schemas.openxmlformats.org/officeDocument/2006/relationships/image" Target="media/image49.png"/><Relationship Id="rId116" Type="http://schemas.openxmlformats.org/officeDocument/2006/relationships/image" Target="media/image93.png"/><Relationship Id="rId137" Type="http://schemas.openxmlformats.org/officeDocument/2006/relationships/image" Target="media/image112.emf"/><Relationship Id="rId158" Type="http://schemas.openxmlformats.org/officeDocument/2006/relationships/image" Target="media/image132.jpeg"/><Relationship Id="rId20" Type="http://schemas.openxmlformats.org/officeDocument/2006/relationships/footer" Target="footer2.xml"/><Relationship Id="rId41" Type="http://schemas.openxmlformats.org/officeDocument/2006/relationships/image" Target="media/image23.jpeg"/><Relationship Id="rId62" Type="http://schemas.openxmlformats.org/officeDocument/2006/relationships/image" Target="media/image44.png"/><Relationship Id="rId83" Type="http://schemas.openxmlformats.org/officeDocument/2006/relationships/image" Target="media/image64.png"/><Relationship Id="rId88" Type="http://schemas.openxmlformats.org/officeDocument/2006/relationships/image" Target="media/image69.wmf"/><Relationship Id="rId111" Type="http://schemas.openxmlformats.org/officeDocument/2006/relationships/image" Target="media/image88.jpeg"/><Relationship Id="rId132" Type="http://schemas.openxmlformats.org/officeDocument/2006/relationships/image" Target="media/image107.jpeg"/><Relationship Id="rId153" Type="http://schemas.openxmlformats.org/officeDocument/2006/relationships/image" Target="media/image127.jpeg"/><Relationship Id="rId174" Type="http://schemas.openxmlformats.org/officeDocument/2006/relationships/image" Target="media/image148.png"/><Relationship Id="rId179" Type="http://schemas.openxmlformats.org/officeDocument/2006/relationships/image" Target="media/image153.jpeg"/><Relationship Id="rId15" Type="http://schemas.openxmlformats.org/officeDocument/2006/relationships/image" Target="media/image9.png"/><Relationship Id="rId36" Type="http://schemas.openxmlformats.org/officeDocument/2006/relationships/image" Target="media/image18.jpeg"/><Relationship Id="rId57" Type="http://schemas.openxmlformats.org/officeDocument/2006/relationships/image" Target="media/image39.jpeg"/><Relationship Id="rId106" Type="http://schemas.openxmlformats.org/officeDocument/2006/relationships/image" Target="media/image83.jpeg"/><Relationship Id="rId127" Type="http://schemas.openxmlformats.org/officeDocument/2006/relationships/chart" Target="charts/chart2.xml"/><Relationship Id="rId10" Type="http://schemas.openxmlformats.org/officeDocument/2006/relationships/image" Target="media/image4.jpeg"/><Relationship Id="rId31" Type="http://schemas.openxmlformats.org/officeDocument/2006/relationships/footer" Target="footer5.xml"/><Relationship Id="rId52" Type="http://schemas.openxmlformats.org/officeDocument/2006/relationships/image" Target="media/image34.jpeg"/><Relationship Id="rId73" Type="http://schemas.openxmlformats.org/officeDocument/2006/relationships/image" Target="media/image55.jpeg"/><Relationship Id="rId78" Type="http://schemas.openxmlformats.org/officeDocument/2006/relationships/image" Target="media/image60.png"/><Relationship Id="rId94" Type="http://schemas.openxmlformats.org/officeDocument/2006/relationships/image" Target="media/image72.wmf"/><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image" Target="media/image99.png"/><Relationship Id="rId143" Type="http://schemas.openxmlformats.org/officeDocument/2006/relationships/image" Target="media/image118.emf"/><Relationship Id="rId148" Type="http://schemas.openxmlformats.org/officeDocument/2006/relationships/image" Target="media/image122.jpeg"/><Relationship Id="rId164" Type="http://schemas.openxmlformats.org/officeDocument/2006/relationships/image" Target="media/image138.png"/><Relationship Id="rId169" Type="http://schemas.openxmlformats.org/officeDocument/2006/relationships/image" Target="media/image143.jpeg"/></Relationships>
</file>

<file path=word/charts/_rels/chart1.xml.rels><?xml version="1.0" encoding="UTF-8" standalone="yes"?>
<Relationships xmlns="http://schemas.openxmlformats.org/package/2006/relationships"><Relationship Id="rId1" Type="http://schemas.openxmlformats.org/officeDocument/2006/relationships/oleObject" Target="file:///\\NARRFISCFP1\GROUPS$\Fishnet\Research%20Projects\Bidgee%20E-Water%202012\DATA\Larval%20Drift%20Net%20Processing\Larval%20Drift%20Nets.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NARRFISCFP1\GROUPS$\Fishnet\Research%20Projects\Bidgee%20E-Water%202012\DATA\LARVAL%20LDN_LT%20combined\Light%20Traps\Larval%20processing%20data%20sheet%20LT.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1929367824159814"/>
          <c:y val="3.4717759423278982E-2"/>
          <c:w val="0.59180608906868759"/>
          <c:h val="0.8389899416935418"/>
        </c:manualLayout>
      </c:layout>
      <c:barChart>
        <c:barDir val="col"/>
        <c:grouping val="clustered"/>
        <c:ser>
          <c:idx val="0"/>
          <c:order val="0"/>
          <c:tx>
            <c:strRef>
              <c:f>'CPUE LDN ALL SPECIES_PIVOT'!$C$26</c:f>
              <c:strCache>
                <c:ptCount val="1"/>
                <c:pt idx="0">
                  <c:v>Cod (larvae)</c:v>
                </c:pt>
              </c:strCache>
            </c:strRef>
          </c:tx>
          <c:spPr>
            <a:solidFill>
              <a:srgbClr val="86B29E"/>
            </a:solidFill>
          </c:spPr>
          <c:cat>
            <c:strRef>
              <c:f>'CPUE LDN ALL SPECIES_PIVOT'!$B$27:$B$30</c:f>
              <c:strCache>
                <c:ptCount val="4"/>
                <c:pt idx="0">
                  <c:v>Euroley Bridge</c:v>
                </c:pt>
                <c:pt idx="1">
                  <c:v>Narrandera</c:v>
                </c:pt>
                <c:pt idx="2">
                  <c:v>Berry Jerry</c:v>
                </c:pt>
                <c:pt idx="3">
                  <c:v>Old Man Creek</c:v>
                </c:pt>
              </c:strCache>
            </c:strRef>
          </c:cat>
          <c:val>
            <c:numRef>
              <c:f>'CPUE LDN ALL SPECIES_PIVOT'!$C$27:$C$30</c:f>
              <c:numCache>
                <c:formatCode>General</c:formatCode>
                <c:ptCount val="4"/>
                <c:pt idx="0">
                  <c:v>178.48480275483792</c:v>
                </c:pt>
                <c:pt idx="1">
                  <c:v>135.75254685816267</c:v>
                </c:pt>
                <c:pt idx="2">
                  <c:v>25.922647143670595</c:v>
                </c:pt>
                <c:pt idx="3">
                  <c:v>17.36885216508983</c:v>
                </c:pt>
              </c:numCache>
            </c:numRef>
          </c:val>
        </c:ser>
        <c:ser>
          <c:idx val="6"/>
          <c:order val="1"/>
          <c:tx>
            <c:strRef>
              <c:f>'CPUE LDN ALL SPECIES_PIVOT'!$H$26</c:f>
              <c:strCache>
                <c:ptCount val="1"/>
                <c:pt idx="0">
                  <c:v>River blackfish (larvae)</c:v>
                </c:pt>
              </c:strCache>
            </c:strRef>
          </c:tx>
          <c:spPr>
            <a:solidFill>
              <a:schemeClr val="bg1">
                <a:lumMod val="50000"/>
              </a:schemeClr>
            </a:solidFill>
          </c:spPr>
          <c:cat>
            <c:strRef>
              <c:f>'CPUE LDN ALL SPECIES_PIVOT'!$B$27:$B$30</c:f>
              <c:strCache>
                <c:ptCount val="4"/>
                <c:pt idx="0">
                  <c:v>Euroley Bridge</c:v>
                </c:pt>
                <c:pt idx="1">
                  <c:v>Narrandera</c:v>
                </c:pt>
                <c:pt idx="2">
                  <c:v>Berry Jerry</c:v>
                </c:pt>
                <c:pt idx="3">
                  <c:v>Old Man Creek</c:v>
                </c:pt>
              </c:strCache>
            </c:strRef>
          </c:cat>
          <c:val>
            <c:numRef>
              <c:f>'CPUE LDN ALL SPECIES_PIVOT'!$I$27:$I$30</c:f>
              <c:numCache>
                <c:formatCode>General</c:formatCode>
                <c:ptCount val="4"/>
              </c:numCache>
            </c:numRef>
          </c:val>
        </c:ser>
        <c:ser>
          <c:idx val="7"/>
          <c:order val="2"/>
          <c:tx>
            <c:strRef>
              <c:f>'CPUE LDN ALL SPECIES_PIVOT'!$I$26</c:f>
              <c:strCache>
                <c:ptCount val="1"/>
                <c:pt idx="0">
                  <c:v>Australian smelt (larvae)</c:v>
                </c:pt>
              </c:strCache>
            </c:strRef>
          </c:tx>
          <c:spPr>
            <a:solidFill>
              <a:srgbClr val="B6533F"/>
            </a:solidFill>
          </c:spPr>
          <c:cat>
            <c:strRef>
              <c:f>'CPUE LDN ALL SPECIES_PIVOT'!$B$27:$B$30</c:f>
              <c:strCache>
                <c:ptCount val="4"/>
                <c:pt idx="0">
                  <c:v>Euroley Bridge</c:v>
                </c:pt>
                <c:pt idx="1">
                  <c:v>Narrandera</c:v>
                </c:pt>
                <c:pt idx="2">
                  <c:v>Berry Jerry</c:v>
                </c:pt>
                <c:pt idx="3">
                  <c:v>Old Man Creek</c:v>
                </c:pt>
              </c:strCache>
            </c:strRef>
          </c:cat>
          <c:val>
            <c:numRef>
              <c:f>'CPUE LDN ALL SPECIES_PIVOT'!#REF!</c:f>
              <c:numCache>
                <c:formatCode>General</c:formatCode>
                <c:ptCount val="1"/>
                <c:pt idx="0">
                  <c:v>1</c:v>
                </c:pt>
              </c:numCache>
            </c:numRef>
          </c:val>
        </c:ser>
        <c:ser>
          <c:idx val="4"/>
          <c:order val="3"/>
          <c:tx>
            <c:strRef>
              <c:f>'CPUE LDN ALL SPECIES_PIVOT'!$G$26</c:f>
              <c:strCache>
                <c:ptCount val="1"/>
                <c:pt idx="0">
                  <c:v>Unknown larvae</c:v>
                </c:pt>
              </c:strCache>
            </c:strRef>
          </c:tx>
          <c:cat>
            <c:strRef>
              <c:f>'CPUE LDN ALL SPECIES_PIVOT'!$B$27:$B$30</c:f>
              <c:strCache>
                <c:ptCount val="4"/>
                <c:pt idx="0">
                  <c:v>Euroley Bridge</c:v>
                </c:pt>
                <c:pt idx="1">
                  <c:v>Narrandera</c:v>
                </c:pt>
                <c:pt idx="2">
                  <c:v>Berry Jerry</c:v>
                </c:pt>
                <c:pt idx="3">
                  <c:v>Old Man Creek</c:v>
                </c:pt>
              </c:strCache>
            </c:strRef>
          </c:cat>
          <c:val>
            <c:numRef>
              <c:f>'CPUE LDN ALL SPECIES_PIVOT'!$G$27:$G$30</c:f>
              <c:numCache>
                <c:formatCode>General</c:formatCode>
                <c:ptCount val="4"/>
                <c:pt idx="0">
                  <c:v>14.237273540033454</c:v>
                </c:pt>
                <c:pt idx="1">
                  <c:v>8.0321833284337458</c:v>
                </c:pt>
                <c:pt idx="2">
                  <c:v>3.7670393513577518</c:v>
                </c:pt>
                <c:pt idx="3">
                  <c:v>5.8923680095517232</c:v>
                </c:pt>
              </c:numCache>
            </c:numRef>
          </c:val>
        </c:ser>
        <c:ser>
          <c:idx val="1"/>
          <c:order val="4"/>
          <c:tx>
            <c:strRef>
              <c:f>'CPUE LDN ALL SPECIES_PIVOT'!$D$26</c:f>
              <c:strCache>
                <c:ptCount val="1"/>
                <c:pt idx="0">
                  <c:v>Golden perch (juvenile)</c:v>
                </c:pt>
              </c:strCache>
            </c:strRef>
          </c:tx>
          <c:spPr>
            <a:solidFill>
              <a:schemeClr val="tx1"/>
            </a:solidFill>
          </c:spPr>
          <c:cat>
            <c:strRef>
              <c:f>'CPUE LDN ALL SPECIES_PIVOT'!$B$27:$B$30</c:f>
              <c:strCache>
                <c:ptCount val="4"/>
                <c:pt idx="0">
                  <c:v>Euroley Bridge</c:v>
                </c:pt>
                <c:pt idx="1">
                  <c:v>Narrandera</c:v>
                </c:pt>
                <c:pt idx="2">
                  <c:v>Berry Jerry</c:v>
                </c:pt>
                <c:pt idx="3">
                  <c:v>Old Man Creek</c:v>
                </c:pt>
              </c:strCache>
            </c:strRef>
          </c:cat>
          <c:val>
            <c:numRef>
              <c:f>'CPUE LDN ALL SPECIES_PIVOT'!$D$27:$D$30</c:f>
              <c:numCache>
                <c:formatCode>General</c:formatCode>
                <c:ptCount val="4"/>
                <c:pt idx="1">
                  <c:v>0.63144471034994964</c:v>
                </c:pt>
              </c:numCache>
            </c:numRef>
          </c:val>
        </c:ser>
        <c:ser>
          <c:idx val="2"/>
          <c:order val="5"/>
          <c:tx>
            <c:strRef>
              <c:f>'CPUE LDN ALL SPECIES_PIVOT'!$E$26</c:f>
              <c:strCache>
                <c:ptCount val="1"/>
                <c:pt idx="0">
                  <c:v>Carp gudgeon (juvenile/adult)</c:v>
                </c:pt>
              </c:strCache>
            </c:strRef>
          </c:tx>
          <c:spPr>
            <a:solidFill>
              <a:srgbClr val="4A2683"/>
            </a:solidFill>
          </c:spPr>
          <c:cat>
            <c:strRef>
              <c:f>'CPUE LDN ALL SPECIES_PIVOT'!$B$27:$B$30</c:f>
              <c:strCache>
                <c:ptCount val="4"/>
                <c:pt idx="0">
                  <c:v>Euroley Bridge</c:v>
                </c:pt>
                <c:pt idx="1">
                  <c:v>Narrandera</c:v>
                </c:pt>
                <c:pt idx="2">
                  <c:v>Berry Jerry</c:v>
                </c:pt>
                <c:pt idx="3">
                  <c:v>Old Man Creek</c:v>
                </c:pt>
              </c:strCache>
            </c:strRef>
          </c:cat>
          <c:val>
            <c:numRef>
              <c:f>'CPUE LDN ALL SPECIES_PIVOT'!$E$27:$E$30</c:f>
              <c:numCache>
                <c:formatCode>General</c:formatCode>
                <c:ptCount val="4"/>
                <c:pt idx="0">
                  <c:v>8.6494308156010966</c:v>
                </c:pt>
                <c:pt idx="1">
                  <c:v>4.685030862636399</c:v>
                </c:pt>
                <c:pt idx="2">
                  <c:v>0.80790407689347399</c:v>
                </c:pt>
                <c:pt idx="3">
                  <c:v>5.8866822792302278</c:v>
                </c:pt>
              </c:numCache>
            </c:numRef>
          </c:val>
        </c:ser>
        <c:ser>
          <c:idx val="3"/>
          <c:order val="6"/>
          <c:tx>
            <c:strRef>
              <c:f>'CPUE LDN ALL SPECIES_PIVOT'!$F$26</c:f>
              <c:strCache>
                <c:ptCount val="1"/>
                <c:pt idx="0">
                  <c:v>Eastern gambusia (juvenile/adult)</c:v>
                </c:pt>
              </c:strCache>
            </c:strRef>
          </c:tx>
          <c:spPr>
            <a:solidFill>
              <a:srgbClr val="07601F"/>
            </a:solidFill>
          </c:spPr>
          <c:cat>
            <c:strRef>
              <c:f>'CPUE LDN ALL SPECIES_PIVOT'!$B$27:$B$30</c:f>
              <c:strCache>
                <c:ptCount val="4"/>
                <c:pt idx="0">
                  <c:v>Euroley Bridge</c:v>
                </c:pt>
                <c:pt idx="1">
                  <c:v>Narrandera</c:v>
                </c:pt>
                <c:pt idx="2">
                  <c:v>Berry Jerry</c:v>
                </c:pt>
                <c:pt idx="3">
                  <c:v>Old Man Creek</c:v>
                </c:pt>
              </c:strCache>
            </c:strRef>
          </c:cat>
          <c:val>
            <c:numRef>
              <c:f>'CPUE LDN ALL SPECIES_PIVOT'!$F$27:$F$30</c:f>
              <c:numCache>
                <c:formatCode>General</c:formatCode>
                <c:ptCount val="4"/>
                <c:pt idx="1">
                  <c:v>0.60332864330782465</c:v>
                </c:pt>
                <c:pt idx="2">
                  <c:v>0.85111074782089868</c:v>
                </c:pt>
              </c:numCache>
            </c:numRef>
          </c:val>
        </c:ser>
        <c:ser>
          <c:idx val="5"/>
          <c:order val="7"/>
          <c:tx>
            <c:strRef>
              <c:f>'CPUE LDN ALL SPECIES_PIVOT'!$J$26</c:f>
              <c:strCache>
                <c:ptCount val="1"/>
                <c:pt idx="0">
                  <c:v>Drifting egg</c:v>
                </c:pt>
              </c:strCache>
            </c:strRef>
          </c:tx>
          <c:spPr>
            <a:solidFill>
              <a:srgbClr val="A1B0D1"/>
            </a:solidFill>
          </c:spPr>
          <c:cat>
            <c:strRef>
              <c:f>'CPUE LDN ALL SPECIES_PIVOT'!$B$27:$B$30</c:f>
              <c:strCache>
                <c:ptCount val="4"/>
                <c:pt idx="0">
                  <c:v>Euroley Bridge</c:v>
                </c:pt>
                <c:pt idx="1">
                  <c:v>Narrandera</c:v>
                </c:pt>
                <c:pt idx="2">
                  <c:v>Berry Jerry</c:v>
                </c:pt>
                <c:pt idx="3">
                  <c:v>Old Man Creek</c:v>
                </c:pt>
              </c:strCache>
            </c:strRef>
          </c:cat>
          <c:val>
            <c:numRef>
              <c:f>'CPUE LDN ALL SPECIES_PIVOT'!$J$27:$J$30</c:f>
              <c:numCache>
                <c:formatCode>General</c:formatCode>
                <c:ptCount val="4"/>
                <c:pt idx="0">
                  <c:v>243.93538351185475</c:v>
                </c:pt>
                <c:pt idx="1">
                  <c:v>6.0071458749231468</c:v>
                </c:pt>
                <c:pt idx="2">
                  <c:v>14.056318917477149</c:v>
                </c:pt>
              </c:numCache>
            </c:numRef>
          </c:val>
        </c:ser>
        <c:axId val="56345728"/>
        <c:axId val="56347264"/>
      </c:barChart>
      <c:catAx>
        <c:axId val="56345728"/>
        <c:scaling>
          <c:orientation val="minMax"/>
        </c:scaling>
        <c:axPos val="b"/>
        <c:tickLblPos val="nextTo"/>
        <c:txPr>
          <a:bodyPr/>
          <a:lstStyle/>
          <a:p>
            <a:pPr>
              <a:defRPr>
                <a:latin typeface="Century Gothic" pitchFamily="34" charset="0"/>
              </a:defRPr>
            </a:pPr>
            <a:endParaRPr lang="en-US"/>
          </a:p>
        </c:txPr>
        <c:crossAx val="56347264"/>
        <c:crosses val="autoZero"/>
        <c:auto val="1"/>
        <c:lblAlgn val="ctr"/>
        <c:lblOffset val="100"/>
      </c:catAx>
      <c:valAx>
        <c:axId val="56347264"/>
        <c:scaling>
          <c:orientation val="minMax"/>
          <c:max val="250"/>
        </c:scaling>
        <c:axPos val="l"/>
        <c:title>
          <c:tx>
            <c:rich>
              <a:bodyPr rot="-5400000" vert="horz"/>
              <a:lstStyle/>
              <a:p>
                <a:pPr>
                  <a:defRPr>
                    <a:latin typeface="Century Gothic" pitchFamily="34" charset="0"/>
                  </a:defRPr>
                </a:pPr>
                <a:r>
                  <a:rPr lang="en-US">
                    <a:latin typeface="Century Gothic" pitchFamily="34" charset="0"/>
                  </a:rPr>
                  <a:t>Catch per unit effort (per one megalitre)</a:t>
                </a:r>
              </a:p>
            </c:rich>
          </c:tx>
        </c:title>
        <c:numFmt formatCode="General" sourceLinked="1"/>
        <c:tickLblPos val="nextTo"/>
        <c:crossAx val="56345728"/>
        <c:crosses val="autoZero"/>
        <c:crossBetween val="between"/>
      </c:valAx>
    </c:plotArea>
    <c:legend>
      <c:legendPos val="r"/>
      <c:layout>
        <c:manualLayout>
          <c:xMode val="edge"/>
          <c:yMode val="edge"/>
          <c:x val="0.71500210540819265"/>
          <c:y val="0"/>
          <c:w val="0.28230548329925748"/>
          <c:h val="1"/>
        </c:manualLayout>
      </c:layout>
      <c:txPr>
        <a:bodyPr/>
        <a:lstStyle/>
        <a:p>
          <a:pPr>
            <a:defRPr>
              <a:latin typeface="Century Gothic" pitchFamily="34" charset="0"/>
            </a:defRPr>
          </a:pPr>
          <a:endParaRPr lang="en-US"/>
        </a:p>
      </c:txPr>
    </c:legend>
    <c:plotVisOnly val="1"/>
    <c:dispBlanksAs val="gap"/>
  </c:chart>
  <c:spPr>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AU"/>
  <c:chart>
    <c:plotArea>
      <c:layout>
        <c:manualLayout>
          <c:layoutTarget val="inner"/>
          <c:xMode val="edge"/>
          <c:yMode val="edge"/>
          <c:x val="0.13468432871883787"/>
          <c:y val="4.7907451679960633E-2"/>
          <c:w val="0.80117399584979676"/>
          <c:h val="0.84399493752602772"/>
        </c:manualLayout>
      </c:layout>
      <c:barChart>
        <c:barDir val="col"/>
        <c:grouping val="clustered"/>
        <c:ser>
          <c:idx val="0"/>
          <c:order val="0"/>
          <c:tx>
            <c:strRef>
              <c:f>'CPUE graph_LT'!$C$40</c:f>
              <c:strCache>
                <c:ptCount val="1"/>
                <c:pt idx="0">
                  <c:v>Cod (larvae)</c:v>
                </c:pt>
              </c:strCache>
            </c:strRef>
          </c:tx>
          <c:spPr>
            <a:solidFill>
              <a:srgbClr val="86B29E"/>
            </a:solidFill>
          </c:spPr>
          <c:cat>
            <c:strRef>
              <c:f>'CPUE graph_LT'!$B$41:$B$44</c:f>
              <c:strCache>
                <c:ptCount val="4"/>
                <c:pt idx="0">
                  <c:v>Euroley Bridge</c:v>
                </c:pt>
                <c:pt idx="1">
                  <c:v>Narrandera</c:v>
                </c:pt>
                <c:pt idx="2">
                  <c:v>Berry Jerry</c:v>
                </c:pt>
                <c:pt idx="3">
                  <c:v>Old Man Creek</c:v>
                </c:pt>
              </c:strCache>
            </c:strRef>
          </c:cat>
          <c:val>
            <c:numRef>
              <c:f>'CPUE graph_LT'!$C$41:$C$44</c:f>
              <c:numCache>
                <c:formatCode>General</c:formatCode>
                <c:ptCount val="4"/>
                <c:pt idx="0">
                  <c:v>0.23794502710158641</c:v>
                </c:pt>
                <c:pt idx="1">
                  <c:v>8.8987776416401779E-2</c:v>
                </c:pt>
                <c:pt idx="2">
                  <c:v>5.037783375335543E-2</c:v>
                </c:pt>
              </c:numCache>
            </c:numRef>
          </c:val>
        </c:ser>
        <c:ser>
          <c:idx val="1"/>
          <c:order val="1"/>
          <c:tx>
            <c:strRef>
              <c:f>'CPUE graph_LT'!$D$40</c:f>
              <c:strCache>
                <c:ptCount val="1"/>
                <c:pt idx="0">
                  <c:v>River blackfish (larvae)</c:v>
                </c:pt>
              </c:strCache>
            </c:strRef>
          </c:tx>
          <c:spPr>
            <a:solidFill>
              <a:schemeClr val="bg1">
                <a:lumMod val="50000"/>
              </a:schemeClr>
            </a:solidFill>
          </c:spPr>
          <c:cat>
            <c:strRef>
              <c:f>'CPUE graph_LT'!$B$41:$B$44</c:f>
              <c:strCache>
                <c:ptCount val="4"/>
                <c:pt idx="0">
                  <c:v>Euroley Bridge</c:v>
                </c:pt>
                <c:pt idx="1">
                  <c:v>Narrandera</c:v>
                </c:pt>
                <c:pt idx="2">
                  <c:v>Berry Jerry</c:v>
                </c:pt>
                <c:pt idx="3">
                  <c:v>Old Man Creek</c:v>
                </c:pt>
              </c:strCache>
            </c:strRef>
          </c:cat>
          <c:val>
            <c:numRef>
              <c:f>'CPUE graph_LT'!$D$41:$D$44</c:f>
              <c:numCache>
                <c:formatCode>General</c:formatCode>
                <c:ptCount val="4"/>
                <c:pt idx="2">
                  <c:v>9.3167701863573024E-2</c:v>
                </c:pt>
              </c:numCache>
            </c:numRef>
          </c:val>
        </c:ser>
        <c:ser>
          <c:idx val="2"/>
          <c:order val="2"/>
          <c:tx>
            <c:strRef>
              <c:f>'CPUE graph_LT'!$E$40</c:f>
              <c:strCache>
                <c:ptCount val="1"/>
                <c:pt idx="0">
                  <c:v>Australian smelt (larvae)</c:v>
                </c:pt>
              </c:strCache>
            </c:strRef>
          </c:tx>
          <c:spPr>
            <a:solidFill>
              <a:srgbClr val="B6533F"/>
            </a:solidFill>
          </c:spPr>
          <c:cat>
            <c:strRef>
              <c:f>'CPUE graph_LT'!$B$41:$B$44</c:f>
              <c:strCache>
                <c:ptCount val="4"/>
                <c:pt idx="0">
                  <c:v>Euroley Bridge</c:v>
                </c:pt>
                <c:pt idx="1">
                  <c:v>Narrandera</c:v>
                </c:pt>
                <c:pt idx="2">
                  <c:v>Berry Jerry</c:v>
                </c:pt>
                <c:pt idx="3">
                  <c:v>Old Man Creek</c:v>
                </c:pt>
              </c:strCache>
            </c:strRef>
          </c:cat>
          <c:val>
            <c:numRef>
              <c:f>'CPUE graph_LT'!$E$41:$E$44</c:f>
              <c:numCache>
                <c:formatCode>General</c:formatCode>
                <c:ptCount val="4"/>
                <c:pt idx="0">
                  <c:v>0.14754098360585344</c:v>
                </c:pt>
                <c:pt idx="1">
                  <c:v>0.39360635092565927</c:v>
                </c:pt>
              </c:numCache>
            </c:numRef>
          </c:val>
        </c:ser>
        <c:ser>
          <c:idx val="3"/>
          <c:order val="3"/>
          <c:tx>
            <c:strRef>
              <c:f>'CPUE graph_LT'!$F$40</c:f>
              <c:strCache>
                <c:ptCount val="1"/>
                <c:pt idx="0">
                  <c:v>Carp gudgeon (juvenile/adult)</c:v>
                </c:pt>
              </c:strCache>
            </c:strRef>
          </c:tx>
          <c:spPr>
            <a:solidFill>
              <a:srgbClr val="4A2683"/>
            </a:solidFill>
          </c:spPr>
          <c:cat>
            <c:strRef>
              <c:f>'CPUE graph_LT'!$B$41:$B$44</c:f>
              <c:strCache>
                <c:ptCount val="4"/>
                <c:pt idx="0">
                  <c:v>Euroley Bridge</c:v>
                </c:pt>
                <c:pt idx="1">
                  <c:v>Narrandera</c:v>
                </c:pt>
                <c:pt idx="2">
                  <c:v>Berry Jerry</c:v>
                </c:pt>
                <c:pt idx="3">
                  <c:v>Old Man Creek</c:v>
                </c:pt>
              </c:strCache>
            </c:strRef>
          </c:cat>
          <c:val>
            <c:numRef>
              <c:f>'CPUE graph_LT'!$F$41:$F$44</c:f>
              <c:numCache>
                <c:formatCode>General</c:formatCode>
                <c:ptCount val="4"/>
                <c:pt idx="0">
                  <c:v>0.76724800182928965</c:v>
                </c:pt>
                <c:pt idx="1">
                  <c:v>1.5438893110592598</c:v>
                </c:pt>
                <c:pt idx="2">
                  <c:v>0.14109283064020894</c:v>
                </c:pt>
                <c:pt idx="3">
                  <c:v>0.61367477219106614</c:v>
                </c:pt>
              </c:numCache>
            </c:numRef>
          </c:val>
        </c:ser>
        <c:ser>
          <c:idx val="4"/>
          <c:order val="4"/>
          <c:tx>
            <c:strRef>
              <c:f>'CPUE graph_LT'!$G$40</c:f>
              <c:strCache>
                <c:ptCount val="1"/>
                <c:pt idx="0">
                  <c:v>Drifting egg</c:v>
                </c:pt>
              </c:strCache>
            </c:strRef>
          </c:tx>
          <c:spPr>
            <a:solidFill>
              <a:srgbClr val="A1B0D1"/>
            </a:solidFill>
          </c:spPr>
          <c:cat>
            <c:strRef>
              <c:f>'CPUE graph_LT'!$B$41:$B$44</c:f>
              <c:strCache>
                <c:ptCount val="4"/>
                <c:pt idx="0">
                  <c:v>Euroley Bridge</c:v>
                </c:pt>
                <c:pt idx="1">
                  <c:v>Narrandera</c:v>
                </c:pt>
                <c:pt idx="2">
                  <c:v>Berry Jerry</c:v>
                </c:pt>
                <c:pt idx="3">
                  <c:v>Old Man Creek</c:v>
                </c:pt>
              </c:strCache>
            </c:strRef>
          </c:cat>
          <c:val>
            <c:numRef>
              <c:f>'CPUE graph_LT'!$G$41:$G$44</c:f>
              <c:numCache>
                <c:formatCode>General</c:formatCode>
                <c:ptCount val="4"/>
                <c:pt idx="2">
                  <c:v>0.10058675607698181</c:v>
                </c:pt>
              </c:numCache>
            </c:numRef>
          </c:val>
        </c:ser>
        <c:axId val="56121984"/>
        <c:axId val="56127872"/>
      </c:barChart>
      <c:catAx>
        <c:axId val="56121984"/>
        <c:scaling>
          <c:orientation val="minMax"/>
        </c:scaling>
        <c:axPos val="b"/>
        <c:tickLblPos val="nextTo"/>
        <c:txPr>
          <a:bodyPr/>
          <a:lstStyle/>
          <a:p>
            <a:pPr>
              <a:defRPr>
                <a:latin typeface="Century Gothic" pitchFamily="34" charset="0"/>
              </a:defRPr>
            </a:pPr>
            <a:endParaRPr lang="en-US"/>
          </a:p>
        </c:txPr>
        <c:crossAx val="56127872"/>
        <c:crosses val="autoZero"/>
        <c:auto val="1"/>
        <c:lblAlgn val="ctr"/>
        <c:lblOffset val="100"/>
      </c:catAx>
      <c:valAx>
        <c:axId val="56127872"/>
        <c:scaling>
          <c:orientation val="minMax"/>
        </c:scaling>
        <c:axPos val="l"/>
        <c:title>
          <c:tx>
            <c:rich>
              <a:bodyPr rot="-5400000" vert="horz"/>
              <a:lstStyle/>
              <a:p>
                <a:pPr>
                  <a:defRPr>
                    <a:latin typeface="Century Gothic" pitchFamily="34" charset="0"/>
                  </a:defRPr>
                </a:pPr>
                <a:r>
                  <a:rPr lang="en-US">
                    <a:latin typeface="Century Gothic" pitchFamily="34" charset="0"/>
                  </a:rPr>
                  <a:t>Catch per unit effort (per one light trap hour)</a:t>
                </a:r>
              </a:p>
            </c:rich>
          </c:tx>
        </c:title>
        <c:numFmt formatCode="General" sourceLinked="1"/>
        <c:tickLblPos val="nextTo"/>
        <c:crossAx val="56121984"/>
        <c:crosses val="autoZero"/>
        <c:crossBetween val="between"/>
      </c:valAx>
    </c:plotArea>
    <c:plotVisOnly val="1"/>
    <c:dispBlanksAs val="gap"/>
  </c:chart>
  <c:spPr>
    <a:ln>
      <a:noFill/>
    </a:ln>
  </c:sp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200</Pages>
  <Words>64296</Words>
  <Characters>366493</Characters>
  <Application>Microsoft Office Word</Application>
  <DocSecurity>4</DocSecurity>
  <Lines>3054</Lines>
  <Paragraphs>859</Paragraphs>
  <ScaleCrop>false</ScaleCrop>
  <LinksUpToDate>false</LinksUpToDate>
  <CharactersWithSpaces>429930</CharactersWithSpaces>
  <SharedDoc>false</SharedDoc>
  <HLinks>
    <vt:vector size="534" baseType="variant">
      <vt:variant>
        <vt:i4>4194315</vt:i4>
      </vt:variant>
      <vt:variant>
        <vt:i4>730</vt:i4>
      </vt:variant>
      <vt:variant>
        <vt:i4>0</vt:i4>
      </vt:variant>
      <vt:variant>
        <vt:i4>5</vt:i4>
      </vt:variant>
      <vt:variant>
        <vt:lpwstr/>
      </vt:variant>
      <vt:variant>
        <vt:lpwstr>_ENREF_11</vt:lpwstr>
      </vt:variant>
      <vt:variant>
        <vt:i4>4194315</vt:i4>
      </vt:variant>
      <vt:variant>
        <vt:i4>727</vt:i4>
      </vt:variant>
      <vt:variant>
        <vt:i4>0</vt:i4>
      </vt:variant>
      <vt:variant>
        <vt:i4>5</vt:i4>
      </vt:variant>
      <vt:variant>
        <vt:lpwstr/>
      </vt:variant>
      <vt:variant>
        <vt:lpwstr>_ENREF_10</vt:lpwstr>
      </vt:variant>
      <vt:variant>
        <vt:i4>4521995</vt:i4>
      </vt:variant>
      <vt:variant>
        <vt:i4>712</vt:i4>
      </vt:variant>
      <vt:variant>
        <vt:i4>0</vt:i4>
      </vt:variant>
      <vt:variant>
        <vt:i4>5</vt:i4>
      </vt:variant>
      <vt:variant>
        <vt:lpwstr/>
      </vt:variant>
      <vt:variant>
        <vt:lpwstr>_ENREF_44</vt:lpwstr>
      </vt:variant>
      <vt:variant>
        <vt:i4>4521995</vt:i4>
      </vt:variant>
      <vt:variant>
        <vt:i4>700</vt:i4>
      </vt:variant>
      <vt:variant>
        <vt:i4>0</vt:i4>
      </vt:variant>
      <vt:variant>
        <vt:i4>5</vt:i4>
      </vt:variant>
      <vt:variant>
        <vt:lpwstr/>
      </vt:variant>
      <vt:variant>
        <vt:lpwstr>_ENREF_45</vt:lpwstr>
      </vt:variant>
      <vt:variant>
        <vt:i4>4521995</vt:i4>
      </vt:variant>
      <vt:variant>
        <vt:i4>697</vt:i4>
      </vt:variant>
      <vt:variant>
        <vt:i4>0</vt:i4>
      </vt:variant>
      <vt:variant>
        <vt:i4>5</vt:i4>
      </vt:variant>
      <vt:variant>
        <vt:lpwstr/>
      </vt:variant>
      <vt:variant>
        <vt:lpwstr>_ENREF_44</vt:lpwstr>
      </vt:variant>
      <vt:variant>
        <vt:i4>4521995</vt:i4>
      </vt:variant>
      <vt:variant>
        <vt:i4>685</vt:i4>
      </vt:variant>
      <vt:variant>
        <vt:i4>0</vt:i4>
      </vt:variant>
      <vt:variant>
        <vt:i4>5</vt:i4>
      </vt:variant>
      <vt:variant>
        <vt:lpwstr/>
      </vt:variant>
      <vt:variant>
        <vt:lpwstr>_ENREF_45</vt:lpwstr>
      </vt:variant>
      <vt:variant>
        <vt:i4>4521995</vt:i4>
      </vt:variant>
      <vt:variant>
        <vt:i4>676</vt:i4>
      </vt:variant>
      <vt:variant>
        <vt:i4>0</vt:i4>
      </vt:variant>
      <vt:variant>
        <vt:i4>5</vt:i4>
      </vt:variant>
      <vt:variant>
        <vt:lpwstr/>
      </vt:variant>
      <vt:variant>
        <vt:lpwstr>_ENREF_41</vt:lpwstr>
      </vt:variant>
      <vt:variant>
        <vt:i4>4587531</vt:i4>
      </vt:variant>
      <vt:variant>
        <vt:i4>673</vt:i4>
      </vt:variant>
      <vt:variant>
        <vt:i4>0</vt:i4>
      </vt:variant>
      <vt:variant>
        <vt:i4>5</vt:i4>
      </vt:variant>
      <vt:variant>
        <vt:lpwstr/>
      </vt:variant>
      <vt:variant>
        <vt:lpwstr>_ENREF_7</vt:lpwstr>
      </vt:variant>
      <vt:variant>
        <vt:i4>4521995</vt:i4>
      </vt:variant>
      <vt:variant>
        <vt:i4>665</vt:i4>
      </vt:variant>
      <vt:variant>
        <vt:i4>0</vt:i4>
      </vt:variant>
      <vt:variant>
        <vt:i4>5</vt:i4>
      </vt:variant>
      <vt:variant>
        <vt:lpwstr/>
      </vt:variant>
      <vt:variant>
        <vt:lpwstr>_ENREF_42</vt:lpwstr>
      </vt:variant>
      <vt:variant>
        <vt:i4>4521995</vt:i4>
      </vt:variant>
      <vt:variant>
        <vt:i4>659</vt:i4>
      </vt:variant>
      <vt:variant>
        <vt:i4>0</vt:i4>
      </vt:variant>
      <vt:variant>
        <vt:i4>5</vt:i4>
      </vt:variant>
      <vt:variant>
        <vt:lpwstr/>
      </vt:variant>
      <vt:variant>
        <vt:lpwstr>_ENREF_43</vt:lpwstr>
      </vt:variant>
      <vt:variant>
        <vt:i4>4194315</vt:i4>
      </vt:variant>
      <vt:variant>
        <vt:i4>653</vt:i4>
      </vt:variant>
      <vt:variant>
        <vt:i4>0</vt:i4>
      </vt:variant>
      <vt:variant>
        <vt:i4>5</vt:i4>
      </vt:variant>
      <vt:variant>
        <vt:lpwstr/>
      </vt:variant>
      <vt:variant>
        <vt:lpwstr>_ENREF_19</vt:lpwstr>
      </vt:variant>
      <vt:variant>
        <vt:i4>4194315</vt:i4>
      </vt:variant>
      <vt:variant>
        <vt:i4>635</vt:i4>
      </vt:variant>
      <vt:variant>
        <vt:i4>0</vt:i4>
      </vt:variant>
      <vt:variant>
        <vt:i4>5</vt:i4>
      </vt:variant>
      <vt:variant>
        <vt:lpwstr/>
      </vt:variant>
      <vt:variant>
        <vt:lpwstr>_ENREF_16</vt:lpwstr>
      </vt:variant>
      <vt:variant>
        <vt:i4>4194315</vt:i4>
      </vt:variant>
      <vt:variant>
        <vt:i4>629</vt:i4>
      </vt:variant>
      <vt:variant>
        <vt:i4>0</vt:i4>
      </vt:variant>
      <vt:variant>
        <vt:i4>5</vt:i4>
      </vt:variant>
      <vt:variant>
        <vt:lpwstr/>
      </vt:variant>
      <vt:variant>
        <vt:lpwstr>_ENREF_19</vt:lpwstr>
      </vt:variant>
      <vt:variant>
        <vt:i4>4390923</vt:i4>
      </vt:variant>
      <vt:variant>
        <vt:i4>605</vt:i4>
      </vt:variant>
      <vt:variant>
        <vt:i4>0</vt:i4>
      </vt:variant>
      <vt:variant>
        <vt:i4>5</vt:i4>
      </vt:variant>
      <vt:variant>
        <vt:lpwstr/>
      </vt:variant>
      <vt:variant>
        <vt:lpwstr>_ENREF_20</vt:lpwstr>
      </vt:variant>
      <vt:variant>
        <vt:i4>4587531</vt:i4>
      </vt:variant>
      <vt:variant>
        <vt:i4>599</vt:i4>
      </vt:variant>
      <vt:variant>
        <vt:i4>0</vt:i4>
      </vt:variant>
      <vt:variant>
        <vt:i4>5</vt:i4>
      </vt:variant>
      <vt:variant>
        <vt:lpwstr/>
      </vt:variant>
      <vt:variant>
        <vt:lpwstr>_ENREF_7</vt:lpwstr>
      </vt:variant>
      <vt:variant>
        <vt:i4>4194315</vt:i4>
      </vt:variant>
      <vt:variant>
        <vt:i4>560</vt:i4>
      </vt:variant>
      <vt:variant>
        <vt:i4>0</vt:i4>
      </vt:variant>
      <vt:variant>
        <vt:i4>5</vt:i4>
      </vt:variant>
      <vt:variant>
        <vt:lpwstr/>
      </vt:variant>
      <vt:variant>
        <vt:lpwstr>_ENREF_16</vt:lpwstr>
      </vt:variant>
      <vt:variant>
        <vt:i4>4194315</vt:i4>
      </vt:variant>
      <vt:variant>
        <vt:i4>554</vt:i4>
      </vt:variant>
      <vt:variant>
        <vt:i4>0</vt:i4>
      </vt:variant>
      <vt:variant>
        <vt:i4>5</vt:i4>
      </vt:variant>
      <vt:variant>
        <vt:lpwstr/>
      </vt:variant>
      <vt:variant>
        <vt:lpwstr>_ENREF_15</vt:lpwstr>
      </vt:variant>
      <vt:variant>
        <vt:i4>4194315</vt:i4>
      </vt:variant>
      <vt:variant>
        <vt:i4>548</vt:i4>
      </vt:variant>
      <vt:variant>
        <vt:i4>0</vt:i4>
      </vt:variant>
      <vt:variant>
        <vt:i4>5</vt:i4>
      </vt:variant>
      <vt:variant>
        <vt:lpwstr/>
      </vt:variant>
      <vt:variant>
        <vt:lpwstr>_ENREF_11</vt:lpwstr>
      </vt:variant>
      <vt:variant>
        <vt:i4>4390923</vt:i4>
      </vt:variant>
      <vt:variant>
        <vt:i4>542</vt:i4>
      </vt:variant>
      <vt:variant>
        <vt:i4>0</vt:i4>
      </vt:variant>
      <vt:variant>
        <vt:i4>5</vt:i4>
      </vt:variant>
      <vt:variant>
        <vt:lpwstr/>
      </vt:variant>
      <vt:variant>
        <vt:lpwstr>_ENREF_2</vt:lpwstr>
      </vt:variant>
      <vt:variant>
        <vt:i4>4587531</vt:i4>
      </vt:variant>
      <vt:variant>
        <vt:i4>536</vt:i4>
      </vt:variant>
      <vt:variant>
        <vt:i4>0</vt:i4>
      </vt:variant>
      <vt:variant>
        <vt:i4>5</vt:i4>
      </vt:variant>
      <vt:variant>
        <vt:lpwstr/>
      </vt:variant>
      <vt:variant>
        <vt:lpwstr>_ENREF_7</vt:lpwstr>
      </vt:variant>
      <vt:variant>
        <vt:i4>4456459</vt:i4>
      </vt:variant>
      <vt:variant>
        <vt:i4>530</vt:i4>
      </vt:variant>
      <vt:variant>
        <vt:i4>0</vt:i4>
      </vt:variant>
      <vt:variant>
        <vt:i4>5</vt:i4>
      </vt:variant>
      <vt:variant>
        <vt:lpwstr/>
      </vt:variant>
      <vt:variant>
        <vt:lpwstr>_ENREF_5</vt:lpwstr>
      </vt:variant>
      <vt:variant>
        <vt:i4>4194315</vt:i4>
      </vt:variant>
      <vt:variant>
        <vt:i4>524</vt:i4>
      </vt:variant>
      <vt:variant>
        <vt:i4>0</vt:i4>
      </vt:variant>
      <vt:variant>
        <vt:i4>5</vt:i4>
      </vt:variant>
      <vt:variant>
        <vt:lpwstr/>
      </vt:variant>
      <vt:variant>
        <vt:lpwstr>_ENREF_13</vt:lpwstr>
      </vt:variant>
      <vt:variant>
        <vt:i4>4194315</vt:i4>
      </vt:variant>
      <vt:variant>
        <vt:i4>518</vt:i4>
      </vt:variant>
      <vt:variant>
        <vt:i4>0</vt:i4>
      </vt:variant>
      <vt:variant>
        <vt:i4>5</vt:i4>
      </vt:variant>
      <vt:variant>
        <vt:lpwstr/>
      </vt:variant>
      <vt:variant>
        <vt:lpwstr>_ENREF_13</vt:lpwstr>
      </vt:variant>
      <vt:variant>
        <vt:i4>4194315</vt:i4>
      </vt:variant>
      <vt:variant>
        <vt:i4>515</vt:i4>
      </vt:variant>
      <vt:variant>
        <vt:i4>0</vt:i4>
      </vt:variant>
      <vt:variant>
        <vt:i4>5</vt:i4>
      </vt:variant>
      <vt:variant>
        <vt:lpwstr/>
      </vt:variant>
      <vt:variant>
        <vt:lpwstr>_ENREF_14</vt:lpwstr>
      </vt:variant>
      <vt:variant>
        <vt:i4>4653067</vt:i4>
      </vt:variant>
      <vt:variant>
        <vt:i4>512</vt:i4>
      </vt:variant>
      <vt:variant>
        <vt:i4>0</vt:i4>
      </vt:variant>
      <vt:variant>
        <vt:i4>5</vt:i4>
      </vt:variant>
      <vt:variant>
        <vt:lpwstr/>
      </vt:variant>
      <vt:variant>
        <vt:lpwstr>_ENREF_6</vt:lpwstr>
      </vt:variant>
      <vt:variant>
        <vt:i4>4194315</vt:i4>
      </vt:variant>
      <vt:variant>
        <vt:i4>509</vt:i4>
      </vt:variant>
      <vt:variant>
        <vt:i4>0</vt:i4>
      </vt:variant>
      <vt:variant>
        <vt:i4>5</vt:i4>
      </vt:variant>
      <vt:variant>
        <vt:lpwstr/>
      </vt:variant>
      <vt:variant>
        <vt:lpwstr>_ENREF_18</vt:lpwstr>
      </vt:variant>
      <vt:variant>
        <vt:i4>4718603</vt:i4>
      </vt:variant>
      <vt:variant>
        <vt:i4>501</vt:i4>
      </vt:variant>
      <vt:variant>
        <vt:i4>0</vt:i4>
      </vt:variant>
      <vt:variant>
        <vt:i4>5</vt:i4>
      </vt:variant>
      <vt:variant>
        <vt:lpwstr/>
      </vt:variant>
      <vt:variant>
        <vt:lpwstr>_ENREF_9</vt:lpwstr>
      </vt:variant>
      <vt:variant>
        <vt:i4>4194315</vt:i4>
      </vt:variant>
      <vt:variant>
        <vt:i4>498</vt:i4>
      </vt:variant>
      <vt:variant>
        <vt:i4>0</vt:i4>
      </vt:variant>
      <vt:variant>
        <vt:i4>5</vt:i4>
      </vt:variant>
      <vt:variant>
        <vt:lpwstr/>
      </vt:variant>
      <vt:variant>
        <vt:lpwstr>_ENREF_1</vt:lpwstr>
      </vt:variant>
      <vt:variant>
        <vt:i4>4194315</vt:i4>
      </vt:variant>
      <vt:variant>
        <vt:i4>490</vt:i4>
      </vt:variant>
      <vt:variant>
        <vt:i4>0</vt:i4>
      </vt:variant>
      <vt:variant>
        <vt:i4>5</vt:i4>
      </vt:variant>
      <vt:variant>
        <vt:lpwstr/>
      </vt:variant>
      <vt:variant>
        <vt:lpwstr>_ENREF_12</vt:lpwstr>
      </vt:variant>
      <vt:variant>
        <vt:i4>4784139</vt:i4>
      </vt:variant>
      <vt:variant>
        <vt:i4>487</vt:i4>
      </vt:variant>
      <vt:variant>
        <vt:i4>0</vt:i4>
      </vt:variant>
      <vt:variant>
        <vt:i4>5</vt:i4>
      </vt:variant>
      <vt:variant>
        <vt:lpwstr/>
      </vt:variant>
      <vt:variant>
        <vt:lpwstr>_ENREF_8</vt:lpwstr>
      </vt:variant>
      <vt:variant>
        <vt:i4>4194315</vt:i4>
      </vt:variant>
      <vt:variant>
        <vt:i4>479</vt:i4>
      </vt:variant>
      <vt:variant>
        <vt:i4>0</vt:i4>
      </vt:variant>
      <vt:variant>
        <vt:i4>5</vt:i4>
      </vt:variant>
      <vt:variant>
        <vt:lpwstr/>
      </vt:variant>
      <vt:variant>
        <vt:lpwstr>_ENREF_13</vt:lpwstr>
      </vt:variant>
      <vt:variant>
        <vt:i4>4194315</vt:i4>
      </vt:variant>
      <vt:variant>
        <vt:i4>473</vt:i4>
      </vt:variant>
      <vt:variant>
        <vt:i4>0</vt:i4>
      </vt:variant>
      <vt:variant>
        <vt:i4>5</vt:i4>
      </vt:variant>
      <vt:variant>
        <vt:lpwstr/>
      </vt:variant>
      <vt:variant>
        <vt:lpwstr>_ENREF_13</vt:lpwstr>
      </vt:variant>
      <vt:variant>
        <vt:i4>4194315</vt:i4>
      </vt:variant>
      <vt:variant>
        <vt:i4>467</vt:i4>
      </vt:variant>
      <vt:variant>
        <vt:i4>0</vt:i4>
      </vt:variant>
      <vt:variant>
        <vt:i4>5</vt:i4>
      </vt:variant>
      <vt:variant>
        <vt:lpwstr/>
      </vt:variant>
      <vt:variant>
        <vt:lpwstr>_ENREF_17</vt:lpwstr>
      </vt:variant>
      <vt:variant>
        <vt:i4>4325387</vt:i4>
      </vt:variant>
      <vt:variant>
        <vt:i4>461</vt:i4>
      </vt:variant>
      <vt:variant>
        <vt:i4>0</vt:i4>
      </vt:variant>
      <vt:variant>
        <vt:i4>5</vt:i4>
      </vt:variant>
      <vt:variant>
        <vt:lpwstr/>
      </vt:variant>
      <vt:variant>
        <vt:lpwstr>_ENREF_3</vt:lpwstr>
      </vt:variant>
      <vt:variant>
        <vt:i4>4325387</vt:i4>
      </vt:variant>
      <vt:variant>
        <vt:i4>455</vt:i4>
      </vt:variant>
      <vt:variant>
        <vt:i4>0</vt:i4>
      </vt:variant>
      <vt:variant>
        <vt:i4>5</vt:i4>
      </vt:variant>
      <vt:variant>
        <vt:lpwstr/>
      </vt:variant>
      <vt:variant>
        <vt:lpwstr>_ENREF_3</vt:lpwstr>
      </vt:variant>
      <vt:variant>
        <vt:i4>4521995</vt:i4>
      </vt:variant>
      <vt:variant>
        <vt:i4>449</vt:i4>
      </vt:variant>
      <vt:variant>
        <vt:i4>0</vt:i4>
      </vt:variant>
      <vt:variant>
        <vt:i4>5</vt:i4>
      </vt:variant>
      <vt:variant>
        <vt:lpwstr/>
      </vt:variant>
      <vt:variant>
        <vt:lpwstr>_ENREF_4</vt:lpwstr>
      </vt:variant>
      <vt:variant>
        <vt:i4>4194315</vt:i4>
      </vt:variant>
      <vt:variant>
        <vt:i4>443</vt:i4>
      </vt:variant>
      <vt:variant>
        <vt:i4>0</vt:i4>
      </vt:variant>
      <vt:variant>
        <vt:i4>5</vt:i4>
      </vt:variant>
      <vt:variant>
        <vt:lpwstr/>
      </vt:variant>
      <vt:variant>
        <vt:lpwstr>_ENREF_17</vt:lpwstr>
      </vt:variant>
      <vt:variant>
        <vt:i4>4194315</vt:i4>
      </vt:variant>
      <vt:variant>
        <vt:i4>437</vt:i4>
      </vt:variant>
      <vt:variant>
        <vt:i4>0</vt:i4>
      </vt:variant>
      <vt:variant>
        <vt:i4>5</vt:i4>
      </vt:variant>
      <vt:variant>
        <vt:lpwstr/>
      </vt:variant>
      <vt:variant>
        <vt:lpwstr>_ENREF_18</vt:lpwstr>
      </vt:variant>
      <vt:variant>
        <vt:i4>4653067</vt:i4>
      </vt:variant>
      <vt:variant>
        <vt:i4>431</vt:i4>
      </vt:variant>
      <vt:variant>
        <vt:i4>0</vt:i4>
      </vt:variant>
      <vt:variant>
        <vt:i4>5</vt:i4>
      </vt:variant>
      <vt:variant>
        <vt:lpwstr/>
      </vt:variant>
      <vt:variant>
        <vt:lpwstr>_ENREF_6</vt:lpwstr>
      </vt:variant>
      <vt:variant>
        <vt:i4>4456459</vt:i4>
      </vt:variant>
      <vt:variant>
        <vt:i4>425</vt:i4>
      </vt:variant>
      <vt:variant>
        <vt:i4>0</vt:i4>
      </vt:variant>
      <vt:variant>
        <vt:i4>5</vt:i4>
      </vt:variant>
      <vt:variant>
        <vt:lpwstr/>
      </vt:variant>
      <vt:variant>
        <vt:lpwstr>_ENREF_5</vt:lpwstr>
      </vt:variant>
      <vt:variant>
        <vt:i4>4194315</vt:i4>
      </vt:variant>
      <vt:variant>
        <vt:i4>419</vt:i4>
      </vt:variant>
      <vt:variant>
        <vt:i4>0</vt:i4>
      </vt:variant>
      <vt:variant>
        <vt:i4>5</vt:i4>
      </vt:variant>
      <vt:variant>
        <vt:lpwstr/>
      </vt:variant>
      <vt:variant>
        <vt:lpwstr>_ENREF_12</vt:lpwstr>
      </vt:variant>
      <vt:variant>
        <vt:i4>4194315</vt:i4>
      </vt:variant>
      <vt:variant>
        <vt:i4>416</vt:i4>
      </vt:variant>
      <vt:variant>
        <vt:i4>0</vt:i4>
      </vt:variant>
      <vt:variant>
        <vt:i4>5</vt:i4>
      </vt:variant>
      <vt:variant>
        <vt:lpwstr/>
      </vt:variant>
      <vt:variant>
        <vt:lpwstr>_ENREF_10</vt:lpwstr>
      </vt:variant>
      <vt:variant>
        <vt:i4>4784139</vt:i4>
      </vt:variant>
      <vt:variant>
        <vt:i4>413</vt:i4>
      </vt:variant>
      <vt:variant>
        <vt:i4>0</vt:i4>
      </vt:variant>
      <vt:variant>
        <vt:i4>5</vt:i4>
      </vt:variant>
      <vt:variant>
        <vt:lpwstr/>
      </vt:variant>
      <vt:variant>
        <vt:lpwstr>_ENREF_8</vt:lpwstr>
      </vt:variant>
      <vt:variant>
        <vt:i4>4194315</vt:i4>
      </vt:variant>
      <vt:variant>
        <vt:i4>405</vt:i4>
      </vt:variant>
      <vt:variant>
        <vt:i4>0</vt:i4>
      </vt:variant>
      <vt:variant>
        <vt:i4>5</vt:i4>
      </vt:variant>
      <vt:variant>
        <vt:lpwstr/>
      </vt:variant>
      <vt:variant>
        <vt:lpwstr>_ENREF_13</vt:lpwstr>
      </vt:variant>
      <vt:variant>
        <vt:i4>4194315</vt:i4>
      </vt:variant>
      <vt:variant>
        <vt:i4>402</vt:i4>
      </vt:variant>
      <vt:variant>
        <vt:i4>0</vt:i4>
      </vt:variant>
      <vt:variant>
        <vt:i4>5</vt:i4>
      </vt:variant>
      <vt:variant>
        <vt:lpwstr/>
      </vt:variant>
      <vt:variant>
        <vt:lpwstr>_ENREF_14</vt:lpwstr>
      </vt:variant>
      <vt:variant>
        <vt:i4>4194315</vt:i4>
      </vt:variant>
      <vt:variant>
        <vt:i4>394</vt:i4>
      </vt:variant>
      <vt:variant>
        <vt:i4>0</vt:i4>
      </vt:variant>
      <vt:variant>
        <vt:i4>5</vt:i4>
      </vt:variant>
      <vt:variant>
        <vt:lpwstr/>
      </vt:variant>
      <vt:variant>
        <vt:lpwstr>_ENREF_14</vt:lpwstr>
      </vt:variant>
      <vt:variant>
        <vt:i4>4194315</vt:i4>
      </vt:variant>
      <vt:variant>
        <vt:i4>388</vt:i4>
      </vt:variant>
      <vt:variant>
        <vt:i4>0</vt:i4>
      </vt:variant>
      <vt:variant>
        <vt:i4>5</vt:i4>
      </vt:variant>
      <vt:variant>
        <vt:lpwstr/>
      </vt:variant>
      <vt:variant>
        <vt:lpwstr>_ENREF_14</vt:lpwstr>
      </vt:variant>
      <vt:variant>
        <vt:i4>4718603</vt:i4>
      </vt:variant>
      <vt:variant>
        <vt:i4>382</vt:i4>
      </vt:variant>
      <vt:variant>
        <vt:i4>0</vt:i4>
      </vt:variant>
      <vt:variant>
        <vt:i4>5</vt:i4>
      </vt:variant>
      <vt:variant>
        <vt:lpwstr/>
      </vt:variant>
      <vt:variant>
        <vt:lpwstr>_ENREF_9</vt:lpwstr>
      </vt:variant>
      <vt:variant>
        <vt:i4>4521995</vt:i4>
      </vt:variant>
      <vt:variant>
        <vt:i4>376</vt:i4>
      </vt:variant>
      <vt:variant>
        <vt:i4>0</vt:i4>
      </vt:variant>
      <vt:variant>
        <vt:i4>5</vt:i4>
      </vt:variant>
      <vt:variant>
        <vt:lpwstr/>
      </vt:variant>
      <vt:variant>
        <vt:lpwstr>_ENREF_4</vt:lpwstr>
      </vt:variant>
      <vt:variant>
        <vt:i4>4456459</vt:i4>
      </vt:variant>
      <vt:variant>
        <vt:i4>328</vt:i4>
      </vt:variant>
      <vt:variant>
        <vt:i4>0</vt:i4>
      </vt:variant>
      <vt:variant>
        <vt:i4>5</vt:i4>
      </vt:variant>
      <vt:variant>
        <vt:lpwstr/>
      </vt:variant>
      <vt:variant>
        <vt:lpwstr>_ENREF_5</vt:lpwstr>
      </vt:variant>
      <vt:variant>
        <vt:i4>4325387</vt:i4>
      </vt:variant>
      <vt:variant>
        <vt:i4>313</vt:i4>
      </vt:variant>
      <vt:variant>
        <vt:i4>0</vt:i4>
      </vt:variant>
      <vt:variant>
        <vt:i4>5</vt:i4>
      </vt:variant>
      <vt:variant>
        <vt:lpwstr/>
      </vt:variant>
      <vt:variant>
        <vt:lpwstr>_ENREF_3</vt:lpwstr>
      </vt:variant>
      <vt:variant>
        <vt:i4>4194315</vt:i4>
      </vt:variant>
      <vt:variant>
        <vt:i4>307</vt:i4>
      </vt:variant>
      <vt:variant>
        <vt:i4>0</vt:i4>
      </vt:variant>
      <vt:variant>
        <vt:i4>5</vt:i4>
      </vt:variant>
      <vt:variant>
        <vt:lpwstr/>
      </vt:variant>
      <vt:variant>
        <vt:lpwstr>_ENREF_15</vt:lpwstr>
      </vt:variant>
      <vt:variant>
        <vt:i4>4653067</vt:i4>
      </vt:variant>
      <vt:variant>
        <vt:i4>301</vt:i4>
      </vt:variant>
      <vt:variant>
        <vt:i4>0</vt:i4>
      </vt:variant>
      <vt:variant>
        <vt:i4>5</vt:i4>
      </vt:variant>
      <vt:variant>
        <vt:lpwstr/>
      </vt:variant>
      <vt:variant>
        <vt:lpwstr>_ENREF_6</vt:lpwstr>
      </vt:variant>
      <vt:variant>
        <vt:i4>4194315</vt:i4>
      </vt:variant>
      <vt:variant>
        <vt:i4>295</vt:i4>
      </vt:variant>
      <vt:variant>
        <vt:i4>0</vt:i4>
      </vt:variant>
      <vt:variant>
        <vt:i4>5</vt:i4>
      </vt:variant>
      <vt:variant>
        <vt:lpwstr/>
      </vt:variant>
      <vt:variant>
        <vt:lpwstr>_ENREF_1</vt:lpwstr>
      </vt:variant>
      <vt:variant>
        <vt:i4>4194315</vt:i4>
      </vt:variant>
      <vt:variant>
        <vt:i4>289</vt:i4>
      </vt:variant>
      <vt:variant>
        <vt:i4>0</vt:i4>
      </vt:variant>
      <vt:variant>
        <vt:i4>5</vt:i4>
      </vt:variant>
      <vt:variant>
        <vt:lpwstr/>
      </vt:variant>
      <vt:variant>
        <vt:lpwstr>_ENREF_14</vt:lpwstr>
      </vt:variant>
      <vt:variant>
        <vt:i4>4784139</vt:i4>
      </vt:variant>
      <vt:variant>
        <vt:i4>283</vt:i4>
      </vt:variant>
      <vt:variant>
        <vt:i4>0</vt:i4>
      </vt:variant>
      <vt:variant>
        <vt:i4>5</vt:i4>
      </vt:variant>
      <vt:variant>
        <vt:lpwstr/>
      </vt:variant>
      <vt:variant>
        <vt:lpwstr>_ENREF_8</vt:lpwstr>
      </vt:variant>
      <vt:variant>
        <vt:i4>4390923</vt:i4>
      </vt:variant>
      <vt:variant>
        <vt:i4>280</vt:i4>
      </vt:variant>
      <vt:variant>
        <vt:i4>0</vt:i4>
      </vt:variant>
      <vt:variant>
        <vt:i4>5</vt:i4>
      </vt:variant>
      <vt:variant>
        <vt:lpwstr/>
      </vt:variant>
      <vt:variant>
        <vt:lpwstr>_ENREF_2</vt:lpwstr>
      </vt:variant>
      <vt:variant>
        <vt:i4>4194315</vt:i4>
      </vt:variant>
      <vt:variant>
        <vt:i4>277</vt:i4>
      </vt:variant>
      <vt:variant>
        <vt:i4>0</vt:i4>
      </vt:variant>
      <vt:variant>
        <vt:i4>5</vt:i4>
      </vt:variant>
      <vt:variant>
        <vt:lpwstr/>
      </vt:variant>
      <vt:variant>
        <vt:lpwstr>_ENREF_14</vt:lpwstr>
      </vt:variant>
      <vt:variant>
        <vt:i4>4784139</vt:i4>
      </vt:variant>
      <vt:variant>
        <vt:i4>269</vt:i4>
      </vt:variant>
      <vt:variant>
        <vt:i4>0</vt:i4>
      </vt:variant>
      <vt:variant>
        <vt:i4>5</vt:i4>
      </vt:variant>
      <vt:variant>
        <vt:lpwstr/>
      </vt:variant>
      <vt:variant>
        <vt:lpwstr>_ENREF_8</vt:lpwstr>
      </vt:variant>
      <vt:variant>
        <vt:i4>4194315</vt:i4>
      </vt:variant>
      <vt:variant>
        <vt:i4>263</vt:i4>
      </vt:variant>
      <vt:variant>
        <vt:i4>0</vt:i4>
      </vt:variant>
      <vt:variant>
        <vt:i4>5</vt:i4>
      </vt:variant>
      <vt:variant>
        <vt:lpwstr/>
      </vt:variant>
      <vt:variant>
        <vt:lpwstr>_ENREF_10</vt:lpwstr>
      </vt:variant>
      <vt:variant>
        <vt:i4>4587531</vt:i4>
      </vt:variant>
      <vt:variant>
        <vt:i4>257</vt:i4>
      </vt:variant>
      <vt:variant>
        <vt:i4>0</vt:i4>
      </vt:variant>
      <vt:variant>
        <vt:i4>5</vt:i4>
      </vt:variant>
      <vt:variant>
        <vt:lpwstr/>
      </vt:variant>
      <vt:variant>
        <vt:lpwstr>_ENREF_7</vt:lpwstr>
      </vt:variant>
      <vt:variant>
        <vt:i4>4194315</vt:i4>
      </vt:variant>
      <vt:variant>
        <vt:i4>254</vt:i4>
      </vt:variant>
      <vt:variant>
        <vt:i4>0</vt:i4>
      </vt:variant>
      <vt:variant>
        <vt:i4>5</vt:i4>
      </vt:variant>
      <vt:variant>
        <vt:lpwstr/>
      </vt:variant>
      <vt:variant>
        <vt:lpwstr>_ENREF_11</vt:lpwstr>
      </vt:variant>
      <vt:variant>
        <vt:i4>4194315</vt:i4>
      </vt:variant>
      <vt:variant>
        <vt:i4>248</vt:i4>
      </vt:variant>
      <vt:variant>
        <vt:i4>0</vt:i4>
      </vt:variant>
      <vt:variant>
        <vt:i4>5</vt:i4>
      </vt:variant>
      <vt:variant>
        <vt:lpwstr/>
      </vt:variant>
      <vt:variant>
        <vt:lpwstr>_ENREF_12</vt:lpwstr>
      </vt:variant>
      <vt:variant>
        <vt:i4>4521995</vt:i4>
      </vt:variant>
      <vt:variant>
        <vt:i4>242</vt:i4>
      </vt:variant>
      <vt:variant>
        <vt:i4>0</vt:i4>
      </vt:variant>
      <vt:variant>
        <vt:i4>5</vt:i4>
      </vt:variant>
      <vt:variant>
        <vt:lpwstr/>
      </vt:variant>
      <vt:variant>
        <vt:lpwstr>_ENREF_4</vt:lpwstr>
      </vt:variant>
      <vt:variant>
        <vt:i4>4325387</vt:i4>
      </vt:variant>
      <vt:variant>
        <vt:i4>185</vt:i4>
      </vt:variant>
      <vt:variant>
        <vt:i4>0</vt:i4>
      </vt:variant>
      <vt:variant>
        <vt:i4>5</vt:i4>
      </vt:variant>
      <vt:variant>
        <vt:lpwstr/>
      </vt:variant>
      <vt:variant>
        <vt:lpwstr>_ENREF_3</vt:lpwstr>
      </vt:variant>
      <vt:variant>
        <vt:i4>4521995</vt:i4>
      </vt:variant>
      <vt:variant>
        <vt:i4>179</vt:i4>
      </vt:variant>
      <vt:variant>
        <vt:i4>0</vt:i4>
      </vt:variant>
      <vt:variant>
        <vt:i4>5</vt:i4>
      </vt:variant>
      <vt:variant>
        <vt:lpwstr/>
      </vt:variant>
      <vt:variant>
        <vt:lpwstr>_ENREF_4</vt:lpwstr>
      </vt:variant>
      <vt:variant>
        <vt:i4>4390923</vt:i4>
      </vt:variant>
      <vt:variant>
        <vt:i4>173</vt:i4>
      </vt:variant>
      <vt:variant>
        <vt:i4>0</vt:i4>
      </vt:variant>
      <vt:variant>
        <vt:i4>5</vt:i4>
      </vt:variant>
      <vt:variant>
        <vt:lpwstr/>
      </vt:variant>
      <vt:variant>
        <vt:lpwstr>_ENREF_2</vt:lpwstr>
      </vt:variant>
      <vt:variant>
        <vt:i4>4194315</vt:i4>
      </vt:variant>
      <vt:variant>
        <vt:i4>167</vt:i4>
      </vt:variant>
      <vt:variant>
        <vt:i4>0</vt:i4>
      </vt:variant>
      <vt:variant>
        <vt:i4>5</vt:i4>
      </vt:variant>
      <vt:variant>
        <vt:lpwstr/>
      </vt:variant>
      <vt:variant>
        <vt:lpwstr>_ENREF_1</vt:lpwstr>
      </vt:variant>
      <vt:variant>
        <vt:i4>4390923</vt:i4>
      </vt:variant>
      <vt:variant>
        <vt:i4>161</vt:i4>
      </vt:variant>
      <vt:variant>
        <vt:i4>0</vt:i4>
      </vt:variant>
      <vt:variant>
        <vt:i4>5</vt:i4>
      </vt:variant>
      <vt:variant>
        <vt:lpwstr/>
      </vt:variant>
      <vt:variant>
        <vt:lpwstr>_ENREF_2</vt:lpwstr>
      </vt:variant>
      <vt:variant>
        <vt:i4>4653067</vt:i4>
      </vt:variant>
      <vt:variant>
        <vt:i4>152</vt:i4>
      </vt:variant>
      <vt:variant>
        <vt:i4>0</vt:i4>
      </vt:variant>
      <vt:variant>
        <vt:i4>5</vt:i4>
      </vt:variant>
      <vt:variant>
        <vt:lpwstr/>
      </vt:variant>
      <vt:variant>
        <vt:lpwstr>_ENREF_6</vt:lpwstr>
      </vt:variant>
      <vt:variant>
        <vt:i4>4456459</vt:i4>
      </vt:variant>
      <vt:variant>
        <vt:i4>146</vt:i4>
      </vt:variant>
      <vt:variant>
        <vt:i4>0</vt:i4>
      </vt:variant>
      <vt:variant>
        <vt:i4>5</vt:i4>
      </vt:variant>
      <vt:variant>
        <vt:lpwstr/>
      </vt:variant>
      <vt:variant>
        <vt:lpwstr>_ENREF_5</vt:lpwstr>
      </vt:variant>
      <vt:variant>
        <vt:i4>4456459</vt:i4>
      </vt:variant>
      <vt:variant>
        <vt:i4>140</vt:i4>
      </vt:variant>
      <vt:variant>
        <vt:i4>0</vt:i4>
      </vt:variant>
      <vt:variant>
        <vt:i4>5</vt:i4>
      </vt:variant>
      <vt:variant>
        <vt:lpwstr/>
      </vt:variant>
      <vt:variant>
        <vt:lpwstr>_ENREF_50</vt:lpwstr>
      </vt:variant>
      <vt:variant>
        <vt:i4>4325387</vt:i4>
      </vt:variant>
      <vt:variant>
        <vt:i4>134</vt:i4>
      </vt:variant>
      <vt:variant>
        <vt:i4>0</vt:i4>
      </vt:variant>
      <vt:variant>
        <vt:i4>5</vt:i4>
      </vt:variant>
      <vt:variant>
        <vt:lpwstr/>
      </vt:variant>
      <vt:variant>
        <vt:lpwstr>_ENREF_38</vt:lpwstr>
      </vt:variant>
      <vt:variant>
        <vt:i4>4325387</vt:i4>
      </vt:variant>
      <vt:variant>
        <vt:i4>131</vt:i4>
      </vt:variant>
      <vt:variant>
        <vt:i4>0</vt:i4>
      </vt:variant>
      <vt:variant>
        <vt:i4>5</vt:i4>
      </vt:variant>
      <vt:variant>
        <vt:lpwstr/>
      </vt:variant>
      <vt:variant>
        <vt:lpwstr>_ENREF_37</vt:lpwstr>
      </vt:variant>
      <vt:variant>
        <vt:i4>4325387</vt:i4>
      </vt:variant>
      <vt:variant>
        <vt:i4>122</vt:i4>
      </vt:variant>
      <vt:variant>
        <vt:i4>0</vt:i4>
      </vt:variant>
      <vt:variant>
        <vt:i4>5</vt:i4>
      </vt:variant>
      <vt:variant>
        <vt:lpwstr/>
      </vt:variant>
      <vt:variant>
        <vt:lpwstr>_ENREF_31</vt:lpwstr>
      </vt:variant>
      <vt:variant>
        <vt:i4>4390923</vt:i4>
      </vt:variant>
      <vt:variant>
        <vt:i4>116</vt:i4>
      </vt:variant>
      <vt:variant>
        <vt:i4>0</vt:i4>
      </vt:variant>
      <vt:variant>
        <vt:i4>5</vt:i4>
      </vt:variant>
      <vt:variant>
        <vt:lpwstr/>
      </vt:variant>
      <vt:variant>
        <vt:lpwstr>_ENREF_27</vt:lpwstr>
      </vt:variant>
      <vt:variant>
        <vt:i4>4390923</vt:i4>
      </vt:variant>
      <vt:variant>
        <vt:i4>113</vt:i4>
      </vt:variant>
      <vt:variant>
        <vt:i4>0</vt:i4>
      </vt:variant>
      <vt:variant>
        <vt:i4>5</vt:i4>
      </vt:variant>
      <vt:variant>
        <vt:lpwstr/>
      </vt:variant>
      <vt:variant>
        <vt:lpwstr>_ENREF_26</vt:lpwstr>
      </vt:variant>
      <vt:variant>
        <vt:i4>4390923</vt:i4>
      </vt:variant>
      <vt:variant>
        <vt:i4>104</vt:i4>
      </vt:variant>
      <vt:variant>
        <vt:i4>0</vt:i4>
      </vt:variant>
      <vt:variant>
        <vt:i4>5</vt:i4>
      </vt:variant>
      <vt:variant>
        <vt:lpwstr/>
      </vt:variant>
      <vt:variant>
        <vt:lpwstr>_ENREF_27</vt:lpwstr>
      </vt:variant>
      <vt:variant>
        <vt:i4>4390923</vt:i4>
      </vt:variant>
      <vt:variant>
        <vt:i4>92</vt:i4>
      </vt:variant>
      <vt:variant>
        <vt:i4>0</vt:i4>
      </vt:variant>
      <vt:variant>
        <vt:i4>5</vt:i4>
      </vt:variant>
      <vt:variant>
        <vt:lpwstr/>
      </vt:variant>
      <vt:variant>
        <vt:lpwstr>_ENREF_23</vt:lpwstr>
      </vt:variant>
      <vt:variant>
        <vt:i4>4325387</vt:i4>
      </vt:variant>
      <vt:variant>
        <vt:i4>86</vt:i4>
      </vt:variant>
      <vt:variant>
        <vt:i4>0</vt:i4>
      </vt:variant>
      <vt:variant>
        <vt:i4>5</vt:i4>
      </vt:variant>
      <vt:variant>
        <vt:lpwstr/>
      </vt:variant>
      <vt:variant>
        <vt:lpwstr>_ENREF_32</vt:lpwstr>
      </vt:variant>
      <vt:variant>
        <vt:i4>4521995</vt:i4>
      </vt:variant>
      <vt:variant>
        <vt:i4>74</vt:i4>
      </vt:variant>
      <vt:variant>
        <vt:i4>0</vt:i4>
      </vt:variant>
      <vt:variant>
        <vt:i4>5</vt:i4>
      </vt:variant>
      <vt:variant>
        <vt:lpwstr/>
      </vt:variant>
      <vt:variant>
        <vt:lpwstr>_ENREF_45</vt:lpwstr>
      </vt:variant>
      <vt:variant>
        <vt:i4>4325387</vt:i4>
      </vt:variant>
      <vt:variant>
        <vt:i4>68</vt:i4>
      </vt:variant>
      <vt:variant>
        <vt:i4>0</vt:i4>
      </vt:variant>
      <vt:variant>
        <vt:i4>5</vt:i4>
      </vt:variant>
      <vt:variant>
        <vt:lpwstr/>
      </vt:variant>
      <vt:variant>
        <vt:lpwstr>_ENREF_30</vt:lpwstr>
      </vt:variant>
      <vt:variant>
        <vt:i4>4325387</vt:i4>
      </vt:variant>
      <vt:variant>
        <vt:i4>23</vt:i4>
      </vt:variant>
      <vt:variant>
        <vt:i4>0</vt:i4>
      </vt:variant>
      <vt:variant>
        <vt:i4>5</vt:i4>
      </vt:variant>
      <vt:variant>
        <vt:lpwstr/>
      </vt:variant>
      <vt:variant>
        <vt:lpwstr>_ENREF_38</vt:lpwstr>
      </vt:variant>
      <vt:variant>
        <vt:i4>4325387</vt:i4>
      </vt:variant>
      <vt:variant>
        <vt:i4>20</vt:i4>
      </vt:variant>
      <vt:variant>
        <vt:i4>0</vt:i4>
      </vt:variant>
      <vt:variant>
        <vt:i4>5</vt:i4>
      </vt:variant>
      <vt:variant>
        <vt:lpwstr/>
      </vt:variant>
      <vt:variant>
        <vt:lpwstr>_ENREF_37</vt:lpwstr>
      </vt:variant>
      <vt:variant>
        <vt:i4>4194315</vt:i4>
      </vt:variant>
      <vt:variant>
        <vt:i4>14</vt:i4>
      </vt:variant>
      <vt:variant>
        <vt:i4>0</vt:i4>
      </vt:variant>
      <vt:variant>
        <vt:i4>5</vt:i4>
      </vt:variant>
      <vt:variant>
        <vt:lpwstr/>
      </vt:variant>
      <vt:variant>
        <vt:lpwstr>_ENREF_13</vt:lpwstr>
      </vt:variant>
      <vt:variant>
        <vt:i4>1835131</vt:i4>
      </vt:variant>
      <vt:variant>
        <vt:i4>9</vt:i4>
      </vt:variant>
      <vt:variant>
        <vt:i4>0</vt:i4>
      </vt:variant>
      <vt:variant>
        <vt:i4>5</vt:i4>
      </vt:variant>
      <vt:variant>
        <vt:lpwstr>http://www.environment.gov.au/cgi-bin/sprat/public/publicspecies.pl?taxon_id=66633</vt:lpwstr>
      </vt:variant>
      <vt:variant>
        <vt:lpwstr/>
      </vt:variant>
      <vt:variant>
        <vt:i4>1900671</vt:i4>
      </vt:variant>
      <vt:variant>
        <vt:i4>6</vt:i4>
      </vt:variant>
      <vt:variant>
        <vt:i4>0</vt:i4>
      </vt:variant>
      <vt:variant>
        <vt:i4>5</vt:i4>
      </vt:variant>
      <vt:variant>
        <vt:lpwstr>http://www.environment.gov.au/cgi-bin/sprat/public/publicspecies.pl?taxon_id=26171</vt:lpwstr>
      </vt:variant>
      <vt:variant>
        <vt:lpwstr/>
      </vt:variant>
      <vt:variant>
        <vt:i4>7536707</vt:i4>
      </vt:variant>
      <vt:variant>
        <vt:i4>3</vt:i4>
      </vt:variant>
      <vt:variant>
        <vt:i4>0</vt:i4>
      </vt:variant>
      <vt:variant>
        <vt:i4>5</vt:i4>
      </vt:variant>
      <vt:variant>
        <vt:lpwstr>mailto:public.affairs@environment.gov.au</vt:lpwstr>
      </vt:variant>
      <vt:variant>
        <vt:lpwstr/>
      </vt:variant>
      <vt:variant>
        <vt:i4>3538952</vt:i4>
      </vt:variant>
      <vt:variant>
        <vt:i4>192983</vt:i4>
      </vt:variant>
      <vt:variant>
        <vt:i4>1084</vt:i4>
      </vt:variant>
      <vt:variant>
        <vt:i4>1</vt:i4>
      </vt:variant>
      <vt:variant>
        <vt:lpwstr>cid:image001.png@01CE938E.0BD6AAE0</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the ecological response of Commonwealth environmental water delivered in 2012-13 to the Murrumbidgee river system Final Report</dc:title>
  <dc:creator/>
  <cp:lastModifiedBy/>
  <cp:revision>1</cp:revision>
  <dcterms:created xsi:type="dcterms:W3CDTF">2015-03-26T00:59:00Z</dcterms:created>
  <dcterms:modified xsi:type="dcterms:W3CDTF">2015-03-26T00:59:00Z</dcterms:modified>
</cp:coreProperties>
</file>