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925070" w14:textId="77777777" w:rsidR="00124717" w:rsidRDefault="00124717" w:rsidP="004B0366">
      <w:pPr>
        <w:pStyle w:val="Default"/>
        <w:ind w:left="-1276"/>
        <w:rPr>
          <w:rFonts w:ascii="Times New Roman" w:eastAsia="Times New Roman" w:hAnsi="Times New Roman"/>
          <w:b/>
          <w:noProof/>
        </w:rPr>
      </w:pPr>
    </w:p>
    <w:tbl>
      <w:tblPr>
        <w:tblStyle w:val="TableGrid"/>
        <w:tblW w:w="0" w:type="auto"/>
        <w:tblLook w:val="04A0" w:firstRow="1" w:lastRow="0" w:firstColumn="1" w:lastColumn="0" w:noHBand="0" w:noVBand="1"/>
      </w:tblPr>
      <w:tblGrid>
        <w:gridCol w:w="6487"/>
        <w:gridCol w:w="2410"/>
      </w:tblGrid>
      <w:tr w:rsidR="00F439CC" w14:paraId="22925076" w14:textId="77777777" w:rsidTr="00F439CC">
        <w:trPr>
          <w:cnfStyle w:val="100000000000" w:firstRow="1" w:lastRow="0" w:firstColumn="0" w:lastColumn="0" w:oddVBand="0" w:evenVBand="0" w:oddHBand="0" w:evenHBand="0" w:firstRowFirstColumn="0" w:firstRowLastColumn="0" w:lastRowFirstColumn="0" w:lastRowLastColumn="0"/>
          <w:trHeight w:val="1847"/>
        </w:trPr>
        <w:tc>
          <w:tcPr>
            <w:tcW w:w="6487" w:type="dxa"/>
          </w:tcPr>
          <w:p w14:paraId="22925071" w14:textId="77777777" w:rsidR="00F439CC" w:rsidRDefault="00622B73" w:rsidP="00F439CC">
            <w:pPr>
              <w:pStyle w:val="Default"/>
              <w:rPr>
                <w:rFonts w:ascii="Times New Roman" w:eastAsia="Times New Roman" w:hAnsi="Times New Roman"/>
                <w:b/>
                <w:color w:val="7F7F7F" w:themeColor="text1" w:themeTint="80"/>
              </w:rPr>
            </w:pPr>
            <w:r>
              <w:rPr>
                <w:rFonts w:ascii="Times New Roman" w:eastAsia="Times New Roman" w:hAnsi="Times New Roman"/>
                <w:b/>
                <w:color w:val="7F7F7F" w:themeColor="text1" w:themeTint="80"/>
              </w:rPr>
              <w:t xml:space="preserve"> </w:t>
            </w:r>
            <w:r w:rsidR="00F439CC" w:rsidRPr="00A41E51">
              <w:rPr>
                <w:rFonts w:ascii="Times New Roman" w:eastAsia="Times New Roman" w:hAnsi="Times New Roman"/>
                <w:b/>
                <w:noProof/>
                <w:color w:val="7F7F7F" w:themeColor="text1" w:themeTint="80"/>
              </w:rPr>
              <w:drawing>
                <wp:inline distT="0" distB="0" distL="0" distR="0" wp14:anchorId="229250D9" wp14:editId="229250DA">
                  <wp:extent cx="3620016" cy="994735"/>
                  <wp:effectExtent l="0" t="0" r="0" b="0"/>
                  <wp:docPr id="9"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0016" cy="994735"/>
                          </a:xfrm>
                          <a:prstGeom prst="rect">
                            <a:avLst/>
                          </a:prstGeom>
                          <a:noFill/>
                          <a:ln>
                            <a:noFill/>
                          </a:ln>
                        </pic:spPr>
                      </pic:pic>
                    </a:graphicData>
                  </a:graphic>
                </wp:inline>
              </w:drawing>
            </w:r>
          </w:p>
        </w:tc>
        <w:tc>
          <w:tcPr>
            <w:tcW w:w="2410" w:type="dxa"/>
          </w:tcPr>
          <w:p w14:paraId="22925072" w14:textId="77777777" w:rsidR="00F439CC" w:rsidRDefault="00F439CC" w:rsidP="00F439CC">
            <w:pPr>
              <w:pStyle w:val="Default"/>
              <w:jc w:val="right"/>
              <w:rPr>
                <w:rFonts w:ascii="Times New Roman" w:eastAsia="Times New Roman" w:hAnsi="Times New Roman"/>
                <w:b/>
                <w:color w:val="7F7F7F" w:themeColor="text1" w:themeTint="80"/>
              </w:rPr>
            </w:pPr>
          </w:p>
          <w:p w14:paraId="22925073" w14:textId="77777777" w:rsidR="00F439CC" w:rsidRPr="00A41E51" w:rsidRDefault="00F439CC" w:rsidP="00F439CC">
            <w:pPr>
              <w:pStyle w:val="Default"/>
              <w:rPr>
                <w:rFonts w:ascii="Arial Black" w:eastAsia="Times New Roman" w:hAnsi="Arial Black"/>
                <w:b/>
                <w:color w:val="7F7F7F" w:themeColor="text1" w:themeTint="80"/>
              </w:rPr>
            </w:pPr>
            <w:r w:rsidRPr="00A41E51">
              <w:rPr>
                <w:rFonts w:ascii="Arial Black" w:eastAsia="Times New Roman" w:hAnsi="Arial Black"/>
                <w:b/>
                <w:color w:val="7F7F7F" w:themeColor="text1" w:themeTint="80"/>
              </w:rPr>
              <w:t xml:space="preserve">National </w:t>
            </w:r>
          </w:p>
          <w:p w14:paraId="22925074" w14:textId="77777777" w:rsidR="00F439CC" w:rsidRPr="00A41E51" w:rsidRDefault="00F439CC" w:rsidP="00F439CC">
            <w:pPr>
              <w:pStyle w:val="Default"/>
              <w:rPr>
                <w:rFonts w:ascii="Arial Black" w:eastAsia="Times New Roman" w:hAnsi="Arial Black"/>
                <w:b/>
                <w:color w:val="7F7F7F" w:themeColor="text1" w:themeTint="80"/>
              </w:rPr>
            </w:pPr>
            <w:r w:rsidRPr="00A41E51">
              <w:rPr>
                <w:rFonts w:ascii="Arial Black" w:eastAsia="Times New Roman" w:hAnsi="Arial Black"/>
                <w:b/>
                <w:color w:val="7F7F7F" w:themeColor="text1" w:themeTint="80"/>
              </w:rPr>
              <w:t>Landcare</w:t>
            </w:r>
            <w:r w:rsidRPr="00A41E51">
              <w:rPr>
                <w:rFonts w:ascii="Arial Black" w:eastAsia="Times New Roman" w:hAnsi="Arial Black"/>
                <w:b/>
                <w:color w:val="7F7F7F" w:themeColor="text1" w:themeTint="80"/>
              </w:rPr>
              <w:br/>
              <w:t xml:space="preserve">Advisory </w:t>
            </w:r>
          </w:p>
          <w:p w14:paraId="22925075" w14:textId="77777777" w:rsidR="00F439CC" w:rsidRDefault="00F439CC" w:rsidP="00F439CC">
            <w:pPr>
              <w:pStyle w:val="Default"/>
              <w:rPr>
                <w:rFonts w:ascii="Times New Roman" w:eastAsia="Times New Roman" w:hAnsi="Times New Roman"/>
                <w:b/>
                <w:color w:val="7F7F7F" w:themeColor="text1" w:themeTint="80"/>
              </w:rPr>
            </w:pPr>
            <w:r w:rsidRPr="00A41E51">
              <w:rPr>
                <w:rFonts w:ascii="Arial Black" w:eastAsia="Times New Roman" w:hAnsi="Arial Black"/>
                <w:b/>
                <w:color w:val="7F7F7F" w:themeColor="text1" w:themeTint="80"/>
              </w:rPr>
              <w:t>Committee</w:t>
            </w:r>
          </w:p>
        </w:tc>
      </w:tr>
    </w:tbl>
    <w:p w14:paraId="22925077" w14:textId="77777777" w:rsidR="004B0366" w:rsidRDefault="00124717" w:rsidP="004B0366">
      <w:pPr>
        <w:ind w:left="-1276"/>
        <w:rPr>
          <w:rFonts w:ascii="Times New Roman" w:eastAsia="Times New Roman" w:hAnsi="Times New Roman"/>
          <w:b/>
          <w:sz w:val="24"/>
          <w:szCs w:val="24"/>
          <w:lang w:eastAsia="en-AU"/>
        </w:rPr>
      </w:pPr>
      <w:r w:rsidRPr="00124717">
        <w:rPr>
          <w:rFonts w:ascii="Times New Roman" w:eastAsia="Times New Roman" w:hAnsi="Times New Roman"/>
          <w:b/>
          <w:noProof/>
          <w:sz w:val="24"/>
          <w:szCs w:val="24"/>
          <w:lang w:eastAsia="en-AU"/>
        </w:rPr>
        <w:drawing>
          <wp:inline distT="0" distB="0" distL="0" distR="0" wp14:anchorId="229250DB" wp14:editId="229250DC">
            <wp:extent cx="7414903" cy="1721923"/>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icPr>
                  <pic:blipFill>
                    <a:blip r:embed="rId9" cstate="print"/>
                    <a:srcRect t="34217" b="30843"/>
                    <a:stretch>
                      <a:fillRect/>
                    </a:stretch>
                  </pic:blipFill>
                  <pic:spPr>
                    <a:xfrm>
                      <a:off x="0" y="0"/>
                      <a:ext cx="7414903" cy="1721923"/>
                    </a:xfrm>
                    <a:prstGeom prst="rect">
                      <a:avLst/>
                    </a:prstGeom>
                  </pic:spPr>
                </pic:pic>
              </a:graphicData>
            </a:graphic>
          </wp:inline>
        </w:drawing>
      </w:r>
      <w:r w:rsidR="004B0366">
        <w:rPr>
          <w:rFonts w:ascii="Times New Roman" w:eastAsia="Times New Roman" w:hAnsi="Times New Roman"/>
          <w:b/>
          <w:noProof/>
          <w:sz w:val="24"/>
          <w:szCs w:val="24"/>
          <w:lang w:eastAsia="en-AU"/>
        </w:rPr>
        <w:drawing>
          <wp:inline distT="0" distB="0" distL="0" distR="0" wp14:anchorId="229250DD" wp14:editId="229250DE">
            <wp:extent cx="7661910" cy="204178"/>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cstate="print"/>
                    <a:srcRect l="8273" t="76198" r="50891" b="20992"/>
                    <a:stretch>
                      <a:fillRect/>
                    </a:stretch>
                  </pic:blipFill>
                  <pic:spPr bwMode="auto">
                    <a:xfrm>
                      <a:off x="0" y="0"/>
                      <a:ext cx="7770734" cy="207078"/>
                    </a:xfrm>
                    <a:prstGeom prst="rect">
                      <a:avLst/>
                    </a:prstGeom>
                    <a:noFill/>
                    <a:ln w="9525">
                      <a:noFill/>
                      <a:miter lim="800000"/>
                      <a:headEnd/>
                      <a:tailEnd/>
                    </a:ln>
                  </pic:spPr>
                </pic:pic>
              </a:graphicData>
            </a:graphic>
          </wp:inline>
        </w:drawing>
      </w:r>
    </w:p>
    <w:p w14:paraId="22925078" w14:textId="77777777" w:rsidR="00EE7334" w:rsidRDefault="00445DC7">
      <w:pPr>
        <w:spacing w:after="0"/>
        <w:ind w:left="-284"/>
        <w:rPr>
          <w:rFonts w:asciiTheme="minorHAnsi" w:hAnsiTheme="minorHAnsi"/>
          <w:color w:val="0062AC"/>
          <w:sz w:val="56"/>
          <w:szCs w:val="56"/>
        </w:rPr>
      </w:pPr>
      <w:r>
        <w:rPr>
          <w:rFonts w:asciiTheme="minorHAnsi" w:hAnsiTheme="minorHAnsi"/>
          <w:color w:val="0062AC"/>
          <w:sz w:val="56"/>
          <w:szCs w:val="56"/>
        </w:rPr>
        <w:t>E</w:t>
      </w:r>
      <w:r w:rsidR="00D14A9A">
        <w:rPr>
          <w:rFonts w:asciiTheme="minorHAnsi" w:hAnsiTheme="minorHAnsi"/>
          <w:color w:val="0062AC"/>
          <w:sz w:val="56"/>
          <w:szCs w:val="56"/>
        </w:rPr>
        <w:t xml:space="preserve">conomic benefits </w:t>
      </w:r>
      <w:r w:rsidR="00691B48">
        <w:rPr>
          <w:rFonts w:asciiTheme="minorHAnsi" w:hAnsiTheme="minorHAnsi"/>
          <w:color w:val="0062AC"/>
          <w:sz w:val="56"/>
          <w:szCs w:val="56"/>
        </w:rPr>
        <w:t>of Landcare</w:t>
      </w:r>
      <w:r w:rsidR="00FF087D">
        <w:rPr>
          <w:rFonts w:asciiTheme="minorHAnsi" w:hAnsiTheme="minorHAnsi"/>
          <w:color w:val="0062AC"/>
          <w:sz w:val="56"/>
          <w:szCs w:val="56"/>
        </w:rPr>
        <w:t xml:space="preserve"> </w:t>
      </w:r>
    </w:p>
    <w:p w14:paraId="22925079" w14:textId="77777777" w:rsidR="00445DC7" w:rsidRPr="00445DC7" w:rsidRDefault="00EF19C8" w:rsidP="004B0366">
      <w:pPr>
        <w:ind w:left="-284"/>
        <w:rPr>
          <w:rFonts w:asciiTheme="minorHAnsi" w:hAnsiTheme="minorHAnsi"/>
          <w:color w:val="0062AC"/>
          <w:sz w:val="32"/>
          <w:szCs w:val="56"/>
        </w:rPr>
      </w:pPr>
      <w:r>
        <w:rPr>
          <w:rFonts w:asciiTheme="minorHAnsi" w:hAnsiTheme="minorHAnsi"/>
          <w:color w:val="0062AC"/>
          <w:sz w:val="32"/>
          <w:szCs w:val="56"/>
        </w:rPr>
        <w:t>T</w:t>
      </w:r>
      <w:r w:rsidR="001574A3" w:rsidRPr="001574A3">
        <w:rPr>
          <w:rFonts w:asciiTheme="minorHAnsi" w:hAnsiTheme="minorHAnsi"/>
          <w:color w:val="0062AC"/>
          <w:sz w:val="32"/>
          <w:szCs w:val="56"/>
        </w:rPr>
        <w:t xml:space="preserve">hree case studies </w:t>
      </w:r>
      <w:r w:rsidR="007F138E">
        <w:rPr>
          <w:rFonts w:asciiTheme="minorHAnsi" w:hAnsiTheme="minorHAnsi"/>
          <w:color w:val="0062AC"/>
          <w:sz w:val="32"/>
          <w:szCs w:val="56"/>
        </w:rPr>
        <w:t>highlight</w:t>
      </w:r>
      <w:r w:rsidR="00C56A0E">
        <w:rPr>
          <w:rFonts w:asciiTheme="minorHAnsi" w:hAnsiTheme="minorHAnsi"/>
          <w:color w:val="0062AC"/>
          <w:sz w:val="32"/>
          <w:szCs w:val="56"/>
        </w:rPr>
        <w:t xml:space="preserve"> some of </w:t>
      </w:r>
      <w:r w:rsidR="00CD52D5">
        <w:rPr>
          <w:rFonts w:asciiTheme="minorHAnsi" w:hAnsiTheme="minorHAnsi"/>
          <w:color w:val="0062AC"/>
          <w:sz w:val="32"/>
          <w:szCs w:val="56"/>
        </w:rPr>
        <w:t xml:space="preserve">the </w:t>
      </w:r>
      <w:r w:rsidR="001574A3" w:rsidRPr="001574A3">
        <w:rPr>
          <w:rFonts w:asciiTheme="minorHAnsi" w:hAnsiTheme="minorHAnsi"/>
          <w:color w:val="0062AC"/>
          <w:sz w:val="32"/>
          <w:szCs w:val="56"/>
        </w:rPr>
        <w:t xml:space="preserve">on-farm and off-farm </w:t>
      </w:r>
      <w:r w:rsidR="00CD52D5">
        <w:rPr>
          <w:rFonts w:asciiTheme="minorHAnsi" w:hAnsiTheme="minorHAnsi"/>
          <w:color w:val="0062AC"/>
          <w:sz w:val="32"/>
          <w:szCs w:val="56"/>
        </w:rPr>
        <w:t xml:space="preserve">economic </w:t>
      </w:r>
      <w:r w:rsidR="001574A3" w:rsidRPr="001574A3">
        <w:rPr>
          <w:rFonts w:asciiTheme="minorHAnsi" w:hAnsiTheme="minorHAnsi"/>
          <w:color w:val="0062AC"/>
          <w:sz w:val="32"/>
          <w:szCs w:val="56"/>
        </w:rPr>
        <w:t>impacts of</w:t>
      </w:r>
      <w:r w:rsidR="005F17AC">
        <w:rPr>
          <w:rFonts w:asciiTheme="minorHAnsi" w:hAnsiTheme="minorHAnsi"/>
          <w:color w:val="0062AC"/>
          <w:sz w:val="32"/>
          <w:szCs w:val="56"/>
        </w:rPr>
        <w:t xml:space="preserve"> </w:t>
      </w:r>
      <w:r w:rsidR="00190E0F">
        <w:rPr>
          <w:rFonts w:asciiTheme="minorHAnsi" w:hAnsiTheme="minorHAnsi"/>
          <w:color w:val="0062AC"/>
          <w:sz w:val="32"/>
          <w:szCs w:val="56"/>
        </w:rPr>
        <w:t>Landcare</w:t>
      </w:r>
    </w:p>
    <w:p w14:paraId="2292507A" w14:textId="77777777" w:rsidR="00CD3861" w:rsidRDefault="005F17AC" w:rsidP="005A78ED">
      <w:pPr>
        <w:ind w:left="-284" w:right="283"/>
        <w:rPr>
          <w:rFonts w:asciiTheme="minorHAnsi" w:hAnsiTheme="minorHAnsi"/>
          <w:color w:val="7F7F7F" w:themeColor="text1" w:themeTint="80"/>
          <w:sz w:val="26"/>
          <w:szCs w:val="26"/>
        </w:rPr>
      </w:pPr>
      <w:r>
        <w:rPr>
          <w:rFonts w:asciiTheme="minorHAnsi" w:hAnsiTheme="minorHAnsi"/>
          <w:color w:val="7F7F7F" w:themeColor="text1" w:themeTint="80"/>
          <w:sz w:val="26"/>
          <w:szCs w:val="26"/>
        </w:rPr>
        <w:t>F</w:t>
      </w:r>
      <w:r w:rsidR="00D14A9A">
        <w:rPr>
          <w:rFonts w:asciiTheme="minorHAnsi" w:hAnsiTheme="minorHAnsi"/>
          <w:color w:val="7F7F7F" w:themeColor="text1" w:themeTint="80"/>
          <w:sz w:val="26"/>
          <w:szCs w:val="26"/>
        </w:rPr>
        <w:t>or over</w:t>
      </w:r>
      <w:r w:rsidR="00A17E03">
        <w:rPr>
          <w:rFonts w:asciiTheme="minorHAnsi" w:hAnsiTheme="minorHAnsi"/>
          <w:color w:val="7F7F7F" w:themeColor="text1" w:themeTint="80"/>
          <w:sz w:val="26"/>
          <w:szCs w:val="26"/>
        </w:rPr>
        <w:t xml:space="preserve"> </w:t>
      </w:r>
      <w:r w:rsidR="00D14A9A">
        <w:rPr>
          <w:rFonts w:asciiTheme="minorHAnsi" w:hAnsiTheme="minorHAnsi"/>
          <w:color w:val="7F7F7F" w:themeColor="text1" w:themeTint="80"/>
          <w:sz w:val="26"/>
          <w:szCs w:val="26"/>
        </w:rPr>
        <w:t>25</w:t>
      </w:r>
      <w:r w:rsidR="00A17E03">
        <w:rPr>
          <w:rFonts w:asciiTheme="minorHAnsi" w:hAnsiTheme="minorHAnsi"/>
          <w:color w:val="7F7F7F" w:themeColor="text1" w:themeTint="80"/>
          <w:sz w:val="26"/>
          <w:szCs w:val="26"/>
        </w:rPr>
        <w:t xml:space="preserve"> years</w:t>
      </w:r>
      <w:r>
        <w:rPr>
          <w:rFonts w:asciiTheme="minorHAnsi" w:hAnsiTheme="minorHAnsi"/>
          <w:color w:val="7F7F7F" w:themeColor="text1" w:themeTint="80"/>
          <w:sz w:val="26"/>
          <w:szCs w:val="26"/>
        </w:rPr>
        <w:t>,</w:t>
      </w:r>
      <w:r w:rsidR="00A17E03">
        <w:rPr>
          <w:rFonts w:asciiTheme="minorHAnsi" w:hAnsiTheme="minorHAnsi"/>
          <w:color w:val="7F7F7F" w:themeColor="text1" w:themeTint="80"/>
          <w:sz w:val="26"/>
          <w:szCs w:val="26"/>
        </w:rPr>
        <w:t xml:space="preserve"> Landcare </w:t>
      </w:r>
      <w:r w:rsidR="00445DC7">
        <w:rPr>
          <w:rFonts w:asciiTheme="minorHAnsi" w:hAnsiTheme="minorHAnsi"/>
          <w:color w:val="7F7F7F" w:themeColor="text1" w:themeTint="80"/>
          <w:sz w:val="26"/>
          <w:szCs w:val="26"/>
        </w:rPr>
        <w:t>has</w:t>
      </w:r>
      <w:r w:rsidR="00040CF7" w:rsidRPr="00040CF7">
        <w:rPr>
          <w:rFonts w:asciiTheme="minorHAnsi" w:hAnsiTheme="minorHAnsi"/>
          <w:color w:val="7F7F7F" w:themeColor="text1" w:themeTint="80"/>
          <w:sz w:val="26"/>
          <w:szCs w:val="26"/>
        </w:rPr>
        <w:t xml:space="preserve"> </w:t>
      </w:r>
      <w:r w:rsidR="004C385E">
        <w:rPr>
          <w:rFonts w:asciiTheme="minorHAnsi" w:hAnsiTheme="minorHAnsi"/>
          <w:color w:val="7F7F7F" w:themeColor="text1" w:themeTint="80"/>
          <w:sz w:val="26"/>
          <w:szCs w:val="26"/>
        </w:rPr>
        <w:t xml:space="preserve">improved the productivity of Australian agriculture through </w:t>
      </w:r>
      <w:r w:rsidR="00E969E3">
        <w:rPr>
          <w:rFonts w:asciiTheme="minorHAnsi" w:hAnsiTheme="minorHAnsi"/>
          <w:color w:val="7F7F7F" w:themeColor="text1" w:themeTint="80"/>
          <w:sz w:val="26"/>
          <w:szCs w:val="26"/>
        </w:rPr>
        <w:t xml:space="preserve">increasing the </w:t>
      </w:r>
      <w:r w:rsidR="004C385E">
        <w:rPr>
          <w:rFonts w:asciiTheme="minorHAnsi" w:hAnsiTheme="minorHAnsi"/>
          <w:color w:val="7F7F7F" w:themeColor="text1" w:themeTint="80"/>
          <w:sz w:val="26"/>
          <w:szCs w:val="26"/>
        </w:rPr>
        <w:t xml:space="preserve">adoption of </w:t>
      </w:r>
      <w:r w:rsidR="00040CF7" w:rsidRPr="00040CF7">
        <w:rPr>
          <w:rFonts w:asciiTheme="minorHAnsi" w:hAnsiTheme="minorHAnsi"/>
          <w:color w:val="7F7F7F" w:themeColor="text1" w:themeTint="80"/>
          <w:sz w:val="26"/>
          <w:szCs w:val="26"/>
        </w:rPr>
        <w:t xml:space="preserve">sustainable agricultural </w:t>
      </w:r>
      <w:r w:rsidR="00445DC7">
        <w:rPr>
          <w:rFonts w:asciiTheme="minorHAnsi" w:hAnsiTheme="minorHAnsi"/>
          <w:color w:val="7F7F7F" w:themeColor="text1" w:themeTint="80"/>
          <w:sz w:val="26"/>
          <w:szCs w:val="26"/>
        </w:rPr>
        <w:t>practices</w:t>
      </w:r>
      <w:r w:rsidR="00A17E03">
        <w:rPr>
          <w:rFonts w:asciiTheme="minorHAnsi" w:hAnsiTheme="minorHAnsi"/>
          <w:color w:val="7F7F7F" w:themeColor="text1" w:themeTint="80"/>
          <w:sz w:val="26"/>
          <w:szCs w:val="26"/>
        </w:rPr>
        <w:t xml:space="preserve"> which not only protect and enhance </w:t>
      </w:r>
      <w:r w:rsidR="001B755D">
        <w:rPr>
          <w:rFonts w:asciiTheme="minorHAnsi" w:hAnsiTheme="minorHAnsi"/>
          <w:color w:val="7F7F7F" w:themeColor="text1" w:themeTint="80"/>
          <w:sz w:val="26"/>
          <w:szCs w:val="26"/>
        </w:rPr>
        <w:t xml:space="preserve">the productivity of </w:t>
      </w:r>
      <w:r w:rsidR="00A17E03">
        <w:rPr>
          <w:rFonts w:asciiTheme="minorHAnsi" w:hAnsiTheme="minorHAnsi"/>
          <w:color w:val="7F7F7F" w:themeColor="text1" w:themeTint="80"/>
          <w:sz w:val="26"/>
          <w:szCs w:val="26"/>
        </w:rPr>
        <w:t xml:space="preserve">our landscapes, but also </w:t>
      </w:r>
      <w:r w:rsidR="005C4B18">
        <w:rPr>
          <w:rFonts w:asciiTheme="minorHAnsi" w:hAnsiTheme="minorHAnsi"/>
          <w:color w:val="7F7F7F" w:themeColor="text1" w:themeTint="80"/>
          <w:sz w:val="26"/>
          <w:szCs w:val="26"/>
        </w:rPr>
        <w:t>improve</w:t>
      </w:r>
      <w:r w:rsidR="00DE2E79">
        <w:rPr>
          <w:rFonts w:asciiTheme="minorHAnsi" w:hAnsiTheme="minorHAnsi"/>
          <w:color w:val="7F7F7F" w:themeColor="text1" w:themeTint="80"/>
          <w:sz w:val="26"/>
          <w:szCs w:val="26"/>
        </w:rPr>
        <w:t xml:space="preserve"> </w:t>
      </w:r>
      <w:r w:rsidR="00040CF7">
        <w:rPr>
          <w:rFonts w:asciiTheme="minorHAnsi" w:hAnsiTheme="minorHAnsi"/>
          <w:color w:val="7F7F7F" w:themeColor="text1" w:themeTint="80"/>
          <w:sz w:val="26"/>
          <w:szCs w:val="26"/>
        </w:rPr>
        <w:t>yields</w:t>
      </w:r>
      <w:r w:rsidR="00BE1981">
        <w:rPr>
          <w:rFonts w:asciiTheme="minorHAnsi" w:hAnsiTheme="minorHAnsi"/>
          <w:color w:val="7F7F7F" w:themeColor="text1" w:themeTint="80"/>
          <w:sz w:val="26"/>
          <w:szCs w:val="26"/>
        </w:rPr>
        <w:t xml:space="preserve"> and</w:t>
      </w:r>
      <w:r w:rsidR="005C4B18">
        <w:rPr>
          <w:rFonts w:asciiTheme="minorHAnsi" w:hAnsiTheme="minorHAnsi"/>
          <w:color w:val="7F7F7F" w:themeColor="text1" w:themeTint="80"/>
          <w:sz w:val="26"/>
          <w:szCs w:val="26"/>
        </w:rPr>
        <w:t xml:space="preserve"> </w:t>
      </w:r>
      <w:r w:rsidR="007F1F2C">
        <w:rPr>
          <w:rFonts w:asciiTheme="minorHAnsi" w:hAnsiTheme="minorHAnsi"/>
          <w:color w:val="7F7F7F" w:themeColor="text1" w:themeTint="80"/>
          <w:sz w:val="26"/>
          <w:szCs w:val="26"/>
        </w:rPr>
        <w:t xml:space="preserve">boost </w:t>
      </w:r>
      <w:r w:rsidR="00BE1981">
        <w:rPr>
          <w:rFonts w:asciiTheme="minorHAnsi" w:hAnsiTheme="minorHAnsi"/>
          <w:color w:val="7F7F7F" w:themeColor="text1" w:themeTint="80"/>
          <w:sz w:val="26"/>
          <w:szCs w:val="26"/>
        </w:rPr>
        <w:t xml:space="preserve">income </w:t>
      </w:r>
      <w:r w:rsidR="004C385E">
        <w:rPr>
          <w:rFonts w:asciiTheme="minorHAnsi" w:hAnsiTheme="minorHAnsi"/>
          <w:color w:val="7F7F7F" w:themeColor="text1" w:themeTint="80"/>
          <w:sz w:val="26"/>
          <w:szCs w:val="26"/>
        </w:rPr>
        <w:t>for farmers</w:t>
      </w:r>
      <w:r w:rsidR="00DE2E79">
        <w:rPr>
          <w:rFonts w:asciiTheme="minorHAnsi" w:hAnsiTheme="minorHAnsi"/>
          <w:color w:val="7F7F7F" w:themeColor="text1" w:themeTint="80"/>
          <w:sz w:val="26"/>
          <w:szCs w:val="26"/>
        </w:rPr>
        <w:t xml:space="preserve">. </w:t>
      </w:r>
      <w:r w:rsidR="00D14A9A">
        <w:rPr>
          <w:rFonts w:asciiTheme="minorHAnsi" w:hAnsiTheme="minorHAnsi"/>
          <w:color w:val="7F7F7F" w:themeColor="text1" w:themeTint="80"/>
          <w:sz w:val="26"/>
          <w:szCs w:val="26"/>
        </w:rPr>
        <w:t>The spread of these practices has had</w:t>
      </w:r>
      <w:r w:rsidR="006B61C8">
        <w:rPr>
          <w:rFonts w:asciiTheme="minorHAnsi" w:hAnsiTheme="minorHAnsi"/>
          <w:color w:val="7F7F7F" w:themeColor="text1" w:themeTint="80"/>
          <w:sz w:val="26"/>
          <w:szCs w:val="26"/>
        </w:rPr>
        <w:t xml:space="preserve"> </w:t>
      </w:r>
      <w:r w:rsidR="00DE2E79">
        <w:rPr>
          <w:rFonts w:asciiTheme="minorHAnsi" w:hAnsiTheme="minorHAnsi"/>
          <w:color w:val="7F7F7F" w:themeColor="text1" w:themeTint="80"/>
          <w:sz w:val="26"/>
          <w:szCs w:val="26"/>
        </w:rPr>
        <w:t xml:space="preserve">flow-on </w:t>
      </w:r>
      <w:r w:rsidR="00051EFE">
        <w:rPr>
          <w:rFonts w:asciiTheme="minorHAnsi" w:hAnsiTheme="minorHAnsi"/>
          <w:color w:val="7F7F7F" w:themeColor="text1" w:themeTint="80"/>
          <w:sz w:val="26"/>
          <w:szCs w:val="26"/>
        </w:rPr>
        <w:t>benefits</w:t>
      </w:r>
      <w:r w:rsidR="00DE2E79">
        <w:rPr>
          <w:rFonts w:asciiTheme="minorHAnsi" w:hAnsiTheme="minorHAnsi"/>
          <w:color w:val="7F7F7F" w:themeColor="text1" w:themeTint="80"/>
          <w:sz w:val="26"/>
          <w:szCs w:val="26"/>
        </w:rPr>
        <w:t xml:space="preserve"> for l</w:t>
      </w:r>
      <w:r w:rsidR="006B61C8">
        <w:rPr>
          <w:rFonts w:asciiTheme="minorHAnsi" w:hAnsiTheme="minorHAnsi"/>
          <w:color w:val="7F7F7F" w:themeColor="text1" w:themeTint="80"/>
          <w:sz w:val="26"/>
          <w:szCs w:val="26"/>
        </w:rPr>
        <w:t>ocal economies</w:t>
      </w:r>
      <w:r w:rsidR="00DE2E79">
        <w:rPr>
          <w:rFonts w:asciiTheme="minorHAnsi" w:hAnsiTheme="minorHAnsi"/>
          <w:color w:val="7F7F7F" w:themeColor="text1" w:themeTint="80"/>
          <w:sz w:val="26"/>
          <w:szCs w:val="26"/>
        </w:rPr>
        <w:t xml:space="preserve">, as farmers use </w:t>
      </w:r>
      <w:r w:rsidR="00802618">
        <w:rPr>
          <w:rFonts w:asciiTheme="minorHAnsi" w:hAnsiTheme="minorHAnsi"/>
          <w:color w:val="7F7F7F" w:themeColor="text1" w:themeTint="80"/>
          <w:sz w:val="26"/>
          <w:szCs w:val="26"/>
        </w:rPr>
        <w:t>more</w:t>
      </w:r>
      <w:r w:rsidR="00DE2E79">
        <w:rPr>
          <w:rFonts w:asciiTheme="minorHAnsi" w:hAnsiTheme="minorHAnsi"/>
          <w:color w:val="7F7F7F" w:themeColor="text1" w:themeTint="80"/>
          <w:sz w:val="26"/>
          <w:szCs w:val="26"/>
        </w:rPr>
        <w:t xml:space="preserve"> products and services </w:t>
      </w:r>
      <w:r w:rsidR="005C4B18">
        <w:rPr>
          <w:rFonts w:asciiTheme="minorHAnsi" w:hAnsiTheme="minorHAnsi"/>
          <w:color w:val="7F7F7F" w:themeColor="text1" w:themeTint="80"/>
          <w:sz w:val="26"/>
          <w:szCs w:val="26"/>
        </w:rPr>
        <w:t>from</w:t>
      </w:r>
      <w:r w:rsidR="00DE2E79">
        <w:rPr>
          <w:rFonts w:asciiTheme="minorHAnsi" w:hAnsiTheme="minorHAnsi"/>
          <w:color w:val="7F7F7F" w:themeColor="text1" w:themeTint="80"/>
          <w:sz w:val="26"/>
          <w:szCs w:val="26"/>
        </w:rPr>
        <w:t xml:space="preserve"> local suppliers</w:t>
      </w:r>
      <w:r w:rsidR="00A30285">
        <w:rPr>
          <w:rFonts w:asciiTheme="minorHAnsi" w:hAnsiTheme="minorHAnsi"/>
          <w:color w:val="7F7F7F" w:themeColor="text1" w:themeTint="80"/>
          <w:sz w:val="26"/>
          <w:szCs w:val="26"/>
        </w:rPr>
        <w:t xml:space="preserve"> and experts</w:t>
      </w:r>
      <w:r w:rsidR="00051EFE">
        <w:rPr>
          <w:rFonts w:asciiTheme="minorHAnsi" w:hAnsiTheme="minorHAnsi"/>
          <w:color w:val="7F7F7F" w:themeColor="text1" w:themeTint="80"/>
          <w:sz w:val="26"/>
          <w:szCs w:val="26"/>
        </w:rPr>
        <w:t xml:space="preserve"> to meet the needs of their growing business</w:t>
      </w:r>
      <w:r w:rsidR="00A30285">
        <w:rPr>
          <w:rFonts w:asciiTheme="minorHAnsi" w:hAnsiTheme="minorHAnsi"/>
          <w:color w:val="7F7F7F" w:themeColor="text1" w:themeTint="80"/>
          <w:sz w:val="26"/>
          <w:szCs w:val="26"/>
        </w:rPr>
        <w:t>.</w:t>
      </w:r>
      <w:r w:rsidR="003B388E">
        <w:rPr>
          <w:rFonts w:asciiTheme="minorHAnsi" w:hAnsiTheme="minorHAnsi"/>
          <w:color w:val="7F7F7F" w:themeColor="text1" w:themeTint="80"/>
          <w:sz w:val="26"/>
          <w:szCs w:val="26"/>
        </w:rPr>
        <w:t xml:space="preserve"> </w:t>
      </w:r>
    </w:p>
    <w:p w14:paraId="2292507B" w14:textId="77777777" w:rsidR="004B0366" w:rsidRPr="005A78ED" w:rsidDel="00CD52D5" w:rsidRDefault="00040CF7" w:rsidP="005A78ED">
      <w:pPr>
        <w:ind w:left="-284" w:right="283"/>
        <w:rPr>
          <w:rFonts w:asciiTheme="minorHAnsi" w:hAnsiTheme="minorHAnsi"/>
          <w:color w:val="7F7F7F" w:themeColor="text1" w:themeTint="80"/>
          <w:sz w:val="26"/>
          <w:szCs w:val="26"/>
        </w:rPr>
      </w:pPr>
      <w:r w:rsidDel="00CD52D5">
        <w:rPr>
          <w:rFonts w:asciiTheme="minorHAnsi" w:hAnsiTheme="minorHAnsi"/>
          <w:color w:val="7F7F7F" w:themeColor="text1" w:themeTint="80"/>
          <w:sz w:val="26"/>
          <w:szCs w:val="26"/>
        </w:rPr>
        <w:t>In three case studies</w:t>
      </w:r>
      <w:r w:rsidR="00051EFE" w:rsidDel="00CD52D5">
        <w:rPr>
          <w:rFonts w:asciiTheme="minorHAnsi" w:hAnsiTheme="minorHAnsi"/>
          <w:color w:val="7F7F7F" w:themeColor="text1" w:themeTint="80"/>
          <w:sz w:val="26"/>
          <w:szCs w:val="26"/>
        </w:rPr>
        <w:t>,</w:t>
      </w:r>
      <w:r w:rsidDel="00CD52D5">
        <w:rPr>
          <w:rFonts w:asciiTheme="minorHAnsi" w:hAnsiTheme="minorHAnsi"/>
          <w:color w:val="7F7F7F" w:themeColor="text1" w:themeTint="80"/>
          <w:sz w:val="26"/>
          <w:szCs w:val="26"/>
        </w:rPr>
        <w:t xml:space="preserve"> the </w:t>
      </w:r>
      <w:r w:rsidR="00051EFE" w:rsidDel="00CD52D5">
        <w:rPr>
          <w:rFonts w:asciiTheme="minorHAnsi" w:hAnsiTheme="minorHAnsi"/>
          <w:color w:val="7F7F7F" w:themeColor="text1" w:themeTint="80"/>
          <w:sz w:val="26"/>
          <w:szCs w:val="26"/>
        </w:rPr>
        <w:t xml:space="preserve">combined </w:t>
      </w:r>
      <w:r w:rsidDel="00CD52D5">
        <w:rPr>
          <w:rFonts w:asciiTheme="minorHAnsi" w:hAnsiTheme="minorHAnsi"/>
          <w:color w:val="7F7F7F" w:themeColor="text1" w:themeTint="80"/>
          <w:sz w:val="26"/>
          <w:szCs w:val="26"/>
        </w:rPr>
        <w:t xml:space="preserve">market value of </w:t>
      </w:r>
      <w:r w:rsidR="00384E69" w:rsidDel="00CD52D5">
        <w:rPr>
          <w:rFonts w:asciiTheme="minorHAnsi" w:hAnsiTheme="minorHAnsi"/>
          <w:color w:val="7F7F7F" w:themeColor="text1" w:themeTint="80"/>
          <w:sz w:val="26"/>
          <w:szCs w:val="26"/>
        </w:rPr>
        <w:t>selected</w:t>
      </w:r>
      <w:r w:rsidDel="00CD52D5">
        <w:rPr>
          <w:rFonts w:asciiTheme="minorHAnsi" w:hAnsiTheme="minorHAnsi"/>
          <w:color w:val="7F7F7F" w:themeColor="text1" w:themeTint="80"/>
          <w:sz w:val="26"/>
          <w:szCs w:val="26"/>
        </w:rPr>
        <w:t xml:space="preserve"> on-farm and off-farm </w:t>
      </w:r>
      <w:r w:rsidR="00DB275D" w:rsidDel="00CD52D5">
        <w:rPr>
          <w:rFonts w:asciiTheme="minorHAnsi" w:hAnsiTheme="minorHAnsi"/>
          <w:color w:val="7F7F7F" w:themeColor="text1" w:themeTint="80"/>
          <w:sz w:val="26"/>
          <w:szCs w:val="26"/>
        </w:rPr>
        <w:t xml:space="preserve">economic </w:t>
      </w:r>
      <w:r w:rsidR="00BE1981" w:rsidDel="00CD52D5">
        <w:rPr>
          <w:rFonts w:asciiTheme="minorHAnsi" w:hAnsiTheme="minorHAnsi"/>
          <w:color w:val="7F7F7F" w:themeColor="text1" w:themeTint="80"/>
          <w:sz w:val="26"/>
          <w:szCs w:val="26"/>
        </w:rPr>
        <w:t>benefits</w:t>
      </w:r>
      <w:r w:rsidDel="00CD52D5">
        <w:rPr>
          <w:rFonts w:asciiTheme="minorHAnsi" w:hAnsiTheme="minorHAnsi"/>
          <w:color w:val="7F7F7F" w:themeColor="text1" w:themeTint="80"/>
          <w:sz w:val="26"/>
          <w:szCs w:val="26"/>
        </w:rPr>
        <w:t xml:space="preserve"> </w:t>
      </w:r>
      <w:r w:rsidR="00D14A9A" w:rsidDel="00CD52D5">
        <w:rPr>
          <w:rFonts w:asciiTheme="minorHAnsi" w:hAnsiTheme="minorHAnsi"/>
          <w:color w:val="7F7F7F" w:themeColor="text1" w:themeTint="80"/>
          <w:sz w:val="26"/>
          <w:szCs w:val="26"/>
        </w:rPr>
        <w:t xml:space="preserve">from Landcare investment </w:t>
      </w:r>
      <w:r w:rsidDel="00CD52D5">
        <w:rPr>
          <w:rFonts w:asciiTheme="minorHAnsi" w:hAnsiTheme="minorHAnsi"/>
          <w:color w:val="7F7F7F" w:themeColor="text1" w:themeTint="80"/>
          <w:sz w:val="26"/>
          <w:szCs w:val="26"/>
        </w:rPr>
        <w:t>has been estimated in excess of $1 billion.</w:t>
      </w:r>
      <w:r w:rsidR="00501905" w:rsidDel="00CD52D5">
        <w:rPr>
          <w:rFonts w:asciiTheme="minorHAnsi" w:hAnsiTheme="minorHAnsi"/>
          <w:color w:val="7F7F7F" w:themeColor="text1" w:themeTint="80"/>
          <w:sz w:val="26"/>
          <w:szCs w:val="26"/>
        </w:rPr>
        <w:t xml:space="preserve"> </w:t>
      </w:r>
    </w:p>
    <w:p w14:paraId="2292507C" w14:textId="77777777" w:rsidR="004B0366" w:rsidRDefault="004B0366" w:rsidP="004B0366">
      <w:pPr>
        <w:pStyle w:val="NormalWeb"/>
        <w:spacing w:line="360" w:lineRule="auto"/>
        <w:rPr>
          <w:rFonts w:ascii="Adobe Garamond Pro" w:eastAsia="Calibri" w:hAnsi="Adobe Garamond Pro"/>
          <w:sz w:val="20"/>
          <w:szCs w:val="20"/>
        </w:rPr>
        <w:sectPr w:rsidR="004B0366" w:rsidSect="00124717">
          <w:headerReference w:type="even" r:id="rId11"/>
          <w:headerReference w:type="default" r:id="rId12"/>
          <w:footerReference w:type="even" r:id="rId13"/>
          <w:footerReference w:type="default" r:id="rId14"/>
          <w:headerReference w:type="first" r:id="rId15"/>
          <w:footerReference w:type="first" r:id="rId16"/>
          <w:pgSz w:w="11906" w:h="16838"/>
          <w:pgMar w:top="-284" w:right="849" w:bottom="567" w:left="1418" w:header="425" w:footer="425" w:gutter="0"/>
          <w:pgNumType w:start="1"/>
          <w:cols w:space="708"/>
          <w:titlePg/>
          <w:docGrid w:linePitch="360"/>
        </w:sectPr>
      </w:pPr>
    </w:p>
    <w:p w14:paraId="2292507D" w14:textId="77777777" w:rsidR="00CD3861" w:rsidRPr="00A26603" w:rsidRDefault="00CD3861" w:rsidP="004B0366">
      <w:pPr>
        <w:pStyle w:val="NormalWeb"/>
        <w:spacing w:before="0" w:beforeAutospacing="0" w:after="240" w:afterAutospacing="0" w:line="340" w:lineRule="exact"/>
        <w:rPr>
          <w:rFonts w:ascii="Palatino Linotype" w:eastAsia="Calibri" w:hAnsi="Palatino Linotype"/>
          <w:color w:val="0070C0"/>
          <w:sz w:val="28"/>
          <w:szCs w:val="28"/>
        </w:rPr>
      </w:pPr>
      <w:r w:rsidRPr="00A26603">
        <w:rPr>
          <w:rFonts w:ascii="Palatino Linotype" w:eastAsia="Calibri" w:hAnsi="Palatino Linotype"/>
          <w:color w:val="0070C0"/>
          <w:sz w:val="28"/>
          <w:szCs w:val="28"/>
        </w:rPr>
        <w:t xml:space="preserve">Multiple benefits of Landcare </w:t>
      </w:r>
    </w:p>
    <w:p w14:paraId="2292507E" w14:textId="77777777" w:rsidR="00E45ED4" w:rsidRDefault="00DE4435" w:rsidP="005659F7">
      <w:pPr>
        <w:pStyle w:val="NormalWeb"/>
        <w:spacing w:before="0" w:beforeAutospacing="0" w:after="240" w:afterAutospacing="0" w:line="340" w:lineRule="exact"/>
        <w:rPr>
          <w:rFonts w:ascii="Palatino Linotype" w:eastAsia="Calibri" w:hAnsi="Palatino Linotype"/>
          <w:sz w:val="19"/>
          <w:szCs w:val="19"/>
          <w:vertAlign w:val="superscript"/>
        </w:rPr>
      </w:pPr>
      <w:r>
        <w:rPr>
          <w:rFonts w:ascii="Palatino Linotype" w:eastAsia="Calibri" w:hAnsi="Palatino Linotype"/>
          <w:sz w:val="19"/>
          <w:szCs w:val="19"/>
        </w:rPr>
        <w:t>Investment in Landcare has</w:t>
      </w:r>
      <w:r w:rsidRPr="00BE742A">
        <w:rPr>
          <w:rFonts w:ascii="Palatino Linotype" w:eastAsia="Calibri" w:hAnsi="Palatino Linotype"/>
          <w:sz w:val="19"/>
          <w:szCs w:val="19"/>
        </w:rPr>
        <w:t xml:space="preserve"> support</w:t>
      </w:r>
      <w:r>
        <w:rPr>
          <w:rFonts w:ascii="Palatino Linotype" w:eastAsia="Calibri" w:hAnsi="Palatino Linotype"/>
          <w:sz w:val="19"/>
          <w:szCs w:val="19"/>
        </w:rPr>
        <w:t>ed</w:t>
      </w:r>
      <w:r w:rsidRPr="00BE742A">
        <w:rPr>
          <w:rFonts w:ascii="Palatino Linotype" w:eastAsia="Calibri" w:hAnsi="Palatino Linotype"/>
          <w:sz w:val="19"/>
          <w:szCs w:val="19"/>
        </w:rPr>
        <w:t xml:space="preserve"> a number of </w:t>
      </w:r>
      <w:r>
        <w:rPr>
          <w:rFonts w:ascii="Palatino Linotype" w:eastAsia="Calibri" w:hAnsi="Palatino Linotype"/>
          <w:sz w:val="19"/>
          <w:szCs w:val="19"/>
        </w:rPr>
        <w:t xml:space="preserve">local and regional </w:t>
      </w:r>
      <w:r w:rsidR="00E62A81">
        <w:rPr>
          <w:rFonts w:ascii="Palatino Linotype" w:eastAsia="Calibri" w:hAnsi="Palatino Linotype"/>
          <w:sz w:val="19"/>
          <w:szCs w:val="19"/>
        </w:rPr>
        <w:t>initiatives</w:t>
      </w:r>
      <w:r w:rsidRPr="00BE742A">
        <w:rPr>
          <w:rFonts w:ascii="Palatino Linotype" w:eastAsia="Calibri" w:hAnsi="Palatino Linotype"/>
          <w:sz w:val="19"/>
          <w:szCs w:val="19"/>
        </w:rPr>
        <w:t xml:space="preserve"> </w:t>
      </w:r>
      <w:r>
        <w:rPr>
          <w:rFonts w:ascii="Palatino Linotype" w:eastAsia="Calibri" w:hAnsi="Palatino Linotype"/>
          <w:sz w:val="19"/>
          <w:szCs w:val="19"/>
        </w:rPr>
        <w:t>designed to</w:t>
      </w:r>
      <w:r w:rsidRPr="00BE742A">
        <w:rPr>
          <w:rFonts w:ascii="Palatino Linotype" w:eastAsia="Calibri" w:hAnsi="Palatino Linotype"/>
          <w:sz w:val="19"/>
          <w:szCs w:val="19"/>
        </w:rPr>
        <w:t xml:space="preserve"> protect and restore the environment and make agriculture more sustainable and productive.</w:t>
      </w:r>
      <w:r w:rsidR="00972DC7" w:rsidRPr="00E24646">
        <w:rPr>
          <w:rFonts w:ascii="Palatino Linotype" w:eastAsia="Calibri" w:hAnsi="Palatino Linotype"/>
          <w:sz w:val="19"/>
          <w:szCs w:val="19"/>
          <w:vertAlign w:val="superscript"/>
        </w:rPr>
        <w:t>1</w:t>
      </w:r>
      <w:r w:rsidR="00BC0D2F">
        <w:rPr>
          <w:rFonts w:ascii="Palatino Linotype" w:eastAsia="Calibri" w:hAnsi="Palatino Linotype"/>
          <w:sz w:val="19"/>
          <w:szCs w:val="19"/>
          <w:vertAlign w:val="superscript"/>
        </w:rPr>
        <w:t xml:space="preserve">  </w:t>
      </w:r>
    </w:p>
    <w:p w14:paraId="2292507F" w14:textId="77777777" w:rsidR="00E45ED4" w:rsidRDefault="004E2467" w:rsidP="00E45ED4">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sz w:val="19"/>
          <w:szCs w:val="19"/>
        </w:rPr>
        <w:t>To build on our knowledge of the benefits of Landcare activities, t</w:t>
      </w:r>
      <w:r w:rsidR="001701D0">
        <w:rPr>
          <w:rFonts w:ascii="Palatino Linotype" w:eastAsia="Calibri" w:hAnsi="Palatino Linotype"/>
          <w:sz w:val="19"/>
          <w:szCs w:val="19"/>
        </w:rPr>
        <w:t>he National Landcare Advisory Committee and Department of</w:t>
      </w:r>
      <w:r w:rsidR="00521282">
        <w:rPr>
          <w:rFonts w:ascii="Palatino Linotype" w:eastAsia="Calibri" w:hAnsi="Palatino Linotype"/>
          <w:sz w:val="19"/>
          <w:szCs w:val="19"/>
        </w:rPr>
        <w:t xml:space="preserve"> the Environment</w:t>
      </w:r>
      <w:r>
        <w:rPr>
          <w:rFonts w:ascii="Palatino Linotype" w:eastAsia="Calibri" w:hAnsi="Palatino Linotype"/>
          <w:sz w:val="19"/>
          <w:szCs w:val="19"/>
        </w:rPr>
        <w:t xml:space="preserve"> commissioned </w:t>
      </w:r>
      <w:r w:rsidR="006B61C8">
        <w:rPr>
          <w:rFonts w:ascii="Palatino Linotype" w:eastAsia="Calibri" w:hAnsi="Palatino Linotype"/>
          <w:sz w:val="19"/>
          <w:szCs w:val="19"/>
        </w:rPr>
        <w:t xml:space="preserve">Natural Decisions Pty Ltd </w:t>
      </w:r>
      <w:r w:rsidR="00E77724">
        <w:rPr>
          <w:rFonts w:ascii="Palatino Linotype" w:eastAsia="Calibri" w:hAnsi="Palatino Linotype"/>
          <w:sz w:val="19"/>
          <w:szCs w:val="19"/>
        </w:rPr>
        <w:t xml:space="preserve">to develop a systems model approach and </w:t>
      </w:r>
      <w:r>
        <w:rPr>
          <w:rFonts w:ascii="Palatino Linotype" w:eastAsia="Calibri" w:hAnsi="Palatino Linotype"/>
          <w:sz w:val="19"/>
          <w:szCs w:val="19"/>
        </w:rPr>
        <w:t>examine</w:t>
      </w:r>
      <w:r w:rsidR="006B61C8">
        <w:rPr>
          <w:rFonts w:ascii="Palatino Linotype" w:eastAsia="Calibri" w:hAnsi="Palatino Linotype"/>
          <w:sz w:val="19"/>
          <w:szCs w:val="19"/>
        </w:rPr>
        <w:t>, and quantify,</w:t>
      </w:r>
      <w:r>
        <w:rPr>
          <w:rFonts w:ascii="Palatino Linotype" w:eastAsia="Calibri" w:hAnsi="Palatino Linotype"/>
          <w:sz w:val="19"/>
          <w:szCs w:val="19"/>
        </w:rPr>
        <w:t xml:space="preserve"> </w:t>
      </w:r>
      <w:r w:rsidR="001701D0">
        <w:rPr>
          <w:rFonts w:ascii="Palatino Linotype" w:eastAsia="Calibri" w:hAnsi="Palatino Linotype"/>
          <w:sz w:val="19"/>
          <w:szCs w:val="19"/>
        </w:rPr>
        <w:t>economic benefits</w:t>
      </w:r>
      <w:r w:rsidR="006B61C8">
        <w:rPr>
          <w:rFonts w:ascii="Palatino Linotype" w:eastAsia="Calibri" w:hAnsi="Palatino Linotype"/>
          <w:sz w:val="19"/>
          <w:szCs w:val="19"/>
        </w:rPr>
        <w:t xml:space="preserve"> of Landcare</w:t>
      </w:r>
      <w:r w:rsidR="00E77724">
        <w:rPr>
          <w:rFonts w:ascii="Palatino Linotype" w:eastAsia="Calibri" w:hAnsi="Palatino Linotype"/>
          <w:sz w:val="19"/>
          <w:szCs w:val="19"/>
        </w:rPr>
        <w:t>.</w:t>
      </w:r>
    </w:p>
    <w:p w14:paraId="22925080" w14:textId="59A18C28" w:rsidR="00374F65" w:rsidRDefault="00566A03" w:rsidP="00565A7D">
      <w:pPr>
        <w:pStyle w:val="NormalWeb"/>
        <w:spacing w:before="0" w:beforeAutospacing="0" w:after="240" w:afterAutospacing="0" w:line="340" w:lineRule="exact"/>
        <w:rPr>
          <w:rFonts w:ascii="Palatino Linotype" w:eastAsia="Calibri" w:hAnsi="Palatino Linotype"/>
          <w:sz w:val="19"/>
          <w:szCs w:val="19"/>
        </w:rPr>
      </w:pPr>
      <w:r>
        <w:rPr>
          <w:rFonts w:ascii="Palatino Linotype" w:hAnsi="Palatino Linotype"/>
          <w:noProof/>
          <w:sz w:val="19"/>
          <w:szCs w:val="19"/>
        </w:rPr>
        <mc:AlternateContent>
          <mc:Choice Requires="wpg">
            <w:drawing>
              <wp:anchor distT="0" distB="0" distL="114300" distR="114300" simplePos="0" relativeHeight="251679744" behindDoc="0" locked="0" layoutInCell="1" allowOverlap="1" wp14:anchorId="229250E0" wp14:editId="3B8ADF33">
                <wp:simplePos x="0" y="0"/>
                <wp:positionH relativeFrom="column">
                  <wp:posOffset>-834390</wp:posOffset>
                </wp:positionH>
                <wp:positionV relativeFrom="paragraph">
                  <wp:posOffset>586740</wp:posOffset>
                </wp:positionV>
                <wp:extent cx="7955915" cy="381000"/>
                <wp:effectExtent l="0" t="0" r="0" b="19050"/>
                <wp:wrapNone/>
                <wp:docPr id="2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55915" cy="381000"/>
                          <a:chOff x="-183" y="14275"/>
                          <a:chExt cx="12529" cy="600"/>
                        </a:xfrm>
                      </wpg:grpSpPr>
                      <wps:wsp>
                        <wps:cNvPr id="21" name="Rectangle 19"/>
                        <wps:cNvSpPr>
                          <a:spLocks noChangeArrowheads="1"/>
                        </wps:cNvSpPr>
                        <wps:spPr bwMode="auto">
                          <a:xfrm>
                            <a:off x="-183" y="14275"/>
                            <a:ext cx="12181" cy="600"/>
                          </a:xfrm>
                          <a:prstGeom prst="rect">
                            <a:avLst/>
                          </a:prstGeom>
                          <a:solidFill>
                            <a:srgbClr val="0069B8"/>
                          </a:solidFill>
                          <a:ln w="9525">
                            <a:solidFill>
                              <a:srgbClr val="0069B8"/>
                            </a:solidFill>
                            <a:miter lim="800000"/>
                            <a:headEnd/>
                            <a:tailEnd/>
                          </a:ln>
                        </wps:spPr>
                        <wps:bodyPr rot="0" vert="horz" wrap="square" lIns="91440" tIns="45720" rIns="91440" bIns="45720" anchor="t" anchorCtr="0" upright="1">
                          <a:noAutofit/>
                        </wps:bodyPr>
                      </wps:wsp>
                      <wpg:grpSp>
                        <wpg:cNvPr id="22" name="Group 25"/>
                        <wpg:cNvGrpSpPr>
                          <a:grpSpLocks/>
                        </wpg:cNvGrpSpPr>
                        <wpg:grpSpPr bwMode="auto">
                          <a:xfrm>
                            <a:off x="975" y="14374"/>
                            <a:ext cx="11371" cy="396"/>
                            <a:chOff x="5823" y="11425"/>
                            <a:chExt cx="11371" cy="396"/>
                          </a:xfrm>
                        </wpg:grpSpPr>
                        <wps:wsp>
                          <wps:cNvPr id="23" name="Text Box 20"/>
                          <wps:cNvSpPr txBox="1">
                            <a:spLocks noChangeArrowheads="1"/>
                          </wps:cNvSpPr>
                          <wps:spPr bwMode="auto">
                            <a:xfrm>
                              <a:off x="5823" y="11425"/>
                              <a:ext cx="50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5100"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1"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2"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3" w14:textId="77777777" w:rsidR="00757F21" w:rsidRPr="00DF1E35" w:rsidRDefault="00757F21" w:rsidP="00DF1E35">
                                <w:pPr>
                                  <w:rPr>
                                    <w:color w:val="FFFFFF" w:themeColor="background1"/>
                                    <w:sz w:val="20"/>
                                    <w:szCs w:val="20"/>
                                  </w:rPr>
                                </w:pPr>
                              </w:p>
                            </w:txbxContent>
                          </wps:txbx>
                          <wps:bodyPr rot="0" vert="horz" wrap="square" lIns="91440" tIns="45720" rIns="91440" bIns="45720" anchor="t" anchorCtr="0" upright="1">
                            <a:noAutofit/>
                          </wps:bodyPr>
                        </wps:wsp>
                        <wps:wsp>
                          <wps:cNvPr id="24" name="Text Box 21"/>
                          <wps:cNvSpPr txBox="1">
                            <a:spLocks noChangeArrowheads="1"/>
                          </wps:cNvSpPr>
                          <wps:spPr bwMode="auto">
                            <a:xfrm>
                              <a:off x="11000" y="11425"/>
                              <a:ext cx="61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5104" w14:textId="77777777" w:rsidR="00757F21" w:rsidRPr="006D169C" w:rsidRDefault="00757F21" w:rsidP="006D169C">
                                <w:pPr>
                                  <w:rPr>
                                    <w:szCs w:val="20"/>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9250E0" id="Group 27" o:spid="_x0000_s1026" style="position:absolute;margin-left:-65.7pt;margin-top:46.2pt;width:626.45pt;height:30pt;z-index:251679744" coordorigin="-183,14275" coordsize="1252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">
                <v:rect id="Rectangle 19" o:spid="_x0000_s1027" style="position:absolute;left:-183;top:14275;width:12181;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wjcMA&#10;AADbAAAADwAAAGRycy9kb3ducmV2LnhtbESPQWsCMRSE7wX/Q3iCt5pdhSJbo1RB8ODBWnvo7bF5&#10;3SzdvKxJXOO/N4VCj8PMfMMs18l2YiAfWscKymkBgrh2uuVGwflj97wAESKyxs4xKbhTgPVq9LTE&#10;Srsbv9Nwio3IEA4VKjAx9pWUoTZkMUxdT5y9b+ctxix9I7XHW4bbTs6K4kVabDkvGOxpa6j+OV2t&#10;gvQ531zOfFhs+sSD8bsmfJVHpSbj9PYKIlKK/+G/9l4rmJX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gwjcMAAADbAAAADwAAAAAAAAAAAAAAAACYAgAAZHJzL2Rv&#10;d25yZXYueG1sUEsFBgAAAAAEAAQA9QAAAIgDAAAAAA==&#10;" fillcolor="#0069b8" strokecolor="#0069b8"/>
                <v:group id="Group 25" o:spid="_x0000_s1028" style="position:absolute;left:975;top:14374;width:11371;height:396" coordorigin="5823,11425" coordsize="11371,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202" coordsize="21600,21600" o:spt="202" path="m,l,21600r21600,l21600,xe">
                    <v:stroke joinstyle="miter"/>
                    <v:path gradientshapeok="t" o:connecttype="rect"/>
                  </v:shapetype>
                  <v:shape id="_x0000_s1029" type="#_x0000_t202" style="position:absolute;left:5823;top:11425;width:50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2925100"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1"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2" w14:textId="77777777" w:rsidR="00757F21" w:rsidRPr="00DF1E35" w:rsidRDefault="00757F21" w:rsidP="00DF1E35">
                          <w:pPr>
                            <w:rPr>
                              <w:color w:val="FFFFFF" w:themeColor="background1"/>
                              <w:sz w:val="20"/>
                              <w:szCs w:val="20"/>
                            </w:rPr>
                          </w:pPr>
                          <w:r w:rsidRPr="00DF1E35">
                            <w:rPr>
                              <w:color w:val="FFFFFF" w:themeColor="background1"/>
                              <w:sz w:val="20"/>
                              <w:szCs w:val="20"/>
                            </w:rPr>
                            <w:t>                                            </w:t>
                          </w:r>
                        </w:p>
                        <w:p w14:paraId="22925103" w14:textId="77777777" w:rsidR="00757F21" w:rsidRPr="00DF1E35" w:rsidRDefault="00757F21" w:rsidP="00DF1E35">
                          <w:pPr>
                            <w:rPr>
                              <w:color w:val="FFFFFF" w:themeColor="background1"/>
                              <w:sz w:val="20"/>
                              <w:szCs w:val="20"/>
                            </w:rPr>
                          </w:pPr>
                        </w:p>
                      </w:txbxContent>
                    </v:textbox>
                  </v:shape>
                  <v:shape id="Text Box 21" o:spid="_x0000_s1030" type="#_x0000_t202" style="position:absolute;left:11000;top:11425;width:619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22925104" w14:textId="77777777" w:rsidR="00757F21" w:rsidRPr="006D169C" w:rsidRDefault="00757F21" w:rsidP="006D169C">
                          <w:pPr>
                            <w:rPr>
                              <w:szCs w:val="20"/>
                            </w:rPr>
                          </w:pPr>
                        </w:p>
                      </w:txbxContent>
                    </v:textbox>
                  </v:shape>
                </v:group>
              </v:group>
            </w:pict>
          </mc:Fallback>
        </mc:AlternateContent>
      </w:r>
    </w:p>
    <w:p w14:paraId="22925081" w14:textId="77777777" w:rsidR="00565A7D" w:rsidRPr="00565A7D" w:rsidRDefault="00E45ED4" w:rsidP="00565A7D">
      <w:pPr>
        <w:pStyle w:val="NormalWeb"/>
        <w:spacing w:before="0" w:beforeAutospacing="0" w:after="240" w:afterAutospacing="0" w:line="340" w:lineRule="exact"/>
        <w:rPr>
          <w:rFonts w:ascii="Palatino Linotype" w:eastAsia="Calibri" w:hAnsi="Palatino Linotype"/>
          <w:color w:val="0070C0"/>
          <w:sz w:val="28"/>
          <w:szCs w:val="28"/>
        </w:rPr>
      </w:pPr>
      <w:r w:rsidRPr="00565A7D">
        <w:rPr>
          <w:rFonts w:ascii="Palatino Linotype" w:eastAsia="Calibri" w:hAnsi="Palatino Linotype"/>
          <w:color w:val="0070C0"/>
          <w:sz w:val="28"/>
          <w:szCs w:val="28"/>
        </w:rPr>
        <w:t xml:space="preserve">Scope of study </w:t>
      </w:r>
    </w:p>
    <w:p w14:paraId="22925082" w14:textId="77777777" w:rsidR="00CD52D5" w:rsidRDefault="00CD52D5" w:rsidP="00565A7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sz w:val="19"/>
          <w:szCs w:val="19"/>
        </w:rPr>
        <w:t>The researchers used t</w:t>
      </w:r>
      <w:r w:rsidR="00374F65">
        <w:rPr>
          <w:rFonts w:ascii="Palatino Linotype" w:eastAsia="Calibri" w:hAnsi="Palatino Linotype"/>
          <w:sz w:val="19"/>
          <w:szCs w:val="19"/>
        </w:rPr>
        <w:t>hree industry case studies to test the systems model approach.</w:t>
      </w:r>
      <w:r w:rsidR="00374F65" w:rsidRPr="00E45ED4">
        <w:rPr>
          <w:rFonts w:ascii="Palatino Linotype" w:eastAsia="Calibri" w:hAnsi="Palatino Linotype"/>
          <w:sz w:val="19"/>
          <w:szCs w:val="19"/>
        </w:rPr>
        <w:t xml:space="preserve"> </w:t>
      </w:r>
      <w:r w:rsidR="00E45ED4">
        <w:rPr>
          <w:rFonts w:ascii="Palatino Linotype" w:eastAsia="Calibri" w:hAnsi="Palatino Linotype"/>
          <w:sz w:val="19"/>
          <w:szCs w:val="19"/>
        </w:rPr>
        <w:t xml:space="preserve">A limited number of on-farm and off-farm direct market impacts were examined for a small number of practices within </w:t>
      </w:r>
      <w:r w:rsidR="00374F65">
        <w:rPr>
          <w:rFonts w:ascii="Palatino Linotype" w:eastAsia="Calibri" w:hAnsi="Palatino Linotype"/>
          <w:sz w:val="19"/>
          <w:szCs w:val="19"/>
        </w:rPr>
        <w:t>these</w:t>
      </w:r>
      <w:r w:rsidR="00E45ED4">
        <w:rPr>
          <w:rFonts w:ascii="Palatino Linotype" w:eastAsia="Calibri" w:hAnsi="Palatino Linotype"/>
          <w:sz w:val="19"/>
          <w:szCs w:val="19"/>
        </w:rPr>
        <w:t xml:space="preserve"> industries, enabling only simple initial </w:t>
      </w:r>
      <w:r w:rsidR="00EF19C8">
        <w:rPr>
          <w:rFonts w:ascii="Palatino Linotype" w:eastAsia="Calibri" w:hAnsi="Palatino Linotype"/>
          <w:sz w:val="19"/>
          <w:szCs w:val="19"/>
        </w:rPr>
        <w:t>assessment.</w:t>
      </w:r>
    </w:p>
    <w:p w14:paraId="22925083" w14:textId="77777777" w:rsidR="00E45ED4" w:rsidRPr="00E73228" w:rsidRDefault="00CD52D5" w:rsidP="00565A7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sz w:val="19"/>
          <w:szCs w:val="19"/>
        </w:rPr>
        <w:t xml:space="preserve">The research is an important first step in quantifying how Landcare activities benefit communities and businesses. </w:t>
      </w:r>
      <w:r w:rsidR="00E45ED4">
        <w:rPr>
          <w:rFonts w:ascii="Palatino Linotype" w:eastAsia="Calibri" w:hAnsi="Palatino Linotype"/>
          <w:sz w:val="19"/>
          <w:szCs w:val="19"/>
        </w:rPr>
        <w:t xml:space="preserve">Further analysis </w:t>
      </w:r>
      <w:r w:rsidR="00DA17CA">
        <w:rPr>
          <w:rFonts w:ascii="Palatino Linotype" w:eastAsia="Calibri" w:hAnsi="Palatino Linotype"/>
          <w:sz w:val="19"/>
          <w:szCs w:val="19"/>
        </w:rPr>
        <w:t>of</w:t>
      </w:r>
      <w:r w:rsidR="00E45ED4">
        <w:rPr>
          <w:rFonts w:ascii="Palatino Linotype" w:eastAsia="Calibri" w:hAnsi="Palatino Linotype"/>
          <w:sz w:val="19"/>
          <w:szCs w:val="19"/>
        </w:rPr>
        <w:t xml:space="preserve"> more practices </w:t>
      </w:r>
      <w:r w:rsidR="001730E7">
        <w:rPr>
          <w:rFonts w:ascii="Palatino Linotype" w:eastAsia="Calibri" w:hAnsi="Palatino Linotype"/>
          <w:sz w:val="19"/>
          <w:szCs w:val="19"/>
        </w:rPr>
        <w:t>across more</w:t>
      </w:r>
      <w:r w:rsidR="00E45ED4">
        <w:rPr>
          <w:rFonts w:ascii="Palatino Linotype" w:eastAsia="Calibri" w:hAnsi="Palatino Linotype"/>
          <w:sz w:val="19"/>
          <w:szCs w:val="19"/>
        </w:rPr>
        <w:t xml:space="preserve"> industr</w:t>
      </w:r>
      <w:r w:rsidR="001730E7">
        <w:rPr>
          <w:rFonts w:ascii="Palatino Linotype" w:eastAsia="Calibri" w:hAnsi="Palatino Linotype"/>
          <w:sz w:val="19"/>
          <w:szCs w:val="19"/>
        </w:rPr>
        <w:t>ies</w:t>
      </w:r>
      <w:r w:rsidR="00FC4F06">
        <w:rPr>
          <w:rFonts w:ascii="Palatino Linotype" w:eastAsia="Calibri" w:hAnsi="Palatino Linotype"/>
          <w:sz w:val="19"/>
          <w:szCs w:val="19"/>
        </w:rPr>
        <w:t xml:space="preserve"> </w:t>
      </w:r>
      <w:r w:rsidR="001730E7">
        <w:rPr>
          <w:rFonts w:ascii="Palatino Linotype" w:eastAsia="Calibri" w:hAnsi="Palatino Linotype"/>
          <w:sz w:val="19"/>
          <w:szCs w:val="19"/>
        </w:rPr>
        <w:t>and a more robust</w:t>
      </w:r>
      <w:r w:rsidR="00FC4F06">
        <w:rPr>
          <w:rFonts w:ascii="Palatino Linotype" w:eastAsia="Calibri" w:hAnsi="Palatino Linotype"/>
          <w:sz w:val="19"/>
          <w:szCs w:val="19"/>
        </w:rPr>
        <w:t xml:space="preserve"> valuation of environmental benefits would</w:t>
      </w:r>
      <w:r w:rsidR="00E45ED4">
        <w:rPr>
          <w:rFonts w:ascii="Palatino Linotype" w:eastAsia="Calibri" w:hAnsi="Palatino Linotype"/>
          <w:sz w:val="19"/>
          <w:szCs w:val="19"/>
        </w:rPr>
        <w:t xml:space="preserve"> offer a more</w:t>
      </w:r>
      <w:r w:rsidR="00565A7D">
        <w:rPr>
          <w:rFonts w:ascii="Palatino Linotype" w:eastAsia="Calibri" w:hAnsi="Palatino Linotype"/>
          <w:sz w:val="19"/>
          <w:szCs w:val="19"/>
        </w:rPr>
        <w:t xml:space="preserve"> </w:t>
      </w:r>
      <w:r w:rsidR="00E45ED4">
        <w:rPr>
          <w:rFonts w:ascii="Palatino Linotype" w:eastAsia="Calibri" w:hAnsi="Palatino Linotype"/>
          <w:sz w:val="19"/>
          <w:szCs w:val="19"/>
        </w:rPr>
        <w:t>comprehensive assessme</w:t>
      </w:r>
      <w:r w:rsidR="00D4482D">
        <w:rPr>
          <w:rFonts w:ascii="Palatino Linotype" w:eastAsia="Calibri" w:hAnsi="Palatino Linotype"/>
          <w:sz w:val="19"/>
          <w:szCs w:val="19"/>
        </w:rPr>
        <w:t xml:space="preserve">nt of the various economic </w:t>
      </w:r>
      <w:r w:rsidR="00D4482D">
        <w:rPr>
          <w:rFonts w:ascii="Palatino Linotype" w:eastAsia="Calibri" w:hAnsi="Palatino Linotype"/>
          <w:sz w:val="19"/>
          <w:szCs w:val="19"/>
        </w:rPr>
        <w:lastRenderedPageBreak/>
        <w:t>flow-</w:t>
      </w:r>
      <w:r w:rsidR="00E45ED4">
        <w:rPr>
          <w:rFonts w:ascii="Palatino Linotype" w:eastAsia="Calibri" w:hAnsi="Palatino Linotype"/>
          <w:sz w:val="19"/>
          <w:szCs w:val="19"/>
        </w:rPr>
        <w:t xml:space="preserve">on </w:t>
      </w:r>
      <w:r w:rsidR="001730E7">
        <w:rPr>
          <w:rFonts w:ascii="Palatino Linotype" w:eastAsia="Calibri" w:hAnsi="Palatino Linotype"/>
          <w:sz w:val="19"/>
          <w:szCs w:val="19"/>
        </w:rPr>
        <w:t xml:space="preserve">impacts </w:t>
      </w:r>
      <w:r w:rsidR="00E45ED4">
        <w:rPr>
          <w:rFonts w:ascii="Palatino Linotype" w:eastAsia="Calibri" w:hAnsi="Palatino Linotype"/>
          <w:sz w:val="19"/>
          <w:szCs w:val="19"/>
        </w:rPr>
        <w:t>that can be attributed to Australian Government investment in Landcare.</w:t>
      </w:r>
      <w:r w:rsidR="00E45ED4" w:rsidRPr="00E24646">
        <w:rPr>
          <w:rFonts w:ascii="Palatino Linotype" w:eastAsia="Calibri" w:hAnsi="Palatino Linotype"/>
          <w:sz w:val="19"/>
          <w:szCs w:val="19"/>
        </w:rPr>
        <w:t xml:space="preserve"> </w:t>
      </w:r>
    </w:p>
    <w:p w14:paraId="22925084" w14:textId="77777777" w:rsidR="00B8709D" w:rsidRDefault="00B8709D" w:rsidP="00B8709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color w:val="0070C0"/>
          <w:sz w:val="28"/>
          <w:szCs w:val="28"/>
        </w:rPr>
        <w:t>Key findings</w:t>
      </w:r>
    </w:p>
    <w:p w14:paraId="22925085" w14:textId="77777777" w:rsidR="00B8709D" w:rsidRDefault="005C4B18" w:rsidP="00DB275D">
      <w:pPr>
        <w:pStyle w:val="NormalWeb"/>
        <w:spacing w:line="340" w:lineRule="exact"/>
        <w:rPr>
          <w:rFonts w:ascii="Palatino Linotype" w:eastAsia="Calibri" w:hAnsi="Palatino Linotype"/>
          <w:sz w:val="19"/>
          <w:szCs w:val="19"/>
        </w:rPr>
      </w:pPr>
      <w:r>
        <w:rPr>
          <w:rFonts w:ascii="Palatino Linotype" w:eastAsia="Calibri" w:hAnsi="Palatino Linotype"/>
          <w:sz w:val="19"/>
          <w:szCs w:val="19"/>
        </w:rPr>
        <w:t>The study found that i</w:t>
      </w:r>
      <w:r w:rsidR="004C385E" w:rsidRPr="004C385E">
        <w:rPr>
          <w:rFonts w:ascii="Palatino Linotype" w:eastAsia="Calibri" w:hAnsi="Palatino Linotype"/>
          <w:sz w:val="19"/>
          <w:szCs w:val="19"/>
        </w:rPr>
        <w:t>nvestment in Landcare has changed the mindset of landholders and</w:t>
      </w:r>
      <w:r w:rsidR="00164D3D" w:rsidRPr="00E73228">
        <w:rPr>
          <w:rFonts w:ascii="Palatino Linotype" w:eastAsia="Calibri" w:hAnsi="Palatino Linotype"/>
          <w:sz w:val="19"/>
          <w:szCs w:val="19"/>
        </w:rPr>
        <w:t xml:space="preserve"> </w:t>
      </w:r>
      <w:r w:rsidR="00164D3D">
        <w:rPr>
          <w:rFonts w:ascii="Palatino Linotype" w:eastAsia="Calibri" w:hAnsi="Palatino Linotype"/>
          <w:sz w:val="19"/>
          <w:szCs w:val="19"/>
        </w:rPr>
        <w:t>generally</w:t>
      </w:r>
      <w:r w:rsidR="00164D3D" w:rsidRPr="00E73228">
        <w:rPr>
          <w:rFonts w:ascii="Palatino Linotype" w:eastAsia="Calibri" w:hAnsi="Palatino Linotype"/>
          <w:sz w:val="19"/>
          <w:szCs w:val="19"/>
        </w:rPr>
        <w:t xml:space="preserve"> led to greater and faster adoption of </w:t>
      </w:r>
      <w:r w:rsidR="00164D3D">
        <w:rPr>
          <w:rFonts w:ascii="Palatino Linotype" w:eastAsia="Calibri" w:hAnsi="Palatino Linotype"/>
          <w:sz w:val="19"/>
          <w:szCs w:val="19"/>
        </w:rPr>
        <w:t>sustainable agricultural</w:t>
      </w:r>
      <w:r w:rsidR="00164D3D" w:rsidRPr="00E73228">
        <w:rPr>
          <w:rFonts w:ascii="Palatino Linotype" w:eastAsia="Calibri" w:hAnsi="Palatino Linotype"/>
          <w:sz w:val="19"/>
          <w:szCs w:val="19"/>
        </w:rPr>
        <w:t xml:space="preserve"> practices.</w:t>
      </w:r>
      <w:r w:rsidR="00164D3D">
        <w:rPr>
          <w:rFonts w:ascii="Palatino Linotype" w:eastAsia="Calibri" w:hAnsi="Palatino Linotype"/>
          <w:sz w:val="19"/>
          <w:szCs w:val="19"/>
        </w:rPr>
        <w:t xml:space="preserve"> However, </w:t>
      </w:r>
      <w:r w:rsidR="004C385E">
        <w:rPr>
          <w:rFonts w:ascii="Palatino Linotype" w:eastAsia="Calibri" w:hAnsi="Palatino Linotype"/>
          <w:sz w:val="19"/>
          <w:szCs w:val="19"/>
        </w:rPr>
        <w:t xml:space="preserve">as with any land management intervention, </w:t>
      </w:r>
      <w:r w:rsidR="00164D3D">
        <w:rPr>
          <w:rFonts w:ascii="Palatino Linotype" w:eastAsia="Calibri" w:hAnsi="Palatino Linotype"/>
          <w:sz w:val="19"/>
          <w:szCs w:val="19"/>
        </w:rPr>
        <w:t>t</w:t>
      </w:r>
      <w:r w:rsidR="00B8709D" w:rsidRPr="00B8709D">
        <w:rPr>
          <w:rFonts w:ascii="Palatino Linotype" w:eastAsia="Calibri" w:hAnsi="Palatino Linotype"/>
          <w:sz w:val="19"/>
          <w:szCs w:val="19"/>
        </w:rPr>
        <w:t>here is often significant time lag between investment and achieving impacts on and off-farm</w:t>
      </w:r>
      <w:r w:rsidR="00B8709D">
        <w:rPr>
          <w:rFonts w:ascii="Palatino Linotype" w:eastAsia="Calibri" w:hAnsi="Palatino Linotype"/>
          <w:sz w:val="19"/>
          <w:szCs w:val="19"/>
        </w:rPr>
        <w:t>.</w:t>
      </w:r>
      <w:r w:rsidR="00DB275D">
        <w:rPr>
          <w:rFonts w:ascii="Palatino Linotype" w:eastAsia="Calibri" w:hAnsi="Palatino Linotype"/>
          <w:sz w:val="19"/>
          <w:szCs w:val="19"/>
        </w:rPr>
        <w:t xml:space="preserve"> </w:t>
      </w:r>
    </w:p>
    <w:p w14:paraId="22925086" w14:textId="77777777" w:rsidR="00E73228" w:rsidRDefault="00622B73" w:rsidP="003B6696">
      <w:pPr>
        <w:pStyle w:val="NormalWeb"/>
        <w:spacing w:line="340" w:lineRule="exact"/>
        <w:rPr>
          <w:rFonts w:ascii="Palatino Linotype" w:eastAsia="Calibri" w:hAnsi="Palatino Linotype"/>
          <w:sz w:val="19"/>
          <w:szCs w:val="19"/>
        </w:rPr>
      </w:pPr>
      <w:r w:rsidRPr="00622B73">
        <w:rPr>
          <w:rFonts w:ascii="Palatino Linotype" w:eastAsia="Calibri" w:hAnsi="Palatino Linotype"/>
          <w:b/>
          <w:sz w:val="19"/>
          <w:szCs w:val="19"/>
        </w:rPr>
        <w:t>On-farm benefits</w:t>
      </w:r>
      <w:r>
        <w:rPr>
          <w:rFonts w:ascii="Palatino Linotype" w:eastAsia="Calibri" w:hAnsi="Palatino Linotype"/>
          <w:sz w:val="19"/>
          <w:szCs w:val="19"/>
        </w:rPr>
        <w:t xml:space="preserve"> - </w:t>
      </w:r>
      <w:r w:rsidR="006E0E3F">
        <w:rPr>
          <w:rFonts w:ascii="Palatino Linotype" w:eastAsia="Calibri" w:hAnsi="Palatino Linotype"/>
          <w:sz w:val="19"/>
          <w:szCs w:val="19"/>
        </w:rPr>
        <w:t xml:space="preserve">Sustainable agricultural practices have generally </w:t>
      </w:r>
      <w:r w:rsidR="007748C8">
        <w:rPr>
          <w:rFonts w:ascii="Palatino Linotype" w:eastAsia="Calibri" w:hAnsi="Palatino Linotype"/>
          <w:sz w:val="19"/>
          <w:szCs w:val="19"/>
        </w:rPr>
        <w:t xml:space="preserve">resulted in </w:t>
      </w:r>
      <w:r w:rsidR="006E0E3F">
        <w:rPr>
          <w:rFonts w:ascii="Palatino Linotype" w:eastAsia="Calibri" w:hAnsi="Palatino Linotype"/>
          <w:sz w:val="19"/>
          <w:szCs w:val="19"/>
        </w:rPr>
        <w:t xml:space="preserve">net </w:t>
      </w:r>
      <w:r w:rsidR="00121983">
        <w:rPr>
          <w:rFonts w:ascii="Palatino Linotype" w:eastAsia="Calibri" w:hAnsi="Palatino Linotype"/>
          <w:sz w:val="19"/>
          <w:szCs w:val="19"/>
        </w:rPr>
        <w:t xml:space="preserve">economic </w:t>
      </w:r>
      <w:r w:rsidR="006E0E3F">
        <w:rPr>
          <w:rFonts w:ascii="Palatino Linotype" w:eastAsia="Calibri" w:hAnsi="Palatino Linotype"/>
          <w:sz w:val="19"/>
          <w:szCs w:val="19"/>
        </w:rPr>
        <w:t>benefits on-farm</w:t>
      </w:r>
      <w:r w:rsidR="009A0FB0">
        <w:rPr>
          <w:rFonts w:ascii="Palatino Linotype" w:eastAsia="Calibri" w:hAnsi="Palatino Linotype"/>
          <w:sz w:val="19"/>
          <w:szCs w:val="19"/>
        </w:rPr>
        <w:t xml:space="preserve"> </w:t>
      </w:r>
      <w:r w:rsidR="00F245FA">
        <w:rPr>
          <w:rFonts w:ascii="Palatino Linotype" w:eastAsia="Calibri" w:hAnsi="Palatino Linotype"/>
          <w:sz w:val="19"/>
          <w:szCs w:val="19"/>
        </w:rPr>
        <w:t>includ</w:t>
      </w:r>
      <w:r w:rsidR="009A0FB0">
        <w:rPr>
          <w:rFonts w:ascii="Palatino Linotype" w:eastAsia="Calibri" w:hAnsi="Palatino Linotype"/>
          <w:sz w:val="19"/>
          <w:szCs w:val="19"/>
        </w:rPr>
        <w:t>ing</w:t>
      </w:r>
      <w:r w:rsidR="009902FA">
        <w:rPr>
          <w:rFonts w:ascii="Palatino Linotype" w:eastAsia="Calibri" w:hAnsi="Palatino Linotype"/>
          <w:sz w:val="19"/>
          <w:szCs w:val="19"/>
        </w:rPr>
        <w:t>:</w:t>
      </w:r>
      <w:r w:rsidR="00E73228" w:rsidRPr="00E73228">
        <w:rPr>
          <w:rFonts w:ascii="Palatino Linotype" w:eastAsia="Calibri" w:hAnsi="Palatino Linotype"/>
          <w:sz w:val="19"/>
          <w:szCs w:val="19"/>
        </w:rPr>
        <w:t xml:space="preserve"> improved yields, increased farm </w:t>
      </w:r>
      <w:r w:rsidR="009A0FB0">
        <w:rPr>
          <w:rFonts w:ascii="Palatino Linotype" w:eastAsia="Calibri" w:hAnsi="Palatino Linotype"/>
          <w:sz w:val="19"/>
          <w:szCs w:val="19"/>
        </w:rPr>
        <w:t xml:space="preserve">income, and reduced farm costs. </w:t>
      </w:r>
      <w:r w:rsidR="00365F26">
        <w:rPr>
          <w:rFonts w:ascii="Palatino Linotype" w:eastAsia="Calibri" w:hAnsi="Palatino Linotype"/>
          <w:sz w:val="19"/>
          <w:szCs w:val="19"/>
        </w:rPr>
        <w:t>In some cases</w:t>
      </w:r>
      <w:r w:rsidR="009902FA">
        <w:rPr>
          <w:rFonts w:ascii="Palatino Linotype" w:eastAsia="Calibri" w:hAnsi="Palatino Linotype"/>
          <w:sz w:val="19"/>
          <w:szCs w:val="19"/>
        </w:rPr>
        <w:t>,</w:t>
      </w:r>
      <w:r w:rsidR="00365F26">
        <w:rPr>
          <w:rFonts w:ascii="Palatino Linotype" w:eastAsia="Calibri" w:hAnsi="Palatino Linotype"/>
          <w:sz w:val="19"/>
          <w:szCs w:val="19"/>
        </w:rPr>
        <w:t xml:space="preserve"> revegetation activities and riparian management practices </w:t>
      </w:r>
      <w:r w:rsidR="00E45ED4">
        <w:rPr>
          <w:rFonts w:ascii="Palatino Linotype" w:eastAsia="Calibri" w:hAnsi="Palatino Linotype"/>
          <w:sz w:val="19"/>
          <w:szCs w:val="19"/>
        </w:rPr>
        <w:t>reduced</w:t>
      </w:r>
      <w:r w:rsidR="006D19C0">
        <w:rPr>
          <w:rFonts w:ascii="Palatino Linotype" w:eastAsia="Calibri" w:hAnsi="Palatino Linotype"/>
          <w:sz w:val="19"/>
          <w:szCs w:val="19"/>
        </w:rPr>
        <w:t xml:space="preserve"> </w:t>
      </w:r>
      <w:r w:rsidR="005659F7">
        <w:rPr>
          <w:rFonts w:ascii="Palatino Linotype" w:eastAsia="Calibri" w:hAnsi="Palatino Linotype"/>
          <w:sz w:val="19"/>
          <w:szCs w:val="19"/>
        </w:rPr>
        <w:t xml:space="preserve">the </w:t>
      </w:r>
      <w:r w:rsidR="009A0FB0" w:rsidRPr="00E73228">
        <w:rPr>
          <w:rFonts w:ascii="Palatino Linotype" w:eastAsia="Calibri" w:hAnsi="Palatino Linotype"/>
          <w:sz w:val="19"/>
          <w:szCs w:val="19"/>
        </w:rPr>
        <w:t xml:space="preserve">area </w:t>
      </w:r>
      <w:r w:rsidR="009902FA">
        <w:rPr>
          <w:rFonts w:ascii="Palatino Linotype" w:eastAsia="Calibri" w:hAnsi="Palatino Linotype"/>
          <w:sz w:val="19"/>
          <w:szCs w:val="19"/>
        </w:rPr>
        <w:t>needed for</w:t>
      </w:r>
      <w:r w:rsidR="009A0FB0" w:rsidRPr="00E73228">
        <w:rPr>
          <w:rFonts w:ascii="Palatino Linotype" w:eastAsia="Calibri" w:hAnsi="Palatino Linotype"/>
          <w:sz w:val="19"/>
          <w:szCs w:val="19"/>
        </w:rPr>
        <w:t xml:space="preserve"> producti</w:t>
      </w:r>
      <w:r w:rsidR="009902FA">
        <w:rPr>
          <w:rFonts w:ascii="Palatino Linotype" w:eastAsia="Calibri" w:hAnsi="Palatino Linotype"/>
          <w:sz w:val="19"/>
          <w:szCs w:val="19"/>
        </w:rPr>
        <w:t>on</w:t>
      </w:r>
      <w:r w:rsidR="00365F26">
        <w:rPr>
          <w:rFonts w:ascii="Palatino Linotype" w:eastAsia="Calibri" w:hAnsi="Palatino Linotype"/>
          <w:sz w:val="19"/>
          <w:szCs w:val="19"/>
        </w:rPr>
        <w:t>.</w:t>
      </w:r>
      <w:r w:rsidR="009A0FB0" w:rsidRPr="00E73228">
        <w:rPr>
          <w:rFonts w:ascii="Palatino Linotype" w:eastAsia="Calibri" w:hAnsi="Palatino Linotype"/>
          <w:sz w:val="19"/>
          <w:szCs w:val="19"/>
        </w:rPr>
        <w:t xml:space="preserve"> </w:t>
      </w:r>
      <w:r w:rsidR="003B6696">
        <w:rPr>
          <w:rFonts w:ascii="Palatino Linotype" w:eastAsia="Calibri" w:hAnsi="Palatino Linotype"/>
          <w:sz w:val="19"/>
          <w:szCs w:val="19"/>
        </w:rPr>
        <w:t>Economic valuation o</w:t>
      </w:r>
      <w:r w:rsidR="00DB275D">
        <w:rPr>
          <w:rFonts w:ascii="Palatino Linotype" w:eastAsia="Calibri" w:hAnsi="Palatino Linotype"/>
          <w:sz w:val="19"/>
          <w:szCs w:val="19"/>
        </w:rPr>
        <w:t>f</w:t>
      </w:r>
      <w:r w:rsidR="003B6696">
        <w:rPr>
          <w:rFonts w:ascii="Palatino Linotype" w:eastAsia="Calibri" w:hAnsi="Palatino Linotype"/>
          <w:sz w:val="19"/>
          <w:szCs w:val="19"/>
        </w:rPr>
        <w:t xml:space="preserve"> on-farm benefits </w:t>
      </w:r>
      <w:r w:rsidR="00E45ED4">
        <w:rPr>
          <w:rFonts w:ascii="Palatino Linotype" w:eastAsia="Calibri" w:hAnsi="Palatino Linotype"/>
          <w:sz w:val="19"/>
          <w:szCs w:val="19"/>
        </w:rPr>
        <w:t xml:space="preserve">for the different case studies </w:t>
      </w:r>
      <w:r w:rsidR="003B6696">
        <w:rPr>
          <w:rFonts w:ascii="Palatino Linotype" w:eastAsia="Calibri" w:hAnsi="Palatino Linotype"/>
          <w:sz w:val="19"/>
          <w:szCs w:val="19"/>
        </w:rPr>
        <w:t>ranged from</w:t>
      </w:r>
      <w:r w:rsidR="003B6696" w:rsidRPr="00E73228">
        <w:rPr>
          <w:rFonts w:ascii="Palatino Linotype" w:eastAsia="Calibri" w:hAnsi="Palatino Linotype"/>
          <w:sz w:val="19"/>
          <w:szCs w:val="19"/>
        </w:rPr>
        <w:t xml:space="preserve"> $</w:t>
      </w:r>
      <w:r w:rsidR="00E27EA0">
        <w:rPr>
          <w:rFonts w:ascii="Palatino Linotype" w:eastAsia="Calibri" w:hAnsi="Palatino Linotype"/>
          <w:sz w:val="19"/>
          <w:szCs w:val="19"/>
        </w:rPr>
        <w:t>30</w:t>
      </w:r>
      <w:r w:rsidR="00E27EA0" w:rsidRPr="00E73228">
        <w:rPr>
          <w:rFonts w:ascii="Palatino Linotype" w:eastAsia="Calibri" w:hAnsi="Palatino Linotype"/>
          <w:sz w:val="19"/>
          <w:szCs w:val="19"/>
        </w:rPr>
        <w:t xml:space="preserve"> </w:t>
      </w:r>
      <w:r w:rsidR="003B6696" w:rsidRPr="00E73228">
        <w:rPr>
          <w:rFonts w:ascii="Palatino Linotype" w:eastAsia="Calibri" w:hAnsi="Palatino Linotype"/>
          <w:sz w:val="19"/>
          <w:szCs w:val="19"/>
        </w:rPr>
        <w:t xml:space="preserve">– </w:t>
      </w:r>
      <w:r w:rsidR="00E45ED4">
        <w:rPr>
          <w:rFonts w:ascii="Palatino Linotype" w:eastAsia="Calibri" w:hAnsi="Palatino Linotype"/>
          <w:sz w:val="19"/>
          <w:szCs w:val="19"/>
        </w:rPr>
        <w:t>$</w:t>
      </w:r>
      <w:r w:rsidR="00E27EA0">
        <w:rPr>
          <w:rFonts w:ascii="Palatino Linotype" w:eastAsia="Calibri" w:hAnsi="Palatino Linotype"/>
          <w:sz w:val="19"/>
          <w:szCs w:val="19"/>
        </w:rPr>
        <w:t xml:space="preserve">790 </w:t>
      </w:r>
      <w:r w:rsidR="003B6696">
        <w:rPr>
          <w:rFonts w:ascii="Palatino Linotype" w:eastAsia="Calibri" w:hAnsi="Palatino Linotype"/>
          <w:sz w:val="19"/>
          <w:szCs w:val="19"/>
        </w:rPr>
        <w:t xml:space="preserve">million to </w:t>
      </w:r>
      <w:r w:rsidR="00AA23F2">
        <w:rPr>
          <w:rFonts w:ascii="Palatino Linotype" w:eastAsia="Calibri" w:hAnsi="Palatino Linotype"/>
          <w:sz w:val="19"/>
          <w:szCs w:val="19"/>
        </w:rPr>
        <w:br/>
      </w:r>
      <w:r w:rsidR="003B6696">
        <w:rPr>
          <w:rFonts w:ascii="Palatino Linotype" w:eastAsia="Calibri" w:hAnsi="Palatino Linotype"/>
          <w:sz w:val="19"/>
          <w:szCs w:val="19"/>
        </w:rPr>
        <w:t>$0.2 - $17 million</w:t>
      </w:r>
      <w:r w:rsidR="00757F21">
        <w:rPr>
          <w:rFonts w:ascii="Palatino Linotype" w:eastAsia="Calibri" w:hAnsi="Palatino Linotype"/>
          <w:sz w:val="19"/>
          <w:szCs w:val="19"/>
        </w:rPr>
        <w:t>, depending on the case study</w:t>
      </w:r>
      <w:r w:rsidR="00DB275D">
        <w:rPr>
          <w:rFonts w:ascii="Palatino Linotype" w:eastAsia="Calibri" w:hAnsi="Palatino Linotype"/>
          <w:sz w:val="19"/>
          <w:szCs w:val="19"/>
        </w:rPr>
        <w:t>.</w:t>
      </w:r>
      <w:r w:rsidR="00E27EA0">
        <w:rPr>
          <w:rFonts w:ascii="Palatino Linotype" w:eastAsia="Calibri" w:hAnsi="Palatino Linotype"/>
          <w:sz w:val="19"/>
          <w:szCs w:val="19"/>
        </w:rPr>
        <w:t xml:space="preserve"> This large range reflects the complexities of valuing on-farm benefits and the variety of different practices employed.</w:t>
      </w:r>
    </w:p>
    <w:p w14:paraId="22925087" w14:textId="77777777" w:rsidR="00DB275D" w:rsidRDefault="00845C19" w:rsidP="00DB275D">
      <w:pPr>
        <w:pStyle w:val="NormalWeb"/>
        <w:spacing w:after="240" w:line="340" w:lineRule="exact"/>
        <w:rPr>
          <w:rFonts w:ascii="Palatino Linotype" w:eastAsia="Calibri" w:hAnsi="Palatino Linotype"/>
          <w:sz w:val="19"/>
          <w:szCs w:val="19"/>
        </w:rPr>
      </w:pPr>
      <w:r w:rsidRPr="00622B73">
        <w:rPr>
          <w:rFonts w:ascii="Palatino Linotype" w:eastAsia="Calibri" w:hAnsi="Palatino Linotype"/>
          <w:b/>
          <w:sz w:val="19"/>
          <w:szCs w:val="19"/>
        </w:rPr>
        <w:t>O</w:t>
      </w:r>
      <w:r>
        <w:rPr>
          <w:rFonts w:ascii="Palatino Linotype" w:eastAsia="Calibri" w:hAnsi="Palatino Linotype"/>
          <w:b/>
          <w:sz w:val="19"/>
          <w:szCs w:val="19"/>
        </w:rPr>
        <w:t>ff</w:t>
      </w:r>
      <w:r w:rsidRPr="00622B73">
        <w:rPr>
          <w:rFonts w:ascii="Palatino Linotype" w:eastAsia="Calibri" w:hAnsi="Palatino Linotype"/>
          <w:b/>
          <w:sz w:val="19"/>
          <w:szCs w:val="19"/>
        </w:rPr>
        <w:t>-farm benefits</w:t>
      </w:r>
      <w:r>
        <w:rPr>
          <w:rFonts w:ascii="Palatino Linotype" w:eastAsia="Calibri" w:hAnsi="Palatino Linotype"/>
          <w:sz w:val="19"/>
          <w:szCs w:val="19"/>
        </w:rPr>
        <w:t xml:space="preserve"> - </w:t>
      </w:r>
      <w:r w:rsidR="00121983">
        <w:rPr>
          <w:rFonts w:ascii="Palatino Linotype" w:eastAsia="Calibri" w:hAnsi="Palatino Linotype"/>
          <w:sz w:val="19"/>
          <w:szCs w:val="19"/>
        </w:rPr>
        <w:t xml:space="preserve">Sustainable agricultural practices have also led to </w:t>
      </w:r>
      <w:r>
        <w:rPr>
          <w:rFonts w:ascii="Palatino Linotype" w:eastAsia="Calibri" w:hAnsi="Palatino Linotype"/>
          <w:sz w:val="19"/>
          <w:szCs w:val="19"/>
        </w:rPr>
        <w:t>direct</w:t>
      </w:r>
      <w:r w:rsidR="00121983">
        <w:rPr>
          <w:rFonts w:ascii="Palatino Linotype" w:eastAsia="Calibri" w:hAnsi="Palatino Linotype"/>
          <w:sz w:val="19"/>
          <w:szCs w:val="19"/>
        </w:rPr>
        <w:t xml:space="preserve"> </w:t>
      </w:r>
      <w:r w:rsidR="00BE1981">
        <w:rPr>
          <w:rFonts w:ascii="Palatino Linotype" w:eastAsia="Calibri" w:hAnsi="Palatino Linotype"/>
          <w:sz w:val="19"/>
          <w:szCs w:val="19"/>
        </w:rPr>
        <w:t xml:space="preserve">economic </w:t>
      </w:r>
      <w:r w:rsidR="00121983">
        <w:rPr>
          <w:rFonts w:ascii="Palatino Linotype" w:eastAsia="Calibri" w:hAnsi="Palatino Linotype"/>
          <w:sz w:val="19"/>
          <w:szCs w:val="19"/>
        </w:rPr>
        <w:t>benefits</w:t>
      </w:r>
      <w:r w:rsidR="00BE1981" w:rsidRPr="00BE1981">
        <w:rPr>
          <w:rFonts w:ascii="Palatino Linotype" w:eastAsia="Calibri" w:hAnsi="Palatino Linotype"/>
          <w:sz w:val="19"/>
          <w:szCs w:val="19"/>
        </w:rPr>
        <w:t xml:space="preserve"> </w:t>
      </w:r>
      <w:r w:rsidR="00BE1981">
        <w:rPr>
          <w:rFonts w:ascii="Palatino Linotype" w:eastAsia="Calibri" w:hAnsi="Palatino Linotype"/>
          <w:sz w:val="19"/>
          <w:szCs w:val="19"/>
        </w:rPr>
        <w:t xml:space="preserve">off-farm, such as increased </w:t>
      </w:r>
      <w:r w:rsidR="00DB275D">
        <w:rPr>
          <w:rFonts w:ascii="Palatino Linotype" w:eastAsia="Calibri" w:hAnsi="Palatino Linotype"/>
          <w:sz w:val="19"/>
          <w:szCs w:val="19"/>
        </w:rPr>
        <w:t xml:space="preserve">rural </w:t>
      </w:r>
      <w:r w:rsidR="00BE1981">
        <w:rPr>
          <w:rFonts w:ascii="Palatino Linotype" w:eastAsia="Calibri" w:hAnsi="Palatino Linotype"/>
          <w:sz w:val="19"/>
          <w:szCs w:val="19"/>
        </w:rPr>
        <w:t>supplier sales, and increased use of labour, contractor and consulting services.</w:t>
      </w:r>
      <w:r w:rsidR="00DB275D">
        <w:rPr>
          <w:rFonts w:ascii="Palatino Linotype" w:eastAsia="Calibri" w:hAnsi="Palatino Linotype"/>
          <w:sz w:val="19"/>
          <w:szCs w:val="19"/>
        </w:rPr>
        <w:t xml:space="preserve"> Economic valuation of off-farm benefits ranged from </w:t>
      </w:r>
      <w:r w:rsidR="00AA23F2">
        <w:rPr>
          <w:rFonts w:ascii="Palatino Linotype" w:eastAsia="Calibri" w:hAnsi="Palatino Linotype"/>
          <w:sz w:val="19"/>
          <w:szCs w:val="19"/>
        </w:rPr>
        <w:br/>
      </w:r>
      <w:r w:rsidR="00DB275D" w:rsidRPr="00E73228">
        <w:rPr>
          <w:rFonts w:ascii="Palatino Linotype" w:eastAsia="Calibri" w:hAnsi="Palatino Linotype"/>
          <w:sz w:val="19"/>
          <w:szCs w:val="19"/>
        </w:rPr>
        <w:t>$</w:t>
      </w:r>
      <w:r w:rsidR="00E27EA0">
        <w:rPr>
          <w:rFonts w:ascii="Palatino Linotype" w:eastAsia="Calibri" w:hAnsi="Palatino Linotype"/>
          <w:sz w:val="19"/>
          <w:szCs w:val="19"/>
        </w:rPr>
        <w:t>25</w:t>
      </w:r>
      <w:r w:rsidR="00E27EA0" w:rsidRPr="00E73228">
        <w:rPr>
          <w:rFonts w:ascii="Palatino Linotype" w:eastAsia="Calibri" w:hAnsi="Palatino Linotype"/>
          <w:sz w:val="19"/>
          <w:szCs w:val="19"/>
        </w:rPr>
        <w:t xml:space="preserve"> </w:t>
      </w:r>
      <w:r w:rsidR="00DB275D" w:rsidRPr="00E73228">
        <w:rPr>
          <w:rFonts w:ascii="Palatino Linotype" w:eastAsia="Calibri" w:hAnsi="Palatino Linotype"/>
          <w:sz w:val="19"/>
          <w:szCs w:val="19"/>
        </w:rPr>
        <w:t xml:space="preserve">– </w:t>
      </w:r>
      <w:r w:rsidR="00E27EA0">
        <w:rPr>
          <w:rFonts w:ascii="Palatino Linotype" w:eastAsia="Calibri" w:hAnsi="Palatino Linotype"/>
          <w:sz w:val="19"/>
          <w:szCs w:val="19"/>
        </w:rPr>
        <w:t>$48</w:t>
      </w:r>
      <w:r w:rsidR="00E27EA0" w:rsidRPr="00E73228">
        <w:rPr>
          <w:rFonts w:ascii="Palatino Linotype" w:eastAsia="Calibri" w:hAnsi="Palatino Linotype"/>
          <w:sz w:val="19"/>
          <w:szCs w:val="19"/>
        </w:rPr>
        <w:t xml:space="preserve"> </w:t>
      </w:r>
      <w:r w:rsidR="00DB275D" w:rsidRPr="00E73228">
        <w:rPr>
          <w:rFonts w:ascii="Palatino Linotype" w:eastAsia="Calibri" w:hAnsi="Palatino Linotype"/>
          <w:sz w:val="19"/>
          <w:szCs w:val="19"/>
        </w:rPr>
        <w:t>million to $0.3 - $9.8 million</w:t>
      </w:r>
      <w:r w:rsidR="00E27EA0">
        <w:rPr>
          <w:rFonts w:ascii="Palatino Linotype" w:eastAsia="Calibri" w:hAnsi="Palatino Linotype"/>
          <w:sz w:val="19"/>
          <w:szCs w:val="19"/>
        </w:rPr>
        <w:t xml:space="preserve">. This large range is also a reflection of the challenges of valuing the diverse off-farm benefits and the variety of different economic circumstances across regions and </w:t>
      </w:r>
      <w:r w:rsidR="000532BB">
        <w:rPr>
          <w:rFonts w:ascii="Palatino Linotype" w:eastAsia="Calibri" w:hAnsi="Palatino Linotype"/>
          <w:sz w:val="19"/>
          <w:szCs w:val="19"/>
        </w:rPr>
        <w:t>agricultural industries</w:t>
      </w:r>
      <w:r w:rsidR="00E27EA0">
        <w:rPr>
          <w:rFonts w:ascii="Palatino Linotype" w:eastAsia="Calibri" w:hAnsi="Palatino Linotype"/>
          <w:sz w:val="19"/>
          <w:szCs w:val="19"/>
        </w:rPr>
        <w:t>.</w:t>
      </w:r>
    </w:p>
    <w:p w14:paraId="22925088" w14:textId="77777777" w:rsidR="00565E53" w:rsidRDefault="00565E53" w:rsidP="00565E53">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color w:val="0070C0"/>
          <w:sz w:val="28"/>
          <w:szCs w:val="28"/>
        </w:rPr>
        <w:t>Knowledge gaps and opportunities</w:t>
      </w:r>
    </w:p>
    <w:p w14:paraId="22925089" w14:textId="77777777" w:rsidR="00565E53" w:rsidRDefault="005659F7" w:rsidP="00565E53">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sz w:val="19"/>
          <w:szCs w:val="19"/>
        </w:rPr>
        <w:t>Whilst t</w:t>
      </w:r>
      <w:r w:rsidR="00565E53" w:rsidRPr="00E24646">
        <w:rPr>
          <w:rFonts w:ascii="Palatino Linotype" w:eastAsia="Calibri" w:hAnsi="Palatino Linotype"/>
          <w:sz w:val="19"/>
          <w:szCs w:val="19"/>
        </w:rPr>
        <w:t>h</w:t>
      </w:r>
      <w:r w:rsidR="00E45ED4">
        <w:rPr>
          <w:rFonts w:ascii="Palatino Linotype" w:eastAsia="Calibri" w:hAnsi="Palatino Linotype"/>
          <w:sz w:val="19"/>
          <w:szCs w:val="19"/>
        </w:rPr>
        <w:t>e</w:t>
      </w:r>
      <w:r w:rsidR="00565E53" w:rsidRPr="00E24646">
        <w:rPr>
          <w:rFonts w:ascii="Palatino Linotype" w:eastAsia="Calibri" w:hAnsi="Palatino Linotype"/>
          <w:sz w:val="19"/>
          <w:szCs w:val="19"/>
        </w:rPr>
        <w:t xml:space="preserve"> study identified </w:t>
      </w:r>
      <w:r w:rsidR="00565E53">
        <w:rPr>
          <w:rFonts w:ascii="Palatino Linotype" w:eastAsia="Calibri" w:hAnsi="Palatino Linotype"/>
          <w:sz w:val="19"/>
          <w:szCs w:val="19"/>
        </w:rPr>
        <w:t>significant</w:t>
      </w:r>
      <w:r w:rsidR="00565E53" w:rsidRPr="00E24646">
        <w:rPr>
          <w:rFonts w:ascii="Palatino Linotype" w:eastAsia="Calibri" w:hAnsi="Palatino Linotype"/>
          <w:sz w:val="19"/>
          <w:szCs w:val="19"/>
        </w:rPr>
        <w:t xml:space="preserve"> knowledge gap</w:t>
      </w:r>
      <w:r w:rsidR="008B388E">
        <w:rPr>
          <w:rFonts w:ascii="Palatino Linotype" w:eastAsia="Calibri" w:hAnsi="Palatino Linotype"/>
          <w:sz w:val="19"/>
          <w:szCs w:val="19"/>
        </w:rPr>
        <w:t>s</w:t>
      </w:r>
      <w:r w:rsidR="00565E53">
        <w:rPr>
          <w:rFonts w:ascii="Palatino Linotype" w:eastAsia="Calibri" w:hAnsi="Palatino Linotype"/>
          <w:sz w:val="19"/>
          <w:szCs w:val="19"/>
        </w:rPr>
        <w:t xml:space="preserve"> </w:t>
      </w:r>
      <w:r w:rsidR="008B388E">
        <w:rPr>
          <w:rFonts w:ascii="Palatino Linotype" w:eastAsia="Calibri" w:hAnsi="Palatino Linotype"/>
          <w:sz w:val="19"/>
          <w:szCs w:val="19"/>
        </w:rPr>
        <w:t>about</w:t>
      </w:r>
      <w:r w:rsidR="00565E53">
        <w:rPr>
          <w:rFonts w:ascii="Palatino Linotype" w:eastAsia="Calibri" w:hAnsi="Palatino Linotype"/>
          <w:sz w:val="19"/>
          <w:szCs w:val="19"/>
        </w:rPr>
        <w:t xml:space="preserve"> the </w:t>
      </w:r>
      <w:r w:rsidR="0083098E">
        <w:rPr>
          <w:rFonts w:ascii="Palatino Linotype" w:eastAsia="Calibri" w:hAnsi="Palatino Linotype"/>
          <w:sz w:val="19"/>
          <w:szCs w:val="19"/>
        </w:rPr>
        <w:t xml:space="preserve">complex </w:t>
      </w:r>
      <w:r w:rsidR="00565E53">
        <w:rPr>
          <w:rFonts w:ascii="Palatino Linotype" w:eastAsia="Calibri" w:hAnsi="Palatino Linotype"/>
          <w:sz w:val="19"/>
          <w:szCs w:val="19"/>
        </w:rPr>
        <w:t xml:space="preserve">economic flow on effects of investment in </w:t>
      </w:r>
      <w:r w:rsidR="00565E53" w:rsidRPr="003603E6">
        <w:rPr>
          <w:rFonts w:ascii="Palatino Linotype" w:eastAsia="Calibri" w:hAnsi="Palatino Linotype"/>
          <w:sz w:val="19"/>
          <w:szCs w:val="19"/>
        </w:rPr>
        <w:t>Landcare practices</w:t>
      </w:r>
      <w:r>
        <w:rPr>
          <w:rFonts w:ascii="Palatino Linotype" w:eastAsia="Calibri" w:hAnsi="Palatino Linotype"/>
          <w:sz w:val="19"/>
          <w:szCs w:val="19"/>
        </w:rPr>
        <w:t>, i</w:t>
      </w:r>
      <w:r w:rsidR="00E45ED4">
        <w:rPr>
          <w:rFonts w:ascii="Palatino Linotype" w:eastAsia="Calibri" w:hAnsi="Palatino Linotype"/>
          <w:sz w:val="19"/>
          <w:szCs w:val="19"/>
        </w:rPr>
        <w:t xml:space="preserve">t has provided </w:t>
      </w:r>
      <w:r w:rsidR="00565E53">
        <w:rPr>
          <w:rFonts w:ascii="Palatino Linotype" w:eastAsia="Calibri" w:hAnsi="Palatino Linotype"/>
          <w:sz w:val="19"/>
          <w:szCs w:val="19"/>
        </w:rPr>
        <w:t>a</w:t>
      </w:r>
      <w:r w:rsidR="00E45ED4">
        <w:rPr>
          <w:rFonts w:ascii="Palatino Linotype" w:eastAsia="Calibri" w:hAnsi="Palatino Linotype"/>
          <w:sz w:val="19"/>
          <w:szCs w:val="19"/>
        </w:rPr>
        <w:t xml:space="preserve"> better</w:t>
      </w:r>
      <w:r w:rsidR="00565E53">
        <w:rPr>
          <w:rFonts w:ascii="Palatino Linotype" w:eastAsia="Calibri" w:hAnsi="Palatino Linotype"/>
          <w:sz w:val="19"/>
          <w:szCs w:val="19"/>
        </w:rPr>
        <w:t xml:space="preserve"> foundation for understanding those impacts.</w:t>
      </w:r>
      <w:r w:rsidR="00A12FC9">
        <w:rPr>
          <w:rFonts w:ascii="Palatino Linotype" w:eastAsia="Calibri" w:hAnsi="Palatino Linotype"/>
          <w:sz w:val="19"/>
          <w:szCs w:val="19"/>
        </w:rPr>
        <w:t xml:space="preserve"> Th</w:t>
      </w:r>
      <w:r w:rsidR="00E45ED4">
        <w:rPr>
          <w:rFonts w:ascii="Palatino Linotype" w:eastAsia="Calibri" w:hAnsi="Palatino Linotype"/>
          <w:sz w:val="19"/>
          <w:szCs w:val="19"/>
        </w:rPr>
        <w:t>e</w:t>
      </w:r>
      <w:r w:rsidR="00A12FC9">
        <w:rPr>
          <w:rFonts w:ascii="Palatino Linotype" w:eastAsia="Calibri" w:hAnsi="Palatino Linotype"/>
          <w:sz w:val="19"/>
          <w:szCs w:val="19"/>
        </w:rPr>
        <w:t xml:space="preserve"> </w:t>
      </w:r>
      <w:r>
        <w:rPr>
          <w:rFonts w:ascii="Palatino Linotype" w:eastAsia="Calibri" w:hAnsi="Palatino Linotype"/>
          <w:sz w:val="19"/>
          <w:szCs w:val="19"/>
        </w:rPr>
        <w:t xml:space="preserve">outputs from the </w:t>
      </w:r>
      <w:r w:rsidR="00A12FC9">
        <w:rPr>
          <w:rFonts w:ascii="Palatino Linotype" w:eastAsia="Calibri" w:hAnsi="Palatino Linotype"/>
          <w:sz w:val="19"/>
          <w:szCs w:val="19"/>
        </w:rPr>
        <w:t xml:space="preserve">study provide governments, natural resource managers and communities with </w:t>
      </w:r>
      <w:r w:rsidR="00C16388">
        <w:rPr>
          <w:rFonts w:ascii="Palatino Linotype" w:eastAsia="Calibri" w:hAnsi="Palatino Linotype"/>
          <w:sz w:val="19"/>
          <w:szCs w:val="19"/>
        </w:rPr>
        <w:t>a</w:t>
      </w:r>
      <w:r w:rsidR="0083098E">
        <w:rPr>
          <w:rFonts w:ascii="Palatino Linotype" w:eastAsia="Calibri" w:hAnsi="Palatino Linotype"/>
          <w:sz w:val="19"/>
          <w:szCs w:val="19"/>
        </w:rPr>
        <w:t>n approach</w:t>
      </w:r>
      <w:r w:rsidR="00C16388">
        <w:rPr>
          <w:rFonts w:ascii="Palatino Linotype" w:eastAsia="Calibri" w:hAnsi="Palatino Linotype"/>
          <w:sz w:val="19"/>
          <w:szCs w:val="19"/>
        </w:rPr>
        <w:t xml:space="preserve"> for</w:t>
      </w:r>
      <w:r w:rsidR="00A12FC9">
        <w:rPr>
          <w:rFonts w:ascii="Palatino Linotype" w:eastAsia="Calibri" w:hAnsi="Palatino Linotype"/>
          <w:sz w:val="19"/>
          <w:szCs w:val="19"/>
        </w:rPr>
        <w:t xml:space="preserve"> </w:t>
      </w:r>
      <w:r w:rsidR="00C16388">
        <w:rPr>
          <w:rFonts w:ascii="Palatino Linotype" w:eastAsia="Calibri" w:hAnsi="Palatino Linotype"/>
          <w:sz w:val="19"/>
          <w:szCs w:val="19"/>
        </w:rPr>
        <w:t>assessing</w:t>
      </w:r>
      <w:r w:rsidR="007F1F2C">
        <w:rPr>
          <w:rFonts w:ascii="Palatino Linotype" w:eastAsia="Calibri" w:hAnsi="Palatino Linotype"/>
          <w:sz w:val="19"/>
          <w:szCs w:val="19"/>
        </w:rPr>
        <w:t xml:space="preserve"> some of</w:t>
      </w:r>
      <w:r w:rsidR="00A12FC9">
        <w:rPr>
          <w:rFonts w:ascii="Palatino Linotype" w:eastAsia="Calibri" w:hAnsi="Palatino Linotype"/>
          <w:sz w:val="19"/>
          <w:szCs w:val="19"/>
        </w:rPr>
        <w:t xml:space="preserve"> </w:t>
      </w:r>
      <w:r w:rsidR="009A4E21">
        <w:rPr>
          <w:rFonts w:ascii="Palatino Linotype" w:eastAsia="Calibri" w:hAnsi="Palatino Linotype"/>
          <w:sz w:val="19"/>
          <w:szCs w:val="19"/>
        </w:rPr>
        <w:t>the economic value of Landcare investment</w:t>
      </w:r>
      <w:r w:rsidR="006D19C0">
        <w:rPr>
          <w:rFonts w:ascii="Palatino Linotype" w:eastAsia="Calibri" w:hAnsi="Palatino Linotype"/>
          <w:sz w:val="19"/>
          <w:szCs w:val="19"/>
        </w:rPr>
        <w:t xml:space="preserve">. Understanding the benefits of Landcare </w:t>
      </w:r>
      <w:r w:rsidR="0083098E">
        <w:rPr>
          <w:rFonts w:ascii="Palatino Linotype" w:eastAsia="Calibri" w:hAnsi="Palatino Linotype"/>
          <w:sz w:val="19"/>
          <w:szCs w:val="19"/>
        </w:rPr>
        <w:t>is becoming more important for building the Australian agricultural brand and accessing global markets.</w:t>
      </w:r>
    </w:p>
    <w:p w14:paraId="2292508A" w14:textId="77777777" w:rsidR="00565A7D" w:rsidRDefault="008B388E" w:rsidP="00565E53">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sz w:val="19"/>
          <w:szCs w:val="19"/>
        </w:rPr>
        <w:t>Using existing b</w:t>
      </w:r>
      <w:r w:rsidRPr="00E24646">
        <w:rPr>
          <w:rFonts w:ascii="Palatino Linotype" w:eastAsia="Calibri" w:hAnsi="Palatino Linotype"/>
          <w:sz w:val="19"/>
          <w:szCs w:val="19"/>
        </w:rPr>
        <w:t xml:space="preserve">iophysical indicators collected in </w:t>
      </w:r>
      <w:proofErr w:type="gramStart"/>
      <w:r w:rsidRPr="00E24646">
        <w:rPr>
          <w:rFonts w:ascii="Palatino Linotype" w:eastAsia="Calibri" w:hAnsi="Palatino Linotype"/>
          <w:sz w:val="19"/>
          <w:szCs w:val="19"/>
        </w:rPr>
        <w:t>MERIT</w:t>
      </w:r>
      <w:r>
        <w:rPr>
          <w:rFonts w:ascii="Palatino Linotype" w:eastAsia="Calibri" w:hAnsi="Palatino Linotype"/>
          <w:sz w:val="19"/>
          <w:szCs w:val="19"/>
          <w:vertAlign w:val="superscript"/>
        </w:rPr>
        <w:t>2</w:t>
      </w:r>
      <w:r>
        <w:rPr>
          <w:rFonts w:ascii="Palatino Linotype" w:eastAsia="Calibri" w:hAnsi="Palatino Linotype"/>
          <w:sz w:val="19"/>
          <w:szCs w:val="19"/>
        </w:rPr>
        <w:t xml:space="preserve"> </w:t>
      </w:r>
      <w:r w:rsidR="00A5700C">
        <w:rPr>
          <w:rFonts w:ascii="Palatino Linotype" w:eastAsia="Calibri" w:hAnsi="Palatino Linotype"/>
          <w:sz w:val="19"/>
          <w:szCs w:val="19"/>
        </w:rPr>
        <w:t>,</w:t>
      </w:r>
      <w:proofErr w:type="gramEnd"/>
      <w:r w:rsidR="00A5700C">
        <w:rPr>
          <w:rFonts w:ascii="Palatino Linotype" w:eastAsia="Calibri" w:hAnsi="Palatino Linotype"/>
          <w:sz w:val="19"/>
          <w:szCs w:val="19"/>
        </w:rPr>
        <w:t xml:space="preserve"> the natural resource management  monitoring </w:t>
      </w:r>
    </w:p>
    <w:p w14:paraId="2292508B" w14:textId="77777777" w:rsidR="00EE7334" w:rsidRDefault="00EE7334">
      <w:pPr>
        <w:pStyle w:val="NormalWeb"/>
        <w:spacing w:before="240" w:beforeAutospacing="0" w:after="240" w:afterAutospacing="0" w:line="340" w:lineRule="exact"/>
        <w:rPr>
          <w:rFonts w:ascii="Palatino Linotype" w:eastAsia="Calibri" w:hAnsi="Palatino Linotype"/>
          <w:sz w:val="19"/>
          <w:szCs w:val="19"/>
        </w:rPr>
      </w:pPr>
    </w:p>
    <w:p w14:paraId="2292508C" w14:textId="1BD0CA2C" w:rsidR="008B388E" w:rsidRDefault="00566A03" w:rsidP="00565E53">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noProof/>
          <w:color w:val="0070C0"/>
          <w:sz w:val="28"/>
          <w:szCs w:val="28"/>
        </w:rPr>
        <mc:AlternateContent>
          <mc:Choice Requires="wps">
            <w:drawing>
              <wp:anchor distT="0" distB="0" distL="114300" distR="114300" simplePos="0" relativeHeight="251660287" behindDoc="0" locked="0" layoutInCell="1" allowOverlap="1" wp14:anchorId="229250E1" wp14:editId="358DCBD0">
                <wp:simplePos x="0" y="0"/>
                <wp:positionH relativeFrom="column">
                  <wp:posOffset>65405</wp:posOffset>
                </wp:positionH>
                <wp:positionV relativeFrom="paragraph">
                  <wp:posOffset>1974850</wp:posOffset>
                </wp:positionV>
                <wp:extent cx="3272155" cy="7909560"/>
                <wp:effectExtent l="0" t="0" r="4445" b="0"/>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2155" cy="7909560"/>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925105" w14:textId="77777777" w:rsidR="00757F21" w:rsidRPr="001A6BD6" w:rsidRDefault="00757F21" w:rsidP="001B5A87">
                            <w:pPr>
                              <w:jc w:val="center"/>
                              <w:rPr>
                                <w:rFonts w:ascii="Palatino Linotype" w:hAnsi="Palatino Linotype"/>
                                <w:b/>
                                <w:color w:val="FFFFFF" w:themeColor="background1"/>
                                <w:sz w:val="28"/>
                                <w:szCs w:val="28"/>
                                <w:lang w:eastAsia="en-AU"/>
                              </w:rPr>
                            </w:pPr>
                            <w:r w:rsidRPr="001A6BD6">
                              <w:rPr>
                                <w:rFonts w:ascii="Palatino Linotype" w:hAnsi="Palatino Linotype"/>
                                <w:b/>
                                <w:color w:val="FFFFFF" w:themeColor="background1"/>
                                <w:sz w:val="28"/>
                                <w:szCs w:val="28"/>
                                <w:lang w:eastAsia="en-AU"/>
                              </w:rPr>
                              <w:t>Case study results – Liming in the WA grains industry</w:t>
                            </w:r>
                          </w:p>
                          <w:p w14:paraId="22925106"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The grains industry is the largest agricultural sector</w:t>
                            </w:r>
                            <w:r w:rsidRPr="001017FD">
                              <w:rPr>
                                <w:rFonts w:ascii="Palatino Linotype" w:hAnsi="Palatino Linotype"/>
                                <w:color w:val="FFFFFF" w:themeColor="background1"/>
                                <w:sz w:val="19"/>
                                <w:szCs w:val="19"/>
                              </w:rPr>
                              <w:t xml:space="preserve"> </w:t>
                            </w:r>
                            <w:r>
                              <w:rPr>
                                <w:rFonts w:ascii="Palatino Linotype" w:hAnsi="Palatino Linotype"/>
                                <w:color w:val="FFFFFF" w:themeColor="background1"/>
                                <w:sz w:val="19"/>
                                <w:szCs w:val="19"/>
                              </w:rPr>
                              <w:t>in WA. The grains and mixed livestock zone in the south-west region was examined and liming was identified as a key sustainable agricultural practice by local experts.</w:t>
                            </w:r>
                          </w:p>
                          <w:p w14:paraId="22925107"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Liming involves the application of lime to manage soil pH and increase the availability of soil nutrients to plants. Although a number of initiatives have influenced the uptake of liming, since the 1990’s, investment in Landcare specifically has sped up </w:t>
                            </w:r>
                            <w:r w:rsidRPr="00871B6F">
                              <w:rPr>
                                <w:rFonts w:ascii="Palatino Linotype" w:hAnsi="Palatino Linotype"/>
                                <w:color w:val="FFFFFF" w:themeColor="background1"/>
                                <w:sz w:val="19"/>
                                <w:szCs w:val="19"/>
                              </w:rPr>
                              <w:t>adoption, almost doubling the</w:t>
                            </w:r>
                            <w:r>
                              <w:rPr>
                                <w:rFonts w:ascii="Palatino Linotype" w:hAnsi="Palatino Linotype"/>
                                <w:color w:val="FFFFFF" w:themeColor="background1"/>
                                <w:sz w:val="19"/>
                                <w:szCs w:val="19"/>
                              </w:rPr>
                              <w:t xml:space="preserve"> overall uptake (tonnes of lime sold). </w:t>
                            </w:r>
                          </w:p>
                          <w:p w14:paraId="22925108"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Liming has increased yields, and consequently farm profit, over time across its area of application </w:t>
                            </w:r>
                            <w:r>
                              <w:rPr>
                                <w:rFonts w:ascii="Palatino Linotype" w:hAnsi="Palatino Linotype"/>
                                <w:color w:val="FFFFFF" w:themeColor="background1"/>
                                <w:sz w:val="19"/>
                                <w:szCs w:val="19"/>
                              </w:rPr>
                              <w:br/>
                              <w:t xml:space="preserve">(1.6 million ha as of 2015). This has been estimated to have a present market value of $316 million. </w:t>
                            </w:r>
                          </w:p>
                          <w:p w14:paraId="22925109"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Through extension activities, awareness building, encouraging soil testing, provision of Landcare funding and encouraging cooperation with neighbours, Landcare is responsible for approximately 41%</w:t>
                            </w:r>
                            <w:proofErr w:type="gramStart"/>
                            <w:r>
                              <w:rPr>
                                <w:rFonts w:ascii="Palatino Linotype" w:hAnsi="Palatino Linotype"/>
                                <w:color w:val="FFFFFF" w:themeColor="background1"/>
                                <w:sz w:val="19"/>
                                <w:szCs w:val="19"/>
                              </w:rPr>
                              <w:t>,  $</w:t>
                            </w:r>
                            <w:proofErr w:type="gramEnd"/>
                            <w:r>
                              <w:rPr>
                                <w:rFonts w:ascii="Palatino Linotype" w:hAnsi="Palatino Linotype"/>
                                <w:color w:val="FFFFFF" w:themeColor="background1"/>
                                <w:sz w:val="19"/>
                                <w:szCs w:val="19"/>
                              </w:rPr>
                              <w:t>131 million, of the present market value.</w:t>
                            </w:r>
                          </w:p>
                          <w:p w14:paraId="2292510A" w14:textId="77777777" w:rsidR="00757F21" w:rsidRPr="00D3780E" w:rsidRDefault="00757F21" w:rsidP="001B5A87">
                            <w:pPr>
                              <w:rPr>
                                <w:rFonts w:ascii="Palatino Linotype" w:hAnsi="Palatino Linotype"/>
                                <w:color w:val="FFFFFF" w:themeColor="background1"/>
                                <w:sz w:val="28"/>
                                <w:szCs w:val="28"/>
                                <w:lang w:eastAsia="en-AU"/>
                              </w:rPr>
                            </w:pPr>
                            <w:r>
                              <w:rPr>
                                <w:rFonts w:ascii="Palatino Linotype" w:hAnsi="Palatino Linotype"/>
                                <w:color w:val="FFFFFF" w:themeColor="background1"/>
                                <w:sz w:val="19"/>
                                <w:szCs w:val="19"/>
                              </w:rPr>
                              <w:t xml:space="preserve">The lime supplier industry has directly benefited from increased sales. Approximately $48 </w:t>
                            </w:r>
                            <w:proofErr w:type="gramStart"/>
                            <w:r>
                              <w:rPr>
                                <w:rFonts w:ascii="Palatino Linotype" w:hAnsi="Palatino Linotype"/>
                                <w:color w:val="FFFFFF" w:themeColor="background1"/>
                                <w:sz w:val="19"/>
                                <w:szCs w:val="19"/>
                              </w:rPr>
                              <w:t>million</w:t>
                            </w:r>
                            <w:r w:rsidRPr="0065294F">
                              <w:rPr>
                                <w:rFonts w:ascii="Palatino Linotype" w:hAnsi="Palatino Linotype"/>
                                <w:color w:val="FFFFFF" w:themeColor="background1"/>
                                <w:sz w:val="19"/>
                                <w:szCs w:val="19"/>
                              </w:rPr>
                              <w:t xml:space="preserve"> </w:t>
                            </w:r>
                            <w:r>
                              <w:rPr>
                                <w:rFonts w:ascii="Palatino Linotype" w:hAnsi="Palatino Linotype"/>
                                <w:color w:val="FFFFFF" w:themeColor="background1"/>
                                <w:sz w:val="19"/>
                                <w:szCs w:val="19"/>
                              </w:rPr>
                              <w:t xml:space="preserve"> profit</w:t>
                            </w:r>
                            <w:proofErr w:type="gramEnd"/>
                            <w:r>
                              <w:rPr>
                                <w:rFonts w:ascii="Palatino Linotype" w:hAnsi="Palatino Linotype"/>
                                <w:color w:val="FFFFFF" w:themeColor="background1"/>
                                <w:sz w:val="19"/>
                                <w:szCs w:val="19"/>
                              </w:rPr>
                              <w:t xml:space="preserve"> (assuming a 30% profit margin) can been attributed to Landcare interventions.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250E1" id="AutoShape 8" o:spid="_x0000_s1031" style="position:absolute;margin-left:5.15pt;margin-top:155.5pt;width:257.65pt;height:622.8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" fillcolor="#365f91 [2404]" stroked="f">
                <v:textbox>
                  <w:txbxContent>
                    <w:p w14:paraId="22925105" w14:textId="77777777" w:rsidR="00757F21" w:rsidRPr="001A6BD6" w:rsidRDefault="00757F21" w:rsidP="001B5A87">
                      <w:pPr>
                        <w:jc w:val="center"/>
                        <w:rPr>
                          <w:rFonts w:ascii="Palatino Linotype" w:hAnsi="Palatino Linotype"/>
                          <w:b/>
                          <w:color w:val="FFFFFF" w:themeColor="background1"/>
                          <w:sz w:val="28"/>
                          <w:szCs w:val="28"/>
                          <w:lang w:eastAsia="en-AU"/>
                        </w:rPr>
                      </w:pPr>
                      <w:r w:rsidRPr="001A6BD6">
                        <w:rPr>
                          <w:rFonts w:ascii="Palatino Linotype" w:hAnsi="Palatino Linotype"/>
                          <w:b/>
                          <w:color w:val="FFFFFF" w:themeColor="background1"/>
                          <w:sz w:val="28"/>
                          <w:szCs w:val="28"/>
                          <w:lang w:eastAsia="en-AU"/>
                        </w:rPr>
                        <w:t>Case study results – Liming in the WA grains industry</w:t>
                      </w:r>
                    </w:p>
                    <w:p w14:paraId="22925106"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The grains industry is the largest agricultural sector</w:t>
                      </w:r>
                      <w:r w:rsidRPr="001017FD">
                        <w:rPr>
                          <w:rFonts w:ascii="Palatino Linotype" w:hAnsi="Palatino Linotype"/>
                          <w:color w:val="FFFFFF" w:themeColor="background1"/>
                          <w:sz w:val="19"/>
                          <w:szCs w:val="19"/>
                        </w:rPr>
                        <w:t xml:space="preserve"> </w:t>
                      </w:r>
                      <w:r>
                        <w:rPr>
                          <w:rFonts w:ascii="Palatino Linotype" w:hAnsi="Palatino Linotype"/>
                          <w:color w:val="FFFFFF" w:themeColor="background1"/>
                          <w:sz w:val="19"/>
                          <w:szCs w:val="19"/>
                        </w:rPr>
                        <w:t>in WA. The grains and mixed livestock zone in the south-west region was examined and liming was identified as a key sustainable agricultural practice by local experts.</w:t>
                      </w:r>
                    </w:p>
                    <w:p w14:paraId="22925107"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Liming involves the application of lime to manage soil pH and increase the availability of soil nutrients to plants. Although a number of initiatives have influenced the uptake of liming, since the 1990’s, investment in Landcare specifically has sped up </w:t>
                      </w:r>
                      <w:r w:rsidRPr="00871B6F">
                        <w:rPr>
                          <w:rFonts w:ascii="Palatino Linotype" w:hAnsi="Palatino Linotype"/>
                          <w:color w:val="FFFFFF" w:themeColor="background1"/>
                          <w:sz w:val="19"/>
                          <w:szCs w:val="19"/>
                        </w:rPr>
                        <w:t>adoption, almost doubling the</w:t>
                      </w:r>
                      <w:r>
                        <w:rPr>
                          <w:rFonts w:ascii="Palatino Linotype" w:hAnsi="Palatino Linotype"/>
                          <w:color w:val="FFFFFF" w:themeColor="background1"/>
                          <w:sz w:val="19"/>
                          <w:szCs w:val="19"/>
                        </w:rPr>
                        <w:t xml:space="preserve"> overall uptake (tonnes of lime sold). </w:t>
                      </w:r>
                    </w:p>
                    <w:p w14:paraId="22925108"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Liming has increased yields, and consequently farm profit, over time across its area of application </w:t>
                      </w:r>
                      <w:r>
                        <w:rPr>
                          <w:rFonts w:ascii="Palatino Linotype" w:hAnsi="Palatino Linotype"/>
                          <w:color w:val="FFFFFF" w:themeColor="background1"/>
                          <w:sz w:val="19"/>
                          <w:szCs w:val="19"/>
                        </w:rPr>
                        <w:br/>
                        <w:t xml:space="preserve">(1.6 million ha as of 2015). This has been estimated to have a present market value of $316 million. </w:t>
                      </w:r>
                    </w:p>
                    <w:p w14:paraId="22925109" w14:textId="77777777" w:rsidR="00757F21" w:rsidRDefault="00757F21" w:rsidP="001B5A87">
                      <w:pPr>
                        <w:rPr>
                          <w:rFonts w:ascii="Palatino Linotype" w:hAnsi="Palatino Linotype"/>
                          <w:color w:val="FFFFFF" w:themeColor="background1"/>
                          <w:sz w:val="19"/>
                          <w:szCs w:val="19"/>
                        </w:rPr>
                      </w:pPr>
                      <w:r>
                        <w:rPr>
                          <w:rFonts w:ascii="Palatino Linotype" w:hAnsi="Palatino Linotype"/>
                          <w:color w:val="FFFFFF" w:themeColor="background1"/>
                          <w:sz w:val="19"/>
                          <w:szCs w:val="19"/>
                        </w:rPr>
                        <w:t>Through extension activities, awareness building, encouraging soil testing, provision of Landcare funding and encouraging cooperation with neighbours, Landcare is responsible for approximately 41%</w:t>
                      </w:r>
                      <w:proofErr w:type="gramStart"/>
                      <w:r>
                        <w:rPr>
                          <w:rFonts w:ascii="Palatino Linotype" w:hAnsi="Palatino Linotype"/>
                          <w:color w:val="FFFFFF" w:themeColor="background1"/>
                          <w:sz w:val="19"/>
                          <w:szCs w:val="19"/>
                        </w:rPr>
                        <w:t>,  $</w:t>
                      </w:r>
                      <w:proofErr w:type="gramEnd"/>
                      <w:r>
                        <w:rPr>
                          <w:rFonts w:ascii="Palatino Linotype" w:hAnsi="Palatino Linotype"/>
                          <w:color w:val="FFFFFF" w:themeColor="background1"/>
                          <w:sz w:val="19"/>
                          <w:szCs w:val="19"/>
                        </w:rPr>
                        <w:t>131 million, of the present market value.</w:t>
                      </w:r>
                    </w:p>
                    <w:p w14:paraId="2292510A" w14:textId="77777777" w:rsidR="00757F21" w:rsidRPr="00D3780E" w:rsidRDefault="00757F21" w:rsidP="001B5A87">
                      <w:pPr>
                        <w:rPr>
                          <w:rFonts w:ascii="Palatino Linotype" w:hAnsi="Palatino Linotype"/>
                          <w:color w:val="FFFFFF" w:themeColor="background1"/>
                          <w:sz w:val="28"/>
                          <w:szCs w:val="28"/>
                          <w:lang w:eastAsia="en-AU"/>
                        </w:rPr>
                      </w:pPr>
                      <w:r>
                        <w:rPr>
                          <w:rFonts w:ascii="Palatino Linotype" w:hAnsi="Palatino Linotype"/>
                          <w:color w:val="FFFFFF" w:themeColor="background1"/>
                          <w:sz w:val="19"/>
                          <w:szCs w:val="19"/>
                        </w:rPr>
                        <w:t xml:space="preserve">The lime supplier industry has directly benefited from increased sales. Approximately $48 </w:t>
                      </w:r>
                      <w:proofErr w:type="gramStart"/>
                      <w:r>
                        <w:rPr>
                          <w:rFonts w:ascii="Palatino Linotype" w:hAnsi="Palatino Linotype"/>
                          <w:color w:val="FFFFFF" w:themeColor="background1"/>
                          <w:sz w:val="19"/>
                          <w:szCs w:val="19"/>
                        </w:rPr>
                        <w:t>million</w:t>
                      </w:r>
                      <w:r w:rsidRPr="0065294F">
                        <w:rPr>
                          <w:rFonts w:ascii="Palatino Linotype" w:hAnsi="Palatino Linotype"/>
                          <w:color w:val="FFFFFF" w:themeColor="background1"/>
                          <w:sz w:val="19"/>
                          <w:szCs w:val="19"/>
                        </w:rPr>
                        <w:t xml:space="preserve"> </w:t>
                      </w:r>
                      <w:r>
                        <w:rPr>
                          <w:rFonts w:ascii="Palatino Linotype" w:hAnsi="Palatino Linotype"/>
                          <w:color w:val="FFFFFF" w:themeColor="background1"/>
                          <w:sz w:val="19"/>
                          <w:szCs w:val="19"/>
                        </w:rPr>
                        <w:t xml:space="preserve"> profit</w:t>
                      </w:r>
                      <w:proofErr w:type="gramEnd"/>
                      <w:r>
                        <w:rPr>
                          <w:rFonts w:ascii="Palatino Linotype" w:hAnsi="Palatino Linotype"/>
                          <w:color w:val="FFFFFF" w:themeColor="background1"/>
                          <w:sz w:val="19"/>
                          <w:szCs w:val="19"/>
                        </w:rPr>
                        <w:t xml:space="preserve"> (assuming a 30% profit margin) can been attributed to Landcare interventions.</w:t>
                      </w:r>
                    </w:p>
                  </w:txbxContent>
                </v:textbox>
              </v:roundrect>
            </w:pict>
          </mc:Fallback>
        </mc:AlternateContent>
      </w:r>
      <w:proofErr w:type="gramStart"/>
      <w:r w:rsidR="00A5700C">
        <w:rPr>
          <w:rFonts w:ascii="Palatino Linotype" w:eastAsia="Calibri" w:hAnsi="Palatino Linotype"/>
          <w:sz w:val="19"/>
          <w:szCs w:val="19"/>
        </w:rPr>
        <w:t>and</w:t>
      </w:r>
      <w:proofErr w:type="gramEnd"/>
      <w:r w:rsidR="00A5700C">
        <w:rPr>
          <w:rFonts w:ascii="Palatino Linotype" w:eastAsia="Calibri" w:hAnsi="Palatino Linotype"/>
          <w:sz w:val="19"/>
          <w:szCs w:val="19"/>
        </w:rPr>
        <w:t xml:space="preserve"> reporting tool, </w:t>
      </w:r>
      <w:r w:rsidR="008B388E">
        <w:rPr>
          <w:rFonts w:ascii="Palatino Linotype" w:eastAsia="Calibri" w:hAnsi="Palatino Linotype"/>
          <w:sz w:val="19"/>
          <w:szCs w:val="19"/>
        </w:rPr>
        <w:t xml:space="preserve">and </w:t>
      </w:r>
      <w:r w:rsidR="008B388E" w:rsidRPr="00E24646">
        <w:rPr>
          <w:rFonts w:ascii="Palatino Linotype" w:eastAsia="Calibri" w:hAnsi="Palatino Linotype"/>
          <w:sz w:val="19"/>
          <w:szCs w:val="19"/>
        </w:rPr>
        <w:t>readily available financial data, such as gross margins</w:t>
      </w:r>
      <w:r w:rsidR="008B388E">
        <w:rPr>
          <w:rFonts w:ascii="Palatino Linotype" w:eastAsia="Calibri" w:hAnsi="Palatino Linotype"/>
          <w:sz w:val="19"/>
          <w:szCs w:val="19"/>
        </w:rPr>
        <w:t xml:space="preserve">, </w:t>
      </w:r>
      <w:r w:rsidR="005659F7">
        <w:rPr>
          <w:rFonts w:ascii="Palatino Linotype" w:eastAsia="Calibri" w:hAnsi="Palatino Linotype"/>
          <w:sz w:val="19"/>
          <w:szCs w:val="19"/>
        </w:rPr>
        <w:t xml:space="preserve"> additional measurement of </w:t>
      </w:r>
      <w:r w:rsidR="008B388E" w:rsidRPr="00E24646">
        <w:rPr>
          <w:rFonts w:ascii="Palatino Linotype" w:eastAsia="Calibri" w:hAnsi="Palatino Linotype"/>
          <w:sz w:val="19"/>
          <w:szCs w:val="19"/>
        </w:rPr>
        <w:t xml:space="preserve"> economic impacts </w:t>
      </w:r>
      <w:r w:rsidR="005659F7">
        <w:rPr>
          <w:rFonts w:ascii="Palatino Linotype" w:eastAsia="Calibri" w:hAnsi="Palatino Linotype"/>
          <w:sz w:val="19"/>
          <w:szCs w:val="19"/>
        </w:rPr>
        <w:t xml:space="preserve">could </w:t>
      </w:r>
      <w:r w:rsidR="008B388E">
        <w:rPr>
          <w:rFonts w:ascii="Palatino Linotype" w:eastAsia="Calibri" w:hAnsi="Palatino Linotype"/>
          <w:sz w:val="19"/>
          <w:szCs w:val="19"/>
        </w:rPr>
        <w:t>be conducted</w:t>
      </w:r>
      <w:r w:rsidR="00095150">
        <w:rPr>
          <w:rFonts w:ascii="Palatino Linotype" w:eastAsia="Calibri" w:hAnsi="Palatino Linotype"/>
          <w:sz w:val="19"/>
          <w:szCs w:val="19"/>
        </w:rPr>
        <w:t xml:space="preserve">. </w:t>
      </w:r>
      <w:r w:rsidR="005659F7">
        <w:rPr>
          <w:rFonts w:ascii="Palatino Linotype" w:eastAsia="Calibri" w:hAnsi="Palatino Linotype"/>
          <w:sz w:val="19"/>
          <w:szCs w:val="19"/>
        </w:rPr>
        <w:t xml:space="preserve">Such an </w:t>
      </w:r>
      <w:r w:rsidR="00095150">
        <w:rPr>
          <w:rFonts w:ascii="Palatino Linotype" w:eastAsia="Calibri" w:hAnsi="Palatino Linotype"/>
          <w:sz w:val="19"/>
          <w:szCs w:val="19"/>
        </w:rPr>
        <w:t xml:space="preserve">analysis </w:t>
      </w:r>
      <w:r w:rsidR="005659F7">
        <w:rPr>
          <w:rFonts w:ascii="Palatino Linotype" w:eastAsia="Calibri" w:hAnsi="Palatino Linotype"/>
          <w:sz w:val="19"/>
          <w:szCs w:val="19"/>
        </w:rPr>
        <w:t>w</w:t>
      </w:r>
      <w:r w:rsidR="006D19C0">
        <w:rPr>
          <w:rFonts w:ascii="Palatino Linotype" w:eastAsia="Calibri" w:hAnsi="Palatino Linotype"/>
          <w:sz w:val="19"/>
          <w:szCs w:val="19"/>
        </w:rPr>
        <w:t xml:space="preserve">ould </w:t>
      </w:r>
      <w:r w:rsidR="00DF1E35">
        <w:rPr>
          <w:rFonts w:ascii="Palatino Linotype" w:eastAsia="Calibri" w:hAnsi="Palatino Linotype"/>
          <w:sz w:val="19"/>
          <w:szCs w:val="19"/>
        </w:rPr>
        <w:t xml:space="preserve">be </w:t>
      </w:r>
      <w:r w:rsidR="00A12FC9">
        <w:rPr>
          <w:rFonts w:ascii="Palatino Linotype" w:eastAsia="Calibri" w:hAnsi="Palatino Linotype"/>
          <w:sz w:val="19"/>
          <w:szCs w:val="19"/>
        </w:rPr>
        <w:t xml:space="preserve">complemented by additional </w:t>
      </w:r>
      <w:r w:rsidR="00F46901">
        <w:rPr>
          <w:rFonts w:ascii="Palatino Linotype" w:eastAsia="Calibri" w:hAnsi="Palatino Linotype"/>
          <w:sz w:val="19"/>
          <w:szCs w:val="19"/>
        </w:rPr>
        <w:t xml:space="preserve">non-market economic valuations of key assets and services </w:t>
      </w:r>
      <w:r w:rsidR="0083098E">
        <w:rPr>
          <w:rFonts w:ascii="Palatino Linotype" w:eastAsia="Calibri" w:hAnsi="Palatino Linotype"/>
          <w:sz w:val="19"/>
          <w:szCs w:val="19"/>
        </w:rPr>
        <w:t>that are products of</w:t>
      </w:r>
      <w:r w:rsidR="00F46901">
        <w:rPr>
          <w:rFonts w:ascii="Palatino Linotype" w:eastAsia="Calibri" w:hAnsi="Palatino Linotype"/>
          <w:sz w:val="19"/>
          <w:szCs w:val="19"/>
        </w:rPr>
        <w:t xml:space="preserve"> Landcare and other programmes. Comprehensive valuations of such impact</w:t>
      </w:r>
      <w:r w:rsidR="00480E1C">
        <w:rPr>
          <w:rFonts w:ascii="Palatino Linotype" w:eastAsia="Calibri" w:hAnsi="Palatino Linotype"/>
          <w:sz w:val="19"/>
          <w:szCs w:val="19"/>
        </w:rPr>
        <w:t xml:space="preserve">s </w:t>
      </w:r>
      <w:r w:rsidR="00F46901">
        <w:rPr>
          <w:rFonts w:ascii="Palatino Linotype" w:eastAsia="Calibri" w:hAnsi="Palatino Linotype"/>
          <w:sz w:val="19"/>
          <w:szCs w:val="19"/>
        </w:rPr>
        <w:t>could also contribute to a value for money assessment, which was not within the scope of this study.</w:t>
      </w:r>
    </w:p>
    <w:p w14:paraId="2292508D" w14:textId="77777777" w:rsidR="00C10F59" w:rsidRDefault="00C10F59" w:rsidP="00C10F59">
      <w:pPr>
        <w:pStyle w:val="NormalWeb"/>
        <w:spacing w:after="240" w:line="340" w:lineRule="exact"/>
        <w:rPr>
          <w:rFonts w:ascii="Palatino Linotype" w:eastAsia="Calibri" w:hAnsi="Palatino Linotype"/>
          <w:noProof/>
          <w:color w:val="0070C0"/>
          <w:sz w:val="28"/>
          <w:szCs w:val="28"/>
        </w:rPr>
      </w:pPr>
    </w:p>
    <w:p w14:paraId="2292508E" w14:textId="77777777" w:rsidR="00D3780E" w:rsidRDefault="00D3780E" w:rsidP="00C10F59">
      <w:pPr>
        <w:pStyle w:val="NormalWeb"/>
        <w:spacing w:after="240" w:line="340" w:lineRule="exact"/>
        <w:rPr>
          <w:rFonts w:ascii="Palatino Linotype" w:eastAsia="Calibri" w:hAnsi="Palatino Linotype"/>
          <w:sz w:val="19"/>
          <w:szCs w:val="19"/>
        </w:rPr>
      </w:pPr>
      <w:r>
        <w:rPr>
          <w:rFonts w:ascii="Palatino Linotype" w:eastAsia="Calibri" w:hAnsi="Palatino Linotype"/>
          <w:noProof/>
          <w:color w:val="0070C0"/>
          <w:sz w:val="28"/>
          <w:szCs w:val="28"/>
        </w:rPr>
        <w:t xml:space="preserve"> </w:t>
      </w:r>
    </w:p>
    <w:p w14:paraId="2292508F"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0"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1"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2"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3"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4"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5"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6"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7"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8"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9"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A"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B" w14:textId="77777777" w:rsidR="00D3780E" w:rsidRDefault="00D3780E" w:rsidP="00B8709D">
      <w:pPr>
        <w:pStyle w:val="NormalWeb"/>
        <w:spacing w:before="0" w:beforeAutospacing="0" w:after="240" w:afterAutospacing="0" w:line="340" w:lineRule="exact"/>
        <w:rPr>
          <w:rFonts w:ascii="Palatino Linotype" w:eastAsia="Calibri" w:hAnsi="Palatino Linotype"/>
          <w:sz w:val="19"/>
          <w:szCs w:val="19"/>
        </w:rPr>
      </w:pPr>
    </w:p>
    <w:p w14:paraId="2292509C"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9D" w14:textId="77777777" w:rsidR="00CA3658" w:rsidRDefault="006D169C" w:rsidP="00B8709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noProof/>
          <w:sz w:val="19"/>
          <w:szCs w:val="19"/>
        </w:rPr>
        <w:drawing>
          <wp:anchor distT="0" distB="0" distL="114300" distR="114300" simplePos="0" relativeHeight="251684864" behindDoc="0" locked="0" layoutInCell="1" allowOverlap="1" wp14:anchorId="229250E2" wp14:editId="229250E3">
            <wp:simplePos x="0" y="0"/>
            <wp:positionH relativeFrom="column">
              <wp:posOffset>770255</wp:posOffset>
            </wp:positionH>
            <wp:positionV relativeFrom="paragraph">
              <wp:posOffset>206375</wp:posOffset>
            </wp:positionV>
            <wp:extent cx="1838325" cy="1314450"/>
            <wp:effectExtent l="19050" t="19050" r="28575" b="19050"/>
            <wp:wrapNone/>
            <wp:docPr id="18" name="Picture 16" descr="li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ng.jpg"/>
                    <pic:cNvPicPr/>
                  </pic:nvPicPr>
                  <pic:blipFill>
                    <a:blip r:embed="rId17" cstate="print"/>
                    <a:stretch>
                      <a:fillRect/>
                    </a:stretch>
                  </pic:blipFill>
                  <pic:spPr>
                    <a:xfrm>
                      <a:off x="0" y="0"/>
                      <a:ext cx="1838325" cy="1314450"/>
                    </a:xfrm>
                    <a:prstGeom prst="rect">
                      <a:avLst/>
                    </a:prstGeom>
                    <a:ln>
                      <a:solidFill>
                        <a:schemeClr val="accent1"/>
                      </a:solidFill>
                    </a:ln>
                  </pic:spPr>
                </pic:pic>
              </a:graphicData>
            </a:graphic>
          </wp:anchor>
        </w:drawing>
      </w:r>
    </w:p>
    <w:p w14:paraId="2292509E" w14:textId="77777777" w:rsidR="00796701" w:rsidRDefault="00796701" w:rsidP="00B8709D">
      <w:pPr>
        <w:pStyle w:val="NormalWeb"/>
        <w:spacing w:before="0" w:beforeAutospacing="0" w:after="240" w:afterAutospacing="0" w:line="340" w:lineRule="exact"/>
        <w:rPr>
          <w:rFonts w:ascii="Palatino Linotype" w:eastAsia="Calibri" w:hAnsi="Palatino Linotype"/>
          <w:sz w:val="19"/>
          <w:szCs w:val="19"/>
        </w:rPr>
      </w:pPr>
    </w:p>
    <w:p w14:paraId="2292509F"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0" w14:textId="3526E383" w:rsidR="00CA3658" w:rsidRDefault="00566A03" w:rsidP="00B8709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noProof/>
          <w:sz w:val="19"/>
          <w:szCs w:val="19"/>
        </w:rPr>
        <w:lastRenderedPageBreak/>
        <mc:AlternateContent>
          <mc:Choice Requires="wps">
            <w:drawing>
              <wp:anchor distT="0" distB="0" distL="114300" distR="114300" simplePos="0" relativeHeight="251685888" behindDoc="0" locked="0" layoutInCell="1" allowOverlap="1" wp14:anchorId="229250E4" wp14:editId="02C0AFDA">
                <wp:simplePos x="0" y="0"/>
                <wp:positionH relativeFrom="column">
                  <wp:posOffset>946150</wp:posOffset>
                </wp:positionH>
                <wp:positionV relativeFrom="paragraph">
                  <wp:posOffset>419735</wp:posOffset>
                </wp:positionV>
                <wp:extent cx="1971675" cy="257175"/>
                <wp:effectExtent l="4445" t="381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510B" w14:textId="77777777" w:rsidR="00757F21" w:rsidRPr="006D169C" w:rsidRDefault="00757F21">
                            <w:pPr>
                              <w:rPr>
                                <w:rFonts w:ascii="Palatino Linotype" w:hAnsi="Palatino Linotype"/>
                                <w:color w:val="FFFFFF" w:themeColor="background1"/>
                                <w:sz w:val="18"/>
                              </w:rPr>
                            </w:pPr>
                            <w:r w:rsidRPr="006D169C">
                              <w:rPr>
                                <w:rFonts w:ascii="Palatino Linotype" w:hAnsi="Palatino Linotype"/>
                                <w:color w:val="FFFFFF" w:themeColor="background1"/>
                                <w:sz w:val="18"/>
                              </w:rPr>
                              <w:t>Agricultural liming in 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50E4" id="Text Box 20" o:spid="_x0000_s1032" type="#_x0000_t202" style="position:absolute;margin-left:74.5pt;margin-top:33.05pt;width:155.2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" filled="f" stroked="f">
                <v:textbox>
                  <w:txbxContent>
                    <w:p w14:paraId="2292510B" w14:textId="77777777" w:rsidR="00757F21" w:rsidRPr="006D169C" w:rsidRDefault="00757F21">
                      <w:pPr>
                        <w:rPr>
                          <w:rFonts w:ascii="Palatino Linotype" w:hAnsi="Palatino Linotype"/>
                          <w:color w:val="FFFFFF" w:themeColor="background1"/>
                          <w:sz w:val="18"/>
                        </w:rPr>
                      </w:pPr>
                      <w:r w:rsidRPr="006D169C">
                        <w:rPr>
                          <w:rFonts w:ascii="Palatino Linotype" w:hAnsi="Palatino Linotype"/>
                          <w:color w:val="FFFFFF" w:themeColor="background1"/>
                          <w:sz w:val="18"/>
                        </w:rPr>
                        <w:t>Agricultural liming in WA</w:t>
                      </w:r>
                    </w:p>
                  </w:txbxContent>
                </v:textbox>
              </v:shape>
            </w:pict>
          </mc:Fallback>
        </mc:AlternateContent>
      </w:r>
    </w:p>
    <w:p w14:paraId="229250A1" w14:textId="345A2823" w:rsidR="005E4E6C" w:rsidRDefault="00566A03" w:rsidP="00B8709D">
      <w:pPr>
        <w:pStyle w:val="NormalWeb"/>
        <w:spacing w:before="0" w:beforeAutospacing="0" w:after="240" w:afterAutospacing="0" w:line="340" w:lineRule="exact"/>
        <w:rPr>
          <w:rFonts w:ascii="Palatino Linotype" w:eastAsia="Calibri" w:hAnsi="Palatino Linotype"/>
          <w:sz w:val="19"/>
          <w:szCs w:val="19"/>
        </w:rPr>
      </w:pPr>
      <w:r>
        <w:rPr>
          <w:rFonts w:ascii="Palatino Linotype" w:eastAsia="Calibri" w:hAnsi="Palatino Linotype"/>
          <w:noProof/>
          <w:sz w:val="19"/>
          <w:szCs w:val="19"/>
        </w:rPr>
        <mc:AlternateContent>
          <mc:Choice Requires="wps">
            <w:drawing>
              <wp:anchor distT="0" distB="0" distL="114300" distR="114300" simplePos="0" relativeHeight="251666432" behindDoc="0" locked="0" layoutInCell="1" allowOverlap="1" wp14:anchorId="229250E5" wp14:editId="185B05D4">
                <wp:simplePos x="0" y="0"/>
                <wp:positionH relativeFrom="column">
                  <wp:posOffset>-219158</wp:posOffset>
                </wp:positionH>
                <wp:positionV relativeFrom="paragraph">
                  <wp:posOffset>248478</wp:posOffset>
                </wp:positionV>
                <wp:extent cx="6628130" cy="9819861"/>
                <wp:effectExtent l="0" t="0" r="1270" b="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8130" cy="9819861"/>
                        </a:xfrm>
                        <a:prstGeom prst="roundRect">
                          <a:avLst>
                            <a:gd name="adj" fmla="val 16667"/>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92510C" w14:textId="77777777" w:rsidR="00757F21" w:rsidRPr="001A6BD6" w:rsidRDefault="00757F21" w:rsidP="001B5A87">
                            <w:pPr>
                              <w:jc w:val="center"/>
                              <w:rPr>
                                <w:rFonts w:ascii="Palatino Linotype" w:hAnsi="Palatino Linotype"/>
                                <w:b/>
                                <w:color w:val="FFFFFF" w:themeColor="background1"/>
                                <w:sz w:val="28"/>
                                <w:szCs w:val="28"/>
                                <w:lang w:eastAsia="en-AU"/>
                              </w:rPr>
                            </w:pPr>
                            <w:r w:rsidRPr="001A6BD6">
                              <w:rPr>
                                <w:rFonts w:ascii="Palatino Linotype" w:hAnsi="Palatino Linotype"/>
                                <w:b/>
                                <w:color w:val="FFFFFF" w:themeColor="background1"/>
                                <w:sz w:val="28"/>
                                <w:szCs w:val="28"/>
                                <w:lang w:eastAsia="en-AU"/>
                              </w:rPr>
                              <w:t>     Case study results – Riparian management in the cotton industry</w:t>
                            </w:r>
                          </w:p>
                          <w:p w14:paraId="2292510D" w14:textId="77777777" w:rsidR="00757F21" w:rsidRPr="00EB6B8D"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The cotton industry is an integral part of the Australian economy, worth more than $2 billion annually in export earnings. The major cotton growing areas of QLD and NSW were examined, which are typically located in floodplain areas associated with major river systems and their tributaries. Livestock are often grazed in areas not suitable for cropping, including riparian zones. Local experts identified riparian management as a key sustainable agricultural practice within the industry.</w:t>
                            </w:r>
                          </w:p>
                          <w:p w14:paraId="2292510E" w14:textId="77777777" w:rsidR="00757F21"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Significant Australian Government and state government funding has been provided to support riparian management activities in the industry. Riparian management involves stock proof fencing to reduce grazing pressure and provision of off-stream watering, which may include crash grazing to control weeds or provide drought fodder. Since 1998, investment in Landcare specifically has sped up adoption of riparian management activities and increased overall uptake by 40% (km of fencing). Landcare has provided funding, encouraged collaboration between farmers to provide landscape scale changes, built capacity to implement change and increased awareness of the value of riparian vegetation.</w:t>
                            </w:r>
                          </w:p>
                          <w:p w14:paraId="2292510F" w14:textId="77777777" w:rsidR="00757F21"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Landholders have demonstrated strong environmental stewardship by contributing to upfront and maintenance costs associated with fencing, watering and in some cases reduced cropping areas. Numerous on-farm and off-farm flow on benefits, all of economic value, arise from riparian management in the cotton industry:</w:t>
                            </w:r>
                          </w:p>
                          <w:p w14:paraId="22925110"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Reduced river bank erosion and loss of land</w:t>
                            </w:r>
                          </w:p>
                          <w:p w14:paraId="22925111"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 Increased sediment trapping and improved water quality, including for stock and human use</w:t>
                            </w:r>
                          </w:p>
                          <w:p w14:paraId="22925112"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Increased recreational fishing and tourism resulting from improved river condition</w:t>
                            </w:r>
                          </w:p>
                          <w:p w14:paraId="22925113"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Increased habitat and corridors for supporting biodiversity, including beneficial predators and insects</w:t>
                            </w:r>
                          </w:p>
                          <w:p w14:paraId="22925114"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Reduced flood and storm damage</w:t>
                            </w:r>
                          </w:p>
                          <w:p w14:paraId="22925115" w14:textId="77777777" w:rsidR="00757F21" w:rsidRPr="00B77775"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Improved social licence to farm</w:t>
                            </w:r>
                          </w:p>
                          <w:p w14:paraId="22925116" w14:textId="77777777" w:rsidR="00757F21" w:rsidRPr="001A6BD6" w:rsidRDefault="00757F21" w:rsidP="001B5A87">
                            <w:pPr>
                              <w:rPr>
                                <w:rFonts w:ascii="Palatino Linotype" w:hAnsi="Palatino Linotype"/>
                                <w:b/>
                                <w:color w:val="FFFFFF" w:themeColor="background1"/>
                                <w:sz w:val="28"/>
                                <w:szCs w:val="28"/>
                                <w:lang w:eastAsia="en-AU"/>
                              </w:rPr>
                            </w:pPr>
                            <w:r>
                              <w:rPr>
                                <w:rFonts w:ascii="Palatino Linotype" w:hAnsi="Palatino Linotype"/>
                                <w:color w:val="FFFFFF" w:themeColor="background1"/>
                                <w:sz w:val="19"/>
                                <w:szCs w:val="19"/>
                              </w:rPr>
                              <w:t>Fencing and watering equipment suppliers and contractors have also directly benefited from increased sales. Approximately $1.5 million profit (assuming a 30% profit margin) can be attributed to Landcare interventions.</w:t>
                            </w:r>
                          </w:p>
                          <w:p w14:paraId="22925117" w14:textId="59C79BE1" w:rsidR="00757F21" w:rsidRPr="00F439CC" w:rsidRDefault="00AB0B8E" w:rsidP="00AB0B8E">
                            <w:pPr>
                              <w:ind w:right="-187"/>
                              <w:jc w:val="center"/>
                              <w:rPr>
                                <w:rFonts w:ascii="Palatino Linotype" w:hAnsi="Palatino Linotype"/>
                                <w:color w:val="FFFFFF" w:themeColor="background1"/>
                                <w:sz w:val="19"/>
                                <w:szCs w:val="19"/>
                              </w:rPr>
                            </w:pPr>
                            <w:r w:rsidRPr="00C4291A">
                              <w:rPr>
                                <w:rFonts w:ascii="Palatino Linotype" w:hAnsi="Palatino Linotype"/>
                                <w:noProof/>
                                <w:color w:val="FFFFFF" w:themeColor="background1"/>
                                <w:sz w:val="19"/>
                                <w:szCs w:val="19"/>
                                <w:lang w:eastAsia="en-AU"/>
                              </w:rPr>
                              <w:drawing>
                                <wp:inline distT="0" distB="0" distL="0" distR="0" wp14:anchorId="59B3EB11" wp14:editId="60BE3ABE">
                                  <wp:extent cx="4993420" cy="3098800"/>
                                  <wp:effectExtent l="0" t="0" r="0" b="0"/>
                                  <wp:docPr id="5" name="Picture 5" descr="C:\Users\a20550\AppData\Local\Microsoft\Windows\Temporary Internet Files\Content.Outlook\RR13ZTHI\BIO496 0116_Economic impacts infographic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20550\AppData\Local\Microsoft\Windows\Temporary Internet Files\Content.Outlook\RR13ZTHI\BIO496 0116_Economic impacts infographics_V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8680" cy="311447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250E5" id="AutoShape 9" o:spid="_x0000_s1033" style="position:absolute;margin-left:-17.25pt;margin-top:19.55pt;width:521.9pt;height:77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" fillcolor="#365f91 [2404]" stroked="f">
                <v:textbox>
                  <w:txbxContent>
                    <w:p w14:paraId="2292510C" w14:textId="77777777" w:rsidR="00757F21" w:rsidRPr="001A6BD6" w:rsidRDefault="00757F21" w:rsidP="001B5A87">
                      <w:pPr>
                        <w:jc w:val="center"/>
                        <w:rPr>
                          <w:rFonts w:ascii="Palatino Linotype" w:hAnsi="Palatino Linotype"/>
                          <w:b/>
                          <w:color w:val="FFFFFF" w:themeColor="background1"/>
                          <w:sz w:val="28"/>
                          <w:szCs w:val="28"/>
                          <w:lang w:eastAsia="en-AU"/>
                        </w:rPr>
                      </w:pPr>
                      <w:r w:rsidRPr="001A6BD6">
                        <w:rPr>
                          <w:rFonts w:ascii="Palatino Linotype" w:hAnsi="Palatino Linotype"/>
                          <w:b/>
                          <w:color w:val="FFFFFF" w:themeColor="background1"/>
                          <w:sz w:val="28"/>
                          <w:szCs w:val="28"/>
                          <w:lang w:eastAsia="en-AU"/>
                        </w:rPr>
                        <w:t>     Case study results – Riparian management in the cotton industry</w:t>
                      </w:r>
                    </w:p>
                    <w:p w14:paraId="2292510D" w14:textId="77777777" w:rsidR="00757F21" w:rsidRPr="00EB6B8D"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The cotton industry is an integral part of the Australian economy, worth more than $2 billion annually in export earnings. The major cotton growing areas of QLD and NSW were examined, which are typically located in floodplain areas associated with major river systems and their tributaries. Livestock are often grazed in areas not suitable for cropping, including riparian zones. Local experts identified riparian management as a key sustainable agricultural practice within the industry.</w:t>
                      </w:r>
                    </w:p>
                    <w:p w14:paraId="2292510E" w14:textId="77777777" w:rsidR="00757F21"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Significant Australian Government and state government funding has been provided to support riparian management activities in the industry. Riparian management involves stock proof fencing to reduce grazing pressure and provision of off-stream watering, which may include crash grazing to control weeds or provide drought fodder. Since 1998, investment in Landcare specifically has sped up adoption of riparian management activities and increased overall uptake by 40% (km of fencing). Landcare has provided funding, encouraged collaboration between farmers to provide landscape scale changes, built capacity to implement change and increased awareness of the value of riparian vegetation.</w:t>
                      </w:r>
                    </w:p>
                    <w:p w14:paraId="2292510F" w14:textId="77777777" w:rsidR="00757F21" w:rsidRDefault="00757F21" w:rsidP="001B5A87">
                      <w:pPr>
                        <w:ind w:right="-187"/>
                        <w:rPr>
                          <w:rFonts w:ascii="Palatino Linotype" w:hAnsi="Palatino Linotype"/>
                          <w:color w:val="FFFFFF" w:themeColor="background1"/>
                          <w:sz w:val="19"/>
                          <w:szCs w:val="19"/>
                        </w:rPr>
                      </w:pPr>
                      <w:r>
                        <w:rPr>
                          <w:rFonts w:ascii="Palatino Linotype" w:hAnsi="Palatino Linotype"/>
                          <w:color w:val="FFFFFF" w:themeColor="background1"/>
                          <w:sz w:val="19"/>
                          <w:szCs w:val="19"/>
                        </w:rPr>
                        <w:t>Landholders have demonstrated strong environmental stewardship by contributing to upfront and maintenance costs associated with fencing, watering and in some cases reduced cropping areas. Numerous on-farm and off-farm flow on benefits, all of economic value, arise from riparian management in the cotton industry:</w:t>
                      </w:r>
                    </w:p>
                    <w:p w14:paraId="22925110"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Reduced river bank erosion and loss of land</w:t>
                      </w:r>
                    </w:p>
                    <w:p w14:paraId="22925111"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 xml:space="preserve"> Increased sediment trapping and improved water quality, including for stock and human use</w:t>
                      </w:r>
                    </w:p>
                    <w:p w14:paraId="22925112"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Increased recreational fishing and tourism resulting from improved river condition</w:t>
                      </w:r>
                    </w:p>
                    <w:p w14:paraId="22925113"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Increased habitat and corridors for supporting biodiversity, including beneficial predators and insects</w:t>
                      </w:r>
                    </w:p>
                    <w:p w14:paraId="22925114" w14:textId="77777777" w:rsidR="00757F21"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Reduced flood and storm damage</w:t>
                      </w:r>
                    </w:p>
                    <w:p w14:paraId="22925115" w14:textId="77777777" w:rsidR="00757F21" w:rsidRPr="00B77775" w:rsidRDefault="00757F21" w:rsidP="001B5A87">
                      <w:pPr>
                        <w:pStyle w:val="ListParagraph"/>
                        <w:numPr>
                          <w:ilvl w:val="0"/>
                          <w:numId w:val="18"/>
                        </w:numPr>
                        <w:spacing w:after="120"/>
                        <w:ind w:left="714" w:hanging="357"/>
                        <w:rPr>
                          <w:rFonts w:ascii="Palatino Linotype" w:hAnsi="Palatino Linotype"/>
                          <w:color w:val="FFFFFF" w:themeColor="background1"/>
                          <w:sz w:val="19"/>
                          <w:szCs w:val="19"/>
                        </w:rPr>
                      </w:pPr>
                      <w:r>
                        <w:rPr>
                          <w:rFonts w:ascii="Palatino Linotype" w:hAnsi="Palatino Linotype"/>
                          <w:color w:val="FFFFFF" w:themeColor="background1"/>
                          <w:sz w:val="19"/>
                          <w:szCs w:val="19"/>
                        </w:rPr>
                        <w:t>Improved social licence to farm</w:t>
                      </w:r>
                    </w:p>
                    <w:p w14:paraId="22925116" w14:textId="77777777" w:rsidR="00757F21" w:rsidRPr="001A6BD6" w:rsidRDefault="00757F21" w:rsidP="001B5A87">
                      <w:pPr>
                        <w:rPr>
                          <w:rFonts w:ascii="Palatino Linotype" w:hAnsi="Palatino Linotype"/>
                          <w:b/>
                          <w:color w:val="FFFFFF" w:themeColor="background1"/>
                          <w:sz w:val="28"/>
                          <w:szCs w:val="28"/>
                          <w:lang w:eastAsia="en-AU"/>
                        </w:rPr>
                      </w:pPr>
                      <w:r>
                        <w:rPr>
                          <w:rFonts w:ascii="Palatino Linotype" w:hAnsi="Palatino Linotype"/>
                          <w:color w:val="FFFFFF" w:themeColor="background1"/>
                          <w:sz w:val="19"/>
                          <w:szCs w:val="19"/>
                        </w:rPr>
                        <w:t>Fencing and watering equipment suppliers and contractors have also directly benefited from increased sales. Approximately $1.5 million profit (assuming a 30% profit margin) can be attributed to Landcare interventions.</w:t>
                      </w:r>
                    </w:p>
                    <w:p w14:paraId="22925117" w14:textId="59C79BE1" w:rsidR="00757F21" w:rsidRPr="00F439CC" w:rsidRDefault="00AB0B8E" w:rsidP="00AB0B8E">
                      <w:pPr>
                        <w:ind w:right="-187"/>
                        <w:jc w:val="center"/>
                        <w:rPr>
                          <w:rFonts w:ascii="Palatino Linotype" w:hAnsi="Palatino Linotype"/>
                          <w:color w:val="FFFFFF" w:themeColor="background1"/>
                          <w:sz w:val="19"/>
                          <w:szCs w:val="19"/>
                        </w:rPr>
                      </w:pPr>
                      <w:r w:rsidRPr="00C4291A">
                        <w:rPr>
                          <w:rFonts w:ascii="Palatino Linotype" w:hAnsi="Palatino Linotype"/>
                          <w:noProof/>
                          <w:color w:val="FFFFFF" w:themeColor="background1"/>
                          <w:sz w:val="19"/>
                          <w:szCs w:val="19"/>
                          <w:lang w:eastAsia="en-AU"/>
                        </w:rPr>
                        <w:drawing>
                          <wp:inline distT="0" distB="0" distL="0" distR="0" wp14:anchorId="59B3EB11" wp14:editId="60BE3ABE">
                            <wp:extent cx="4993420" cy="3098800"/>
                            <wp:effectExtent l="0" t="0" r="0" b="0"/>
                            <wp:docPr id="5" name="Picture 5" descr="C:\Users\a20550\AppData\Local\Microsoft\Windows\Temporary Internet Files\Content.Outlook\RR13ZTHI\BIO496 0116_Economic impacts infographics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20550\AppData\Local\Microsoft\Windows\Temporary Internet Files\Content.Outlook\RR13ZTHI\BIO496 0116_Economic impacts infographics_V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680" cy="3114476"/>
                                    </a:xfrm>
                                    <a:prstGeom prst="rect">
                                      <a:avLst/>
                                    </a:prstGeom>
                                    <a:noFill/>
                                    <a:ln>
                                      <a:noFill/>
                                    </a:ln>
                                  </pic:spPr>
                                </pic:pic>
                              </a:graphicData>
                            </a:graphic>
                          </wp:inline>
                        </w:drawing>
                      </w:r>
                    </w:p>
                  </w:txbxContent>
                </v:textbox>
              </v:roundrect>
            </w:pict>
          </mc:Fallback>
        </mc:AlternateContent>
      </w:r>
    </w:p>
    <w:p w14:paraId="229250A2"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3"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4"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5"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6"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7"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8"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9"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A"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B"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C"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D"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E"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AF"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0"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1"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2"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3"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4"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5"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6"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7"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8" w14:textId="4B8CF970"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9"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A"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B"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C"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D"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E"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BF"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0"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1"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2"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3"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4"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5"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6"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7"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8"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9"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A"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B"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C"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D"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E"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CF"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0"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1"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2"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3"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4" w14:textId="77777777" w:rsidR="00CA3658" w:rsidRDefault="00CA3658" w:rsidP="00B8709D">
      <w:pPr>
        <w:pStyle w:val="NormalWeb"/>
        <w:spacing w:before="0" w:beforeAutospacing="0" w:after="240" w:afterAutospacing="0" w:line="340" w:lineRule="exact"/>
        <w:rPr>
          <w:rFonts w:ascii="Palatino Linotype" w:eastAsia="Calibri" w:hAnsi="Palatino Linotype"/>
          <w:sz w:val="19"/>
          <w:szCs w:val="19"/>
        </w:rPr>
      </w:pPr>
    </w:p>
    <w:p w14:paraId="229250D5" w14:textId="77777777" w:rsidR="00C94EBF" w:rsidRDefault="00C94EBF" w:rsidP="00B8709D">
      <w:pPr>
        <w:pStyle w:val="NormalWeb"/>
        <w:spacing w:before="0" w:beforeAutospacing="0" w:after="240" w:afterAutospacing="0" w:line="340" w:lineRule="exact"/>
        <w:rPr>
          <w:rFonts w:ascii="Palatino Linotype" w:eastAsia="Calibri" w:hAnsi="Palatino Linotype"/>
          <w:sz w:val="19"/>
          <w:szCs w:val="19"/>
        </w:rPr>
      </w:pPr>
    </w:p>
    <w:p w14:paraId="229250D7" w14:textId="76FB4BA9" w:rsidR="001A05BB" w:rsidRPr="00C51787" w:rsidRDefault="001A05BB" w:rsidP="00181D96">
      <w:pPr>
        <w:pStyle w:val="NormalWeb"/>
        <w:spacing w:before="0" w:beforeAutospacing="0" w:after="240" w:afterAutospacing="0" w:line="340" w:lineRule="exact"/>
        <w:rPr>
          <w:rFonts w:ascii="Palatino Linotype" w:eastAsia="Calibri" w:hAnsi="Palatino Linotype"/>
          <w:sz w:val="19"/>
          <w:szCs w:val="19"/>
        </w:rPr>
        <w:sectPr w:rsidR="001A05BB" w:rsidRPr="00C51787" w:rsidSect="00480E1C">
          <w:type w:val="continuous"/>
          <w:pgSz w:w="11906" w:h="16838"/>
          <w:pgMar w:top="-360" w:right="991" w:bottom="720" w:left="1134" w:header="425" w:footer="425" w:gutter="0"/>
          <w:pgNumType w:start="1"/>
          <w:cols w:num="2" w:space="286"/>
          <w:titlePg/>
          <w:docGrid w:linePitch="360"/>
        </w:sectPr>
      </w:pPr>
      <w:bookmarkStart w:id="0" w:name="_GoBack"/>
      <w:bookmarkEnd w:id="0"/>
    </w:p>
    <w:p w14:paraId="229250D8" w14:textId="43071341" w:rsidR="00EE7334" w:rsidRDefault="00566A03">
      <w:pPr>
        <w:tabs>
          <w:tab w:val="left" w:pos="1440"/>
        </w:tabs>
      </w:pPr>
      <w:r>
        <w:rPr>
          <w:rFonts w:ascii="Palatino Linotype" w:hAnsi="Palatino Linotype"/>
          <w:noProof/>
          <w:sz w:val="19"/>
          <w:szCs w:val="19"/>
          <w:lang w:eastAsia="en-AU"/>
        </w:rPr>
        <w:lastRenderedPageBreak/>
        <mc:AlternateContent>
          <mc:Choice Requires="wps">
            <w:drawing>
              <wp:anchor distT="0" distB="0" distL="114300" distR="114300" simplePos="0" relativeHeight="251688960" behindDoc="0" locked="0" layoutInCell="1" allowOverlap="1" wp14:anchorId="229250E8" wp14:editId="715773EC">
                <wp:simplePos x="0" y="0"/>
                <wp:positionH relativeFrom="column">
                  <wp:posOffset>-421640</wp:posOffset>
                </wp:positionH>
                <wp:positionV relativeFrom="paragraph">
                  <wp:posOffset>6781800</wp:posOffset>
                </wp:positionV>
                <wp:extent cx="6529705" cy="2509520"/>
                <wp:effectExtent l="2540" t="0" r="1905" b="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705" cy="2509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25119" w14:textId="77777777" w:rsidR="00757F21" w:rsidRPr="00604246" w:rsidRDefault="00757F21" w:rsidP="009863B3">
                            <w:pPr>
                              <w:pStyle w:val="NormalWeb"/>
                              <w:spacing w:before="0" w:beforeAutospacing="0" w:after="120" w:afterAutospacing="0"/>
                              <w:rPr>
                                <w:rFonts w:ascii="Palatino Linotype" w:eastAsia="Calibri" w:hAnsi="Palatino Linotype"/>
                                <w:sz w:val="18"/>
                                <w:szCs w:val="18"/>
                              </w:rPr>
                            </w:pPr>
                            <w:r w:rsidRPr="001C74D2">
                              <w:rPr>
                                <w:rFonts w:ascii="Palatino Linotype" w:eastAsia="Calibri" w:hAnsi="Palatino Linotype"/>
                                <w:b/>
                                <w:sz w:val="18"/>
                                <w:szCs w:val="18"/>
                                <w:vertAlign w:val="superscript"/>
                              </w:rPr>
                              <w:t>1</w:t>
                            </w:r>
                            <w:r>
                              <w:rPr>
                                <w:rFonts w:ascii="Palatino Linotype" w:eastAsia="Calibri" w:hAnsi="Palatino Linotype"/>
                                <w:sz w:val="18"/>
                                <w:szCs w:val="18"/>
                              </w:rPr>
                              <w:t xml:space="preserve"> </w:t>
                            </w:r>
                            <w:hyperlink r:id="rId20" w:history="1">
                              <w:r w:rsidRPr="008F18E9">
                                <w:rPr>
                                  <w:rStyle w:val="Hyperlink"/>
                                  <w:rFonts w:ascii="Palatino Linotype" w:eastAsia="Calibri" w:hAnsi="Palatino Linotype"/>
                                  <w:sz w:val="18"/>
                                  <w:szCs w:val="18"/>
                                </w:rPr>
                                <w:t>www.nrm.gov.au/national-landcare-programme</w:t>
                              </w:r>
                            </w:hyperlink>
                            <w:r>
                              <w:rPr>
                                <w:rFonts w:ascii="Palatino Linotype" w:eastAsia="Calibri" w:hAnsi="Palatino Linotype"/>
                                <w:sz w:val="18"/>
                                <w:szCs w:val="18"/>
                              </w:rPr>
                              <w:t xml:space="preserve">   </w:t>
                            </w:r>
                          </w:p>
                          <w:p w14:paraId="2292511A" w14:textId="77777777" w:rsidR="00757F21" w:rsidRDefault="00757F21" w:rsidP="009863B3">
                            <w:pPr>
                              <w:pStyle w:val="NormalWeb"/>
                              <w:spacing w:before="0" w:beforeAutospacing="0" w:after="120" w:afterAutospacing="0"/>
                              <w:rPr>
                                <w:rFonts w:ascii="Palatino Linotype" w:eastAsia="Calibri" w:hAnsi="Palatino Linotype"/>
                                <w:sz w:val="18"/>
                                <w:szCs w:val="18"/>
                                <w:highlight w:val="lightGray"/>
                              </w:rPr>
                            </w:pPr>
                            <w:r w:rsidRPr="001C74D2">
                              <w:rPr>
                                <w:rFonts w:ascii="Palatino Linotype" w:eastAsia="Calibri" w:hAnsi="Palatino Linotype"/>
                                <w:b/>
                                <w:sz w:val="18"/>
                                <w:szCs w:val="18"/>
                                <w:vertAlign w:val="superscript"/>
                              </w:rPr>
                              <w:t>2</w:t>
                            </w:r>
                            <w:r w:rsidRPr="00604246">
                              <w:rPr>
                                <w:rFonts w:ascii="Palatino Linotype" w:eastAsia="Calibri" w:hAnsi="Palatino Linotype"/>
                                <w:sz w:val="18"/>
                                <w:szCs w:val="18"/>
                              </w:rPr>
                              <w:t xml:space="preserve">Monitoring, evaluation, reporting and improvement tool (MERIT) </w:t>
                            </w:r>
                            <w:hyperlink r:id="rId21" w:history="1">
                              <w:r w:rsidRPr="008F18E9">
                                <w:rPr>
                                  <w:rStyle w:val="Hyperlink"/>
                                  <w:rFonts w:ascii="Palatino Linotype" w:eastAsia="Calibri" w:hAnsi="Palatino Linotype"/>
                                  <w:sz w:val="18"/>
                                  <w:szCs w:val="18"/>
                                </w:rPr>
                                <w:t>www.nrm.gov.au/my-project/monitoring-and-reporting-plan/merit</w:t>
                              </w:r>
                            </w:hyperlink>
                            <w:r>
                              <w:rPr>
                                <w:rFonts w:ascii="Palatino Linotype" w:eastAsia="Calibri" w:hAnsi="Palatino Linotype"/>
                                <w:sz w:val="18"/>
                                <w:szCs w:val="18"/>
                              </w:rPr>
                              <w:t xml:space="preserve"> </w:t>
                            </w:r>
                          </w:p>
                          <w:p w14:paraId="2292511B" w14:textId="77777777" w:rsidR="00757F21" w:rsidRDefault="00757F21" w:rsidP="009863B3">
                            <w:pPr>
                              <w:pStyle w:val="Pa7"/>
                              <w:spacing w:before="80" w:after="120"/>
                              <w:rPr>
                                <w:rFonts w:ascii="Palatino Linotype" w:hAnsi="Palatino Linotype" w:cs="Adobe Garamond Pro Bold"/>
                                <w:b/>
                                <w:bCs/>
                                <w:color w:val="000000"/>
                                <w:sz w:val="18"/>
                                <w:szCs w:val="18"/>
                              </w:rPr>
                            </w:pPr>
                          </w:p>
                          <w:p w14:paraId="2292511C" w14:textId="77777777" w:rsidR="00757F21" w:rsidRPr="00114F5C" w:rsidRDefault="00757F21" w:rsidP="009863B3">
                            <w:pPr>
                              <w:pStyle w:val="Pa7"/>
                              <w:spacing w:before="80" w:after="120"/>
                              <w:rPr>
                                <w:rFonts w:ascii="Palatino Linotype" w:hAnsi="Palatino Linotype" w:cs="Adobe Garamond Pro Bold"/>
                                <w:b/>
                                <w:bCs/>
                                <w:color w:val="000000"/>
                                <w:sz w:val="18"/>
                                <w:szCs w:val="18"/>
                              </w:rPr>
                            </w:pPr>
                            <w:r w:rsidRPr="00114F5C">
                              <w:rPr>
                                <w:rFonts w:ascii="Palatino Linotype" w:hAnsi="Palatino Linotype" w:cs="Adobe Garamond Pro Bold"/>
                                <w:b/>
                                <w:bCs/>
                                <w:color w:val="000000"/>
                                <w:sz w:val="18"/>
                                <w:szCs w:val="18"/>
                              </w:rPr>
                              <w:t>© Commonwealth of Australia, 201</w:t>
                            </w:r>
                            <w:r>
                              <w:rPr>
                                <w:rFonts w:ascii="Palatino Linotype" w:hAnsi="Palatino Linotype" w:cs="Adobe Garamond Pro Bold"/>
                                <w:b/>
                                <w:bCs/>
                                <w:color w:val="000000"/>
                                <w:sz w:val="18"/>
                                <w:szCs w:val="18"/>
                              </w:rPr>
                              <w:t>6</w:t>
                            </w:r>
                            <w:r w:rsidRPr="00114F5C">
                              <w:rPr>
                                <w:rFonts w:ascii="Palatino Linotype" w:hAnsi="Palatino Linotype" w:cs="Adobe Garamond Pro Bold"/>
                                <w:b/>
                                <w:bCs/>
                                <w:color w:val="000000"/>
                                <w:sz w:val="18"/>
                                <w:szCs w:val="18"/>
                              </w:rPr>
                              <w:t xml:space="preserve">. </w:t>
                            </w:r>
                          </w:p>
                          <w:p w14:paraId="2292511D" w14:textId="77777777" w:rsidR="00757F21" w:rsidRPr="00E853F2" w:rsidRDefault="00757F21" w:rsidP="009863B3">
                            <w:pPr>
                              <w:pStyle w:val="Default"/>
                            </w:pPr>
                            <w:r>
                              <w:rPr>
                                <w:noProof/>
                                <w:color w:val="98C807"/>
                              </w:rPr>
                              <w:drawing>
                                <wp:inline distT="0" distB="0" distL="0" distR="0" wp14:anchorId="2292512B" wp14:editId="2292512C">
                                  <wp:extent cx="838200" cy="297180"/>
                                  <wp:effectExtent l="19050" t="0" r="0" b="0"/>
                                  <wp:docPr id="12" name="Picture 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2"/>
                                          </pic:cNvPr>
                                          <pic:cNvPicPr>
                                            <a:picLocks noChangeAspect="1" noChangeArrowheads="1"/>
                                          </pic:cNvPicPr>
                                        </pic:nvPicPr>
                                        <pic:blipFill>
                                          <a:blip r:embed="rId23" cstate="print"/>
                                          <a:srcRect/>
                                          <a:stretch>
                                            <a:fillRect/>
                                          </a:stretch>
                                        </pic:blipFill>
                                        <pic:spPr bwMode="auto">
                                          <a:xfrm>
                                            <a:off x="0" y="0"/>
                                            <a:ext cx="838200" cy="297180"/>
                                          </a:xfrm>
                                          <a:prstGeom prst="rect">
                                            <a:avLst/>
                                          </a:prstGeom>
                                          <a:noFill/>
                                          <a:ln w="9525">
                                            <a:noFill/>
                                            <a:miter lim="800000"/>
                                            <a:headEnd/>
                                            <a:tailEnd/>
                                          </a:ln>
                                        </pic:spPr>
                                      </pic:pic>
                                    </a:graphicData>
                                  </a:graphic>
                                </wp:inline>
                              </w:drawing>
                            </w:r>
                          </w:p>
                          <w:p w14:paraId="2292511E" w14:textId="77777777" w:rsidR="00757F21" w:rsidRPr="00BE742A" w:rsidRDefault="00757F21" w:rsidP="009863B3">
                            <w:pPr>
                              <w:pStyle w:val="Pa7"/>
                              <w:spacing w:before="80"/>
                              <w:rPr>
                                <w:rFonts w:ascii="Palatino Linotype" w:hAnsi="Palatino Linotype" w:cs="Adobe Garamond Pro"/>
                                <w:color w:val="000000"/>
                                <w:sz w:val="18"/>
                                <w:szCs w:val="18"/>
                              </w:rPr>
                            </w:pPr>
                            <w:r w:rsidRPr="00114F5C">
                              <w:rPr>
                                <w:rFonts w:ascii="Palatino Linotype" w:hAnsi="Palatino Linotype" w:cs="Adobe Garamond Pro"/>
                                <w:color w:val="000000"/>
                                <w:sz w:val="18"/>
                                <w:szCs w:val="18"/>
                              </w:rPr>
                              <w:t xml:space="preserve">This </w:t>
                            </w:r>
                            <w:r>
                              <w:rPr>
                                <w:rFonts w:ascii="Palatino Linotype" w:hAnsi="Palatino Linotype" w:cs="Adobe Garamond Pro"/>
                                <w:color w:val="000000"/>
                                <w:sz w:val="18"/>
                                <w:szCs w:val="18"/>
                              </w:rPr>
                              <w:t>publication</w:t>
                            </w:r>
                            <w:r w:rsidRPr="00114F5C">
                              <w:rPr>
                                <w:rFonts w:ascii="Palatino Linotype" w:hAnsi="Palatino Linotype" w:cs="Adobe Garamond Pro"/>
                                <w:color w:val="000000"/>
                                <w:sz w:val="18"/>
                                <w:szCs w:val="18"/>
                              </w:rPr>
                              <w:t xml:space="preserve"> is licensed by Commonwealth of Australia under a Creative Commons At</w:t>
                            </w:r>
                            <w:r>
                              <w:rPr>
                                <w:rFonts w:ascii="Palatino Linotype" w:hAnsi="Palatino Linotype" w:cs="Adobe Garamond Pro"/>
                                <w:color w:val="000000"/>
                                <w:sz w:val="18"/>
                                <w:szCs w:val="18"/>
                              </w:rPr>
                              <w:t xml:space="preserve">tribution 3.0 Australia licence and should be attributed as ‘Department of the Environment, </w:t>
                            </w:r>
                            <w:r w:rsidRPr="001C74D2">
                              <w:rPr>
                                <w:rFonts w:ascii="Palatino Linotype" w:hAnsi="Palatino Linotype" w:cs="Adobe Garamond Pro"/>
                                <w:i/>
                                <w:color w:val="000000"/>
                                <w:sz w:val="18"/>
                                <w:szCs w:val="18"/>
                              </w:rPr>
                              <w:t>Assessing economic benefits of Landcare</w:t>
                            </w:r>
                            <w:r>
                              <w:rPr>
                                <w:rFonts w:ascii="Palatino Linotype" w:hAnsi="Palatino Linotype" w:cs="Adobe Garamond Pro"/>
                                <w:color w:val="000000"/>
                                <w:sz w:val="18"/>
                                <w:szCs w:val="18"/>
                              </w:rPr>
                              <w:t>, Commonwealth of Australia 2016’.</w:t>
                            </w:r>
                          </w:p>
                          <w:p w14:paraId="2292511F" w14:textId="77777777" w:rsidR="00757F21" w:rsidRPr="00C3270A" w:rsidRDefault="00757F21" w:rsidP="009863B3">
                            <w:pPr>
                              <w:pStyle w:val="Pa7"/>
                              <w:spacing w:before="80"/>
                              <w:rPr>
                                <w:rFonts w:ascii="Adobe Garamond Pro" w:hAnsi="Adobe Garamond Pro" w:cs="Adobe Garamond Pro"/>
                                <w:color w:val="000000"/>
                              </w:rPr>
                            </w:pPr>
                            <w:r w:rsidRPr="00114F5C">
                              <w:rPr>
                                <w:rFonts w:ascii="Palatino Linotype" w:hAnsi="Palatino Linotype" w:cs="Adobe Garamond Pro"/>
                                <w:color w:val="000000"/>
                                <w:sz w:val="18"/>
                                <w:szCs w:val="18"/>
                              </w:rPr>
                              <w:t>The views and opinions expressed in this publication are those of the authors and do not necessarily reflect those of the Australian Government</w:t>
                            </w:r>
                            <w:r>
                              <w:rPr>
                                <w:rFonts w:ascii="Palatino Linotype" w:hAnsi="Palatino Linotype" w:cs="Adobe Garamond Pro"/>
                                <w:color w:val="000000"/>
                                <w:sz w:val="18"/>
                                <w:szCs w:val="18"/>
                              </w:rPr>
                              <w:t>,</w:t>
                            </w:r>
                            <w:r w:rsidRPr="00114F5C">
                              <w:rPr>
                                <w:rFonts w:ascii="Palatino Linotype" w:hAnsi="Palatino Linotype" w:cs="Adobe Garamond Pro"/>
                                <w:color w:val="000000"/>
                                <w:sz w:val="18"/>
                                <w:szCs w:val="18"/>
                              </w:rPr>
                              <w:t xml:space="preserve"> the Minister for the Environment</w:t>
                            </w:r>
                            <w:r>
                              <w:rPr>
                                <w:rFonts w:ascii="Palatino Linotype" w:hAnsi="Palatino Linotype" w:cs="Adobe Garamond Pro"/>
                                <w:color w:val="000000"/>
                                <w:sz w:val="18"/>
                                <w:szCs w:val="18"/>
                              </w:rPr>
                              <w:t xml:space="preserve"> or the Minister for Agriculture</w:t>
                            </w:r>
                            <w:r w:rsidRPr="00114F5C">
                              <w:rPr>
                                <w:rFonts w:ascii="Palatino Linotype" w:hAnsi="Palatino Linotype" w:cs="Adobe Garamond Pro"/>
                                <w:color w:val="000000"/>
                                <w:sz w:val="18"/>
                                <w:szCs w:val="18"/>
                              </w:rPr>
                              <w:t>.</w:t>
                            </w:r>
                          </w:p>
                          <w:p w14:paraId="22925120" w14:textId="77777777" w:rsidR="00757F21" w:rsidRPr="00985245" w:rsidRDefault="00757F21" w:rsidP="009863B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50E8" id="Text Box 25" o:spid="_x0000_s1034" type="#_x0000_t202" style="position:absolute;margin-left:-33.2pt;margin-top:534pt;width:514.15pt;height:19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" stroked="f">
                <v:textbox>
                  <w:txbxContent>
                    <w:p w14:paraId="22925119" w14:textId="77777777" w:rsidR="00757F21" w:rsidRPr="00604246" w:rsidRDefault="00757F21" w:rsidP="009863B3">
                      <w:pPr>
                        <w:pStyle w:val="NormalWeb"/>
                        <w:spacing w:before="0" w:beforeAutospacing="0" w:after="120" w:afterAutospacing="0"/>
                        <w:rPr>
                          <w:rFonts w:ascii="Palatino Linotype" w:eastAsia="Calibri" w:hAnsi="Palatino Linotype"/>
                          <w:sz w:val="18"/>
                          <w:szCs w:val="18"/>
                        </w:rPr>
                      </w:pPr>
                      <w:r w:rsidRPr="001C74D2">
                        <w:rPr>
                          <w:rFonts w:ascii="Palatino Linotype" w:eastAsia="Calibri" w:hAnsi="Palatino Linotype"/>
                          <w:b/>
                          <w:sz w:val="18"/>
                          <w:szCs w:val="18"/>
                          <w:vertAlign w:val="superscript"/>
                        </w:rPr>
                        <w:t>1</w:t>
                      </w:r>
                      <w:r>
                        <w:rPr>
                          <w:rFonts w:ascii="Palatino Linotype" w:eastAsia="Calibri" w:hAnsi="Palatino Linotype"/>
                          <w:sz w:val="18"/>
                          <w:szCs w:val="18"/>
                        </w:rPr>
                        <w:t xml:space="preserve"> </w:t>
                      </w:r>
                      <w:hyperlink r:id="rId24" w:history="1">
                        <w:r w:rsidRPr="008F18E9">
                          <w:rPr>
                            <w:rStyle w:val="Hyperlink"/>
                            <w:rFonts w:ascii="Palatino Linotype" w:eastAsia="Calibri" w:hAnsi="Palatino Linotype"/>
                            <w:sz w:val="18"/>
                            <w:szCs w:val="18"/>
                          </w:rPr>
                          <w:t>www.nrm.gov.au/national-landcare-programme</w:t>
                        </w:r>
                      </w:hyperlink>
                      <w:r>
                        <w:rPr>
                          <w:rFonts w:ascii="Palatino Linotype" w:eastAsia="Calibri" w:hAnsi="Palatino Linotype"/>
                          <w:sz w:val="18"/>
                          <w:szCs w:val="18"/>
                        </w:rPr>
                        <w:t xml:space="preserve">   </w:t>
                      </w:r>
                    </w:p>
                    <w:p w14:paraId="2292511A" w14:textId="77777777" w:rsidR="00757F21" w:rsidRDefault="00757F21" w:rsidP="009863B3">
                      <w:pPr>
                        <w:pStyle w:val="NormalWeb"/>
                        <w:spacing w:before="0" w:beforeAutospacing="0" w:after="120" w:afterAutospacing="0"/>
                        <w:rPr>
                          <w:rFonts w:ascii="Palatino Linotype" w:eastAsia="Calibri" w:hAnsi="Palatino Linotype"/>
                          <w:sz w:val="18"/>
                          <w:szCs w:val="18"/>
                          <w:highlight w:val="lightGray"/>
                        </w:rPr>
                      </w:pPr>
                      <w:r w:rsidRPr="001C74D2">
                        <w:rPr>
                          <w:rFonts w:ascii="Palatino Linotype" w:eastAsia="Calibri" w:hAnsi="Palatino Linotype"/>
                          <w:b/>
                          <w:sz w:val="18"/>
                          <w:szCs w:val="18"/>
                          <w:vertAlign w:val="superscript"/>
                        </w:rPr>
                        <w:t>2</w:t>
                      </w:r>
                      <w:r w:rsidRPr="00604246">
                        <w:rPr>
                          <w:rFonts w:ascii="Palatino Linotype" w:eastAsia="Calibri" w:hAnsi="Palatino Linotype"/>
                          <w:sz w:val="18"/>
                          <w:szCs w:val="18"/>
                        </w:rPr>
                        <w:t xml:space="preserve">Monitoring, evaluation, reporting and improvement tool (MERIT) </w:t>
                      </w:r>
                      <w:hyperlink r:id="rId25" w:history="1">
                        <w:r w:rsidRPr="008F18E9">
                          <w:rPr>
                            <w:rStyle w:val="Hyperlink"/>
                            <w:rFonts w:ascii="Palatino Linotype" w:eastAsia="Calibri" w:hAnsi="Palatino Linotype"/>
                            <w:sz w:val="18"/>
                            <w:szCs w:val="18"/>
                          </w:rPr>
                          <w:t>www.nrm.gov.au/my-project/monitoring-and-reporting-plan/merit</w:t>
                        </w:r>
                      </w:hyperlink>
                      <w:r>
                        <w:rPr>
                          <w:rFonts w:ascii="Palatino Linotype" w:eastAsia="Calibri" w:hAnsi="Palatino Linotype"/>
                          <w:sz w:val="18"/>
                          <w:szCs w:val="18"/>
                        </w:rPr>
                        <w:t xml:space="preserve"> </w:t>
                      </w:r>
                    </w:p>
                    <w:p w14:paraId="2292511B" w14:textId="77777777" w:rsidR="00757F21" w:rsidRDefault="00757F21" w:rsidP="009863B3">
                      <w:pPr>
                        <w:pStyle w:val="Pa7"/>
                        <w:spacing w:before="80" w:after="120"/>
                        <w:rPr>
                          <w:rFonts w:ascii="Palatino Linotype" w:hAnsi="Palatino Linotype" w:cs="Adobe Garamond Pro Bold"/>
                          <w:b/>
                          <w:bCs/>
                          <w:color w:val="000000"/>
                          <w:sz w:val="18"/>
                          <w:szCs w:val="18"/>
                        </w:rPr>
                      </w:pPr>
                    </w:p>
                    <w:p w14:paraId="2292511C" w14:textId="77777777" w:rsidR="00757F21" w:rsidRPr="00114F5C" w:rsidRDefault="00757F21" w:rsidP="009863B3">
                      <w:pPr>
                        <w:pStyle w:val="Pa7"/>
                        <w:spacing w:before="80" w:after="120"/>
                        <w:rPr>
                          <w:rFonts w:ascii="Palatino Linotype" w:hAnsi="Palatino Linotype" w:cs="Adobe Garamond Pro Bold"/>
                          <w:b/>
                          <w:bCs/>
                          <w:color w:val="000000"/>
                          <w:sz w:val="18"/>
                          <w:szCs w:val="18"/>
                        </w:rPr>
                      </w:pPr>
                      <w:r w:rsidRPr="00114F5C">
                        <w:rPr>
                          <w:rFonts w:ascii="Palatino Linotype" w:hAnsi="Palatino Linotype" w:cs="Adobe Garamond Pro Bold"/>
                          <w:b/>
                          <w:bCs/>
                          <w:color w:val="000000"/>
                          <w:sz w:val="18"/>
                          <w:szCs w:val="18"/>
                        </w:rPr>
                        <w:t>© Commonwealth of Australia, 201</w:t>
                      </w:r>
                      <w:r>
                        <w:rPr>
                          <w:rFonts w:ascii="Palatino Linotype" w:hAnsi="Palatino Linotype" w:cs="Adobe Garamond Pro Bold"/>
                          <w:b/>
                          <w:bCs/>
                          <w:color w:val="000000"/>
                          <w:sz w:val="18"/>
                          <w:szCs w:val="18"/>
                        </w:rPr>
                        <w:t>6</w:t>
                      </w:r>
                      <w:r w:rsidRPr="00114F5C">
                        <w:rPr>
                          <w:rFonts w:ascii="Palatino Linotype" w:hAnsi="Palatino Linotype" w:cs="Adobe Garamond Pro Bold"/>
                          <w:b/>
                          <w:bCs/>
                          <w:color w:val="000000"/>
                          <w:sz w:val="18"/>
                          <w:szCs w:val="18"/>
                        </w:rPr>
                        <w:t xml:space="preserve">. </w:t>
                      </w:r>
                    </w:p>
                    <w:p w14:paraId="2292511D" w14:textId="77777777" w:rsidR="00757F21" w:rsidRPr="00E853F2" w:rsidRDefault="00757F21" w:rsidP="009863B3">
                      <w:pPr>
                        <w:pStyle w:val="Default"/>
                      </w:pPr>
                      <w:r>
                        <w:rPr>
                          <w:noProof/>
                          <w:color w:val="98C807"/>
                        </w:rPr>
                        <w:drawing>
                          <wp:inline distT="0" distB="0" distL="0" distR="0" wp14:anchorId="2292512B" wp14:editId="2292512C">
                            <wp:extent cx="838200" cy="297180"/>
                            <wp:effectExtent l="19050" t="0" r="0" b="0"/>
                            <wp:docPr id="12" name="Picture 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6"/>
                                    </pic:cNvPr>
                                    <pic:cNvPicPr>
                                      <a:picLocks noChangeAspect="1" noChangeArrowheads="1"/>
                                    </pic:cNvPicPr>
                                  </pic:nvPicPr>
                                  <pic:blipFill>
                                    <a:blip r:embed="rId27" cstate="print"/>
                                    <a:srcRect/>
                                    <a:stretch>
                                      <a:fillRect/>
                                    </a:stretch>
                                  </pic:blipFill>
                                  <pic:spPr bwMode="auto">
                                    <a:xfrm>
                                      <a:off x="0" y="0"/>
                                      <a:ext cx="838200" cy="297180"/>
                                    </a:xfrm>
                                    <a:prstGeom prst="rect">
                                      <a:avLst/>
                                    </a:prstGeom>
                                    <a:noFill/>
                                    <a:ln w="9525">
                                      <a:noFill/>
                                      <a:miter lim="800000"/>
                                      <a:headEnd/>
                                      <a:tailEnd/>
                                    </a:ln>
                                  </pic:spPr>
                                </pic:pic>
                              </a:graphicData>
                            </a:graphic>
                          </wp:inline>
                        </w:drawing>
                      </w:r>
                    </w:p>
                    <w:p w14:paraId="2292511E" w14:textId="77777777" w:rsidR="00757F21" w:rsidRPr="00BE742A" w:rsidRDefault="00757F21" w:rsidP="009863B3">
                      <w:pPr>
                        <w:pStyle w:val="Pa7"/>
                        <w:spacing w:before="80"/>
                        <w:rPr>
                          <w:rFonts w:ascii="Palatino Linotype" w:hAnsi="Palatino Linotype" w:cs="Adobe Garamond Pro"/>
                          <w:color w:val="000000"/>
                          <w:sz w:val="18"/>
                          <w:szCs w:val="18"/>
                        </w:rPr>
                      </w:pPr>
                      <w:r w:rsidRPr="00114F5C">
                        <w:rPr>
                          <w:rFonts w:ascii="Palatino Linotype" w:hAnsi="Palatino Linotype" w:cs="Adobe Garamond Pro"/>
                          <w:color w:val="000000"/>
                          <w:sz w:val="18"/>
                          <w:szCs w:val="18"/>
                        </w:rPr>
                        <w:t xml:space="preserve">This </w:t>
                      </w:r>
                      <w:r>
                        <w:rPr>
                          <w:rFonts w:ascii="Palatino Linotype" w:hAnsi="Palatino Linotype" w:cs="Adobe Garamond Pro"/>
                          <w:color w:val="000000"/>
                          <w:sz w:val="18"/>
                          <w:szCs w:val="18"/>
                        </w:rPr>
                        <w:t>publication</w:t>
                      </w:r>
                      <w:r w:rsidRPr="00114F5C">
                        <w:rPr>
                          <w:rFonts w:ascii="Palatino Linotype" w:hAnsi="Palatino Linotype" w:cs="Adobe Garamond Pro"/>
                          <w:color w:val="000000"/>
                          <w:sz w:val="18"/>
                          <w:szCs w:val="18"/>
                        </w:rPr>
                        <w:t xml:space="preserve"> is licensed by Commonwealth of Australia under a Creative Commons At</w:t>
                      </w:r>
                      <w:r>
                        <w:rPr>
                          <w:rFonts w:ascii="Palatino Linotype" w:hAnsi="Palatino Linotype" w:cs="Adobe Garamond Pro"/>
                          <w:color w:val="000000"/>
                          <w:sz w:val="18"/>
                          <w:szCs w:val="18"/>
                        </w:rPr>
                        <w:t xml:space="preserve">tribution 3.0 Australia licence and should be attributed as ‘Department of the Environment, </w:t>
                      </w:r>
                      <w:r w:rsidRPr="001C74D2">
                        <w:rPr>
                          <w:rFonts w:ascii="Palatino Linotype" w:hAnsi="Palatino Linotype" w:cs="Adobe Garamond Pro"/>
                          <w:i/>
                          <w:color w:val="000000"/>
                          <w:sz w:val="18"/>
                          <w:szCs w:val="18"/>
                        </w:rPr>
                        <w:t>Assessing economic benefits of Landcare</w:t>
                      </w:r>
                      <w:r>
                        <w:rPr>
                          <w:rFonts w:ascii="Palatino Linotype" w:hAnsi="Palatino Linotype" w:cs="Adobe Garamond Pro"/>
                          <w:color w:val="000000"/>
                          <w:sz w:val="18"/>
                          <w:szCs w:val="18"/>
                        </w:rPr>
                        <w:t>, Commonwealth of Australia 2016’.</w:t>
                      </w:r>
                    </w:p>
                    <w:p w14:paraId="2292511F" w14:textId="77777777" w:rsidR="00757F21" w:rsidRPr="00C3270A" w:rsidRDefault="00757F21" w:rsidP="009863B3">
                      <w:pPr>
                        <w:pStyle w:val="Pa7"/>
                        <w:spacing w:before="80"/>
                        <w:rPr>
                          <w:rFonts w:ascii="Adobe Garamond Pro" w:hAnsi="Adobe Garamond Pro" w:cs="Adobe Garamond Pro"/>
                          <w:color w:val="000000"/>
                        </w:rPr>
                      </w:pPr>
                      <w:r w:rsidRPr="00114F5C">
                        <w:rPr>
                          <w:rFonts w:ascii="Palatino Linotype" w:hAnsi="Palatino Linotype" w:cs="Adobe Garamond Pro"/>
                          <w:color w:val="000000"/>
                          <w:sz w:val="18"/>
                          <w:szCs w:val="18"/>
                        </w:rPr>
                        <w:t>The views and opinions expressed in this publication are those of the authors and do not necessarily reflect those of the Australian Government</w:t>
                      </w:r>
                      <w:r>
                        <w:rPr>
                          <w:rFonts w:ascii="Palatino Linotype" w:hAnsi="Palatino Linotype" w:cs="Adobe Garamond Pro"/>
                          <w:color w:val="000000"/>
                          <w:sz w:val="18"/>
                          <w:szCs w:val="18"/>
                        </w:rPr>
                        <w:t>,</w:t>
                      </w:r>
                      <w:r w:rsidRPr="00114F5C">
                        <w:rPr>
                          <w:rFonts w:ascii="Palatino Linotype" w:hAnsi="Palatino Linotype" w:cs="Adobe Garamond Pro"/>
                          <w:color w:val="000000"/>
                          <w:sz w:val="18"/>
                          <w:szCs w:val="18"/>
                        </w:rPr>
                        <w:t xml:space="preserve"> the Minister for the Environment</w:t>
                      </w:r>
                      <w:r>
                        <w:rPr>
                          <w:rFonts w:ascii="Palatino Linotype" w:hAnsi="Palatino Linotype" w:cs="Adobe Garamond Pro"/>
                          <w:color w:val="000000"/>
                          <w:sz w:val="18"/>
                          <w:szCs w:val="18"/>
                        </w:rPr>
                        <w:t xml:space="preserve"> or the Minister for Agriculture</w:t>
                      </w:r>
                      <w:r w:rsidRPr="00114F5C">
                        <w:rPr>
                          <w:rFonts w:ascii="Palatino Linotype" w:hAnsi="Palatino Linotype" w:cs="Adobe Garamond Pro"/>
                          <w:color w:val="000000"/>
                          <w:sz w:val="18"/>
                          <w:szCs w:val="18"/>
                        </w:rPr>
                        <w:t>.</w:t>
                      </w:r>
                    </w:p>
                    <w:p w14:paraId="22925120" w14:textId="77777777" w:rsidR="00757F21" w:rsidRPr="00985245" w:rsidRDefault="00757F21" w:rsidP="009863B3"/>
                  </w:txbxContent>
                </v:textbox>
              </v:shape>
            </w:pict>
          </mc:Fallback>
        </mc:AlternateContent>
      </w:r>
      <w:r w:rsidR="00047283">
        <w:rPr>
          <w:noProof/>
          <w:lang w:eastAsia="en-AU"/>
        </w:rPr>
        <w:drawing>
          <wp:inline distT="0" distB="0" distL="0" distR="0" wp14:anchorId="229250E9" wp14:editId="229250EA">
            <wp:extent cx="5849620" cy="302059"/>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849620" cy="302059"/>
                    </a:xfrm>
                    <a:prstGeom prst="rect">
                      <a:avLst/>
                    </a:prstGeom>
                    <a:noFill/>
                    <a:ln w="9525">
                      <a:noFill/>
                      <a:miter lim="800000"/>
                      <a:headEnd/>
                      <a:tailEnd/>
                    </a:ln>
                  </pic:spPr>
                </pic:pic>
              </a:graphicData>
            </a:graphic>
          </wp:inline>
        </w:drawing>
      </w:r>
      <w:r>
        <w:rPr>
          <w:rFonts w:ascii="Palatino Linotype" w:hAnsi="Palatino Linotype"/>
          <w:noProof/>
          <w:sz w:val="19"/>
          <w:szCs w:val="19"/>
          <w:lang w:eastAsia="en-AU"/>
        </w:rPr>
        <mc:AlternateContent>
          <mc:Choice Requires="wps">
            <w:drawing>
              <wp:anchor distT="0" distB="0" distL="114300" distR="114300" simplePos="0" relativeHeight="251687936" behindDoc="0" locked="0" layoutInCell="1" allowOverlap="1" wp14:anchorId="229250EB" wp14:editId="39AF9508">
                <wp:simplePos x="0" y="0"/>
                <wp:positionH relativeFrom="column">
                  <wp:posOffset>692150</wp:posOffset>
                </wp:positionH>
                <wp:positionV relativeFrom="paragraph">
                  <wp:posOffset>6062345</wp:posOffset>
                </wp:positionV>
                <wp:extent cx="4381500" cy="257175"/>
                <wp:effectExtent l="1905" t="0" r="0" b="0"/>
                <wp:wrapNone/>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25121" w14:textId="77777777" w:rsidR="00757F21" w:rsidRDefault="00757F21">
                            <w:pPr>
                              <w:jc w:val="center"/>
                              <w:rPr>
                                <w:rFonts w:ascii="Palatino Linotype" w:hAnsi="Palatino Linotype"/>
                                <w:sz w:val="18"/>
                              </w:rPr>
                            </w:pPr>
                            <w:r>
                              <w:rPr>
                                <w:rFonts w:ascii="Palatino Linotype" w:hAnsi="Palatino Linotype"/>
                                <w:sz w:val="18"/>
                              </w:rPr>
                              <w:t>Dairying in Gippsland. Photo credit Dairy Australia.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250EB" id="Text Box 24" o:spid="_x0000_s1035" type="#_x0000_t202" style="position:absolute;margin-left:54.5pt;margin-top:477.35pt;width:345pt;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qJS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" filled="f" stroked="f">
                <v:textbox>
                  <w:txbxContent>
                    <w:p w14:paraId="22925121" w14:textId="77777777" w:rsidR="00757F21" w:rsidRDefault="00757F21">
                      <w:pPr>
                        <w:jc w:val="center"/>
                        <w:rPr>
                          <w:rFonts w:ascii="Palatino Linotype" w:hAnsi="Palatino Linotype"/>
                          <w:sz w:val="18"/>
                        </w:rPr>
                      </w:pPr>
                      <w:r>
                        <w:rPr>
                          <w:rFonts w:ascii="Palatino Linotype" w:hAnsi="Palatino Linotype"/>
                          <w:sz w:val="18"/>
                        </w:rPr>
                        <w:t>Dairying in Gippsland. Photo credit Dairy Australia.</w:t>
                      </w:r>
                    </w:p>
                  </w:txbxContent>
                </v:textbox>
              </v:shape>
            </w:pict>
          </mc:Fallback>
        </mc:AlternateContent>
      </w:r>
      <w:r>
        <w:rPr>
          <w:rFonts w:ascii="Palatino Linotype" w:hAnsi="Palatino Linotype"/>
          <w:noProof/>
          <w:sz w:val="19"/>
          <w:szCs w:val="19"/>
          <w:lang w:eastAsia="en-AU"/>
        </w:rPr>
        <mc:AlternateContent>
          <mc:Choice Requires="wps">
            <w:drawing>
              <wp:anchor distT="0" distB="0" distL="114300" distR="114300" simplePos="0" relativeHeight="251667456" behindDoc="0" locked="0" layoutInCell="1" allowOverlap="1" wp14:anchorId="229250EC" wp14:editId="1B27A0DE">
                <wp:simplePos x="0" y="0"/>
                <wp:positionH relativeFrom="column">
                  <wp:posOffset>-421640</wp:posOffset>
                </wp:positionH>
                <wp:positionV relativeFrom="paragraph">
                  <wp:posOffset>-398145</wp:posOffset>
                </wp:positionV>
                <wp:extent cx="6627495" cy="6791960"/>
                <wp:effectExtent l="0" t="0" r="1905" b="8890"/>
                <wp:wrapNone/>
                <wp:docPr id="1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7495" cy="6791960"/>
                        </a:xfrm>
                        <a:prstGeom prst="roundRect">
                          <a:avLst>
                            <a:gd name="adj" fmla="val 16667"/>
                          </a:avLst>
                        </a:prstGeom>
                        <a:solidFill>
                          <a:srgbClr val="CFC61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925122" w14:textId="77777777" w:rsidR="00757F21" w:rsidRPr="005021B4" w:rsidRDefault="00757F21" w:rsidP="00CA3658">
                            <w:pPr>
                              <w:jc w:val="center"/>
                              <w:rPr>
                                <w:rFonts w:ascii="Palatino Linotype" w:hAnsi="Palatino Linotype"/>
                                <w:b/>
                                <w:sz w:val="28"/>
                                <w:szCs w:val="28"/>
                                <w:lang w:eastAsia="en-AU"/>
                              </w:rPr>
                            </w:pPr>
                            <w:r w:rsidRPr="005021B4">
                              <w:rPr>
                                <w:rFonts w:ascii="Palatino Linotype" w:hAnsi="Palatino Linotype"/>
                                <w:b/>
                                <w:sz w:val="28"/>
                                <w:szCs w:val="28"/>
                                <w:lang w:eastAsia="en-AU"/>
                              </w:rPr>
                              <w:t>Case study results – Nutrient and effluent management in the VIC dairy industry</w:t>
                            </w:r>
                          </w:p>
                          <w:p w14:paraId="22925123" w14:textId="77777777" w:rsidR="00757F21" w:rsidRDefault="00757F21" w:rsidP="00CA3658">
                            <w:pPr>
                              <w:rPr>
                                <w:rFonts w:ascii="Palatino Linotype" w:hAnsi="Palatino Linotype"/>
                                <w:sz w:val="19"/>
                                <w:szCs w:val="19"/>
                              </w:rPr>
                            </w:pPr>
                            <w:r>
                              <w:rPr>
                                <w:rFonts w:ascii="Palatino Linotype" w:hAnsi="Palatino Linotype"/>
                                <w:sz w:val="19"/>
                                <w:szCs w:val="19"/>
                              </w:rPr>
                              <w:t>Dairying is Australia’s third largest rural industry valued at $13 billion annually. The Gippsland dairying region was examined in this study and local experts identified nutrient and effluent management as key sustainable agricultural practices in the industry.</w:t>
                            </w:r>
                          </w:p>
                          <w:p w14:paraId="22925124" w14:textId="77777777" w:rsidR="00757F21" w:rsidRDefault="00757F21" w:rsidP="00CA3658">
                            <w:pPr>
                              <w:rPr>
                                <w:rFonts w:ascii="Palatino Linotype" w:hAnsi="Palatino Linotype"/>
                                <w:sz w:val="19"/>
                                <w:szCs w:val="19"/>
                              </w:rPr>
                            </w:pPr>
                            <w:r>
                              <w:rPr>
                                <w:rFonts w:ascii="Palatino Linotype" w:hAnsi="Palatino Linotype"/>
                                <w:sz w:val="19"/>
                                <w:szCs w:val="19"/>
                              </w:rPr>
                              <w:t>Good practice nutrient and effluent management involves containing effluent within the farm, soil testing and targeted fertiliser application, and utilisation of effluent as a fertiliser</w:t>
                            </w:r>
                            <w:r w:rsidRPr="00014C16">
                              <w:rPr>
                                <w:rFonts w:ascii="Palatino Linotype" w:hAnsi="Palatino Linotype"/>
                                <w:sz w:val="19"/>
                                <w:szCs w:val="19"/>
                              </w:rPr>
                              <w:t>. Although a number of initiatives have influenced the uptake of</w:t>
                            </w:r>
                            <w:r>
                              <w:rPr>
                                <w:rFonts w:ascii="Palatino Linotype" w:hAnsi="Palatino Linotype"/>
                                <w:color w:val="FFFFFF" w:themeColor="background1"/>
                                <w:sz w:val="19"/>
                                <w:szCs w:val="19"/>
                              </w:rPr>
                              <w:t xml:space="preserve"> </w:t>
                            </w:r>
                            <w:r>
                              <w:rPr>
                                <w:rFonts w:ascii="Palatino Linotype" w:hAnsi="Palatino Linotype"/>
                                <w:sz w:val="19"/>
                                <w:szCs w:val="19"/>
                              </w:rPr>
                              <w:t xml:space="preserve">effluent and nutrient management since 2000, investment in Landcare has sped up adoption, increasing overall uptake by over 50% (approximately 72,000 hectares). </w:t>
                            </w:r>
                          </w:p>
                          <w:p w14:paraId="22925125" w14:textId="77777777" w:rsidR="00757F21" w:rsidRDefault="00757F21" w:rsidP="00CA3658">
                            <w:pPr>
                              <w:rPr>
                                <w:rFonts w:ascii="Palatino Linotype" w:hAnsi="Palatino Linotype"/>
                                <w:sz w:val="19"/>
                                <w:szCs w:val="19"/>
                              </w:rPr>
                            </w:pPr>
                            <w:r>
                              <w:rPr>
                                <w:rFonts w:ascii="Palatino Linotype" w:hAnsi="Palatino Linotype"/>
                                <w:sz w:val="19"/>
                                <w:szCs w:val="19"/>
                              </w:rPr>
                              <w:t xml:space="preserve">Good practice nutrient and effluent management has improved yields and reduced on-farm fertiliser costs, consequently increasing farm profit. Through increasing farmer knowledge, </w:t>
                            </w:r>
                            <w:r w:rsidR="00D4482D">
                              <w:rPr>
                                <w:rFonts w:ascii="Palatino Linotype" w:hAnsi="Palatino Linotype"/>
                                <w:sz w:val="19"/>
                                <w:szCs w:val="19"/>
                              </w:rPr>
                              <w:t>Landcare funding</w:t>
                            </w:r>
                            <w:r>
                              <w:rPr>
                                <w:rFonts w:ascii="Palatino Linotype" w:hAnsi="Palatino Linotype"/>
                                <w:sz w:val="19"/>
                                <w:szCs w:val="19"/>
                              </w:rPr>
                              <w:t xml:space="preserve">, encouraging soil testing and increasing awareness, the on- farm present economic value was estimated to be $17 million. </w:t>
                            </w:r>
                            <w:r>
                              <w:t xml:space="preserve">  </w:t>
                            </w:r>
                          </w:p>
                          <w:p w14:paraId="22925126" w14:textId="77777777" w:rsidR="00757F21" w:rsidRDefault="00757F21" w:rsidP="00CA3658">
                            <w:pPr>
                              <w:rPr>
                                <w:rFonts w:ascii="Palatino Linotype" w:hAnsi="Palatino Linotype"/>
                                <w:sz w:val="19"/>
                                <w:szCs w:val="19"/>
                              </w:rPr>
                            </w:pPr>
                            <w:r>
                              <w:rPr>
                                <w:rFonts w:ascii="Palatino Linotype" w:hAnsi="Palatino Linotype"/>
                                <w:sz w:val="19"/>
                                <w:szCs w:val="19"/>
                              </w:rPr>
                              <w:t>The rural consulting industry and soil testing laboratories have also directly benefited from increased servicing in the Gippsland region. Approximately $1.7 million profit (assuming a 30% profit margin) can be attributed to Landcare interventions.</w:t>
                            </w:r>
                          </w:p>
                          <w:p w14:paraId="22925127" w14:textId="77777777" w:rsidR="00757F21" w:rsidRPr="00AC777E" w:rsidRDefault="00757F21" w:rsidP="008D10BD">
                            <w:pPr>
                              <w:jc w:val="center"/>
                              <w:rPr>
                                <w:rFonts w:ascii="Palatino Linotype" w:hAnsi="Palatino Linotype"/>
                                <w:sz w:val="19"/>
                                <w:szCs w:val="19"/>
                              </w:rPr>
                            </w:pPr>
                            <w:r>
                              <w:rPr>
                                <w:noProof/>
                                <w:color w:val="0000FF"/>
                                <w:lang w:eastAsia="en-AU"/>
                              </w:rPr>
                              <w:drawing>
                                <wp:inline distT="0" distB="0" distL="0" distR="0" wp14:anchorId="2292512D" wp14:editId="2292512E">
                                  <wp:extent cx="4373880" cy="2915920"/>
                                  <wp:effectExtent l="19050" t="19050" r="26670" b="17780"/>
                                  <wp:docPr id="15" name="irc_mi">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29"/>
                                          </pic:cNvPr>
                                          <pic:cNvPicPr>
                                            <a:picLocks noChangeAspect="1" noChangeArrowheads="1"/>
                                          </pic:cNvPicPr>
                                        </pic:nvPicPr>
                                        <pic:blipFill>
                                          <a:blip r:embed="rId30"/>
                                          <a:srcRect/>
                                          <a:stretch>
                                            <a:fillRect/>
                                          </a:stretch>
                                        </pic:blipFill>
                                        <pic:spPr bwMode="auto">
                                          <a:xfrm>
                                            <a:off x="0" y="0"/>
                                            <a:ext cx="4373880" cy="2915920"/>
                                          </a:xfrm>
                                          <a:prstGeom prst="rect">
                                            <a:avLst/>
                                          </a:prstGeom>
                                          <a:noFill/>
                                          <a:ln w="9525">
                                            <a:solidFill>
                                              <a:schemeClr val="accent1"/>
                                            </a:solidFill>
                                            <a:miter lim="800000"/>
                                            <a:headEnd/>
                                            <a:tailEnd/>
                                          </a:ln>
                                        </pic:spPr>
                                      </pic:pic>
                                    </a:graphicData>
                                  </a:graphic>
                                </wp:inline>
                              </w:drawing>
                            </w:r>
                          </w:p>
                          <w:p w14:paraId="22925128" w14:textId="77777777" w:rsidR="00757F21" w:rsidRPr="006A5D9C" w:rsidRDefault="00757F21" w:rsidP="00CA3658">
                            <w:pPr>
                              <w:rPr>
                                <w:rFonts w:ascii="Palatino Linotype" w:hAnsi="Palatino Linotype"/>
                                <w:sz w:val="28"/>
                                <w:szCs w:val="28"/>
                                <w:lang w:eastAsia="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9250EC" id="AutoShape 10" o:spid="_x0000_s1036" style="position:absolute;margin-left:-33.2pt;margin-top:-31.35pt;width:521.85pt;height:5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" fillcolor="#cfc617" stroked="f">
                <v:textbox>
                  <w:txbxContent>
                    <w:p w14:paraId="22925122" w14:textId="77777777" w:rsidR="00757F21" w:rsidRPr="005021B4" w:rsidRDefault="00757F21" w:rsidP="00CA3658">
                      <w:pPr>
                        <w:jc w:val="center"/>
                        <w:rPr>
                          <w:rFonts w:ascii="Palatino Linotype" w:hAnsi="Palatino Linotype"/>
                          <w:b/>
                          <w:sz w:val="28"/>
                          <w:szCs w:val="28"/>
                          <w:lang w:eastAsia="en-AU"/>
                        </w:rPr>
                      </w:pPr>
                      <w:r w:rsidRPr="005021B4">
                        <w:rPr>
                          <w:rFonts w:ascii="Palatino Linotype" w:hAnsi="Palatino Linotype"/>
                          <w:b/>
                          <w:sz w:val="28"/>
                          <w:szCs w:val="28"/>
                          <w:lang w:eastAsia="en-AU"/>
                        </w:rPr>
                        <w:t>Case study results – Nutrient and effluent management in the VIC dairy industry</w:t>
                      </w:r>
                    </w:p>
                    <w:p w14:paraId="22925123" w14:textId="77777777" w:rsidR="00757F21" w:rsidRDefault="00757F21" w:rsidP="00CA3658">
                      <w:pPr>
                        <w:rPr>
                          <w:rFonts w:ascii="Palatino Linotype" w:hAnsi="Palatino Linotype"/>
                          <w:sz w:val="19"/>
                          <w:szCs w:val="19"/>
                        </w:rPr>
                      </w:pPr>
                      <w:r>
                        <w:rPr>
                          <w:rFonts w:ascii="Palatino Linotype" w:hAnsi="Palatino Linotype"/>
                          <w:sz w:val="19"/>
                          <w:szCs w:val="19"/>
                        </w:rPr>
                        <w:t>Dairying is Australia’s third largest rural industry valued at $13 billion annually. The Gippsland dairying region was examined in this study and local experts identified nutrient and effluent management as key sustainable agricultural practices in the industry.</w:t>
                      </w:r>
                    </w:p>
                    <w:p w14:paraId="22925124" w14:textId="77777777" w:rsidR="00757F21" w:rsidRDefault="00757F21" w:rsidP="00CA3658">
                      <w:pPr>
                        <w:rPr>
                          <w:rFonts w:ascii="Palatino Linotype" w:hAnsi="Palatino Linotype"/>
                          <w:sz w:val="19"/>
                          <w:szCs w:val="19"/>
                        </w:rPr>
                      </w:pPr>
                      <w:r>
                        <w:rPr>
                          <w:rFonts w:ascii="Palatino Linotype" w:hAnsi="Palatino Linotype"/>
                          <w:sz w:val="19"/>
                          <w:szCs w:val="19"/>
                        </w:rPr>
                        <w:t>Good practice nutrient and effluent management involves containing effluent within the farm, soil testing and targeted fertiliser application, and utilisation of effluent as a fertiliser</w:t>
                      </w:r>
                      <w:r w:rsidRPr="00014C16">
                        <w:rPr>
                          <w:rFonts w:ascii="Palatino Linotype" w:hAnsi="Palatino Linotype"/>
                          <w:sz w:val="19"/>
                          <w:szCs w:val="19"/>
                        </w:rPr>
                        <w:t>. Although a number of initiatives have influenced the uptake of</w:t>
                      </w:r>
                      <w:r>
                        <w:rPr>
                          <w:rFonts w:ascii="Palatino Linotype" w:hAnsi="Palatino Linotype"/>
                          <w:color w:val="FFFFFF" w:themeColor="background1"/>
                          <w:sz w:val="19"/>
                          <w:szCs w:val="19"/>
                        </w:rPr>
                        <w:t xml:space="preserve"> </w:t>
                      </w:r>
                      <w:r>
                        <w:rPr>
                          <w:rFonts w:ascii="Palatino Linotype" w:hAnsi="Palatino Linotype"/>
                          <w:sz w:val="19"/>
                          <w:szCs w:val="19"/>
                        </w:rPr>
                        <w:t xml:space="preserve">effluent and nutrient management since 2000, investment in Landcare has sped up adoption, increasing overall uptake by over 50% (approximately 72,000 hectares). </w:t>
                      </w:r>
                    </w:p>
                    <w:p w14:paraId="22925125" w14:textId="77777777" w:rsidR="00757F21" w:rsidRDefault="00757F21" w:rsidP="00CA3658">
                      <w:pPr>
                        <w:rPr>
                          <w:rFonts w:ascii="Palatino Linotype" w:hAnsi="Palatino Linotype"/>
                          <w:sz w:val="19"/>
                          <w:szCs w:val="19"/>
                        </w:rPr>
                      </w:pPr>
                      <w:r>
                        <w:rPr>
                          <w:rFonts w:ascii="Palatino Linotype" w:hAnsi="Palatino Linotype"/>
                          <w:sz w:val="19"/>
                          <w:szCs w:val="19"/>
                        </w:rPr>
                        <w:t xml:space="preserve">Good practice nutrient and effluent management has improved yields and reduced on-farm fertiliser costs, consequently increasing farm profit. Through increasing farmer knowledge, </w:t>
                      </w:r>
                      <w:r w:rsidR="00D4482D">
                        <w:rPr>
                          <w:rFonts w:ascii="Palatino Linotype" w:hAnsi="Palatino Linotype"/>
                          <w:sz w:val="19"/>
                          <w:szCs w:val="19"/>
                        </w:rPr>
                        <w:t>Landcare funding</w:t>
                      </w:r>
                      <w:r>
                        <w:rPr>
                          <w:rFonts w:ascii="Palatino Linotype" w:hAnsi="Palatino Linotype"/>
                          <w:sz w:val="19"/>
                          <w:szCs w:val="19"/>
                        </w:rPr>
                        <w:t xml:space="preserve">, encouraging soil testing and increasing awareness, the on- farm present economic value was estimated to be $17 million. </w:t>
                      </w:r>
                      <w:r>
                        <w:t xml:space="preserve">  </w:t>
                      </w:r>
                    </w:p>
                    <w:p w14:paraId="22925126" w14:textId="77777777" w:rsidR="00757F21" w:rsidRDefault="00757F21" w:rsidP="00CA3658">
                      <w:pPr>
                        <w:rPr>
                          <w:rFonts w:ascii="Palatino Linotype" w:hAnsi="Palatino Linotype"/>
                          <w:sz w:val="19"/>
                          <w:szCs w:val="19"/>
                        </w:rPr>
                      </w:pPr>
                      <w:r>
                        <w:rPr>
                          <w:rFonts w:ascii="Palatino Linotype" w:hAnsi="Palatino Linotype"/>
                          <w:sz w:val="19"/>
                          <w:szCs w:val="19"/>
                        </w:rPr>
                        <w:t>The rural consulting industry and soil testing laboratories have also directly benefited from increased servicing in the Gippsland region. Approximately $1.7 million profit (assuming a 30% profit margin) can be attributed to Landcare interventions.</w:t>
                      </w:r>
                    </w:p>
                    <w:p w14:paraId="22925127" w14:textId="77777777" w:rsidR="00757F21" w:rsidRPr="00AC777E" w:rsidRDefault="00757F21" w:rsidP="008D10BD">
                      <w:pPr>
                        <w:jc w:val="center"/>
                        <w:rPr>
                          <w:rFonts w:ascii="Palatino Linotype" w:hAnsi="Palatino Linotype"/>
                          <w:sz w:val="19"/>
                          <w:szCs w:val="19"/>
                        </w:rPr>
                      </w:pPr>
                      <w:r>
                        <w:rPr>
                          <w:noProof/>
                          <w:color w:val="0000FF"/>
                          <w:lang w:eastAsia="en-AU"/>
                        </w:rPr>
                        <w:drawing>
                          <wp:inline distT="0" distB="0" distL="0" distR="0" wp14:anchorId="2292512D" wp14:editId="2292512E">
                            <wp:extent cx="4373880" cy="2915920"/>
                            <wp:effectExtent l="19050" t="19050" r="26670" b="17780"/>
                            <wp:docPr id="15" name="irc_mi">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hlinkClick r:id="rId31"/>
                                    </pic:cNvPr>
                                    <pic:cNvPicPr>
                                      <a:picLocks noChangeAspect="1" noChangeArrowheads="1"/>
                                    </pic:cNvPicPr>
                                  </pic:nvPicPr>
                                  <pic:blipFill>
                                    <a:blip r:embed="rId32"/>
                                    <a:srcRect/>
                                    <a:stretch>
                                      <a:fillRect/>
                                    </a:stretch>
                                  </pic:blipFill>
                                  <pic:spPr bwMode="auto">
                                    <a:xfrm>
                                      <a:off x="0" y="0"/>
                                      <a:ext cx="4373880" cy="2915920"/>
                                    </a:xfrm>
                                    <a:prstGeom prst="rect">
                                      <a:avLst/>
                                    </a:prstGeom>
                                    <a:noFill/>
                                    <a:ln w="9525">
                                      <a:solidFill>
                                        <a:schemeClr val="accent1"/>
                                      </a:solidFill>
                                      <a:miter lim="800000"/>
                                      <a:headEnd/>
                                      <a:tailEnd/>
                                    </a:ln>
                                  </pic:spPr>
                                </pic:pic>
                              </a:graphicData>
                            </a:graphic>
                          </wp:inline>
                        </w:drawing>
                      </w:r>
                    </w:p>
                    <w:p w14:paraId="22925128" w14:textId="77777777" w:rsidR="00757F21" w:rsidRPr="006A5D9C" w:rsidRDefault="00757F21" w:rsidP="00CA3658">
                      <w:pPr>
                        <w:rPr>
                          <w:rFonts w:ascii="Palatino Linotype" w:hAnsi="Palatino Linotype"/>
                          <w:sz w:val="28"/>
                          <w:szCs w:val="28"/>
                          <w:lang w:eastAsia="en-AU"/>
                        </w:rPr>
                      </w:pPr>
                    </w:p>
                  </w:txbxContent>
                </v:textbox>
              </v:roundrect>
            </w:pict>
          </mc:Fallback>
        </mc:AlternateContent>
      </w:r>
    </w:p>
    <w:sectPr w:rsidR="00EE7334" w:rsidSect="009863B3">
      <w:headerReference w:type="even" r:id="rId33"/>
      <w:headerReference w:type="default" r:id="rId34"/>
      <w:footerReference w:type="even" r:id="rId35"/>
      <w:footerReference w:type="default" r:id="rId36"/>
      <w:headerReference w:type="first" r:id="rId37"/>
      <w:footerReference w:type="first" r:id="rId38"/>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250EF" w14:textId="77777777" w:rsidR="00757F21" w:rsidRDefault="00757F21" w:rsidP="00A60185">
      <w:pPr>
        <w:spacing w:after="0" w:line="240" w:lineRule="auto"/>
      </w:pPr>
      <w:r>
        <w:separator/>
      </w:r>
    </w:p>
  </w:endnote>
  <w:endnote w:type="continuationSeparator" w:id="0">
    <w:p w14:paraId="229250F0" w14:textId="77777777" w:rsidR="00757F21" w:rsidRDefault="00757F21"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Adobe Garamond Pro Bold">
    <w:panose1 w:val="00000000000000000000"/>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Adobe Garamond Pro">
    <w:altName w:val="Adobe Garamond Pro"/>
    <w:panose1 w:val="02020502060506020403"/>
    <w:charset w:val="00"/>
    <w:family w:val="roman"/>
    <w:notTrueType/>
    <w:pitch w:val="variable"/>
    <w:sig w:usb0="00000007" w:usb1="00000001"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64F68" w14:textId="77777777" w:rsidR="00364BD4" w:rsidRDefault="00364B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CE574" w14:textId="77777777" w:rsidR="00364BD4" w:rsidRDefault="00364B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CAF74" w14:textId="77777777" w:rsidR="00364BD4" w:rsidRDefault="00364B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F6" w14:textId="77777777" w:rsidR="00757F21" w:rsidRDefault="00757F2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229250F7" w14:textId="77777777" w:rsidR="00757F21" w:rsidRDefault="00AB0B8E">
        <w:pPr>
          <w:pStyle w:val="Footer"/>
          <w:jc w:val="center"/>
        </w:pPr>
        <w:r>
          <w:fldChar w:fldCharType="begin"/>
        </w:r>
        <w:r>
          <w:instrText xml:space="preserve"> PAGE   \* MERGEFORMAT </w:instrText>
        </w:r>
        <w:r>
          <w:fldChar w:fldCharType="separate"/>
        </w:r>
        <w:r w:rsidR="00757F21">
          <w:rPr>
            <w:noProof/>
          </w:rPr>
          <w:t>1</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F9" w14:textId="77777777" w:rsidR="00757F21" w:rsidRDefault="00757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9250ED" w14:textId="77777777" w:rsidR="00757F21" w:rsidRDefault="00757F21" w:rsidP="00A60185">
      <w:pPr>
        <w:spacing w:after="0" w:line="240" w:lineRule="auto"/>
      </w:pPr>
      <w:r>
        <w:separator/>
      </w:r>
    </w:p>
  </w:footnote>
  <w:footnote w:type="continuationSeparator" w:id="0">
    <w:p w14:paraId="229250EE" w14:textId="77777777" w:rsidR="00757F21" w:rsidRDefault="00757F21"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332DB" w14:textId="77777777" w:rsidR="00364BD4" w:rsidRDefault="00364B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C8315" w14:textId="77777777" w:rsidR="00364BD4" w:rsidRDefault="00364B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80518" w14:textId="77777777" w:rsidR="00364BD4" w:rsidRDefault="00364B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F4" w14:textId="294035DC" w:rsidR="00757F21" w:rsidRDefault="00757F21"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F5" w14:textId="1F5EEF3F" w:rsidR="00757F21" w:rsidRDefault="00757F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F8" w14:textId="4A2FDD0E" w:rsidR="00757F21" w:rsidRDefault="00757F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E333FF"/>
    <w:multiLevelType w:val="hybridMultilevel"/>
    <w:tmpl w:val="E74C14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4C46C2"/>
    <w:multiLevelType w:val="hybridMultilevel"/>
    <w:tmpl w:val="A36AC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745BC2"/>
    <w:multiLevelType w:val="multilevel"/>
    <w:tmpl w:val="E5E89F92"/>
    <w:numStyleLink w:val="BulletList"/>
  </w:abstractNum>
  <w:abstractNum w:abstractNumId="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2121EF0"/>
    <w:multiLevelType w:val="hybridMultilevel"/>
    <w:tmpl w:val="42BEC102"/>
    <w:lvl w:ilvl="0" w:tplc="1096CA20">
      <w:start w:val="1"/>
      <w:numFmt w:val="bullet"/>
      <w:lvlText w:val="•"/>
      <w:lvlJc w:val="left"/>
      <w:pPr>
        <w:tabs>
          <w:tab w:val="num" w:pos="720"/>
        </w:tabs>
        <w:ind w:left="720" w:hanging="360"/>
      </w:pPr>
      <w:rPr>
        <w:rFonts w:ascii="Arial" w:hAnsi="Arial" w:hint="default"/>
      </w:rPr>
    </w:lvl>
    <w:lvl w:ilvl="1" w:tplc="DA1E2AA2" w:tentative="1">
      <w:start w:val="1"/>
      <w:numFmt w:val="bullet"/>
      <w:lvlText w:val="•"/>
      <w:lvlJc w:val="left"/>
      <w:pPr>
        <w:tabs>
          <w:tab w:val="num" w:pos="1440"/>
        </w:tabs>
        <w:ind w:left="1440" w:hanging="360"/>
      </w:pPr>
      <w:rPr>
        <w:rFonts w:ascii="Arial" w:hAnsi="Arial" w:hint="default"/>
      </w:rPr>
    </w:lvl>
    <w:lvl w:ilvl="2" w:tplc="0A640C06" w:tentative="1">
      <w:start w:val="1"/>
      <w:numFmt w:val="bullet"/>
      <w:lvlText w:val="•"/>
      <w:lvlJc w:val="left"/>
      <w:pPr>
        <w:tabs>
          <w:tab w:val="num" w:pos="2160"/>
        </w:tabs>
        <w:ind w:left="2160" w:hanging="360"/>
      </w:pPr>
      <w:rPr>
        <w:rFonts w:ascii="Arial" w:hAnsi="Arial" w:hint="default"/>
      </w:rPr>
    </w:lvl>
    <w:lvl w:ilvl="3" w:tplc="97143F58" w:tentative="1">
      <w:start w:val="1"/>
      <w:numFmt w:val="bullet"/>
      <w:lvlText w:val="•"/>
      <w:lvlJc w:val="left"/>
      <w:pPr>
        <w:tabs>
          <w:tab w:val="num" w:pos="2880"/>
        </w:tabs>
        <w:ind w:left="2880" w:hanging="360"/>
      </w:pPr>
      <w:rPr>
        <w:rFonts w:ascii="Arial" w:hAnsi="Arial" w:hint="default"/>
      </w:rPr>
    </w:lvl>
    <w:lvl w:ilvl="4" w:tplc="7D6E4CF0" w:tentative="1">
      <w:start w:val="1"/>
      <w:numFmt w:val="bullet"/>
      <w:lvlText w:val="•"/>
      <w:lvlJc w:val="left"/>
      <w:pPr>
        <w:tabs>
          <w:tab w:val="num" w:pos="3600"/>
        </w:tabs>
        <w:ind w:left="3600" w:hanging="360"/>
      </w:pPr>
      <w:rPr>
        <w:rFonts w:ascii="Arial" w:hAnsi="Arial" w:hint="default"/>
      </w:rPr>
    </w:lvl>
    <w:lvl w:ilvl="5" w:tplc="F8DEEBFE" w:tentative="1">
      <w:start w:val="1"/>
      <w:numFmt w:val="bullet"/>
      <w:lvlText w:val="•"/>
      <w:lvlJc w:val="left"/>
      <w:pPr>
        <w:tabs>
          <w:tab w:val="num" w:pos="4320"/>
        </w:tabs>
        <w:ind w:left="4320" w:hanging="360"/>
      </w:pPr>
      <w:rPr>
        <w:rFonts w:ascii="Arial" w:hAnsi="Arial" w:hint="default"/>
      </w:rPr>
    </w:lvl>
    <w:lvl w:ilvl="6" w:tplc="2EFCDD8C" w:tentative="1">
      <w:start w:val="1"/>
      <w:numFmt w:val="bullet"/>
      <w:lvlText w:val="•"/>
      <w:lvlJc w:val="left"/>
      <w:pPr>
        <w:tabs>
          <w:tab w:val="num" w:pos="5040"/>
        </w:tabs>
        <w:ind w:left="5040" w:hanging="360"/>
      </w:pPr>
      <w:rPr>
        <w:rFonts w:ascii="Arial" w:hAnsi="Arial" w:hint="default"/>
      </w:rPr>
    </w:lvl>
    <w:lvl w:ilvl="7" w:tplc="BEEE4D46" w:tentative="1">
      <w:start w:val="1"/>
      <w:numFmt w:val="bullet"/>
      <w:lvlText w:val="•"/>
      <w:lvlJc w:val="left"/>
      <w:pPr>
        <w:tabs>
          <w:tab w:val="num" w:pos="5760"/>
        </w:tabs>
        <w:ind w:left="5760" w:hanging="360"/>
      </w:pPr>
      <w:rPr>
        <w:rFonts w:ascii="Arial" w:hAnsi="Arial" w:hint="default"/>
      </w:rPr>
    </w:lvl>
    <w:lvl w:ilvl="8" w:tplc="C6B486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5852CF"/>
    <w:multiLevelType w:val="hybridMultilevel"/>
    <w:tmpl w:val="4078A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58B1DE2"/>
    <w:multiLevelType w:val="hybridMultilevel"/>
    <w:tmpl w:val="47001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7F077A"/>
    <w:multiLevelType w:val="hybridMultilevel"/>
    <w:tmpl w:val="2A323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65055C8"/>
    <w:multiLevelType w:val="hybridMultilevel"/>
    <w:tmpl w:val="4112C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CC1069B"/>
    <w:multiLevelType w:val="hybridMultilevel"/>
    <w:tmpl w:val="3200B2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2AA226E"/>
    <w:multiLevelType w:val="hybridMultilevel"/>
    <w:tmpl w:val="07BAC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972F04"/>
    <w:multiLevelType w:val="hybridMultilevel"/>
    <w:tmpl w:val="707A521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6" w15:restartNumberingAfterBreak="0">
    <w:nsid w:val="778A348D"/>
    <w:multiLevelType w:val="hybridMultilevel"/>
    <w:tmpl w:val="8132EB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866835"/>
    <w:multiLevelType w:val="hybridMultilevel"/>
    <w:tmpl w:val="E28CB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6"/>
  </w:num>
  <w:num w:numId="4">
    <w:abstractNumId w:val="4"/>
  </w:num>
  <w:num w:numId="5">
    <w:abstractNumId w:val="10"/>
  </w:num>
  <w:num w:numId="6">
    <w:abstractNumId w:val="3"/>
  </w:num>
  <w:num w:numId="7">
    <w:abstractNumId w:val="11"/>
  </w:num>
  <w:num w:numId="8">
    <w:abstractNumId w:val="13"/>
  </w:num>
  <w:num w:numId="9">
    <w:abstractNumId w:val="9"/>
  </w:num>
  <w:num w:numId="10">
    <w:abstractNumId w:val="8"/>
  </w:num>
  <w:num w:numId="11">
    <w:abstractNumId w:val="14"/>
  </w:num>
  <w:num w:numId="12">
    <w:abstractNumId w:val="5"/>
  </w:num>
  <w:num w:numId="13">
    <w:abstractNumId w:val="1"/>
  </w:num>
  <w:num w:numId="14">
    <w:abstractNumId w:val="17"/>
  </w:num>
  <w:num w:numId="15">
    <w:abstractNumId w:val="16"/>
  </w:num>
  <w:num w:numId="16">
    <w:abstractNumId w:val="7"/>
  </w:num>
  <w:num w:numId="17">
    <w:abstractNumId w:val="12"/>
  </w:num>
  <w:num w:numId="18">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drawingGridHorizontalSpacing w:val="110"/>
  <w:displayHorizontalDrawingGridEvery w:val="2"/>
  <w:displayVerticalDrawingGridEvery w:val="2"/>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4CE"/>
    <w:rsid w:val="00004AEE"/>
    <w:rsid w:val="00005CAA"/>
    <w:rsid w:val="00005CD1"/>
    <w:rsid w:val="00007630"/>
    <w:rsid w:val="00010210"/>
    <w:rsid w:val="00012D66"/>
    <w:rsid w:val="00014C16"/>
    <w:rsid w:val="00015ADA"/>
    <w:rsid w:val="00020C99"/>
    <w:rsid w:val="0002707B"/>
    <w:rsid w:val="000341D8"/>
    <w:rsid w:val="00036F22"/>
    <w:rsid w:val="00037464"/>
    <w:rsid w:val="00040CF7"/>
    <w:rsid w:val="0004207C"/>
    <w:rsid w:val="00047283"/>
    <w:rsid w:val="0005148E"/>
    <w:rsid w:val="00051EFE"/>
    <w:rsid w:val="000532BB"/>
    <w:rsid w:val="00056189"/>
    <w:rsid w:val="00062104"/>
    <w:rsid w:val="00067CBD"/>
    <w:rsid w:val="00072C5A"/>
    <w:rsid w:val="000759E5"/>
    <w:rsid w:val="00084AC6"/>
    <w:rsid w:val="00091608"/>
    <w:rsid w:val="0009201D"/>
    <w:rsid w:val="0009333C"/>
    <w:rsid w:val="00095150"/>
    <w:rsid w:val="0009704F"/>
    <w:rsid w:val="0009790C"/>
    <w:rsid w:val="000A0F11"/>
    <w:rsid w:val="000A125A"/>
    <w:rsid w:val="000A57CD"/>
    <w:rsid w:val="000B2905"/>
    <w:rsid w:val="000B3758"/>
    <w:rsid w:val="000B7681"/>
    <w:rsid w:val="000B7B42"/>
    <w:rsid w:val="000C02B7"/>
    <w:rsid w:val="000C035F"/>
    <w:rsid w:val="000C4774"/>
    <w:rsid w:val="000C5100"/>
    <w:rsid w:val="000C5342"/>
    <w:rsid w:val="000C706A"/>
    <w:rsid w:val="000D2887"/>
    <w:rsid w:val="000D6D63"/>
    <w:rsid w:val="000D7BBA"/>
    <w:rsid w:val="000E0081"/>
    <w:rsid w:val="000E07CF"/>
    <w:rsid w:val="000E31C1"/>
    <w:rsid w:val="000E4856"/>
    <w:rsid w:val="000E4FA1"/>
    <w:rsid w:val="000F1F15"/>
    <w:rsid w:val="000F217D"/>
    <w:rsid w:val="000F2CF2"/>
    <w:rsid w:val="001003AE"/>
    <w:rsid w:val="00100BEF"/>
    <w:rsid w:val="001017FD"/>
    <w:rsid w:val="00111326"/>
    <w:rsid w:val="0011498E"/>
    <w:rsid w:val="001172E0"/>
    <w:rsid w:val="00117A45"/>
    <w:rsid w:val="00121983"/>
    <w:rsid w:val="001224AE"/>
    <w:rsid w:val="00124717"/>
    <w:rsid w:val="001337D4"/>
    <w:rsid w:val="001378D1"/>
    <w:rsid w:val="00147C12"/>
    <w:rsid w:val="001527A1"/>
    <w:rsid w:val="001530DC"/>
    <w:rsid w:val="00154989"/>
    <w:rsid w:val="00155A9F"/>
    <w:rsid w:val="00155BA9"/>
    <w:rsid w:val="001574A3"/>
    <w:rsid w:val="00160262"/>
    <w:rsid w:val="00164D3D"/>
    <w:rsid w:val="00165B77"/>
    <w:rsid w:val="00166690"/>
    <w:rsid w:val="00167635"/>
    <w:rsid w:val="0016780A"/>
    <w:rsid w:val="001701D0"/>
    <w:rsid w:val="00170E4E"/>
    <w:rsid w:val="001713FA"/>
    <w:rsid w:val="001730E7"/>
    <w:rsid w:val="00173EBF"/>
    <w:rsid w:val="00175ED3"/>
    <w:rsid w:val="00181D96"/>
    <w:rsid w:val="001842A2"/>
    <w:rsid w:val="00187FA8"/>
    <w:rsid w:val="00190E0F"/>
    <w:rsid w:val="0019112E"/>
    <w:rsid w:val="00192F5E"/>
    <w:rsid w:val="00197772"/>
    <w:rsid w:val="001A05BB"/>
    <w:rsid w:val="001A51C8"/>
    <w:rsid w:val="001A6BD6"/>
    <w:rsid w:val="001B4CA8"/>
    <w:rsid w:val="001B5A87"/>
    <w:rsid w:val="001B5EA1"/>
    <w:rsid w:val="001B755D"/>
    <w:rsid w:val="001C06A5"/>
    <w:rsid w:val="001C4376"/>
    <w:rsid w:val="001C4F3D"/>
    <w:rsid w:val="001C74D2"/>
    <w:rsid w:val="001D0CDC"/>
    <w:rsid w:val="001D1D82"/>
    <w:rsid w:val="001D7FD7"/>
    <w:rsid w:val="001E1182"/>
    <w:rsid w:val="001E4827"/>
    <w:rsid w:val="00202C90"/>
    <w:rsid w:val="00213DE8"/>
    <w:rsid w:val="00216118"/>
    <w:rsid w:val="002209AB"/>
    <w:rsid w:val="002251E3"/>
    <w:rsid w:val="00227A95"/>
    <w:rsid w:val="002316BD"/>
    <w:rsid w:val="002336A2"/>
    <w:rsid w:val="002473FC"/>
    <w:rsid w:val="00251A60"/>
    <w:rsid w:val="00252E3C"/>
    <w:rsid w:val="00253A2F"/>
    <w:rsid w:val="00262198"/>
    <w:rsid w:val="0026279B"/>
    <w:rsid w:val="00262823"/>
    <w:rsid w:val="00265244"/>
    <w:rsid w:val="00277F36"/>
    <w:rsid w:val="00285F1B"/>
    <w:rsid w:val="00292B81"/>
    <w:rsid w:val="002A30C7"/>
    <w:rsid w:val="002A4FAD"/>
    <w:rsid w:val="002A6BA1"/>
    <w:rsid w:val="002A703A"/>
    <w:rsid w:val="002A7878"/>
    <w:rsid w:val="002B18AE"/>
    <w:rsid w:val="002C1C93"/>
    <w:rsid w:val="002C29FE"/>
    <w:rsid w:val="002C5066"/>
    <w:rsid w:val="002C5813"/>
    <w:rsid w:val="002D4AAC"/>
    <w:rsid w:val="002D696F"/>
    <w:rsid w:val="002F045A"/>
    <w:rsid w:val="002F56DF"/>
    <w:rsid w:val="0030039D"/>
    <w:rsid w:val="00300C7B"/>
    <w:rsid w:val="0030326F"/>
    <w:rsid w:val="00306530"/>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57A49"/>
    <w:rsid w:val="003603E6"/>
    <w:rsid w:val="00364BD4"/>
    <w:rsid w:val="00365147"/>
    <w:rsid w:val="00365F26"/>
    <w:rsid w:val="0037016E"/>
    <w:rsid w:val="00372908"/>
    <w:rsid w:val="00374F65"/>
    <w:rsid w:val="00375336"/>
    <w:rsid w:val="003810EC"/>
    <w:rsid w:val="00382FA1"/>
    <w:rsid w:val="00383020"/>
    <w:rsid w:val="00384E69"/>
    <w:rsid w:val="00387239"/>
    <w:rsid w:val="00390A02"/>
    <w:rsid w:val="00391E7E"/>
    <w:rsid w:val="00394D7E"/>
    <w:rsid w:val="0039616C"/>
    <w:rsid w:val="003975FD"/>
    <w:rsid w:val="003A460B"/>
    <w:rsid w:val="003A784C"/>
    <w:rsid w:val="003B057D"/>
    <w:rsid w:val="003B388E"/>
    <w:rsid w:val="003B60CC"/>
    <w:rsid w:val="003B6696"/>
    <w:rsid w:val="003C1B25"/>
    <w:rsid w:val="003C2443"/>
    <w:rsid w:val="003C5DA3"/>
    <w:rsid w:val="003D1B01"/>
    <w:rsid w:val="003D4BCD"/>
    <w:rsid w:val="003D6C2B"/>
    <w:rsid w:val="003E01D8"/>
    <w:rsid w:val="003E2100"/>
    <w:rsid w:val="003F38C1"/>
    <w:rsid w:val="003F6F5B"/>
    <w:rsid w:val="00400879"/>
    <w:rsid w:val="0040342D"/>
    <w:rsid w:val="0040419B"/>
    <w:rsid w:val="0041192D"/>
    <w:rsid w:val="00413EE1"/>
    <w:rsid w:val="0042128E"/>
    <w:rsid w:val="004326F0"/>
    <w:rsid w:val="00432B60"/>
    <w:rsid w:val="00440698"/>
    <w:rsid w:val="00445DC7"/>
    <w:rsid w:val="004540E2"/>
    <w:rsid w:val="00454454"/>
    <w:rsid w:val="00460942"/>
    <w:rsid w:val="0046288A"/>
    <w:rsid w:val="00467924"/>
    <w:rsid w:val="004712A5"/>
    <w:rsid w:val="0047266F"/>
    <w:rsid w:val="00476D6B"/>
    <w:rsid w:val="00480E1C"/>
    <w:rsid w:val="00492C16"/>
    <w:rsid w:val="004945A6"/>
    <w:rsid w:val="004A0678"/>
    <w:rsid w:val="004A48A3"/>
    <w:rsid w:val="004B0366"/>
    <w:rsid w:val="004B0D92"/>
    <w:rsid w:val="004B0EC0"/>
    <w:rsid w:val="004B66F1"/>
    <w:rsid w:val="004C385E"/>
    <w:rsid w:val="004C3EA0"/>
    <w:rsid w:val="004C674C"/>
    <w:rsid w:val="004C6BB8"/>
    <w:rsid w:val="004D6DC3"/>
    <w:rsid w:val="004E0971"/>
    <w:rsid w:val="004E2467"/>
    <w:rsid w:val="004E59AD"/>
    <w:rsid w:val="004F7169"/>
    <w:rsid w:val="00500D66"/>
    <w:rsid w:val="00501905"/>
    <w:rsid w:val="005021B4"/>
    <w:rsid w:val="00503376"/>
    <w:rsid w:val="00504062"/>
    <w:rsid w:val="00514189"/>
    <w:rsid w:val="00514C8E"/>
    <w:rsid w:val="00521282"/>
    <w:rsid w:val="00522BF0"/>
    <w:rsid w:val="00531DBF"/>
    <w:rsid w:val="00534F74"/>
    <w:rsid w:val="00540079"/>
    <w:rsid w:val="00545759"/>
    <w:rsid w:val="00545BE0"/>
    <w:rsid w:val="00546930"/>
    <w:rsid w:val="00547851"/>
    <w:rsid w:val="00547A7E"/>
    <w:rsid w:val="00554C6A"/>
    <w:rsid w:val="00562E85"/>
    <w:rsid w:val="005630EB"/>
    <w:rsid w:val="0056332F"/>
    <w:rsid w:val="005659F7"/>
    <w:rsid w:val="00565A7D"/>
    <w:rsid w:val="00565E53"/>
    <w:rsid w:val="00566A03"/>
    <w:rsid w:val="00570A34"/>
    <w:rsid w:val="005719B3"/>
    <w:rsid w:val="0057295E"/>
    <w:rsid w:val="00580E1D"/>
    <w:rsid w:val="00581C39"/>
    <w:rsid w:val="00583FDF"/>
    <w:rsid w:val="00586A97"/>
    <w:rsid w:val="005903B6"/>
    <w:rsid w:val="00593D4D"/>
    <w:rsid w:val="0059480B"/>
    <w:rsid w:val="005A00E3"/>
    <w:rsid w:val="005A0247"/>
    <w:rsid w:val="005A126E"/>
    <w:rsid w:val="005A452F"/>
    <w:rsid w:val="005A78ED"/>
    <w:rsid w:val="005B140D"/>
    <w:rsid w:val="005B5E28"/>
    <w:rsid w:val="005C1FEA"/>
    <w:rsid w:val="005C3495"/>
    <w:rsid w:val="005C4B18"/>
    <w:rsid w:val="005E3DFC"/>
    <w:rsid w:val="005E4AD3"/>
    <w:rsid w:val="005E4E6C"/>
    <w:rsid w:val="005E5942"/>
    <w:rsid w:val="005E60AF"/>
    <w:rsid w:val="005F17AC"/>
    <w:rsid w:val="005F1DEA"/>
    <w:rsid w:val="005F79D7"/>
    <w:rsid w:val="00602830"/>
    <w:rsid w:val="00604246"/>
    <w:rsid w:val="0060636C"/>
    <w:rsid w:val="00607FC9"/>
    <w:rsid w:val="0062135F"/>
    <w:rsid w:val="00622B73"/>
    <w:rsid w:val="00622FE1"/>
    <w:rsid w:val="0062521C"/>
    <w:rsid w:val="00630A2B"/>
    <w:rsid w:val="00630F20"/>
    <w:rsid w:val="00632DC7"/>
    <w:rsid w:val="006357FB"/>
    <w:rsid w:val="006373AB"/>
    <w:rsid w:val="006406FC"/>
    <w:rsid w:val="00640E57"/>
    <w:rsid w:val="00645D0A"/>
    <w:rsid w:val="00646122"/>
    <w:rsid w:val="0065294F"/>
    <w:rsid w:val="00653E16"/>
    <w:rsid w:val="006564C7"/>
    <w:rsid w:val="00657220"/>
    <w:rsid w:val="00657362"/>
    <w:rsid w:val="0066104B"/>
    <w:rsid w:val="00661870"/>
    <w:rsid w:val="006655EE"/>
    <w:rsid w:val="00667C10"/>
    <w:rsid w:val="00667EF4"/>
    <w:rsid w:val="006732FC"/>
    <w:rsid w:val="00676FCA"/>
    <w:rsid w:val="00677177"/>
    <w:rsid w:val="00677696"/>
    <w:rsid w:val="0068612E"/>
    <w:rsid w:val="00687C92"/>
    <w:rsid w:val="00691B48"/>
    <w:rsid w:val="0069320D"/>
    <w:rsid w:val="0069534E"/>
    <w:rsid w:val="0069669C"/>
    <w:rsid w:val="006A1200"/>
    <w:rsid w:val="006A215A"/>
    <w:rsid w:val="006A4F4E"/>
    <w:rsid w:val="006A5D9C"/>
    <w:rsid w:val="006A6C23"/>
    <w:rsid w:val="006B14DB"/>
    <w:rsid w:val="006B21C4"/>
    <w:rsid w:val="006B26D2"/>
    <w:rsid w:val="006B49E2"/>
    <w:rsid w:val="006B61C8"/>
    <w:rsid w:val="006C3E9D"/>
    <w:rsid w:val="006C4A1A"/>
    <w:rsid w:val="006D0393"/>
    <w:rsid w:val="006D169C"/>
    <w:rsid w:val="006D19C0"/>
    <w:rsid w:val="006D1A83"/>
    <w:rsid w:val="006D2DD9"/>
    <w:rsid w:val="006E0E3F"/>
    <w:rsid w:val="006E1CFE"/>
    <w:rsid w:val="006F10C4"/>
    <w:rsid w:val="006F1952"/>
    <w:rsid w:val="006F1EC0"/>
    <w:rsid w:val="006F40E9"/>
    <w:rsid w:val="006F5342"/>
    <w:rsid w:val="006F5603"/>
    <w:rsid w:val="006F66E8"/>
    <w:rsid w:val="006F7B87"/>
    <w:rsid w:val="00701400"/>
    <w:rsid w:val="007037CF"/>
    <w:rsid w:val="0070659C"/>
    <w:rsid w:val="007167C0"/>
    <w:rsid w:val="00720481"/>
    <w:rsid w:val="00721012"/>
    <w:rsid w:val="00724639"/>
    <w:rsid w:val="00733193"/>
    <w:rsid w:val="00737354"/>
    <w:rsid w:val="00740024"/>
    <w:rsid w:val="00740324"/>
    <w:rsid w:val="00744DDA"/>
    <w:rsid w:val="00745A3D"/>
    <w:rsid w:val="00745A94"/>
    <w:rsid w:val="00745E03"/>
    <w:rsid w:val="00756707"/>
    <w:rsid w:val="0075732A"/>
    <w:rsid w:val="00757F21"/>
    <w:rsid w:val="007600F8"/>
    <w:rsid w:val="00760262"/>
    <w:rsid w:val="0076310C"/>
    <w:rsid w:val="00766DCA"/>
    <w:rsid w:val="0076744F"/>
    <w:rsid w:val="00767870"/>
    <w:rsid w:val="00767BCE"/>
    <w:rsid w:val="00767EFC"/>
    <w:rsid w:val="007707DE"/>
    <w:rsid w:val="00770B5D"/>
    <w:rsid w:val="00771DC2"/>
    <w:rsid w:val="0077398C"/>
    <w:rsid w:val="007748C8"/>
    <w:rsid w:val="007752F1"/>
    <w:rsid w:val="00776768"/>
    <w:rsid w:val="0078187A"/>
    <w:rsid w:val="00782ADF"/>
    <w:rsid w:val="00794ED8"/>
    <w:rsid w:val="00796701"/>
    <w:rsid w:val="007A129D"/>
    <w:rsid w:val="007A2573"/>
    <w:rsid w:val="007A6D5F"/>
    <w:rsid w:val="007A75A1"/>
    <w:rsid w:val="007B106C"/>
    <w:rsid w:val="007B1A4E"/>
    <w:rsid w:val="007B3D05"/>
    <w:rsid w:val="007B5503"/>
    <w:rsid w:val="007C179C"/>
    <w:rsid w:val="007C6BB3"/>
    <w:rsid w:val="007C7DE5"/>
    <w:rsid w:val="007D14B4"/>
    <w:rsid w:val="007D3AD7"/>
    <w:rsid w:val="007E07C8"/>
    <w:rsid w:val="007E1274"/>
    <w:rsid w:val="007E24F6"/>
    <w:rsid w:val="007E3A13"/>
    <w:rsid w:val="007F138E"/>
    <w:rsid w:val="007F1F2C"/>
    <w:rsid w:val="008005A3"/>
    <w:rsid w:val="0080098E"/>
    <w:rsid w:val="00800C6A"/>
    <w:rsid w:val="00800F64"/>
    <w:rsid w:val="00801050"/>
    <w:rsid w:val="00802618"/>
    <w:rsid w:val="00802F0B"/>
    <w:rsid w:val="008061F7"/>
    <w:rsid w:val="00810A67"/>
    <w:rsid w:val="00816F31"/>
    <w:rsid w:val="008272D4"/>
    <w:rsid w:val="0083098E"/>
    <w:rsid w:val="00833CF7"/>
    <w:rsid w:val="008342C4"/>
    <w:rsid w:val="00834CDE"/>
    <w:rsid w:val="00842464"/>
    <w:rsid w:val="008448C1"/>
    <w:rsid w:val="00845601"/>
    <w:rsid w:val="00845C19"/>
    <w:rsid w:val="008519F2"/>
    <w:rsid w:val="00855C5C"/>
    <w:rsid w:val="00864452"/>
    <w:rsid w:val="00871B6F"/>
    <w:rsid w:val="008722D7"/>
    <w:rsid w:val="00874D14"/>
    <w:rsid w:val="00883427"/>
    <w:rsid w:val="00883ADD"/>
    <w:rsid w:val="008A2BD4"/>
    <w:rsid w:val="008A3C96"/>
    <w:rsid w:val="008B388E"/>
    <w:rsid w:val="008B4019"/>
    <w:rsid w:val="008B65C9"/>
    <w:rsid w:val="008C2D4A"/>
    <w:rsid w:val="008C5D1B"/>
    <w:rsid w:val="008D10BD"/>
    <w:rsid w:val="008D3900"/>
    <w:rsid w:val="008D6E1D"/>
    <w:rsid w:val="008E29A9"/>
    <w:rsid w:val="008F39B4"/>
    <w:rsid w:val="008F4162"/>
    <w:rsid w:val="008F75C4"/>
    <w:rsid w:val="00903E02"/>
    <w:rsid w:val="00907918"/>
    <w:rsid w:val="00913175"/>
    <w:rsid w:val="00916EDB"/>
    <w:rsid w:val="00920861"/>
    <w:rsid w:val="009229D5"/>
    <w:rsid w:val="00922B13"/>
    <w:rsid w:val="0092304A"/>
    <w:rsid w:val="009242EF"/>
    <w:rsid w:val="00932291"/>
    <w:rsid w:val="00932861"/>
    <w:rsid w:val="0093408E"/>
    <w:rsid w:val="0094341A"/>
    <w:rsid w:val="00952DDF"/>
    <w:rsid w:val="00954EA3"/>
    <w:rsid w:val="009577C1"/>
    <w:rsid w:val="00960B35"/>
    <w:rsid w:val="00963B6A"/>
    <w:rsid w:val="00970950"/>
    <w:rsid w:val="00972DC7"/>
    <w:rsid w:val="00973AF1"/>
    <w:rsid w:val="00975112"/>
    <w:rsid w:val="009812D4"/>
    <w:rsid w:val="009846D1"/>
    <w:rsid w:val="00985245"/>
    <w:rsid w:val="009863B3"/>
    <w:rsid w:val="009902FA"/>
    <w:rsid w:val="00990D53"/>
    <w:rsid w:val="009920D8"/>
    <w:rsid w:val="00995474"/>
    <w:rsid w:val="009A0FB0"/>
    <w:rsid w:val="009A13DF"/>
    <w:rsid w:val="009A4E21"/>
    <w:rsid w:val="009B322A"/>
    <w:rsid w:val="009B38BE"/>
    <w:rsid w:val="009C3D0F"/>
    <w:rsid w:val="009E1B19"/>
    <w:rsid w:val="009F33EA"/>
    <w:rsid w:val="009F35E2"/>
    <w:rsid w:val="009F42AA"/>
    <w:rsid w:val="009F65F9"/>
    <w:rsid w:val="009F68BA"/>
    <w:rsid w:val="00A06277"/>
    <w:rsid w:val="00A079DC"/>
    <w:rsid w:val="00A111C2"/>
    <w:rsid w:val="00A12A6A"/>
    <w:rsid w:val="00A12FC9"/>
    <w:rsid w:val="00A15AF0"/>
    <w:rsid w:val="00A17E03"/>
    <w:rsid w:val="00A26603"/>
    <w:rsid w:val="00A3005D"/>
    <w:rsid w:val="00A30285"/>
    <w:rsid w:val="00A338E7"/>
    <w:rsid w:val="00A35CAA"/>
    <w:rsid w:val="00A36E7F"/>
    <w:rsid w:val="00A37D20"/>
    <w:rsid w:val="00A41E65"/>
    <w:rsid w:val="00A43E0A"/>
    <w:rsid w:val="00A4769E"/>
    <w:rsid w:val="00A50042"/>
    <w:rsid w:val="00A530C7"/>
    <w:rsid w:val="00A55F5B"/>
    <w:rsid w:val="00A5700C"/>
    <w:rsid w:val="00A60185"/>
    <w:rsid w:val="00A611D5"/>
    <w:rsid w:val="00A661EA"/>
    <w:rsid w:val="00A82764"/>
    <w:rsid w:val="00A830E5"/>
    <w:rsid w:val="00A87135"/>
    <w:rsid w:val="00A93280"/>
    <w:rsid w:val="00A951EA"/>
    <w:rsid w:val="00AA23F2"/>
    <w:rsid w:val="00AA2548"/>
    <w:rsid w:val="00AA58C4"/>
    <w:rsid w:val="00AA7003"/>
    <w:rsid w:val="00AB0B8E"/>
    <w:rsid w:val="00AB11C8"/>
    <w:rsid w:val="00AB4B14"/>
    <w:rsid w:val="00AC08A8"/>
    <w:rsid w:val="00AC777E"/>
    <w:rsid w:val="00AD27FB"/>
    <w:rsid w:val="00AD56C8"/>
    <w:rsid w:val="00AD58F2"/>
    <w:rsid w:val="00AE622D"/>
    <w:rsid w:val="00B0512A"/>
    <w:rsid w:val="00B0529F"/>
    <w:rsid w:val="00B13EFA"/>
    <w:rsid w:val="00B1418B"/>
    <w:rsid w:val="00B21195"/>
    <w:rsid w:val="00B24B22"/>
    <w:rsid w:val="00B25310"/>
    <w:rsid w:val="00B30E4C"/>
    <w:rsid w:val="00B32F8F"/>
    <w:rsid w:val="00B3492A"/>
    <w:rsid w:val="00B36361"/>
    <w:rsid w:val="00B42CDF"/>
    <w:rsid w:val="00B54DE9"/>
    <w:rsid w:val="00B553EC"/>
    <w:rsid w:val="00B55E3F"/>
    <w:rsid w:val="00B5612D"/>
    <w:rsid w:val="00B70066"/>
    <w:rsid w:val="00B76E56"/>
    <w:rsid w:val="00B77775"/>
    <w:rsid w:val="00B8473B"/>
    <w:rsid w:val="00B8564F"/>
    <w:rsid w:val="00B8709D"/>
    <w:rsid w:val="00B93DD0"/>
    <w:rsid w:val="00B97732"/>
    <w:rsid w:val="00BA0D1D"/>
    <w:rsid w:val="00BA469F"/>
    <w:rsid w:val="00BA65A8"/>
    <w:rsid w:val="00BA6D19"/>
    <w:rsid w:val="00BA6E90"/>
    <w:rsid w:val="00BA7461"/>
    <w:rsid w:val="00BA7DA9"/>
    <w:rsid w:val="00BB40CA"/>
    <w:rsid w:val="00BC0D2F"/>
    <w:rsid w:val="00BC4215"/>
    <w:rsid w:val="00BD1A6F"/>
    <w:rsid w:val="00BD2117"/>
    <w:rsid w:val="00BD5616"/>
    <w:rsid w:val="00BE1981"/>
    <w:rsid w:val="00BE2BC9"/>
    <w:rsid w:val="00BE6D3C"/>
    <w:rsid w:val="00BE742A"/>
    <w:rsid w:val="00BE7852"/>
    <w:rsid w:val="00BF7CEE"/>
    <w:rsid w:val="00C03880"/>
    <w:rsid w:val="00C06478"/>
    <w:rsid w:val="00C10379"/>
    <w:rsid w:val="00C10F59"/>
    <w:rsid w:val="00C1325B"/>
    <w:rsid w:val="00C135CF"/>
    <w:rsid w:val="00C16388"/>
    <w:rsid w:val="00C2683F"/>
    <w:rsid w:val="00C3184D"/>
    <w:rsid w:val="00C4714E"/>
    <w:rsid w:val="00C51787"/>
    <w:rsid w:val="00C51CCA"/>
    <w:rsid w:val="00C548E2"/>
    <w:rsid w:val="00C5504F"/>
    <w:rsid w:val="00C56A0E"/>
    <w:rsid w:val="00C57B55"/>
    <w:rsid w:val="00C62E35"/>
    <w:rsid w:val="00C63376"/>
    <w:rsid w:val="00C7301B"/>
    <w:rsid w:val="00C74F97"/>
    <w:rsid w:val="00C775F9"/>
    <w:rsid w:val="00C8276E"/>
    <w:rsid w:val="00C842AC"/>
    <w:rsid w:val="00C94EBF"/>
    <w:rsid w:val="00C96688"/>
    <w:rsid w:val="00C96ECE"/>
    <w:rsid w:val="00CA0723"/>
    <w:rsid w:val="00CA3658"/>
    <w:rsid w:val="00CB1690"/>
    <w:rsid w:val="00CC4365"/>
    <w:rsid w:val="00CD11B0"/>
    <w:rsid w:val="00CD3861"/>
    <w:rsid w:val="00CD52D5"/>
    <w:rsid w:val="00CE71C2"/>
    <w:rsid w:val="00CF42D5"/>
    <w:rsid w:val="00CF4EDA"/>
    <w:rsid w:val="00D021CB"/>
    <w:rsid w:val="00D10F1A"/>
    <w:rsid w:val="00D116F8"/>
    <w:rsid w:val="00D14A9A"/>
    <w:rsid w:val="00D17596"/>
    <w:rsid w:val="00D20CBD"/>
    <w:rsid w:val="00D22640"/>
    <w:rsid w:val="00D26D3A"/>
    <w:rsid w:val="00D36B52"/>
    <w:rsid w:val="00D3780E"/>
    <w:rsid w:val="00D4482D"/>
    <w:rsid w:val="00D45EE3"/>
    <w:rsid w:val="00D50618"/>
    <w:rsid w:val="00D509E9"/>
    <w:rsid w:val="00D53B1C"/>
    <w:rsid w:val="00D56E7A"/>
    <w:rsid w:val="00D57784"/>
    <w:rsid w:val="00D71033"/>
    <w:rsid w:val="00D715DB"/>
    <w:rsid w:val="00D7323B"/>
    <w:rsid w:val="00DA17CA"/>
    <w:rsid w:val="00DA1B12"/>
    <w:rsid w:val="00DA54C9"/>
    <w:rsid w:val="00DA6739"/>
    <w:rsid w:val="00DA6CAE"/>
    <w:rsid w:val="00DB1A9E"/>
    <w:rsid w:val="00DB275D"/>
    <w:rsid w:val="00DB31D6"/>
    <w:rsid w:val="00DB4005"/>
    <w:rsid w:val="00DC1C15"/>
    <w:rsid w:val="00DC34EB"/>
    <w:rsid w:val="00DE2E79"/>
    <w:rsid w:val="00DE3DB1"/>
    <w:rsid w:val="00DE3E21"/>
    <w:rsid w:val="00DE4435"/>
    <w:rsid w:val="00DE6806"/>
    <w:rsid w:val="00DF086C"/>
    <w:rsid w:val="00DF1E35"/>
    <w:rsid w:val="00DF1E5B"/>
    <w:rsid w:val="00DF2275"/>
    <w:rsid w:val="00DF3F5E"/>
    <w:rsid w:val="00DF530C"/>
    <w:rsid w:val="00DF5653"/>
    <w:rsid w:val="00E0596E"/>
    <w:rsid w:val="00E060BE"/>
    <w:rsid w:val="00E06F66"/>
    <w:rsid w:val="00E07FAC"/>
    <w:rsid w:val="00E1350A"/>
    <w:rsid w:val="00E20CFF"/>
    <w:rsid w:val="00E22D23"/>
    <w:rsid w:val="00E24646"/>
    <w:rsid w:val="00E25DCB"/>
    <w:rsid w:val="00E27EA0"/>
    <w:rsid w:val="00E356E5"/>
    <w:rsid w:val="00E36F81"/>
    <w:rsid w:val="00E45765"/>
    <w:rsid w:val="00E45ED4"/>
    <w:rsid w:val="00E46D9A"/>
    <w:rsid w:val="00E5098C"/>
    <w:rsid w:val="00E57432"/>
    <w:rsid w:val="00E60213"/>
    <w:rsid w:val="00E62A81"/>
    <w:rsid w:val="00E661B2"/>
    <w:rsid w:val="00E73228"/>
    <w:rsid w:val="00E74D29"/>
    <w:rsid w:val="00E77724"/>
    <w:rsid w:val="00E83C74"/>
    <w:rsid w:val="00E83CEE"/>
    <w:rsid w:val="00E84C7C"/>
    <w:rsid w:val="00E90A38"/>
    <w:rsid w:val="00E91F18"/>
    <w:rsid w:val="00E9226D"/>
    <w:rsid w:val="00E969E3"/>
    <w:rsid w:val="00EA416C"/>
    <w:rsid w:val="00EA5941"/>
    <w:rsid w:val="00EB389C"/>
    <w:rsid w:val="00EB60CE"/>
    <w:rsid w:val="00EB6B8D"/>
    <w:rsid w:val="00EB7D53"/>
    <w:rsid w:val="00EC7550"/>
    <w:rsid w:val="00ED0A65"/>
    <w:rsid w:val="00EE3146"/>
    <w:rsid w:val="00EE7334"/>
    <w:rsid w:val="00EF19C8"/>
    <w:rsid w:val="00EF3911"/>
    <w:rsid w:val="00EF50BB"/>
    <w:rsid w:val="00EF53FF"/>
    <w:rsid w:val="00EF5ACC"/>
    <w:rsid w:val="00F00192"/>
    <w:rsid w:val="00F01DF6"/>
    <w:rsid w:val="00F02F69"/>
    <w:rsid w:val="00F0340D"/>
    <w:rsid w:val="00F040A0"/>
    <w:rsid w:val="00F059A6"/>
    <w:rsid w:val="00F167BF"/>
    <w:rsid w:val="00F214CE"/>
    <w:rsid w:val="00F23756"/>
    <w:rsid w:val="00F245FA"/>
    <w:rsid w:val="00F2523A"/>
    <w:rsid w:val="00F2531D"/>
    <w:rsid w:val="00F25FFA"/>
    <w:rsid w:val="00F310D2"/>
    <w:rsid w:val="00F33F7C"/>
    <w:rsid w:val="00F36F3D"/>
    <w:rsid w:val="00F439CC"/>
    <w:rsid w:val="00F4567A"/>
    <w:rsid w:val="00F46901"/>
    <w:rsid w:val="00F477BD"/>
    <w:rsid w:val="00F51153"/>
    <w:rsid w:val="00F53491"/>
    <w:rsid w:val="00F6461B"/>
    <w:rsid w:val="00F6593C"/>
    <w:rsid w:val="00F65A1C"/>
    <w:rsid w:val="00F66F50"/>
    <w:rsid w:val="00F70FEA"/>
    <w:rsid w:val="00F7326F"/>
    <w:rsid w:val="00F749C7"/>
    <w:rsid w:val="00F82FF8"/>
    <w:rsid w:val="00F8330D"/>
    <w:rsid w:val="00F84305"/>
    <w:rsid w:val="00F8485C"/>
    <w:rsid w:val="00F87149"/>
    <w:rsid w:val="00F873BD"/>
    <w:rsid w:val="00F8794F"/>
    <w:rsid w:val="00F87FFE"/>
    <w:rsid w:val="00F91501"/>
    <w:rsid w:val="00F954C9"/>
    <w:rsid w:val="00FA4CF0"/>
    <w:rsid w:val="00FA58CA"/>
    <w:rsid w:val="00FA61AA"/>
    <w:rsid w:val="00FA69A4"/>
    <w:rsid w:val="00FA71AB"/>
    <w:rsid w:val="00FB1279"/>
    <w:rsid w:val="00FB1495"/>
    <w:rsid w:val="00FB1DFD"/>
    <w:rsid w:val="00FC4F06"/>
    <w:rsid w:val="00FD1694"/>
    <w:rsid w:val="00FD3005"/>
    <w:rsid w:val="00FD3162"/>
    <w:rsid w:val="00FD6D9D"/>
    <w:rsid w:val="00FD7636"/>
    <w:rsid w:val="00FE3229"/>
    <w:rsid w:val="00FE74C3"/>
    <w:rsid w:val="00FF087D"/>
    <w:rsid w:val="00FF215C"/>
    <w:rsid w:val="00FF2602"/>
    <w:rsid w:val="00FF49E8"/>
    <w:rsid w:val="00FF672F"/>
    <w:rsid w:val="00FF69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shapelayout>
  </w:shapeDefaults>
  <w:decimalSymbol w:val="."/>
  <w:listSeparator w:val=","/>
  <w14:docId w14:val="2292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customStyle="1" w:styleId="ListParagraphChar">
    <w:name w:val="List Paragraph Char"/>
    <w:basedOn w:val="DefaultParagraphFont"/>
    <w:link w:val="ListParagraph"/>
    <w:uiPriority w:val="34"/>
    <w:rsid w:val="00B42CDF"/>
    <w:rPr>
      <w:sz w:val="22"/>
      <w:szCs w:val="22"/>
      <w:lang w:eastAsia="en-US"/>
    </w:rPr>
  </w:style>
  <w:style w:type="character" w:styleId="Hyperlink">
    <w:name w:val="Hyperlink"/>
    <w:basedOn w:val="DefaultParagraphFont"/>
    <w:uiPriority w:val="99"/>
    <w:unhideWhenUsed/>
    <w:rsid w:val="004B0366"/>
    <w:rPr>
      <w:color w:val="0000FF" w:themeColor="hyperlink"/>
      <w:u w:val="single"/>
    </w:rPr>
  </w:style>
  <w:style w:type="paragraph" w:styleId="NormalWeb">
    <w:name w:val="Normal (Web)"/>
    <w:basedOn w:val="Normal"/>
    <w:uiPriority w:val="99"/>
    <w:unhideWhenUsed/>
    <w:rsid w:val="004B036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efault">
    <w:name w:val="Default"/>
    <w:rsid w:val="004B0366"/>
    <w:pPr>
      <w:autoSpaceDE w:val="0"/>
      <w:autoSpaceDN w:val="0"/>
      <w:adjustRightInd w:val="0"/>
    </w:pPr>
    <w:rPr>
      <w:rFonts w:ascii="Myriad Pro" w:hAnsi="Myriad Pro" w:cs="Myriad Pro"/>
      <w:color w:val="000000"/>
      <w:sz w:val="24"/>
      <w:szCs w:val="24"/>
    </w:rPr>
  </w:style>
  <w:style w:type="paragraph" w:customStyle="1" w:styleId="Pa7">
    <w:name w:val="Pa7"/>
    <w:basedOn w:val="Default"/>
    <w:next w:val="Default"/>
    <w:uiPriority w:val="99"/>
    <w:rsid w:val="004B0366"/>
    <w:pPr>
      <w:spacing w:line="181" w:lineRule="atLeast"/>
    </w:pPr>
    <w:rPr>
      <w:rFonts w:ascii="Adobe Garamond Pro Bold" w:hAnsi="Adobe Garamond Pro Bold" w:cs="Times New Roman"/>
      <w:color w:val="auto"/>
    </w:rPr>
  </w:style>
  <w:style w:type="character" w:styleId="FollowedHyperlink">
    <w:name w:val="FollowedHyperlink"/>
    <w:basedOn w:val="DefaultParagraphFont"/>
    <w:uiPriority w:val="99"/>
    <w:semiHidden/>
    <w:unhideWhenUsed/>
    <w:rsid w:val="00382FA1"/>
    <w:rPr>
      <w:color w:val="800080" w:themeColor="followedHyperlink"/>
      <w:u w:val="single"/>
    </w:rPr>
  </w:style>
  <w:style w:type="character" w:styleId="CommentReference">
    <w:name w:val="annotation reference"/>
    <w:basedOn w:val="DefaultParagraphFont"/>
    <w:uiPriority w:val="99"/>
    <w:semiHidden/>
    <w:unhideWhenUsed/>
    <w:rsid w:val="00802618"/>
    <w:rPr>
      <w:sz w:val="16"/>
      <w:szCs w:val="16"/>
    </w:rPr>
  </w:style>
  <w:style w:type="paragraph" w:styleId="CommentText">
    <w:name w:val="annotation text"/>
    <w:basedOn w:val="Normal"/>
    <w:link w:val="CommentTextChar"/>
    <w:uiPriority w:val="99"/>
    <w:semiHidden/>
    <w:unhideWhenUsed/>
    <w:rsid w:val="00802618"/>
    <w:pPr>
      <w:spacing w:line="240" w:lineRule="auto"/>
    </w:pPr>
    <w:rPr>
      <w:sz w:val="20"/>
      <w:szCs w:val="20"/>
    </w:rPr>
  </w:style>
  <w:style w:type="character" w:customStyle="1" w:styleId="CommentTextChar">
    <w:name w:val="Comment Text Char"/>
    <w:basedOn w:val="DefaultParagraphFont"/>
    <w:link w:val="CommentText"/>
    <w:uiPriority w:val="99"/>
    <w:semiHidden/>
    <w:rsid w:val="00802618"/>
    <w:rPr>
      <w:lang w:eastAsia="en-US"/>
    </w:rPr>
  </w:style>
  <w:style w:type="paragraph" w:styleId="CommentSubject">
    <w:name w:val="annotation subject"/>
    <w:basedOn w:val="CommentText"/>
    <w:next w:val="CommentText"/>
    <w:link w:val="CommentSubjectChar"/>
    <w:uiPriority w:val="99"/>
    <w:semiHidden/>
    <w:unhideWhenUsed/>
    <w:rsid w:val="00802618"/>
    <w:rPr>
      <w:b/>
      <w:bCs/>
    </w:rPr>
  </w:style>
  <w:style w:type="character" w:customStyle="1" w:styleId="CommentSubjectChar">
    <w:name w:val="Comment Subject Char"/>
    <w:basedOn w:val="CommentTextChar"/>
    <w:link w:val="CommentSubject"/>
    <w:uiPriority w:val="99"/>
    <w:semiHidden/>
    <w:rsid w:val="00802618"/>
    <w:rPr>
      <w:b/>
      <w:bCs/>
      <w:lang w:eastAsia="en-US"/>
    </w:rPr>
  </w:style>
  <w:style w:type="paragraph" w:styleId="Revision">
    <w:name w:val="Revision"/>
    <w:hidden/>
    <w:uiPriority w:val="99"/>
    <w:semiHidden/>
    <w:rsid w:val="005C4B1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017157">
      <w:bodyDiv w:val="1"/>
      <w:marLeft w:val="0"/>
      <w:marRight w:val="0"/>
      <w:marTop w:val="0"/>
      <w:marBottom w:val="0"/>
      <w:divBdr>
        <w:top w:val="none" w:sz="0" w:space="0" w:color="auto"/>
        <w:left w:val="none" w:sz="0" w:space="0" w:color="auto"/>
        <w:bottom w:val="none" w:sz="0" w:space="0" w:color="auto"/>
        <w:right w:val="none" w:sz="0" w:space="0" w:color="auto"/>
      </w:divBdr>
      <w:divsChild>
        <w:div w:id="5821653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creativecommons.org/licenses/by/4.0/" TargetMode="External"/><Relationship Id="rId39" Type="http://schemas.openxmlformats.org/officeDocument/2006/relationships/fontTable" Target="fontTable.xml"/><Relationship Id="rId21" Type="http://schemas.openxmlformats.org/officeDocument/2006/relationships/hyperlink" Target="http://www.nrm.gov.au/my-project/monitoring-and-reporting-plan/merit" TargetMode="External"/><Relationship Id="rId34" Type="http://schemas.openxmlformats.org/officeDocument/2006/relationships/header" Target="header5.xml"/><Relationship Id="rId42" Type="http://schemas.openxmlformats.org/officeDocument/2006/relationships/customXml" Target="../customXml/item2.xml"/><Relationship Id="rId7" Type="http://schemas.openxmlformats.org/officeDocument/2006/relationships/hyperlink" Target="http://www.nrm.gov.au/"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nrm.gov.au/national-landcare-programme" TargetMode="External"/><Relationship Id="rId29" Type="http://schemas.openxmlformats.org/officeDocument/2006/relationships/hyperlink" Target="http://www.google.com.au/url?sa=i&amp;rct=j&amp;q=&amp;esrc=s&amp;frm=1&amp;source=images&amp;cd=&amp;cad=rja&amp;uact=8&amp;ved=0CAcQjRxqFQoTCN2FhbqzgskCFePjpgodfx4FYg&amp;url=http://www.dairybusiness.com.au/&amp;bvm=bv.106923889,d.dGY&amp;psig=AFQjCNGfequggrBYvRLpnpTaUvsUTefLAQ&amp;ust=1447125437775977" TargetMode="External"/><Relationship Id="rId41"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nrm.gov.au/national-landcare-programme" TargetMode="External"/><Relationship Id="rId32" Type="http://schemas.openxmlformats.org/officeDocument/2006/relationships/image" Target="media/image80.jpe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7.emf"/><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50.jpeg"/><Relationship Id="rId31" Type="http://schemas.openxmlformats.org/officeDocument/2006/relationships/hyperlink" Target="http://www.google.com.au/url?sa=i&amp;rct=j&amp;q=&amp;esrc=s&amp;frm=1&amp;source=images&amp;cd=&amp;cad=rja&amp;uact=8&amp;ved=0CAcQjRxqFQoTCN2FhbqzgskCFePjpgodfx4FYg&amp;url=http://www.dairybusiness.com.au/&amp;bvm=bv.106923889,d.dGY&amp;psig=AFQjCNGfequggrBYvRLpnpTaUvsUTefLAQ&amp;ust=144712543777597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creativecommons.org/licenses/by/4.0/" TargetMode="External"/><Relationship Id="rId27" Type="http://schemas.openxmlformats.org/officeDocument/2006/relationships/image" Target="media/image60.png"/><Relationship Id="rId30" Type="http://schemas.openxmlformats.org/officeDocument/2006/relationships/image" Target="media/image8.jpeg"/><Relationship Id="rId35" Type="http://schemas.openxmlformats.org/officeDocument/2006/relationships/footer" Target="footer4.xml"/><Relationship Id="rId43"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www.nrm.gov.au/my-project/monitoring-and-reporting-plan/merit" TargetMode="External"/><Relationship Id="rId33" Type="http://schemas.openxmlformats.org/officeDocument/2006/relationships/header" Target="header4.xml"/><Relationship Id="rId38"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lcf76f155ced4ddcb4097134ff3c332f xmlns="ac7ce04e-ea5d-4d46-bab0-39b1fa6a6f36">
      <Terms xmlns="http://schemas.microsoft.com/office/infopath/2007/PartnerControls"/>
    </lcf76f155ced4ddcb4097134ff3c332f>
    <TaxCatchAll xmlns="425a5c30-4c2f-474f-aa2f-443e46b3d189" xsi:nil="true"/>
  </documentManagement>
</p:properties>
</file>

<file path=customXml/itemProps1.xml><?xml version="1.0" encoding="utf-8"?>
<ds:datastoreItem xmlns:ds="http://schemas.openxmlformats.org/officeDocument/2006/customXml" ds:itemID="{7F31AD8D-BD1F-492A-87CB-983F78F21D50}"/>
</file>

<file path=customXml/itemProps2.xml><?xml version="1.0" encoding="utf-8"?>
<ds:datastoreItem xmlns:ds="http://schemas.openxmlformats.org/officeDocument/2006/customXml" ds:itemID="{DDFB913F-2DE3-43D4-9B91-036BCD62B9AD}"/>
</file>

<file path=customXml/itemProps3.xml><?xml version="1.0" encoding="utf-8"?>
<ds:datastoreItem xmlns:ds="http://schemas.openxmlformats.org/officeDocument/2006/customXml" ds:itemID="{F3005216-0F6B-4E64-8836-1926E5CA1AA7}"/>
</file>

<file path=docProps/app.xml><?xml version="1.0" encoding="utf-8"?>
<Properties xmlns="http://schemas.openxmlformats.org/officeDocument/2006/extended-properties" xmlns:vt="http://schemas.openxmlformats.org/officeDocument/2006/docPropsVTypes">
  <Template>99B85811.dotm</Template>
  <TotalTime>0</TotalTime>
  <Pages>4</Pages>
  <Words>681</Words>
  <Characters>3884</Characters>
  <Application>Microsoft Office Word</Application>
  <DocSecurity>0</DocSecurity>
  <Lines>32</Lines>
  <Paragraphs>9</Paragraphs>
  <ScaleCrop>false</ScaleCrop>
  <Company/>
  <LinksUpToDate>false</LinksUpToDate>
  <CharactersWithSpaces>4556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benefits of Landcare - Three case studies highlight some of the on-farm and off-farm economic impacts of Landcare</dc:title>
  <dc:creator/>
  <cp:lastModifiedBy/>
  <cp:revision>1</cp:revision>
  <dcterms:created xsi:type="dcterms:W3CDTF">2017-02-14T03:16:00Z</dcterms:created>
  <dcterms:modified xsi:type="dcterms:W3CDTF">2017-02-14T03:16:00Z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