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5FD" w:rsidRDefault="00A165FD">
      <w:pPr>
        <w:spacing w:after="0" w:line="240" w:lineRule="auto"/>
        <w:rPr>
          <w:rStyle w:val="IntenseEmphasis"/>
          <w:rFonts w:eastAsia="Calibri"/>
          <w:b/>
          <w:i w:val="0"/>
          <w:color w:val="1F497D" w:themeColor="text2"/>
          <w:sz w:val="28"/>
          <w:szCs w:val="22"/>
        </w:rPr>
      </w:pPr>
      <w:bookmarkStart w:id="0" w:name="_Toc367893201"/>
    </w:p>
    <w:p w:rsidR="00A165FD" w:rsidRPr="001557D0" w:rsidRDefault="00A165FD" w:rsidP="00A165FD">
      <w:pPr>
        <w:spacing w:line="240" w:lineRule="auto"/>
        <w:ind w:right="46" w:hanging="1418"/>
        <w:rPr>
          <w:b/>
          <w:color w:val="365F91" w:themeColor="accent1" w:themeShade="BF"/>
          <w:sz w:val="16"/>
          <w:szCs w:val="16"/>
        </w:rPr>
      </w:pPr>
      <w:r>
        <w:rPr>
          <w:noProof/>
          <w:lang w:eastAsia="en-AU"/>
        </w:rPr>
        <w:drawing>
          <wp:anchor distT="0" distB="0" distL="114300" distR="114300" simplePos="0" relativeHeight="251662336" behindDoc="0" locked="0" layoutInCell="1" allowOverlap="1">
            <wp:simplePos x="0" y="0"/>
            <wp:positionH relativeFrom="column">
              <wp:posOffset>5692775</wp:posOffset>
            </wp:positionH>
            <wp:positionV relativeFrom="paragraph">
              <wp:posOffset>464820</wp:posOffset>
            </wp:positionV>
            <wp:extent cx="648970" cy="762000"/>
            <wp:effectExtent l="19050" t="0" r="0" b="0"/>
            <wp:wrapTopAndBottom/>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48970" cy="7620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0" locked="0" layoutInCell="1" allowOverlap="1">
            <wp:simplePos x="0" y="0"/>
            <wp:positionH relativeFrom="page">
              <wp:posOffset>6661150</wp:posOffset>
            </wp:positionH>
            <wp:positionV relativeFrom="page">
              <wp:posOffset>360045</wp:posOffset>
            </wp:positionV>
            <wp:extent cx="590550" cy="1076325"/>
            <wp:effectExtent l="19050" t="0" r="0" b="0"/>
            <wp:wrapSquare wrapText="bothSides"/>
            <wp:docPr id="2" name="Picture 2" descr="s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di"/>
                    <pic:cNvPicPr>
                      <a:picLocks noChangeAspect="1" noChangeArrowheads="1"/>
                    </pic:cNvPicPr>
                  </pic:nvPicPr>
                  <pic:blipFill>
                    <a:blip r:embed="rId14" cstate="print"/>
                    <a:srcRect/>
                    <a:stretch>
                      <a:fillRect/>
                    </a:stretch>
                  </pic:blipFill>
                  <pic:spPr bwMode="auto">
                    <a:xfrm>
                      <a:off x="0" y="0"/>
                      <a:ext cx="590550" cy="1076325"/>
                    </a:xfrm>
                    <a:prstGeom prst="rect">
                      <a:avLst/>
                    </a:prstGeom>
                    <a:noFill/>
                  </pic:spPr>
                </pic:pic>
              </a:graphicData>
            </a:graphic>
          </wp:anchor>
        </w:drawing>
      </w:r>
      <w:r w:rsidRPr="0080365E">
        <w:rPr>
          <w:noProof/>
          <w:lang w:eastAsia="en-AU"/>
        </w:rPr>
        <w:drawing>
          <wp:anchor distT="0" distB="0" distL="114300" distR="114300" simplePos="0" relativeHeight="251661312" behindDoc="0" locked="0" layoutInCell="1" allowOverlap="1">
            <wp:simplePos x="0" y="0"/>
            <wp:positionH relativeFrom="page">
              <wp:posOffset>180340</wp:posOffset>
            </wp:positionH>
            <wp:positionV relativeFrom="page">
              <wp:posOffset>360045</wp:posOffset>
            </wp:positionV>
            <wp:extent cx="2876550" cy="11049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76550" cy="1104900"/>
                    </a:xfrm>
                    <a:prstGeom prst="rect">
                      <a:avLst/>
                    </a:prstGeom>
                    <a:noFill/>
                    <a:ln w="9525">
                      <a:noFill/>
                      <a:miter lim="800000"/>
                      <a:headEnd/>
                      <a:tailEnd/>
                    </a:ln>
                  </pic:spPr>
                </pic:pic>
              </a:graphicData>
            </a:graphic>
          </wp:anchor>
        </w:drawing>
      </w:r>
      <w:r>
        <w:rPr>
          <w:color w:val="365F91" w:themeColor="accent1" w:themeShade="BF"/>
        </w:rPr>
        <w:tab/>
      </w:r>
      <w:r>
        <w:rPr>
          <w:color w:val="365F91" w:themeColor="accent1" w:themeShade="BF"/>
        </w:rPr>
        <w:tab/>
      </w:r>
      <w:r w:rsidRPr="00351862">
        <w:rPr>
          <w:b/>
          <w:color w:val="365F91" w:themeColor="accent1" w:themeShade="BF"/>
        </w:rPr>
        <w:tab/>
      </w:r>
      <w:r w:rsidRPr="001557D0">
        <w:rPr>
          <w:b/>
          <w:color w:val="365F91" w:themeColor="accent1" w:themeShade="BF"/>
          <w:sz w:val="16"/>
          <w:szCs w:val="16"/>
        </w:rPr>
        <w:tab/>
      </w:r>
      <w:r w:rsidRPr="001557D0">
        <w:rPr>
          <w:b/>
          <w:color w:val="365F91" w:themeColor="accent1" w:themeShade="BF"/>
          <w:sz w:val="16"/>
          <w:szCs w:val="16"/>
        </w:rPr>
        <w:tab/>
      </w:r>
      <w:r w:rsidRPr="001557D0">
        <w:rPr>
          <w:b/>
          <w:color w:val="365F91" w:themeColor="accent1" w:themeShade="BF"/>
          <w:sz w:val="16"/>
          <w:szCs w:val="16"/>
        </w:rPr>
        <w:tab/>
      </w:r>
    </w:p>
    <w:p w:rsidR="00A165FD" w:rsidRPr="00CD3C0C" w:rsidRDefault="00A165FD" w:rsidP="00A165FD">
      <w:pPr>
        <w:pStyle w:val="Title"/>
        <w:rPr>
          <w:b/>
          <w:color w:val="1F497D" w:themeColor="text2"/>
          <w:sz w:val="24"/>
          <w:szCs w:val="20"/>
        </w:rPr>
      </w:pPr>
      <w:r>
        <w:rPr>
          <w:color w:val="1F497D" w:themeColor="text2"/>
        </w:rPr>
        <w:t>Executive Summary</w:t>
      </w:r>
      <w:r w:rsidRPr="00CD3C0C">
        <w:rPr>
          <w:color w:val="1F497D" w:themeColor="text2"/>
        </w:rPr>
        <w:t xml:space="preserve"> </w:t>
      </w:r>
      <w:r w:rsidR="00A06477">
        <w:rPr>
          <w:color w:val="1F497D" w:themeColor="text2"/>
        </w:rPr>
        <w:t>–</w:t>
      </w:r>
      <w:r>
        <w:rPr>
          <w:color w:val="1F497D" w:themeColor="text2"/>
        </w:rPr>
        <w:t xml:space="preserve"> </w:t>
      </w:r>
      <w:r w:rsidR="00A06477">
        <w:rPr>
          <w:color w:val="1F497D" w:themeColor="text2"/>
        </w:rPr>
        <w:t>Interim Report</w:t>
      </w:r>
      <w:r>
        <w:rPr>
          <w:color w:val="1F497D" w:themeColor="text2"/>
        </w:rPr>
        <w:t xml:space="preserve"> </w:t>
      </w:r>
    </w:p>
    <w:p w:rsidR="00A165FD" w:rsidRDefault="00A165FD" w:rsidP="00A165FD">
      <w:pPr>
        <w:pStyle w:val="Subtitle"/>
        <w:spacing w:line="240" w:lineRule="auto"/>
        <w:jc w:val="center"/>
        <w:rPr>
          <w:color w:val="365F91" w:themeColor="accent1" w:themeShade="BF"/>
          <w:sz w:val="36"/>
          <w:szCs w:val="36"/>
        </w:rPr>
      </w:pPr>
    </w:p>
    <w:p w:rsidR="00A165FD" w:rsidRPr="005207FC" w:rsidRDefault="00A165FD" w:rsidP="00A165FD">
      <w:pPr>
        <w:pStyle w:val="Subtitle"/>
        <w:spacing w:line="240" w:lineRule="auto"/>
        <w:jc w:val="center"/>
        <w:rPr>
          <w:color w:val="365F91" w:themeColor="accent1" w:themeShade="BF"/>
          <w:sz w:val="36"/>
          <w:szCs w:val="36"/>
        </w:rPr>
      </w:pPr>
      <w:r w:rsidRPr="005207FC">
        <w:rPr>
          <w:color w:val="365F91" w:themeColor="accent1" w:themeShade="BF"/>
          <w:sz w:val="36"/>
          <w:szCs w:val="36"/>
        </w:rPr>
        <w:t>Monitoring the ecosystem responses to Commonwealth environmental water delivered to the lower River Murray in 2012-13</w:t>
      </w:r>
    </w:p>
    <w:p w:rsidR="00A165FD" w:rsidRDefault="00A165FD" w:rsidP="00A165FD">
      <w:pPr>
        <w:spacing w:line="240" w:lineRule="auto"/>
        <w:jc w:val="center"/>
        <w:rPr>
          <w:color w:val="1F497D" w:themeColor="text2"/>
        </w:rPr>
      </w:pPr>
    </w:p>
    <w:p w:rsidR="00A165FD" w:rsidRDefault="00A165FD" w:rsidP="00A165FD">
      <w:pPr>
        <w:spacing w:line="240" w:lineRule="auto"/>
        <w:jc w:val="center"/>
        <w:rPr>
          <w:color w:val="1F497D" w:themeColor="text2"/>
        </w:rPr>
      </w:pPr>
      <w:r w:rsidRPr="008F6DA4">
        <w:rPr>
          <w:color w:val="1F497D" w:themeColor="text2"/>
        </w:rPr>
        <w:t xml:space="preserve">A report prepared by the </w:t>
      </w:r>
      <w:bookmarkStart w:id="1" w:name="OLE_LINK5"/>
      <w:bookmarkStart w:id="2" w:name="OLE_LINK6"/>
      <w:r w:rsidRPr="008F6DA4">
        <w:rPr>
          <w:color w:val="1F497D" w:themeColor="text2"/>
        </w:rPr>
        <w:t>South Australi</w:t>
      </w:r>
      <w:r>
        <w:rPr>
          <w:color w:val="1F497D" w:themeColor="text2"/>
        </w:rPr>
        <w:t>an Research and Development Ins</w:t>
      </w:r>
      <w:r w:rsidRPr="008F6DA4">
        <w:rPr>
          <w:color w:val="1F497D" w:themeColor="text2"/>
        </w:rPr>
        <w:t>titute</w:t>
      </w:r>
      <w:bookmarkEnd w:id="1"/>
      <w:bookmarkEnd w:id="2"/>
      <w:r w:rsidRPr="008F6DA4">
        <w:rPr>
          <w:color w:val="1F497D" w:themeColor="text2"/>
        </w:rPr>
        <w:t>, Aquatic Sciences, for Commonwealth Environmental Water Office</w:t>
      </w:r>
    </w:p>
    <w:p w:rsidR="00A165FD" w:rsidRPr="008F6DA4" w:rsidRDefault="00A165FD" w:rsidP="00A165FD">
      <w:pPr>
        <w:spacing w:line="240" w:lineRule="auto"/>
        <w:jc w:val="center"/>
        <w:rPr>
          <w:color w:val="1F497D" w:themeColor="text2"/>
        </w:rPr>
      </w:pPr>
      <w:bookmarkStart w:id="3" w:name="_GoBack"/>
      <w:bookmarkEnd w:id="3"/>
      <w:r>
        <w:rPr>
          <w:noProof/>
          <w:color w:val="1F497D" w:themeColor="text2"/>
          <w:lang w:eastAsia="en-AU"/>
        </w:rPr>
        <w:drawing>
          <wp:inline distT="0" distB="0" distL="0" distR="0">
            <wp:extent cx="4310380" cy="3268345"/>
            <wp:effectExtent l="190500" t="152400" r="166370" b="14160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310380" cy="3268345"/>
                    </a:xfrm>
                    <a:prstGeom prst="rect">
                      <a:avLst/>
                    </a:prstGeom>
                    <a:ln>
                      <a:noFill/>
                    </a:ln>
                    <a:effectLst>
                      <a:outerShdw blurRad="190500" algn="tl" rotWithShape="0">
                        <a:srgbClr val="000000">
                          <a:alpha val="70000"/>
                        </a:srgbClr>
                      </a:outerShdw>
                    </a:effectLst>
                  </pic:spPr>
                </pic:pic>
              </a:graphicData>
            </a:graphic>
          </wp:inline>
        </w:drawing>
      </w:r>
    </w:p>
    <w:p w:rsidR="00A165FD" w:rsidRPr="008F6DA4" w:rsidRDefault="00A165FD" w:rsidP="00A165FD">
      <w:pPr>
        <w:spacing w:line="240" w:lineRule="auto"/>
        <w:jc w:val="center"/>
        <w:rPr>
          <w:color w:val="1F497D" w:themeColor="text2"/>
        </w:rPr>
      </w:pPr>
    </w:p>
    <w:p w:rsidR="00A165FD" w:rsidRPr="00364214" w:rsidRDefault="00A165FD" w:rsidP="00A165FD">
      <w:pPr>
        <w:jc w:val="center"/>
        <w:rPr>
          <w:rStyle w:val="Strong"/>
          <w:color w:val="365F91" w:themeColor="accent1" w:themeShade="BF"/>
          <w:sz w:val="36"/>
          <w:szCs w:val="36"/>
        </w:rPr>
      </w:pPr>
      <w:r>
        <w:rPr>
          <w:rStyle w:val="Strong"/>
          <w:color w:val="365F91" w:themeColor="accent1" w:themeShade="BF"/>
          <w:sz w:val="36"/>
          <w:szCs w:val="36"/>
        </w:rPr>
        <w:t>October</w:t>
      </w:r>
      <w:r w:rsidRPr="00364214">
        <w:rPr>
          <w:rStyle w:val="Strong"/>
          <w:color w:val="365F91" w:themeColor="accent1" w:themeShade="BF"/>
          <w:sz w:val="36"/>
          <w:szCs w:val="36"/>
        </w:rPr>
        <w:t xml:space="preserve"> 2013</w:t>
      </w:r>
    </w:p>
    <w:p w:rsidR="00A165FD" w:rsidRDefault="00A165FD" w:rsidP="00A165FD">
      <w:pPr>
        <w:spacing w:line="276" w:lineRule="auto"/>
        <w:rPr>
          <w:rStyle w:val="Strong"/>
          <w:color w:val="365F91" w:themeColor="accent1" w:themeShade="BF"/>
        </w:rPr>
        <w:sectPr w:rsidR="00A165FD" w:rsidSect="00A165FD">
          <w:headerReference w:type="default" r:id="rId17"/>
          <w:footerReference w:type="default" r:id="rId18"/>
          <w:pgSz w:w="11906" w:h="16838" w:code="9"/>
          <w:pgMar w:top="1440" w:right="1440" w:bottom="1440" w:left="1440" w:header="709" w:footer="709" w:gutter="0"/>
          <w:cols w:space="708"/>
          <w:titlePg/>
          <w:docGrid w:linePitch="360"/>
        </w:sectPr>
      </w:pPr>
      <w:r>
        <w:rPr>
          <w:rStyle w:val="Strong"/>
          <w:color w:val="365F91" w:themeColor="accent1" w:themeShade="BF"/>
        </w:rPr>
        <w:br w:type="page"/>
      </w:r>
    </w:p>
    <w:p w:rsidR="00A165FD" w:rsidRPr="00A165FD" w:rsidRDefault="00A165FD" w:rsidP="00A165FD">
      <w:pPr>
        <w:rPr>
          <w:b/>
          <w:bCs/>
          <w:color w:val="355F91"/>
          <w:sz w:val="20"/>
          <w:szCs w:val="22"/>
        </w:rPr>
      </w:pPr>
      <w:proofErr w:type="spellStart"/>
      <w:r w:rsidRPr="00A165FD">
        <w:rPr>
          <w:rStyle w:val="Strong"/>
          <w:color w:val="355F91"/>
          <w:sz w:val="22"/>
        </w:rPr>
        <w:lastRenderedPageBreak/>
        <w:t>Ye</w:t>
      </w:r>
      <w:proofErr w:type="spellEnd"/>
      <w:r w:rsidRPr="00A165FD">
        <w:rPr>
          <w:rStyle w:val="Strong"/>
          <w:color w:val="355F91"/>
          <w:sz w:val="22"/>
        </w:rPr>
        <w:t>, Q.</w:t>
      </w:r>
      <w:r w:rsidRPr="00A165FD">
        <w:rPr>
          <w:rStyle w:val="Strong"/>
          <w:color w:val="355F91"/>
          <w:sz w:val="22"/>
          <w:vertAlign w:val="superscript"/>
        </w:rPr>
        <w:t>1</w:t>
      </w:r>
      <w:r w:rsidRPr="00A165FD">
        <w:rPr>
          <w:rStyle w:val="Strong"/>
          <w:color w:val="355F91"/>
          <w:sz w:val="22"/>
        </w:rPr>
        <w:t xml:space="preserve">, </w:t>
      </w:r>
      <w:proofErr w:type="spellStart"/>
      <w:r w:rsidRPr="00A165FD">
        <w:rPr>
          <w:rStyle w:val="Strong"/>
          <w:color w:val="355F91"/>
          <w:sz w:val="22"/>
        </w:rPr>
        <w:t>Livore</w:t>
      </w:r>
      <w:proofErr w:type="spellEnd"/>
      <w:r w:rsidRPr="00A165FD">
        <w:rPr>
          <w:rStyle w:val="Strong"/>
          <w:color w:val="355F91"/>
          <w:sz w:val="22"/>
        </w:rPr>
        <w:t>, J.</w:t>
      </w:r>
      <w:r w:rsidRPr="00A165FD">
        <w:rPr>
          <w:rStyle w:val="Strong"/>
          <w:color w:val="355F91"/>
          <w:sz w:val="22"/>
          <w:vertAlign w:val="superscript"/>
        </w:rPr>
        <w:t>1</w:t>
      </w:r>
      <w:r w:rsidRPr="00A165FD">
        <w:rPr>
          <w:rStyle w:val="Strong"/>
          <w:color w:val="355F91"/>
          <w:sz w:val="22"/>
        </w:rPr>
        <w:t>, Aldridge, K.</w:t>
      </w:r>
      <w:r w:rsidRPr="00A165FD">
        <w:rPr>
          <w:rStyle w:val="Strong"/>
          <w:color w:val="355F91"/>
          <w:sz w:val="22"/>
          <w:vertAlign w:val="superscript"/>
        </w:rPr>
        <w:t>2</w:t>
      </w:r>
      <w:r w:rsidRPr="00A165FD">
        <w:rPr>
          <w:rStyle w:val="Strong"/>
          <w:color w:val="355F91"/>
          <w:sz w:val="22"/>
        </w:rPr>
        <w:t>, Bradford, T.</w:t>
      </w:r>
      <w:r w:rsidRPr="00A165FD">
        <w:rPr>
          <w:rStyle w:val="Strong"/>
          <w:color w:val="355F91"/>
          <w:sz w:val="22"/>
          <w:vertAlign w:val="superscript"/>
        </w:rPr>
        <w:t xml:space="preserve"> 3</w:t>
      </w:r>
      <w:r w:rsidRPr="00A165FD">
        <w:rPr>
          <w:rStyle w:val="Strong"/>
          <w:color w:val="355F91"/>
          <w:sz w:val="22"/>
        </w:rPr>
        <w:t>, Busch, B.</w:t>
      </w:r>
      <w:r w:rsidRPr="00A165FD">
        <w:rPr>
          <w:rStyle w:val="Strong"/>
          <w:color w:val="355F91"/>
          <w:sz w:val="22"/>
          <w:vertAlign w:val="superscript"/>
        </w:rPr>
        <w:t>2</w:t>
      </w:r>
      <w:r w:rsidRPr="00A165FD">
        <w:rPr>
          <w:rStyle w:val="Strong"/>
          <w:color w:val="355F91"/>
          <w:sz w:val="22"/>
        </w:rPr>
        <w:t>, Earl, J</w:t>
      </w:r>
      <w:r w:rsidRPr="00A165FD">
        <w:rPr>
          <w:rStyle w:val="Strong"/>
          <w:color w:val="355F91"/>
          <w:sz w:val="22"/>
          <w:vertAlign w:val="superscript"/>
        </w:rPr>
        <w:t>1</w:t>
      </w:r>
      <w:r w:rsidRPr="00A165FD">
        <w:rPr>
          <w:rStyle w:val="Strong"/>
          <w:color w:val="355F91"/>
          <w:sz w:val="22"/>
        </w:rPr>
        <w:t xml:space="preserve">., </w:t>
      </w:r>
      <w:proofErr w:type="spellStart"/>
      <w:r w:rsidRPr="00A165FD">
        <w:rPr>
          <w:rStyle w:val="Strong"/>
          <w:color w:val="355F91"/>
          <w:sz w:val="22"/>
        </w:rPr>
        <w:t>Hipsey</w:t>
      </w:r>
      <w:proofErr w:type="spellEnd"/>
      <w:r w:rsidRPr="00A165FD">
        <w:rPr>
          <w:rStyle w:val="Strong"/>
          <w:color w:val="355F91"/>
          <w:sz w:val="22"/>
        </w:rPr>
        <w:t>, M.</w:t>
      </w:r>
      <w:r w:rsidRPr="00A165FD">
        <w:rPr>
          <w:rStyle w:val="Strong"/>
          <w:color w:val="355F91"/>
          <w:sz w:val="22"/>
          <w:vertAlign w:val="superscript"/>
        </w:rPr>
        <w:t>4</w:t>
      </w:r>
      <w:r w:rsidRPr="00A165FD">
        <w:rPr>
          <w:rStyle w:val="Strong"/>
          <w:color w:val="355F91"/>
          <w:sz w:val="22"/>
        </w:rPr>
        <w:t>, Lorenz, Z.</w:t>
      </w:r>
      <w:r w:rsidRPr="00A165FD">
        <w:rPr>
          <w:rStyle w:val="Strong"/>
          <w:color w:val="355F91"/>
          <w:sz w:val="22"/>
          <w:vertAlign w:val="superscript"/>
        </w:rPr>
        <w:t>3</w:t>
      </w:r>
      <w:r w:rsidRPr="00A165FD">
        <w:rPr>
          <w:rStyle w:val="Strong"/>
          <w:color w:val="355F91"/>
          <w:sz w:val="22"/>
        </w:rPr>
        <w:t>, Oliver, R.</w:t>
      </w:r>
      <w:r w:rsidRPr="00A165FD">
        <w:rPr>
          <w:rStyle w:val="Strong"/>
          <w:color w:val="355F91"/>
          <w:sz w:val="22"/>
          <w:vertAlign w:val="superscript"/>
        </w:rPr>
        <w:t>3</w:t>
      </w:r>
      <w:r w:rsidRPr="00A165FD">
        <w:rPr>
          <w:rStyle w:val="Strong"/>
          <w:color w:val="355F91"/>
          <w:sz w:val="22"/>
        </w:rPr>
        <w:t xml:space="preserve">, </w:t>
      </w:r>
      <w:proofErr w:type="spellStart"/>
      <w:r w:rsidRPr="00A165FD">
        <w:rPr>
          <w:rStyle w:val="Strong"/>
          <w:color w:val="355F91"/>
          <w:sz w:val="22"/>
        </w:rPr>
        <w:t>Shiel</w:t>
      </w:r>
      <w:proofErr w:type="spellEnd"/>
      <w:r w:rsidRPr="00A165FD">
        <w:rPr>
          <w:rStyle w:val="Strong"/>
          <w:color w:val="355F91"/>
          <w:sz w:val="22"/>
        </w:rPr>
        <w:t>, R.</w:t>
      </w:r>
      <w:r w:rsidRPr="00A165FD">
        <w:rPr>
          <w:rStyle w:val="Strong"/>
          <w:color w:val="355F91"/>
          <w:sz w:val="22"/>
          <w:vertAlign w:val="superscript"/>
        </w:rPr>
        <w:t>5</w:t>
      </w:r>
      <w:r w:rsidRPr="00A165FD">
        <w:rPr>
          <w:rStyle w:val="Strong"/>
          <w:color w:val="355F91"/>
          <w:sz w:val="22"/>
        </w:rPr>
        <w:t>, Suitor, L.</w:t>
      </w:r>
      <w:r w:rsidRPr="00A165FD">
        <w:rPr>
          <w:rStyle w:val="Strong"/>
          <w:color w:val="355F91"/>
          <w:sz w:val="22"/>
          <w:vertAlign w:val="superscript"/>
        </w:rPr>
        <w:t>6</w:t>
      </w:r>
      <w:r w:rsidRPr="00A165FD">
        <w:rPr>
          <w:rStyle w:val="Strong"/>
          <w:color w:val="355F91"/>
          <w:sz w:val="22"/>
        </w:rPr>
        <w:t>, Tan, L.</w:t>
      </w:r>
      <w:r w:rsidRPr="00A165FD">
        <w:rPr>
          <w:rStyle w:val="Strong"/>
          <w:color w:val="355F91"/>
          <w:sz w:val="22"/>
          <w:vertAlign w:val="superscript"/>
        </w:rPr>
        <w:t>5</w:t>
      </w:r>
      <w:r w:rsidRPr="00A165FD">
        <w:rPr>
          <w:rStyle w:val="Strong"/>
          <w:color w:val="355F91"/>
          <w:sz w:val="22"/>
        </w:rPr>
        <w:t>, Turner, R.</w:t>
      </w:r>
      <w:r w:rsidRPr="00A165FD">
        <w:rPr>
          <w:rStyle w:val="Strong"/>
          <w:color w:val="355F91"/>
          <w:sz w:val="22"/>
          <w:vertAlign w:val="superscript"/>
        </w:rPr>
        <w:t>6</w:t>
      </w:r>
      <w:r w:rsidRPr="00A165FD">
        <w:rPr>
          <w:rStyle w:val="Strong"/>
          <w:color w:val="355F91"/>
          <w:sz w:val="22"/>
        </w:rPr>
        <w:t xml:space="preserve">, and </w:t>
      </w:r>
      <w:r w:rsidRPr="00A165FD">
        <w:rPr>
          <w:b/>
          <w:bCs/>
          <w:color w:val="355F91"/>
          <w:sz w:val="20"/>
          <w:szCs w:val="22"/>
        </w:rPr>
        <w:t>Wegener, I.</w:t>
      </w:r>
      <w:r w:rsidRPr="00A165FD">
        <w:rPr>
          <w:rStyle w:val="Strong"/>
          <w:color w:val="355F91"/>
          <w:sz w:val="22"/>
          <w:vertAlign w:val="superscript"/>
        </w:rPr>
        <w:t>6</w:t>
      </w:r>
      <w:r w:rsidRPr="00A165FD">
        <w:rPr>
          <w:b/>
          <w:bCs/>
          <w:color w:val="355F91"/>
          <w:sz w:val="20"/>
          <w:szCs w:val="22"/>
        </w:rPr>
        <w:t xml:space="preserve"> (2013). Monitoring the ecosystem responses to Commonwealth environmental water delivered to the lower River Murray in 2012-13. Report 1, prepared for Commonwealth Environmental Water Office. </w:t>
      </w:r>
      <w:proofErr w:type="gramStart"/>
      <w:r w:rsidRPr="00A165FD">
        <w:rPr>
          <w:b/>
          <w:bCs/>
          <w:color w:val="355F91"/>
          <w:sz w:val="20"/>
          <w:szCs w:val="22"/>
        </w:rPr>
        <w:t>South Australian Research and Development Institute, Aquatic Sciences.</w:t>
      </w:r>
      <w:proofErr w:type="gramEnd"/>
      <w:r w:rsidRPr="00A165FD">
        <w:rPr>
          <w:b/>
          <w:bCs/>
          <w:color w:val="355F91"/>
          <w:sz w:val="20"/>
          <w:szCs w:val="22"/>
        </w:rPr>
        <w:t xml:space="preserve"> </w:t>
      </w:r>
    </w:p>
    <w:p w:rsidR="00A165FD" w:rsidRPr="00A165FD" w:rsidRDefault="00A165FD" w:rsidP="00A165FD">
      <w:pPr>
        <w:spacing w:after="0" w:line="240" w:lineRule="auto"/>
        <w:rPr>
          <w:rStyle w:val="Strong"/>
          <w:b w:val="0"/>
          <w:sz w:val="20"/>
        </w:rPr>
      </w:pPr>
      <w:r w:rsidRPr="00A165FD">
        <w:rPr>
          <w:rStyle w:val="Strong"/>
          <w:b w:val="0"/>
          <w:sz w:val="20"/>
          <w:vertAlign w:val="superscript"/>
        </w:rPr>
        <w:t>1</w:t>
      </w:r>
      <w:r w:rsidRPr="00A165FD">
        <w:rPr>
          <w:rStyle w:val="Strong"/>
          <w:b w:val="0"/>
          <w:sz w:val="20"/>
        </w:rPr>
        <w:t xml:space="preserve"> SARDI Aquatics Sciences</w:t>
      </w:r>
    </w:p>
    <w:p w:rsidR="00A165FD" w:rsidRPr="00A165FD" w:rsidRDefault="00A165FD" w:rsidP="00A165FD">
      <w:pPr>
        <w:spacing w:after="0" w:line="240" w:lineRule="auto"/>
        <w:rPr>
          <w:rStyle w:val="Strong"/>
          <w:b w:val="0"/>
          <w:sz w:val="20"/>
        </w:rPr>
      </w:pPr>
      <w:r w:rsidRPr="00A165FD">
        <w:rPr>
          <w:rStyle w:val="Strong"/>
          <w:b w:val="0"/>
          <w:sz w:val="20"/>
          <w:vertAlign w:val="superscript"/>
        </w:rPr>
        <w:t>2</w:t>
      </w:r>
      <w:r w:rsidRPr="00A165FD">
        <w:rPr>
          <w:rStyle w:val="Strong"/>
          <w:b w:val="0"/>
          <w:sz w:val="20"/>
        </w:rPr>
        <w:t xml:space="preserve"> The University of Adelaide</w:t>
      </w:r>
    </w:p>
    <w:p w:rsidR="00A165FD" w:rsidRPr="00A165FD" w:rsidRDefault="00A165FD" w:rsidP="00A165FD">
      <w:pPr>
        <w:spacing w:after="0" w:line="240" w:lineRule="auto"/>
        <w:rPr>
          <w:rStyle w:val="Strong"/>
          <w:b w:val="0"/>
          <w:sz w:val="20"/>
        </w:rPr>
      </w:pPr>
      <w:r w:rsidRPr="00A165FD">
        <w:rPr>
          <w:rStyle w:val="Strong"/>
          <w:b w:val="0"/>
          <w:sz w:val="20"/>
          <w:vertAlign w:val="superscript"/>
        </w:rPr>
        <w:t>3</w:t>
      </w:r>
      <w:r w:rsidRPr="00A165FD">
        <w:rPr>
          <w:rStyle w:val="Strong"/>
          <w:b w:val="0"/>
          <w:sz w:val="20"/>
        </w:rPr>
        <w:t xml:space="preserve"> CSIRO</w:t>
      </w:r>
    </w:p>
    <w:p w:rsidR="00A165FD" w:rsidRPr="00A165FD" w:rsidRDefault="00A165FD" w:rsidP="00A165FD">
      <w:pPr>
        <w:spacing w:after="0" w:line="240" w:lineRule="auto"/>
        <w:rPr>
          <w:rStyle w:val="Strong"/>
          <w:b w:val="0"/>
          <w:sz w:val="20"/>
        </w:rPr>
      </w:pPr>
      <w:r w:rsidRPr="00A165FD">
        <w:rPr>
          <w:rStyle w:val="Strong"/>
          <w:b w:val="0"/>
          <w:sz w:val="20"/>
          <w:vertAlign w:val="superscript"/>
        </w:rPr>
        <w:t xml:space="preserve">4 </w:t>
      </w:r>
      <w:r w:rsidRPr="00A165FD">
        <w:rPr>
          <w:rStyle w:val="Strong"/>
          <w:b w:val="0"/>
          <w:sz w:val="20"/>
        </w:rPr>
        <w:t>The University of Western Australia</w:t>
      </w:r>
    </w:p>
    <w:p w:rsidR="00A165FD" w:rsidRPr="00A165FD" w:rsidRDefault="00A165FD" w:rsidP="00A165FD">
      <w:pPr>
        <w:spacing w:after="0" w:line="240" w:lineRule="auto"/>
        <w:rPr>
          <w:rStyle w:val="Strong"/>
          <w:b w:val="0"/>
          <w:sz w:val="20"/>
        </w:rPr>
      </w:pPr>
      <w:r w:rsidRPr="00A165FD">
        <w:rPr>
          <w:rStyle w:val="Strong"/>
          <w:b w:val="0"/>
          <w:sz w:val="20"/>
          <w:vertAlign w:val="superscript"/>
        </w:rPr>
        <w:t xml:space="preserve">5 </w:t>
      </w:r>
      <w:r w:rsidRPr="00A165FD">
        <w:rPr>
          <w:rStyle w:val="Strong"/>
          <w:b w:val="0"/>
          <w:sz w:val="20"/>
        </w:rPr>
        <w:t>Wetland Research and Management</w:t>
      </w:r>
    </w:p>
    <w:p w:rsidR="00A165FD" w:rsidRPr="00A165FD" w:rsidRDefault="00A165FD" w:rsidP="00A165FD">
      <w:pPr>
        <w:spacing w:after="0" w:line="240" w:lineRule="auto"/>
        <w:rPr>
          <w:rStyle w:val="Strong"/>
          <w:b w:val="0"/>
          <w:sz w:val="20"/>
        </w:rPr>
      </w:pPr>
      <w:r w:rsidRPr="00A165FD">
        <w:rPr>
          <w:rStyle w:val="Strong"/>
          <w:b w:val="0"/>
          <w:sz w:val="20"/>
          <w:vertAlign w:val="superscript"/>
        </w:rPr>
        <w:t>6</w:t>
      </w:r>
      <w:r w:rsidRPr="00A165FD">
        <w:rPr>
          <w:rStyle w:val="Strong"/>
          <w:b w:val="0"/>
          <w:sz w:val="20"/>
        </w:rPr>
        <w:t xml:space="preserve"> The Department of Environment, Water and Natural Resources</w:t>
      </w:r>
    </w:p>
    <w:p w:rsidR="00A165FD" w:rsidRPr="00A165FD" w:rsidRDefault="00A165FD" w:rsidP="00A165FD">
      <w:pPr>
        <w:spacing w:line="240" w:lineRule="auto"/>
        <w:rPr>
          <w:rStyle w:val="Strong"/>
          <w:b w:val="0"/>
          <w:color w:val="365F91"/>
          <w:sz w:val="20"/>
        </w:rPr>
      </w:pPr>
    </w:p>
    <w:p w:rsidR="00A165FD" w:rsidRPr="00A165FD" w:rsidRDefault="00A165FD" w:rsidP="00A165FD">
      <w:pPr>
        <w:spacing w:line="240" w:lineRule="auto"/>
        <w:rPr>
          <w:rStyle w:val="Strong"/>
          <w:b w:val="0"/>
          <w:sz w:val="20"/>
        </w:rPr>
      </w:pPr>
      <w:r w:rsidRPr="00A165FD">
        <w:rPr>
          <w:rStyle w:val="Strong"/>
          <w:b w:val="0"/>
          <w:sz w:val="20"/>
        </w:rPr>
        <w:t>This monitoring project was commissioned by the Commonwealth Environmental Water Office to the South Australian Research and Development Institute (SARDI), Aquatic Sciences. The specific components of this project were sub-contracted to CSIRO (Task 2 &amp; 3); The University of Adelaide and the University of Western Australia (Task 4); the South Australian Department of Environment, Water and Natural Resources (DEWNR) (Tasks 5 &amp; 7) and Wetland Research and Management (zooplankton work of Task 1). The project was funded by the Commonwealth Environmental Water Office with in kind contributions from SARDI, CSIRO, South Australian Murray-Darling Basin Natural Resources Management Board, DEWNR and South Australian Environmental Protection Authority (EPA).</w:t>
      </w:r>
    </w:p>
    <w:p w:rsidR="00A165FD" w:rsidRPr="00A165FD" w:rsidRDefault="00A165FD" w:rsidP="00A165FD">
      <w:pPr>
        <w:spacing w:line="240" w:lineRule="auto"/>
        <w:rPr>
          <w:rStyle w:val="Strong"/>
          <w:b w:val="0"/>
          <w:sz w:val="22"/>
        </w:rPr>
      </w:pPr>
    </w:p>
    <w:p w:rsidR="00A165FD" w:rsidRPr="00A165FD" w:rsidRDefault="00A165FD" w:rsidP="00A165FD">
      <w:pPr>
        <w:pStyle w:val="Heading3"/>
        <w:spacing w:line="240" w:lineRule="auto"/>
        <w:rPr>
          <w:sz w:val="20"/>
        </w:rPr>
      </w:pPr>
      <w:r w:rsidRPr="00A165FD">
        <w:rPr>
          <w:sz w:val="20"/>
        </w:rPr>
        <w:t>DISCLAIMER</w:t>
      </w:r>
    </w:p>
    <w:p w:rsidR="00A165FD" w:rsidRPr="00A165FD" w:rsidRDefault="00A165FD" w:rsidP="00A165FD">
      <w:pPr>
        <w:spacing w:line="240" w:lineRule="auto"/>
        <w:rPr>
          <w:sz w:val="20"/>
          <w:szCs w:val="22"/>
        </w:rPr>
      </w:pPr>
      <w:r w:rsidRPr="00A165FD">
        <w:rPr>
          <w:sz w:val="20"/>
          <w:szCs w:val="22"/>
        </w:rPr>
        <w:t>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A165FD" w:rsidRPr="00A165FD" w:rsidRDefault="00A165FD" w:rsidP="00A165FD">
      <w:pPr>
        <w:spacing w:line="240" w:lineRule="auto"/>
        <w:rPr>
          <w:sz w:val="20"/>
          <w:szCs w:val="22"/>
        </w:rPr>
      </w:pPr>
    </w:p>
    <w:p w:rsidR="00A165FD" w:rsidRPr="00A165FD" w:rsidRDefault="00A165FD" w:rsidP="00A165FD">
      <w:pPr>
        <w:spacing w:line="240" w:lineRule="auto"/>
        <w:rPr>
          <w:sz w:val="20"/>
          <w:szCs w:val="22"/>
        </w:rPr>
      </w:pPr>
      <w:r w:rsidRPr="00A165FD">
        <w:rPr>
          <w:sz w:val="20"/>
          <w:szCs w:val="22"/>
        </w:rPr>
        <w:t xml:space="preserve">© Commonwealth of Australia 2013 </w:t>
      </w:r>
    </w:p>
    <w:p w:rsidR="00A165FD" w:rsidRPr="00A165FD" w:rsidRDefault="00A165FD" w:rsidP="00A165FD">
      <w:pPr>
        <w:spacing w:line="240" w:lineRule="auto"/>
        <w:rPr>
          <w:rStyle w:val="IntenseEmphasis"/>
          <w:b/>
          <w:i w:val="0"/>
          <w:color w:val="365F91" w:themeColor="accent1" w:themeShade="BF"/>
          <w:szCs w:val="28"/>
        </w:rPr>
      </w:pPr>
      <w:r w:rsidRPr="00A165FD">
        <w:rPr>
          <w:sz w:val="20"/>
          <w:szCs w:val="22"/>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Sustainability, Environment, Water, Population and Communities, Public Affairs, GPO Box 787 Canberra ACT 2601 or email public.affairs@environment.gov.au </w:t>
      </w:r>
      <w:r w:rsidRPr="00A165FD">
        <w:rPr>
          <w:rStyle w:val="IntenseEmphasis"/>
          <w:b/>
          <w:color w:val="365F91" w:themeColor="accent1" w:themeShade="BF"/>
          <w:szCs w:val="28"/>
        </w:rPr>
        <w:br w:type="page"/>
      </w:r>
    </w:p>
    <w:bookmarkEnd w:id="0"/>
    <w:p w:rsidR="004F217C" w:rsidRDefault="004F217C" w:rsidP="004F217C">
      <w:r>
        <w:lastRenderedPageBreak/>
        <w:t xml:space="preserve">This project aimed to monitor the ecological responses to Commonwealth environmental water releases to the lower River Murray in </w:t>
      </w:r>
      <w:r w:rsidRPr="00047B91">
        <w:t>2012-13</w:t>
      </w:r>
      <w:r>
        <w:t xml:space="preserve">. The lower River Murray, including the lower Lakes and Coorong, encompasses a wide range of aquatic habitat that support diverse species of native flora and fauna, including threatened fishes, frogs, and riparian plants listed under the </w:t>
      </w:r>
      <w:r w:rsidRPr="006C3A8C">
        <w:t xml:space="preserve">Environmental Protection and Conservation Biodiversity Act </w:t>
      </w:r>
      <w:r>
        <w:t xml:space="preserve">(EPBC Act 1999). This complex ecosystem is strongly influenced by variation in </w:t>
      </w:r>
      <w:proofErr w:type="spellStart"/>
      <w:r>
        <w:t>riverine</w:t>
      </w:r>
      <w:proofErr w:type="spellEnd"/>
      <w:r>
        <w:t xml:space="preserve"> flow regime. During the prolonged drought that affected the Murray-Darling Basin (2001-2010), the ecological community in the lower River Murray suffered severe stress. The significant flood and high flows in the following years, along with environmental water releases, led to signs of ecosystem improvement. </w:t>
      </w:r>
    </w:p>
    <w:p w:rsidR="004F217C" w:rsidRDefault="004F217C" w:rsidP="004F217C">
      <w:r w:rsidRPr="00403075">
        <w:t>During 2012-13,</w:t>
      </w:r>
      <w:r>
        <w:t xml:space="preserve"> a significant volume of </w:t>
      </w:r>
      <w:r w:rsidRPr="00403075">
        <w:t xml:space="preserve">Commonwealth environmental water </w:t>
      </w:r>
      <w:r>
        <w:t xml:space="preserve">was </w:t>
      </w:r>
      <w:r w:rsidRPr="00403075">
        <w:t xml:space="preserve">released to the lower River Murray, </w:t>
      </w:r>
      <w:r>
        <w:t>with &gt;687</w:t>
      </w:r>
      <w:r w:rsidRPr="00403075">
        <w:t xml:space="preserve"> GL</w:t>
      </w:r>
      <w:r>
        <w:t xml:space="preserve"> delivered by July 2013, </w:t>
      </w:r>
      <w:r w:rsidRPr="00403075">
        <w:t>to continue to facilitate the ecological recovery and rebuild ecosystem resilience.</w:t>
      </w:r>
      <w:r>
        <w:t xml:space="preserve"> </w:t>
      </w:r>
      <w:r w:rsidRPr="006C3A8C">
        <w:t xml:space="preserve">During the spring/summer period, </w:t>
      </w:r>
      <w:proofErr w:type="gramStart"/>
      <w:r>
        <w:t xml:space="preserve">383 </w:t>
      </w:r>
      <w:r w:rsidRPr="006C3A8C">
        <w:t>GL of Commonwealth environmental water</w:t>
      </w:r>
      <w:proofErr w:type="gramEnd"/>
      <w:r w:rsidRPr="006C3A8C">
        <w:t xml:space="preserve"> and 289 GL of water from The Living Murray Initiative were used to contribute to fresh flows.</w:t>
      </w:r>
      <w:r>
        <w:t xml:space="preserve"> Future references to environmental water in this report refer to the delivery of both of these sources. </w:t>
      </w:r>
    </w:p>
    <w:p w:rsidR="004F217C" w:rsidRDefault="004F217C" w:rsidP="004F217C">
      <w:r>
        <w:t xml:space="preserve">The focus of this project was to assess particular components of the ecosystem in response to changes in flow of the lower River Murray caused by environmental watering. Key components of the ecosystem were selected and investigated through targeted, rigorous monitoring to help understand the role and importance environmental water deliveries may have in this ecosystem. The project was divided into 7 tasks in an attempt to address relevant objectives of Commonwealth environmental watering for the lower River Murray. Each task proposed a series of hypotheses, based on current knowledge of the system, to be tested during the </w:t>
      </w:r>
      <w:r w:rsidRPr="00047B91">
        <w:t>2012-13</w:t>
      </w:r>
      <w:r>
        <w:t xml:space="preserve"> watering year. </w:t>
      </w:r>
    </w:p>
    <w:p w:rsidR="004F217C" w:rsidRDefault="004F217C" w:rsidP="004F217C">
      <w:r w:rsidRPr="00403075">
        <w:t xml:space="preserve">This report presents the project progress to March 2013 and preliminary findings of some tasks during the intervention monitoring in 2012-13, albeit based mainly on observations and early trends. </w:t>
      </w:r>
    </w:p>
    <w:p w:rsidR="004F217C" w:rsidRPr="001A3832" w:rsidRDefault="004F217C" w:rsidP="004F217C">
      <w:r w:rsidRPr="00C93B95">
        <w:rPr>
          <w:b/>
        </w:rPr>
        <w:t>Preliminary findings</w:t>
      </w:r>
    </w:p>
    <w:p w:rsidR="004F217C" w:rsidRPr="007B7788" w:rsidRDefault="004F217C" w:rsidP="004F217C">
      <w:r>
        <w:rPr>
          <w:b/>
        </w:rPr>
        <w:lastRenderedPageBreak/>
        <w:t xml:space="preserve">Task 1 </w:t>
      </w:r>
      <w:r w:rsidRPr="007B7788">
        <w:rPr>
          <w:b/>
        </w:rPr>
        <w:t>Larval fish assemblage</w:t>
      </w:r>
      <w:r w:rsidRPr="007B7788">
        <w:t xml:space="preserve"> </w:t>
      </w:r>
      <w:r>
        <w:t>(</w:t>
      </w:r>
      <w:r w:rsidRPr="00F7456B">
        <w:rPr>
          <w:i/>
        </w:rPr>
        <w:t>Fish reproduction and larval abundance</w:t>
      </w:r>
      <w:r w:rsidRPr="00F7456B">
        <w:t>)</w:t>
      </w:r>
      <w:r>
        <w:t>:</w:t>
      </w:r>
      <w:r w:rsidRPr="006C3A8C">
        <w:t xml:space="preserve"> </w:t>
      </w:r>
      <w:r w:rsidRPr="007B7788">
        <w:t>Presence of golden and silver perch larvae in the January sampling suggest</w:t>
      </w:r>
      <w:r>
        <w:t>s</w:t>
      </w:r>
      <w:r w:rsidRPr="007B7788">
        <w:t xml:space="preserve"> that the </w:t>
      </w:r>
      <w:proofErr w:type="gramStart"/>
      <w:r w:rsidRPr="007B7788">
        <w:t xml:space="preserve">normal </w:t>
      </w:r>
      <w:r>
        <w:t xml:space="preserve"> reproduction</w:t>
      </w:r>
      <w:proofErr w:type="gramEnd"/>
      <w:r w:rsidRPr="007B7788">
        <w:t xml:space="preserve"> period of these species may have been extended. This extension could be associated to the release of </w:t>
      </w:r>
      <w:r>
        <w:t>environmental water</w:t>
      </w:r>
      <w:r w:rsidRPr="007B7788">
        <w:t xml:space="preserve"> during the month of December that caused a rise in flow to ~</w:t>
      </w:r>
      <w:r>
        <w:t>20,</w:t>
      </w:r>
      <w:r w:rsidRPr="007B7788">
        <w:t>000 ML</w:t>
      </w:r>
      <w:r>
        <w:t xml:space="preserve"> </w:t>
      </w:r>
      <w:r w:rsidRPr="007B7788">
        <w:t>day</w:t>
      </w:r>
      <w:r w:rsidRPr="00125E9F">
        <w:rPr>
          <w:vertAlign w:val="superscript"/>
        </w:rPr>
        <w:t>-1</w:t>
      </w:r>
      <w:r w:rsidRPr="007B7788">
        <w:t>. Two other iconic species larvae, Murray cod and freshwater catfish, were also present in November and December sampling.</w:t>
      </w:r>
    </w:p>
    <w:p w:rsidR="004F217C" w:rsidRPr="007B7788" w:rsidRDefault="004F217C" w:rsidP="004F217C">
      <w:pPr>
        <w:rPr>
          <w:iCs/>
        </w:rPr>
      </w:pPr>
      <w:r>
        <w:rPr>
          <w:b/>
          <w:iCs/>
        </w:rPr>
        <w:t xml:space="preserve">Task 2 </w:t>
      </w:r>
      <w:r w:rsidRPr="007B7788">
        <w:rPr>
          <w:b/>
          <w:iCs/>
        </w:rPr>
        <w:t>Larval fish food resources</w:t>
      </w:r>
      <w:r>
        <w:rPr>
          <w:b/>
          <w:iCs/>
        </w:rPr>
        <w:t xml:space="preserve"> </w:t>
      </w:r>
      <w:r w:rsidRPr="00F7456B">
        <w:rPr>
          <w:iCs/>
        </w:rPr>
        <w:t>(</w:t>
      </w:r>
      <w:r w:rsidRPr="00F7456B">
        <w:rPr>
          <w:i/>
          <w:iCs/>
        </w:rPr>
        <w:t>Primary productivity and carbon cycling</w:t>
      </w:r>
      <w:r w:rsidRPr="00F7456B">
        <w:rPr>
          <w:iCs/>
        </w:rPr>
        <w:t>)</w:t>
      </w:r>
      <w:r w:rsidRPr="007B7788">
        <w:rPr>
          <w:b/>
          <w:iCs/>
        </w:rPr>
        <w:t>:</w:t>
      </w:r>
      <w:r w:rsidRPr="007B7788">
        <w:rPr>
          <w:iCs/>
        </w:rPr>
        <w:t xml:space="preserve"> </w:t>
      </w:r>
      <w:r w:rsidRPr="006C3A8C">
        <w:rPr>
          <w:iCs/>
        </w:rPr>
        <w:t xml:space="preserve"> </w:t>
      </w:r>
      <w:r w:rsidRPr="007B7788">
        <w:rPr>
          <w:iCs/>
        </w:rPr>
        <w:t>Total organic carbon (TOC) varied 4 fold over the time of sampling</w:t>
      </w:r>
      <w:r>
        <w:rPr>
          <w:iCs/>
        </w:rPr>
        <w:t xml:space="preserve">. </w:t>
      </w:r>
      <w:r w:rsidRPr="000C6D76">
        <w:rPr>
          <w:iCs/>
        </w:rPr>
        <w:t>This would be expected to result in changes in micro-organism community composition and abundance in the river, with positive implications for larval fish food resources.</w:t>
      </w:r>
      <w:r w:rsidRPr="007B7788">
        <w:rPr>
          <w:iCs/>
        </w:rPr>
        <w:t xml:space="preserve"> </w:t>
      </w:r>
      <w:proofErr w:type="spellStart"/>
      <w:r w:rsidRPr="007B7788">
        <w:rPr>
          <w:iCs/>
        </w:rPr>
        <w:t>Euphotic</w:t>
      </w:r>
      <w:proofErr w:type="spellEnd"/>
      <w:r w:rsidRPr="007B7788">
        <w:rPr>
          <w:iCs/>
        </w:rPr>
        <w:t xml:space="preserve"> depths of approximately 1m were found over the time series. Visual identification and cell counts of phytoplankton have been completed and the data is being collated.  </w:t>
      </w:r>
      <w:proofErr w:type="spellStart"/>
      <w:r w:rsidRPr="007B7788">
        <w:rPr>
          <w:iCs/>
        </w:rPr>
        <w:t>Cyanobacteria</w:t>
      </w:r>
      <w:proofErr w:type="spellEnd"/>
      <w:r w:rsidRPr="007B7788">
        <w:rPr>
          <w:iCs/>
        </w:rPr>
        <w:t xml:space="preserve">, </w:t>
      </w:r>
      <w:proofErr w:type="spellStart"/>
      <w:r w:rsidRPr="007B7788">
        <w:rPr>
          <w:iCs/>
        </w:rPr>
        <w:t>Chlorophyta</w:t>
      </w:r>
      <w:proofErr w:type="spellEnd"/>
      <w:r w:rsidRPr="007B7788">
        <w:rPr>
          <w:iCs/>
        </w:rPr>
        <w:t xml:space="preserve">, </w:t>
      </w:r>
      <w:proofErr w:type="spellStart"/>
      <w:r w:rsidRPr="007B7788">
        <w:rPr>
          <w:iCs/>
        </w:rPr>
        <w:t>Baccillariophyceae</w:t>
      </w:r>
      <w:proofErr w:type="spellEnd"/>
      <w:r w:rsidRPr="007B7788">
        <w:rPr>
          <w:iCs/>
        </w:rPr>
        <w:t xml:space="preserve"> and </w:t>
      </w:r>
      <w:proofErr w:type="spellStart"/>
      <w:r w:rsidRPr="007B7788">
        <w:rPr>
          <w:iCs/>
        </w:rPr>
        <w:t>Charaphyta</w:t>
      </w:r>
      <w:proofErr w:type="spellEnd"/>
      <w:r w:rsidRPr="007B7788">
        <w:rPr>
          <w:iCs/>
        </w:rPr>
        <w:t xml:space="preserve"> have been identified in the samples.</w:t>
      </w:r>
    </w:p>
    <w:p w:rsidR="004F217C" w:rsidRPr="007B7788" w:rsidRDefault="004F217C" w:rsidP="004F217C">
      <w:r>
        <w:rPr>
          <w:b/>
        </w:rPr>
        <w:t>Task 6 Fish lateral movement</w:t>
      </w:r>
      <w:r w:rsidRPr="007B7788">
        <w:t xml:space="preserve"> </w:t>
      </w:r>
      <w:r>
        <w:t>(</w:t>
      </w:r>
      <w:r w:rsidRPr="00F7456B">
        <w:rPr>
          <w:i/>
        </w:rPr>
        <w:t>Biotic dispersal and movement</w:t>
      </w:r>
      <w:r w:rsidRPr="00F7456B">
        <w:t>)</w:t>
      </w:r>
      <w:r>
        <w:t>:</w:t>
      </w:r>
      <w:r w:rsidRPr="00D24961">
        <w:t xml:space="preserve"> </w:t>
      </w:r>
      <w:r>
        <w:t>S</w:t>
      </w:r>
      <w:r w:rsidRPr="007B7788">
        <w:t>ampling</w:t>
      </w:r>
      <w:r>
        <w:t xml:space="preserve"> of fish movement between wetlands and the river channel</w:t>
      </w:r>
      <w:r w:rsidRPr="007B7788">
        <w:t xml:space="preserve"> has collected 34</w:t>
      </w:r>
      <w:r>
        <w:t>,</w:t>
      </w:r>
      <w:r w:rsidRPr="007B7788">
        <w:t xml:space="preserve">814 fish, representing 16 species (11 natives, 5 invasive). The most abundant large-bodied native species recorded was bony herring, while golden perch was also collected in relatively high numbers. Large-bodied </w:t>
      </w:r>
      <w:proofErr w:type="spellStart"/>
      <w:r w:rsidRPr="007B7788">
        <w:t>invasives</w:t>
      </w:r>
      <w:proofErr w:type="spellEnd"/>
      <w:r w:rsidRPr="007B7788">
        <w:t xml:space="preserve"> were the second most abundant group collected, with 9</w:t>
      </w:r>
      <w:r>
        <w:t>,</w:t>
      </w:r>
      <w:r w:rsidRPr="007B7788">
        <w:t>471 individuals (27%) collected, most of which were common carp. Preliminary outcomes showed that the structure of fish assemblages moving ‘In’ and ‘Out’ of wetlands was not significantly different for each of the four wetlands during each of the five flow phases; although more detailed analyses are required to corroborate this. Preliminary multivariate analyses indicate that fish assemblages in wetlands changed considerably between the five different flow phases.</w:t>
      </w:r>
    </w:p>
    <w:p w:rsidR="004F217C" w:rsidRPr="007B7788" w:rsidRDefault="004F217C" w:rsidP="004F217C">
      <w:pPr>
        <w:rPr>
          <w:lang w:val="en-US"/>
        </w:rPr>
      </w:pPr>
      <w:r w:rsidRPr="007B7788">
        <w:rPr>
          <w:lang w:val="en-US"/>
        </w:rPr>
        <w:t xml:space="preserve">The </w:t>
      </w:r>
      <w:proofErr w:type="spellStart"/>
      <w:r w:rsidRPr="007B7788">
        <w:rPr>
          <w:lang w:val="en-US"/>
        </w:rPr>
        <w:t>gonadosomatic</w:t>
      </w:r>
      <w:proofErr w:type="spellEnd"/>
      <w:r w:rsidRPr="007B7788">
        <w:rPr>
          <w:lang w:val="en-US"/>
        </w:rPr>
        <w:t xml:space="preserve"> index (GSI) and macroscopic staging of females carp in the Gorge region suggests that peak reproductive period for common carp occurred during the</w:t>
      </w:r>
      <w:r>
        <w:rPr>
          <w:lang w:val="en-US"/>
        </w:rPr>
        <w:t xml:space="preserve"> unregulated</w:t>
      </w:r>
      <w:r w:rsidRPr="007B7788">
        <w:rPr>
          <w:lang w:val="en-US"/>
        </w:rPr>
        <w:t xml:space="preserve"> ‘High’ </w:t>
      </w:r>
      <w:r>
        <w:rPr>
          <w:lang w:val="en-US"/>
        </w:rPr>
        <w:t xml:space="preserve">flow phase which occurred in the winter </w:t>
      </w:r>
      <w:r w:rsidRPr="007B7788">
        <w:rPr>
          <w:lang w:val="en-US"/>
        </w:rPr>
        <w:t xml:space="preserve">and </w:t>
      </w:r>
      <w:r>
        <w:rPr>
          <w:lang w:val="en-US"/>
        </w:rPr>
        <w:t>into the ‘</w:t>
      </w:r>
      <w:r w:rsidRPr="007B7788">
        <w:rPr>
          <w:lang w:val="en-US"/>
        </w:rPr>
        <w:t>Receding’ flow phase</w:t>
      </w:r>
      <w:r>
        <w:rPr>
          <w:lang w:val="en-US"/>
        </w:rPr>
        <w:t>. The peak reproductive period</w:t>
      </w:r>
      <w:r w:rsidRPr="007B7788">
        <w:rPr>
          <w:lang w:val="en-US"/>
        </w:rPr>
        <w:t xml:space="preserve"> did not appear to </w:t>
      </w:r>
      <w:r>
        <w:rPr>
          <w:lang w:val="en-US"/>
        </w:rPr>
        <w:t>cor</w:t>
      </w:r>
      <w:r w:rsidRPr="007B7788">
        <w:rPr>
          <w:lang w:val="en-US"/>
        </w:rPr>
        <w:t xml:space="preserve">respond to the increase </w:t>
      </w:r>
      <w:r>
        <w:rPr>
          <w:lang w:val="en-US"/>
        </w:rPr>
        <w:t xml:space="preserve">in </w:t>
      </w:r>
      <w:r w:rsidRPr="007B7788">
        <w:rPr>
          <w:lang w:val="en-US"/>
        </w:rPr>
        <w:t>flows</w:t>
      </w:r>
      <w:r>
        <w:rPr>
          <w:lang w:val="en-US"/>
        </w:rPr>
        <w:t xml:space="preserve"> in late-spring/ early-summer, </w:t>
      </w:r>
      <w:r w:rsidRPr="007B7788">
        <w:rPr>
          <w:lang w:val="en-US"/>
        </w:rPr>
        <w:lastRenderedPageBreak/>
        <w:t xml:space="preserve">associated with the delivery of </w:t>
      </w:r>
      <w:r>
        <w:rPr>
          <w:lang w:val="en-US"/>
        </w:rPr>
        <w:t>environmental water</w:t>
      </w:r>
      <w:r w:rsidRPr="007B7788">
        <w:rPr>
          <w:lang w:val="en-US"/>
        </w:rPr>
        <w:t xml:space="preserve"> flow pulse. The relatively low GSIs throughout the five phases of flow sampled, suggests that the peak reproductive period for the Floodplain, most likely occurred prior to this study. </w:t>
      </w:r>
      <w:r>
        <w:rPr>
          <w:lang w:val="en-US"/>
        </w:rPr>
        <w:t>Furthermore, the delivery of environmental water</w:t>
      </w:r>
      <w:r w:rsidRPr="007B7788">
        <w:rPr>
          <w:lang w:val="en-US"/>
        </w:rPr>
        <w:t xml:space="preserve"> did not appear to </w:t>
      </w:r>
      <w:r>
        <w:rPr>
          <w:lang w:val="en-US"/>
        </w:rPr>
        <w:t xml:space="preserve">enhance </w:t>
      </w:r>
      <w:r w:rsidRPr="007B7788">
        <w:rPr>
          <w:lang w:val="en-US"/>
        </w:rPr>
        <w:t>carp spawning</w:t>
      </w:r>
      <w:r>
        <w:rPr>
          <w:lang w:val="en-US"/>
        </w:rPr>
        <w:t xml:space="preserve"> in 2012-13</w:t>
      </w:r>
      <w:r w:rsidRPr="007B7788">
        <w:rPr>
          <w:lang w:val="en-US"/>
        </w:rPr>
        <w:t>.</w:t>
      </w:r>
    </w:p>
    <w:p w:rsidR="004F217C" w:rsidRPr="007B7788" w:rsidRDefault="004F217C" w:rsidP="004F217C">
      <w:r>
        <w:rPr>
          <w:b/>
          <w:lang w:val="en-US"/>
        </w:rPr>
        <w:t xml:space="preserve">Task 7 </w:t>
      </w:r>
      <w:r w:rsidRPr="007B7788">
        <w:rPr>
          <w:b/>
          <w:lang w:val="en-US"/>
        </w:rPr>
        <w:t xml:space="preserve">Frog </w:t>
      </w:r>
      <w:proofErr w:type="gramStart"/>
      <w:r w:rsidRPr="007B7788">
        <w:rPr>
          <w:b/>
          <w:lang w:val="en-US"/>
        </w:rPr>
        <w:t>response</w:t>
      </w:r>
      <w:proofErr w:type="gramEnd"/>
      <w:r w:rsidRPr="007B7788">
        <w:rPr>
          <w:b/>
          <w:lang w:val="en-US"/>
        </w:rPr>
        <w:t xml:space="preserve"> </w:t>
      </w:r>
      <w:r w:rsidRPr="00F7456B">
        <w:rPr>
          <w:lang w:val="en-US"/>
        </w:rPr>
        <w:t>(</w:t>
      </w:r>
      <w:r w:rsidRPr="00F7456B">
        <w:rPr>
          <w:i/>
          <w:lang w:val="en-US"/>
        </w:rPr>
        <w:t>Other vertebrate diversity</w:t>
      </w:r>
      <w:r>
        <w:rPr>
          <w:lang w:val="en-US"/>
        </w:rPr>
        <w:t>):</w:t>
      </w:r>
      <w:r w:rsidRPr="00D24961">
        <w:rPr>
          <w:b/>
          <w:lang w:val="en-US"/>
        </w:rPr>
        <w:t xml:space="preserve"> </w:t>
      </w:r>
      <w:r w:rsidRPr="007B7788">
        <w:rPr>
          <w:lang w:val="en-US"/>
        </w:rPr>
        <w:t xml:space="preserve">A total of 8 frog species were detected during the spring sampling but only 5 of those were again detected during summer. Frequency of detection was also highest in spring. Upon comparing regions, the floodplain region seemed to have greater frequency of detection than the gorge region for most species. The most frequently detected species were the Eastern Banjo frog, Spotted Grass frog, Eastern Sign-bearing </w:t>
      </w:r>
      <w:proofErr w:type="spellStart"/>
      <w:r w:rsidRPr="007B7788">
        <w:rPr>
          <w:lang w:val="en-US"/>
        </w:rPr>
        <w:t>froglet</w:t>
      </w:r>
      <w:proofErr w:type="spellEnd"/>
      <w:r w:rsidRPr="007B7788">
        <w:rPr>
          <w:lang w:val="en-US"/>
        </w:rPr>
        <w:t xml:space="preserve"> and Peron’s tree frog in that order for both regions. The threatened Southern Bell frog was only recorded in spring in the floodplain region.  </w:t>
      </w:r>
    </w:p>
    <w:p w:rsidR="004F217C" w:rsidRPr="00403075" w:rsidRDefault="004F217C" w:rsidP="004F217C">
      <w:pPr>
        <w:pStyle w:val="Heading3"/>
        <w:rPr>
          <w:b w:val="0"/>
          <w:i w:val="0"/>
        </w:rPr>
      </w:pPr>
      <w:r w:rsidRPr="00403075">
        <w:rPr>
          <w:i w:val="0"/>
        </w:rPr>
        <w:t>Project progress and prospect</w:t>
      </w:r>
    </w:p>
    <w:p w:rsidR="006B14DB" w:rsidRPr="00EF53FF" w:rsidRDefault="004F217C" w:rsidP="004F217C">
      <w:r w:rsidRPr="007B7788">
        <w:t>Fieldwork for all t</w:t>
      </w:r>
      <w:r>
        <w:t>asks was successful and has been finalised. Sample processing and data analysis is currently being completed (see individual chapters for details on each task). As per original arrangements a final report (Report 2) with complete analyses, interpretations and management implications is scheduled to be delivered in late 2013, and an updated final report (Report 3) will be provided to include the study of fish recruitment and natal origin by April 2014.</w:t>
      </w:r>
    </w:p>
    <w:sectPr w:rsidR="006B14DB" w:rsidRPr="00EF53FF" w:rsidSect="00FA4CF0">
      <w:headerReference w:type="even" r:id="rId19"/>
      <w:headerReference w:type="default" r:id="rId20"/>
      <w:footerReference w:type="default" r:id="rId21"/>
      <w:headerReference w:type="first" r:id="rId22"/>
      <w:footerReference w:type="first" r:id="rId23"/>
      <w:pgSz w:w="11906" w:h="16838"/>
      <w:pgMar w:top="1418"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5FD" w:rsidRDefault="00A165FD" w:rsidP="00A60185">
      <w:pPr>
        <w:spacing w:after="0" w:line="240" w:lineRule="auto"/>
      </w:pPr>
      <w:r>
        <w:separator/>
      </w:r>
    </w:p>
  </w:endnote>
  <w:endnote w:type="continuationSeparator" w:id="0">
    <w:p w:rsidR="00A165FD" w:rsidRDefault="00A165FD"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56704"/>
      <w:docPartObj>
        <w:docPartGallery w:val="Page Numbers (Bottom of Page)"/>
        <w:docPartUnique/>
      </w:docPartObj>
    </w:sdtPr>
    <w:sdtContent>
      <w:p w:rsidR="00A165FD" w:rsidRDefault="008C4AFB" w:rsidP="00A165FD">
        <w:pPr>
          <w:pStyle w:val="Footer"/>
          <w:pBdr>
            <w:top w:val="single" w:sz="4" w:space="1" w:color="auto"/>
          </w:pBdr>
          <w:jc w:val="center"/>
        </w:pPr>
        <w:r w:rsidRPr="00867421">
          <w:rPr>
            <w:rFonts w:ascii="Century Gothic" w:hAnsi="Century Gothic"/>
          </w:rPr>
          <w:fldChar w:fldCharType="begin"/>
        </w:r>
        <w:r w:rsidR="00A165FD" w:rsidRPr="00867421">
          <w:rPr>
            <w:rFonts w:ascii="Century Gothic" w:hAnsi="Century Gothic"/>
          </w:rPr>
          <w:instrText xml:space="preserve"> PAGE   \* MERGEFORMAT </w:instrText>
        </w:r>
        <w:r w:rsidRPr="00867421">
          <w:rPr>
            <w:rFonts w:ascii="Century Gothic" w:hAnsi="Century Gothic"/>
          </w:rPr>
          <w:fldChar w:fldCharType="separate"/>
        </w:r>
        <w:r w:rsidR="00A165FD">
          <w:rPr>
            <w:rFonts w:ascii="Century Gothic" w:hAnsi="Century Gothic"/>
            <w:noProof/>
          </w:rPr>
          <w:t>2</w:t>
        </w:r>
        <w:r w:rsidRPr="00867421">
          <w:rPr>
            <w:rFonts w:ascii="Century Gothic" w:hAnsi="Century Gothic"/>
          </w:rPr>
          <w:fldChar w:fldCharType="end"/>
        </w:r>
      </w:p>
    </w:sdtContent>
  </w:sdt>
  <w:p w:rsidR="00A165FD" w:rsidRDefault="00A165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A165FD" w:rsidRDefault="008C4AFB">
        <w:pPr>
          <w:pStyle w:val="Footer"/>
          <w:jc w:val="center"/>
        </w:pPr>
        <w:fldSimple w:instr=" PAGE   \* MERGEFORMAT ">
          <w:r w:rsidR="00324CF2">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87535"/>
      <w:docPartObj>
        <w:docPartGallery w:val="Page Numbers (Bottom of Page)"/>
        <w:docPartUnique/>
      </w:docPartObj>
    </w:sdtPr>
    <w:sdtContent>
      <w:p w:rsidR="00A165FD" w:rsidRDefault="008C4AFB" w:rsidP="004F217C">
        <w:pPr>
          <w:pStyle w:val="Footer"/>
          <w:pBdr>
            <w:top w:val="single" w:sz="4" w:space="1" w:color="auto"/>
          </w:pBdr>
          <w:jc w:val="center"/>
          <w:rPr>
            <w:rFonts w:ascii="Century Gothic" w:hAnsi="Century Gothic"/>
          </w:rPr>
        </w:pPr>
        <w:r w:rsidRPr="00867421">
          <w:rPr>
            <w:rFonts w:ascii="Century Gothic" w:hAnsi="Century Gothic"/>
          </w:rPr>
          <w:fldChar w:fldCharType="begin"/>
        </w:r>
        <w:r w:rsidR="00A165FD" w:rsidRPr="00867421">
          <w:rPr>
            <w:rFonts w:ascii="Century Gothic" w:hAnsi="Century Gothic"/>
          </w:rPr>
          <w:instrText xml:space="preserve"> PAGE   \* MERGEFORMAT </w:instrText>
        </w:r>
        <w:r w:rsidRPr="00867421">
          <w:rPr>
            <w:rFonts w:ascii="Century Gothic" w:hAnsi="Century Gothic"/>
          </w:rPr>
          <w:fldChar w:fldCharType="separate"/>
        </w:r>
        <w:r w:rsidR="00324CF2">
          <w:rPr>
            <w:rFonts w:ascii="Century Gothic" w:hAnsi="Century Gothic"/>
            <w:noProof/>
          </w:rPr>
          <w:t>1</w:t>
        </w:r>
        <w:r w:rsidRPr="00867421">
          <w:rPr>
            <w:rFonts w:ascii="Century Gothic" w:hAnsi="Century Gothic"/>
          </w:rPr>
          <w:fldChar w:fldCharType="end"/>
        </w:r>
      </w:p>
    </w:sdtContent>
  </w:sdt>
  <w:p w:rsidR="00A165FD" w:rsidRDefault="00A165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5FD" w:rsidRDefault="00A165FD" w:rsidP="00A60185">
      <w:pPr>
        <w:spacing w:after="0" w:line="240" w:lineRule="auto"/>
      </w:pPr>
      <w:r>
        <w:separator/>
      </w:r>
    </w:p>
  </w:footnote>
  <w:footnote w:type="continuationSeparator" w:id="0">
    <w:p w:rsidR="00A165FD" w:rsidRDefault="00A165FD"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FD" w:rsidRDefault="00A165FD">
    <w:pPr>
      <w:pStyle w:val="Head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FD" w:rsidRDefault="008C4AFB" w:rsidP="00E45765">
    <w:pPr>
      <w:pStyle w:val="Classification"/>
    </w:pPr>
    <w:fldSimple w:instr=" DOCPROPERTY SecurityClassification \* MERGEFORMAT ">
      <w:r w:rsidR="00A165FD">
        <w:t>Cabinet-in-Confidence</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FD" w:rsidRDefault="00A165FD" w:rsidP="004F217C">
    <w:pPr>
      <w:pStyle w:val="Header"/>
      <w:pBdr>
        <w:bottom w:val="single" w:sz="4" w:space="1" w:color="auto"/>
      </w:pBdr>
      <w:rPr>
        <w:i/>
      </w:rPr>
    </w:pPr>
    <w:r w:rsidRPr="00656BCB">
      <w:rPr>
        <w:i/>
        <w:sz w:val="18"/>
        <w:szCs w:val="18"/>
      </w:rPr>
      <w:t>Ye et al. (2013) Ecosystem response to Commonwealth environmental watering in the lower River Murray in 2012</w:t>
    </w:r>
    <w:r w:rsidR="00A06477">
      <w:rPr>
        <w:i/>
        <w:sz w:val="18"/>
        <w:szCs w:val="18"/>
      </w:rPr>
      <w:noBreakHyphen/>
    </w:r>
    <w:r w:rsidRPr="00656BCB">
      <w:rPr>
        <w:i/>
        <w:sz w:val="18"/>
        <w:szCs w:val="18"/>
      </w:rPr>
      <w:t>13.  Interim report</w:t>
    </w:r>
    <w:r>
      <w:rPr>
        <w:i/>
        <w:sz w:val="18"/>
        <w:szCs w:val="18"/>
      </w:rPr>
      <w:t>.</w:t>
    </w:r>
    <w:r w:rsidRPr="00656BCB">
      <w:rPr>
        <w:i/>
      </w:rPr>
      <w:t xml:space="preserve"> </w:t>
    </w:r>
  </w:p>
  <w:p w:rsidR="00A165FD" w:rsidRPr="00656BCB" w:rsidRDefault="00A165FD" w:rsidP="004F217C">
    <w:pPr>
      <w:pStyle w:val="Header"/>
      <w:pBdr>
        <w:bottom w:val="single" w:sz="4" w:space="1" w:color="auto"/>
      </w:pBdr>
      <w:rPr>
        <w:i/>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FD" w:rsidRDefault="00A165FD" w:rsidP="004F217C">
    <w:pPr>
      <w:pStyle w:val="Header"/>
      <w:pBdr>
        <w:bottom w:val="single" w:sz="4" w:space="1" w:color="auto"/>
      </w:pBdr>
      <w:rPr>
        <w:i/>
      </w:rPr>
    </w:pPr>
    <w:r w:rsidRPr="00656BCB">
      <w:rPr>
        <w:i/>
        <w:sz w:val="18"/>
        <w:szCs w:val="18"/>
      </w:rPr>
      <w:t>Ye et al. (2013) Ecosystem response to Commonwealth environmental watering in the lower River Murray in 2012-13.  Interim report</w:t>
    </w:r>
    <w:r>
      <w:rPr>
        <w:i/>
        <w:sz w:val="18"/>
        <w:szCs w:val="18"/>
      </w:rPr>
      <w:t>.</w:t>
    </w:r>
    <w:r w:rsidRPr="00656BCB">
      <w:rPr>
        <w:i/>
      </w:rPr>
      <w:t xml:space="preserve"> </w:t>
    </w:r>
  </w:p>
  <w:p w:rsidR="00A165FD" w:rsidRPr="00656BCB" w:rsidRDefault="00A165FD" w:rsidP="004F217C">
    <w:pPr>
      <w:pStyle w:val="Header"/>
      <w:pBdr>
        <w:bottom w:val="single" w:sz="4" w:space="1" w:color="auto"/>
      </w:pBd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6A4D88"/>
    <w:lvl w:ilvl="0">
      <w:start w:val="1"/>
      <w:numFmt w:val="decimal"/>
      <w:lvlText w:val="%1."/>
      <w:lvlJc w:val="left"/>
      <w:pPr>
        <w:tabs>
          <w:tab w:val="num" w:pos="1492"/>
        </w:tabs>
        <w:ind w:left="1492" w:hanging="360"/>
      </w:pPr>
    </w:lvl>
  </w:abstractNum>
  <w:abstractNum w:abstractNumId="1">
    <w:nsid w:val="FFFFFF7D"/>
    <w:multiLevelType w:val="singleLevel"/>
    <w:tmpl w:val="2090A8FA"/>
    <w:lvl w:ilvl="0">
      <w:start w:val="1"/>
      <w:numFmt w:val="decimal"/>
      <w:lvlText w:val="%1."/>
      <w:lvlJc w:val="left"/>
      <w:pPr>
        <w:tabs>
          <w:tab w:val="num" w:pos="1209"/>
        </w:tabs>
        <w:ind w:left="1209" w:hanging="360"/>
      </w:pPr>
    </w:lvl>
  </w:abstractNum>
  <w:abstractNum w:abstractNumId="2">
    <w:nsid w:val="FFFFFF7E"/>
    <w:multiLevelType w:val="singleLevel"/>
    <w:tmpl w:val="8D462BDC"/>
    <w:lvl w:ilvl="0">
      <w:start w:val="1"/>
      <w:numFmt w:val="decimal"/>
      <w:lvlText w:val="%1."/>
      <w:lvlJc w:val="left"/>
      <w:pPr>
        <w:tabs>
          <w:tab w:val="num" w:pos="926"/>
        </w:tabs>
        <w:ind w:left="926" w:hanging="360"/>
      </w:pPr>
    </w:lvl>
  </w:abstractNum>
  <w:abstractNum w:abstractNumId="3">
    <w:nsid w:val="FFFFFF7F"/>
    <w:multiLevelType w:val="singleLevel"/>
    <w:tmpl w:val="77B8748C"/>
    <w:lvl w:ilvl="0">
      <w:start w:val="1"/>
      <w:numFmt w:val="decimal"/>
      <w:lvlText w:val="%1."/>
      <w:lvlJc w:val="left"/>
      <w:pPr>
        <w:tabs>
          <w:tab w:val="num" w:pos="643"/>
        </w:tabs>
        <w:ind w:left="643" w:hanging="360"/>
      </w:pPr>
    </w:lvl>
  </w:abstractNum>
  <w:abstractNum w:abstractNumId="4">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D68994"/>
    <w:lvl w:ilvl="0">
      <w:start w:val="1"/>
      <w:numFmt w:val="decimal"/>
      <w:lvlText w:val="%1."/>
      <w:lvlJc w:val="left"/>
      <w:pPr>
        <w:tabs>
          <w:tab w:val="num" w:pos="360"/>
        </w:tabs>
        <w:ind w:left="360" w:hanging="360"/>
      </w:pPr>
    </w:lvl>
  </w:abstractNum>
  <w:abstractNum w:abstractNumId="9">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nsid w:val="05EC64B3"/>
    <w:multiLevelType w:val="multilevel"/>
    <w:tmpl w:val="E5E89F92"/>
    <w:numStyleLink w:val="BulletList"/>
  </w:abstractNum>
  <w:abstractNum w:abstractNumId="12">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AB21CC"/>
    <w:multiLevelType w:val="multilevel"/>
    <w:tmpl w:val="E898CC72"/>
    <w:numStyleLink w:val="KeyPoints"/>
  </w:abstractNum>
  <w:abstractNum w:abstractNumId="15">
    <w:nsid w:val="1784511A"/>
    <w:multiLevelType w:val="multilevel"/>
    <w:tmpl w:val="E898CC72"/>
    <w:numStyleLink w:val="KeyPoints"/>
  </w:abstractNum>
  <w:abstractNum w:abstractNumId="16">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291970"/>
    <w:multiLevelType w:val="multilevel"/>
    <w:tmpl w:val="E898CC72"/>
    <w:numStyleLink w:val="KeyPoints"/>
  </w:abstractNum>
  <w:abstractNum w:abstractNumId="18">
    <w:nsid w:val="1F745BC2"/>
    <w:multiLevelType w:val="multilevel"/>
    <w:tmpl w:val="E5E89F92"/>
    <w:numStyleLink w:val="BulletList"/>
  </w:abstractNum>
  <w:abstractNum w:abstractNumId="19">
    <w:nsid w:val="29253B4A"/>
    <w:multiLevelType w:val="multilevel"/>
    <w:tmpl w:val="E898CC72"/>
    <w:numStyleLink w:val="KeyPoints"/>
  </w:abstractNum>
  <w:abstractNum w:abstractNumId="20">
    <w:nsid w:val="2C1B4F6C"/>
    <w:multiLevelType w:val="multilevel"/>
    <w:tmpl w:val="E898CC72"/>
    <w:numStyleLink w:val="KeyPoints"/>
  </w:abstractNum>
  <w:abstractNum w:abstractNumId="21">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8816F9C"/>
    <w:multiLevelType w:val="multilevel"/>
    <w:tmpl w:val="E5E89F92"/>
    <w:numStyleLink w:val="BulletList"/>
  </w:abstractNum>
  <w:abstractNum w:abstractNumId="25">
    <w:nsid w:val="3B351B82"/>
    <w:multiLevelType w:val="multilevel"/>
    <w:tmpl w:val="E5E89F92"/>
    <w:numStyleLink w:val="BulletList"/>
  </w:abstractNum>
  <w:abstractNum w:abstractNumId="26">
    <w:nsid w:val="48B871CF"/>
    <w:multiLevelType w:val="multilevel"/>
    <w:tmpl w:val="E5E89F92"/>
    <w:numStyleLink w:val="BulletList"/>
  </w:abstractNum>
  <w:abstractNum w:abstractNumId="27">
    <w:nsid w:val="49016841"/>
    <w:multiLevelType w:val="multilevel"/>
    <w:tmpl w:val="E5E89F92"/>
    <w:numStyleLink w:val="BulletList"/>
  </w:abstractNum>
  <w:abstractNum w:abstractNumId="28">
    <w:nsid w:val="51A44175"/>
    <w:multiLevelType w:val="multilevel"/>
    <w:tmpl w:val="E5E89F92"/>
    <w:numStyleLink w:val="BulletList"/>
  </w:abstractNum>
  <w:abstractNum w:abstractNumId="29">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5456429"/>
    <w:multiLevelType w:val="multilevel"/>
    <w:tmpl w:val="E898CC72"/>
    <w:numStyleLink w:val="KeyPoints"/>
  </w:abstractNum>
  <w:abstractNum w:abstractNumId="31">
    <w:nsid w:val="672E0C2A"/>
    <w:multiLevelType w:val="multilevel"/>
    <w:tmpl w:val="E5E89F92"/>
    <w:numStyleLink w:val="BulletList"/>
  </w:abstractNum>
  <w:abstractNum w:abstractNumId="32">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A823B13"/>
    <w:multiLevelType w:val="multilevel"/>
    <w:tmpl w:val="E5E89F92"/>
    <w:numStyleLink w:val="BulletList"/>
  </w:abstractNum>
  <w:abstractNum w:abstractNumId="35">
    <w:nsid w:val="6DF2198A"/>
    <w:multiLevelType w:val="multilevel"/>
    <w:tmpl w:val="E5E89F92"/>
    <w:numStyleLink w:val="BulletList"/>
  </w:abstractNum>
  <w:abstractNum w:abstractNumId="36">
    <w:nsid w:val="6F032444"/>
    <w:multiLevelType w:val="multilevel"/>
    <w:tmpl w:val="E5E89F92"/>
    <w:numStyleLink w:val="BulletList"/>
  </w:abstractNum>
  <w:abstractNum w:abstractNumId="37">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C700E0"/>
    <w:multiLevelType w:val="multilevel"/>
    <w:tmpl w:val="E898CC72"/>
    <w:numStyleLink w:val="KeyPoints"/>
  </w:abstractNum>
  <w:abstractNum w:abstractNumId="4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nsid w:val="788260C9"/>
    <w:multiLevelType w:val="multilevel"/>
    <w:tmpl w:val="E898CC72"/>
    <w:numStyleLink w:val="KeyPoints"/>
  </w:abstractNum>
  <w:abstractNum w:abstractNumId="42">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docVars>
    <w:docVar w:name="SecurityClassificationInHeader" w:val="False"/>
  </w:docVars>
  <w:rsids>
    <w:rsidRoot w:val="00A55EDF"/>
    <w:rsid w:val="00004AEE"/>
    <w:rsid w:val="00005CAA"/>
    <w:rsid w:val="00010210"/>
    <w:rsid w:val="00012D66"/>
    <w:rsid w:val="00015ADA"/>
    <w:rsid w:val="00020C99"/>
    <w:rsid w:val="0002707B"/>
    <w:rsid w:val="00046E10"/>
    <w:rsid w:val="0005148E"/>
    <w:rsid w:val="00072C5A"/>
    <w:rsid w:val="000759E5"/>
    <w:rsid w:val="0007714C"/>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4CF2"/>
    <w:rsid w:val="00325E34"/>
    <w:rsid w:val="00330DCE"/>
    <w:rsid w:val="00331E11"/>
    <w:rsid w:val="00334761"/>
    <w:rsid w:val="00337EBC"/>
    <w:rsid w:val="00341DCD"/>
    <w:rsid w:val="0034563E"/>
    <w:rsid w:val="003518D6"/>
    <w:rsid w:val="0035460C"/>
    <w:rsid w:val="003556BD"/>
    <w:rsid w:val="00365147"/>
    <w:rsid w:val="0037016E"/>
    <w:rsid w:val="00371E4F"/>
    <w:rsid w:val="00372908"/>
    <w:rsid w:val="00383020"/>
    <w:rsid w:val="00394D7E"/>
    <w:rsid w:val="003975FD"/>
    <w:rsid w:val="003B057D"/>
    <w:rsid w:val="003B60CC"/>
    <w:rsid w:val="003C1B25"/>
    <w:rsid w:val="003C2443"/>
    <w:rsid w:val="003C5DA3"/>
    <w:rsid w:val="003D4BCD"/>
    <w:rsid w:val="003D6C2B"/>
    <w:rsid w:val="003E01D8"/>
    <w:rsid w:val="003E2100"/>
    <w:rsid w:val="003F12FF"/>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F217C"/>
    <w:rsid w:val="004F7169"/>
    <w:rsid w:val="00500D66"/>
    <w:rsid w:val="00514C8E"/>
    <w:rsid w:val="00531DBF"/>
    <w:rsid w:val="005430EC"/>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13BC"/>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721"/>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4663"/>
    <w:rsid w:val="00845601"/>
    <w:rsid w:val="00855C5C"/>
    <w:rsid w:val="008A3C96"/>
    <w:rsid w:val="008B4019"/>
    <w:rsid w:val="008B65C9"/>
    <w:rsid w:val="008C2D4A"/>
    <w:rsid w:val="008C4AFB"/>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70950"/>
    <w:rsid w:val="009812D4"/>
    <w:rsid w:val="00987D26"/>
    <w:rsid w:val="009920D8"/>
    <w:rsid w:val="009952F5"/>
    <w:rsid w:val="009B38BE"/>
    <w:rsid w:val="009C3D0F"/>
    <w:rsid w:val="009E1B19"/>
    <w:rsid w:val="009F35E2"/>
    <w:rsid w:val="009F65F9"/>
    <w:rsid w:val="009F68BA"/>
    <w:rsid w:val="00A06277"/>
    <w:rsid w:val="00A06477"/>
    <w:rsid w:val="00A079DC"/>
    <w:rsid w:val="00A111C2"/>
    <w:rsid w:val="00A165FD"/>
    <w:rsid w:val="00A338E7"/>
    <w:rsid w:val="00A35CAA"/>
    <w:rsid w:val="00A36E7F"/>
    <w:rsid w:val="00A41E65"/>
    <w:rsid w:val="00A43E0A"/>
    <w:rsid w:val="00A530C7"/>
    <w:rsid w:val="00A55EDF"/>
    <w:rsid w:val="00A55F5B"/>
    <w:rsid w:val="00A60185"/>
    <w:rsid w:val="00A661EA"/>
    <w:rsid w:val="00A830E5"/>
    <w:rsid w:val="00A87135"/>
    <w:rsid w:val="00A93280"/>
    <w:rsid w:val="00A951EA"/>
    <w:rsid w:val="00AA2548"/>
    <w:rsid w:val="00AA58C4"/>
    <w:rsid w:val="00AA7003"/>
    <w:rsid w:val="00AB11C8"/>
    <w:rsid w:val="00AC08A8"/>
    <w:rsid w:val="00AD56C8"/>
    <w:rsid w:val="00AD58F2"/>
    <w:rsid w:val="00B0512A"/>
    <w:rsid w:val="00B0529F"/>
    <w:rsid w:val="00B1418B"/>
    <w:rsid w:val="00B16192"/>
    <w:rsid w:val="00B21195"/>
    <w:rsid w:val="00B24B22"/>
    <w:rsid w:val="00B25310"/>
    <w:rsid w:val="00B32F8F"/>
    <w:rsid w:val="00B3492A"/>
    <w:rsid w:val="00B54DE9"/>
    <w:rsid w:val="00B553EC"/>
    <w:rsid w:val="00B55E3F"/>
    <w:rsid w:val="00B62D95"/>
    <w:rsid w:val="00B63C1E"/>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07FE"/>
    <w:rsid w:val="00E0596E"/>
    <w:rsid w:val="00E06F66"/>
    <w:rsid w:val="00E33C95"/>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EF57A5"/>
    <w:rsid w:val="00F00192"/>
    <w:rsid w:val="00F01DF6"/>
    <w:rsid w:val="00F0340D"/>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4F217C"/>
    <w:pPr>
      <w:spacing w:after="200" w:line="360" w:lineRule="auto"/>
    </w:pPr>
    <w:rPr>
      <w:rFonts w:ascii="Century Gothic" w:eastAsiaTheme="minorHAnsi" w:hAnsi="Century Gothic" w:cs="Arial"/>
      <w:sz w:val="24"/>
      <w:lang w:eastAsia="en-US"/>
    </w:rPr>
  </w:style>
  <w:style w:type="paragraph" w:styleId="Heading1">
    <w:name w:val="heading 1"/>
    <w:basedOn w:val="Normal"/>
    <w:next w:val="Normal"/>
    <w:link w:val="Heading1Char"/>
    <w:uiPriority w:val="9"/>
    <w:qFormat/>
    <w:rsid w:val="00C51CCA"/>
    <w:pPr>
      <w:keepNext/>
      <w:spacing w:line="276" w:lineRule="auto"/>
      <w:outlineLvl w:val="0"/>
    </w:pPr>
    <w:rPr>
      <w:rFonts w:ascii="Arial" w:eastAsia="Calibri" w:hAnsi="Arial"/>
      <w:b/>
      <w:caps/>
      <w:sz w:val="22"/>
      <w:szCs w:val="22"/>
    </w:rPr>
  </w:style>
  <w:style w:type="paragraph" w:styleId="Heading2">
    <w:name w:val="heading 2"/>
    <w:basedOn w:val="Normal"/>
    <w:next w:val="Normal"/>
    <w:link w:val="Heading2Char"/>
    <w:uiPriority w:val="9"/>
    <w:qFormat/>
    <w:rsid w:val="000E31C1"/>
    <w:pPr>
      <w:keepNext/>
      <w:spacing w:line="276" w:lineRule="auto"/>
      <w:outlineLvl w:val="1"/>
    </w:pPr>
    <w:rPr>
      <w:rFonts w:ascii="Arial" w:eastAsia="Calibri" w:hAnsi="Arial"/>
      <w:b/>
      <w:sz w:val="22"/>
      <w:szCs w:val="22"/>
    </w:rPr>
  </w:style>
  <w:style w:type="paragraph" w:styleId="Heading3">
    <w:name w:val="heading 3"/>
    <w:basedOn w:val="Normal"/>
    <w:next w:val="Normal"/>
    <w:link w:val="Heading3Char"/>
    <w:uiPriority w:val="9"/>
    <w:qFormat/>
    <w:rsid w:val="000E31C1"/>
    <w:pPr>
      <w:keepNext/>
      <w:spacing w:line="276" w:lineRule="auto"/>
      <w:outlineLvl w:val="2"/>
    </w:pPr>
    <w:rPr>
      <w:rFonts w:ascii="Arial" w:eastAsia="Calibri" w:hAnsi="Arial"/>
      <w:b/>
      <w:i/>
      <w:sz w:val="22"/>
      <w:szCs w:val="22"/>
    </w:rPr>
  </w:style>
  <w:style w:type="paragraph" w:styleId="Heading4">
    <w:name w:val="heading 4"/>
    <w:basedOn w:val="Normal"/>
    <w:next w:val="Normal"/>
    <w:link w:val="Heading4Char"/>
    <w:uiPriority w:val="9"/>
    <w:qFormat/>
    <w:rsid w:val="000E31C1"/>
    <w:pPr>
      <w:keepNext/>
      <w:spacing w:line="276" w:lineRule="auto"/>
      <w:outlineLvl w:val="3"/>
    </w:pPr>
    <w:rPr>
      <w:rFonts w:ascii="Arial" w:eastAsia="Calibri" w:hAnsi="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rPr>
      <w:rFonts w:ascii="Arial" w:eastAsia="Calibri" w:hAnsi="Arial" w:cs="Times New Roman"/>
      <w:sz w:val="22"/>
      <w:szCs w:val="22"/>
    </w:r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rPr>
      <w:rFonts w:ascii="Arial" w:eastAsia="Calibri" w:hAnsi="Arial" w:cs="Times New Roman"/>
      <w:sz w:val="22"/>
      <w:szCs w:val="22"/>
    </w:r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spacing w:line="276" w:lineRule="auto"/>
    </w:pPr>
    <w:rPr>
      <w:rFonts w:ascii="Arial" w:eastAsia="Calibri" w:hAnsi="Arial" w:cs="Times New Roman"/>
      <w:sz w:val="22"/>
      <w:szCs w:val="22"/>
    </w:rPr>
  </w:style>
  <w:style w:type="paragraph" w:styleId="ListBullet2">
    <w:name w:val="List Bullet 2"/>
    <w:basedOn w:val="Normal"/>
    <w:uiPriority w:val="99"/>
    <w:unhideWhenUsed/>
    <w:rsid w:val="00091608"/>
    <w:pPr>
      <w:numPr>
        <w:ilvl w:val="1"/>
        <w:numId w:val="48"/>
      </w:numPr>
      <w:spacing w:line="276" w:lineRule="auto"/>
    </w:pPr>
    <w:rPr>
      <w:rFonts w:ascii="Arial" w:eastAsia="Calibri" w:hAnsi="Arial" w:cs="Times New Roman"/>
      <w:sz w:val="22"/>
      <w:szCs w:val="22"/>
    </w:rPr>
  </w:style>
  <w:style w:type="paragraph" w:styleId="ListBullet3">
    <w:name w:val="List Bullet 3"/>
    <w:basedOn w:val="Normal"/>
    <w:uiPriority w:val="99"/>
    <w:unhideWhenUsed/>
    <w:rsid w:val="00091608"/>
    <w:pPr>
      <w:numPr>
        <w:ilvl w:val="2"/>
        <w:numId w:val="48"/>
      </w:numPr>
      <w:spacing w:line="276" w:lineRule="auto"/>
    </w:pPr>
    <w:rPr>
      <w:rFonts w:ascii="Arial" w:eastAsia="Calibri" w:hAnsi="Arial" w:cs="Times New Roman"/>
      <w:sz w:val="22"/>
      <w:szCs w:val="22"/>
    </w:rPr>
  </w:style>
  <w:style w:type="paragraph" w:styleId="ListBullet4">
    <w:name w:val="List Bullet 4"/>
    <w:basedOn w:val="Normal"/>
    <w:uiPriority w:val="99"/>
    <w:unhideWhenUsed/>
    <w:rsid w:val="00091608"/>
    <w:pPr>
      <w:numPr>
        <w:ilvl w:val="3"/>
        <w:numId w:val="48"/>
      </w:numPr>
      <w:spacing w:line="276" w:lineRule="auto"/>
    </w:pPr>
    <w:rPr>
      <w:rFonts w:ascii="Arial" w:eastAsia="Calibri" w:hAnsi="Arial" w:cs="Times New Roman"/>
      <w:sz w:val="22"/>
      <w:szCs w:val="22"/>
    </w:rPr>
  </w:style>
  <w:style w:type="paragraph" w:styleId="ListBullet5">
    <w:name w:val="List Bullet 5"/>
    <w:basedOn w:val="Normal"/>
    <w:uiPriority w:val="99"/>
    <w:unhideWhenUsed/>
    <w:rsid w:val="00091608"/>
    <w:pPr>
      <w:numPr>
        <w:ilvl w:val="4"/>
        <w:numId w:val="48"/>
      </w:numPr>
      <w:spacing w:line="276" w:lineRule="auto"/>
    </w:pPr>
    <w:rPr>
      <w:rFonts w:ascii="Arial" w:eastAsia="Calibri" w:hAnsi="Arial" w:cs="Times New Roman"/>
      <w:sz w:val="22"/>
      <w:szCs w:val="22"/>
    </w:r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line="276" w:lineRule="auto"/>
      <w:jc w:val="center"/>
    </w:pPr>
    <w:rPr>
      <w:rFonts w:ascii="Arial" w:eastAsia="Times New Roman" w:hAnsi="Arial"/>
      <w:color w:val="FF0000"/>
      <w:sz w:val="28"/>
      <w:szCs w:val="28"/>
      <w:lang w:eastAsia="en-AU"/>
    </w:rPr>
  </w:style>
  <w:style w:type="paragraph" w:styleId="ListParagraph">
    <w:name w:val="List Paragraph"/>
    <w:basedOn w:val="Normal"/>
    <w:uiPriority w:val="34"/>
    <w:rsid w:val="003556BD"/>
    <w:pPr>
      <w:numPr>
        <w:numId w:val="39"/>
      </w:numPr>
      <w:spacing w:line="276" w:lineRule="auto"/>
    </w:pPr>
    <w:rPr>
      <w:rFonts w:ascii="Arial" w:eastAsia="Calibri" w:hAnsi="Arial" w:cs="Times New Roman"/>
      <w:sz w:val="22"/>
      <w:szCs w:val="22"/>
    </w:r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spacing w:line="276" w:lineRule="auto"/>
    </w:pPr>
    <w:rPr>
      <w:rFonts w:ascii="Arial" w:eastAsia="Calibri" w:hAnsi="Arial" w:cs="Times New Roman"/>
      <w:sz w:val="22"/>
      <w:szCs w:val="22"/>
    </w:rPr>
  </w:style>
  <w:style w:type="paragraph" w:styleId="ListNumber2">
    <w:name w:val="List Number 2"/>
    <w:basedOn w:val="Normal"/>
    <w:uiPriority w:val="99"/>
    <w:rsid w:val="00005CAA"/>
    <w:pPr>
      <w:numPr>
        <w:ilvl w:val="1"/>
        <w:numId w:val="47"/>
      </w:numPr>
      <w:spacing w:line="276" w:lineRule="auto"/>
    </w:pPr>
    <w:rPr>
      <w:rFonts w:ascii="Arial" w:eastAsia="Calibri" w:hAnsi="Arial" w:cs="Times New Roman"/>
      <w:sz w:val="22"/>
      <w:szCs w:val="22"/>
    </w:rPr>
  </w:style>
  <w:style w:type="paragraph" w:styleId="ListNumber3">
    <w:name w:val="List Number 3"/>
    <w:basedOn w:val="Normal"/>
    <w:uiPriority w:val="99"/>
    <w:rsid w:val="00005CAA"/>
    <w:pPr>
      <w:numPr>
        <w:ilvl w:val="2"/>
        <w:numId w:val="47"/>
      </w:numPr>
      <w:spacing w:line="276" w:lineRule="auto"/>
    </w:pPr>
    <w:rPr>
      <w:rFonts w:ascii="Arial" w:eastAsia="Calibri" w:hAnsi="Arial" w:cs="Times New Roman"/>
      <w:sz w:val="22"/>
      <w:szCs w:val="22"/>
    </w:rPr>
  </w:style>
  <w:style w:type="paragraph" w:styleId="ListNumber4">
    <w:name w:val="List Number 4"/>
    <w:basedOn w:val="Normal"/>
    <w:uiPriority w:val="99"/>
    <w:rsid w:val="00005CAA"/>
    <w:pPr>
      <w:numPr>
        <w:ilvl w:val="3"/>
        <w:numId w:val="47"/>
      </w:numPr>
      <w:spacing w:line="276" w:lineRule="auto"/>
    </w:pPr>
    <w:rPr>
      <w:rFonts w:ascii="Arial" w:eastAsia="Calibri" w:hAnsi="Arial" w:cs="Times New Roman"/>
      <w:sz w:val="22"/>
      <w:szCs w:val="22"/>
    </w:rPr>
  </w:style>
  <w:style w:type="paragraph" w:styleId="ListNumber5">
    <w:name w:val="List Number 5"/>
    <w:basedOn w:val="Normal"/>
    <w:uiPriority w:val="99"/>
    <w:rsid w:val="00005CAA"/>
    <w:pPr>
      <w:numPr>
        <w:ilvl w:val="4"/>
        <w:numId w:val="47"/>
      </w:numPr>
      <w:spacing w:line="276" w:lineRule="auto"/>
    </w:pPr>
    <w:rPr>
      <w:rFonts w:ascii="Arial" w:eastAsia="Calibri" w:hAnsi="Arial" w:cs="Times New Roman"/>
      <w:sz w:val="22"/>
      <w:szCs w:val="22"/>
    </w:r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line="276" w:lineRule="auto"/>
    </w:pPr>
    <w:rPr>
      <w:rFonts w:ascii="Arial" w:eastAsia="Calibri" w:hAnsi="Arial" w:cs="Times New Roman"/>
      <w:sz w:val="22"/>
      <w:szCs w:val="22"/>
    </w:rPr>
  </w:style>
  <w:style w:type="paragraph" w:customStyle="1" w:styleId="Classificationsensitivity">
    <w:name w:val="Classification sensitivity"/>
    <w:basedOn w:val="Classification"/>
    <w:rsid w:val="002C5813"/>
    <w:rPr>
      <w:sz w:val="22"/>
    </w:rPr>
  </w:style>
  <w:style w:type="character" w:styleId="IntenseEmphasis">
    <w:name w:val="Intense Emphasis"/>
    <w:basedOn w:val="DefaultParagraphFont"/>
    <w:uiPriority w:val="21"/>
    <w:qFormat/>
    <w:rsid w:val="004F217C"/>
    <w:rPr>
      <w:rFonts w:ascii="Century Gothic" w:hAnsi="Century Gothic"/>
      <w:i/>
      <w:iCs/>
      <w:color w:val="auto"/>
    </w:rPr>
  </w:style>
  <w:style w:type="paragraph" w:styleId="Title">
    <w:name w:val="Title"/>
    <w:basedOn w:val="Normal"/>
    <w:next w:val="Normal"/>
    <w:link w:val="TitleChar"/>
    <w:uiPriority w:val="10"/>
    <w:qFormat/>
    <w:rsid w:val="00A165FD"/>
    <w:pPr>
      <w:pBdr>
        <w:bottom w:val="single" w:sz="8" w:space="4" w:color="4F81BD" w:themeColor="accent1"/>
      </w:pBdr>
      <w:spacing w:after="0" w:line="240" w:lineRule="auto"/>
      <w:contextualSpacing/>
    </w:pPr>
    <w:rPr>
      <w:rFonts w:eastAsiaTheme="majorEastAsia"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A165FD"/>
    <w:rPr>
      <w:rFonts w:ascii="Century Gothic" w:eastAsiaTheme="majorEastAsia" w:hAnsi="Century Gothic" w:cstheme="majorBidi"/>
      <w:color w:val="17365D" w:themeColor="text2" w:themeShade="BF"/>
      <w:spacing w:val="5"/>
      <w:kern w:val="28"/>
      <w:sz w:val="48"/>
      <w:szCs w:val="52"/>
      <w:lang w:eastAsia="en-US"/>
    </w:rPr>
  </w:style>
  <w:style w:type="paragraph" w:styleId="Subtitle">
    <w:name w:val="Subtitle"/>
    <w:basedOn w:val="Normal"/>
    <w:next w:val="Normal"/>
    <w:link w:val="SubtitleChar"/>
    <w:uiPriority w:val="11"/>
    <w:qFormat/>
    <w:rsid w:val="00A165FD"/>
    <w:pPr>
      <w:numPr>
        <w:ilvl w:val="1"/>
      </w:numPr>
    </w:pPr>
    <w:rPr>
      <w:rFonts w:eastAsiaTheme="majorEastAsia" w:cstheme="majorBidi"/>
      <w:b/>
      <w:iCs/>
      <w:color w:val="1F497D" w:themeColor="text2"/>
      <w:spacing w:val="15"/>
      <w:sz w:val="28"/>
      <w:szCs w:val="24"/>
    </w:rPr>
  </w:style>
  <w:style w:type="character" w:customStyle="1" w:styleId="SubtitleChar">
    <w:name w:val="Subtitle Char"/>
    <w:basedOn w:val="DefaultParagraphFont"/>
    <w:link w:val="Subtitle"/>
    <w:uiPriority w:val="11"/>
    <w:rsid w:val="00A165FD"/>
    <w:rPr>
      <w:rFonts w:ascii="Century Gothic" w:eastAsiaTheme="majorEastAsia" w:hAnsi="Century Gothic" w:cstheme="majorBidi"/>
      <w:b/>
      <w:iCs/>
      <w:color w:val="1F497D" w:themeColor="text2"/>
      <w:spacing w:val="15"/>
      <w:sz w:val="28"/>
      <w:szCs w:val="24"/>
      <w:lang w:eastAsia="en-US"/>
    </w:rPr>
  </w:style>
  <w:style w:type="character" w:styleId="Strong">
    <w:name w:val="Strong"/>
    <w:basedOn w:val="DefaultParagraphFont"/>
    <w:uiPriority w:val="22"/>
    <w:qFormat/>
    <w:rsid w:val="00A165F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al xmlns="5af92df4-ae3d-4772-abff-92e7cba13994" xsi:nil="true"/>
    <Function xmlns="5af92df4-ae3d-4772-abff-92e7cba13994">Program Admin</Function>
    <Section xmlns="5af92df4-ae3d-4772-abff-92e7cba13994"/>
    <RecordNumber xmlns="5af92df4-ae3d-4772-abff-92e7cba13994">000018735</RecordNumber>
    <Division xmlns="5af92df4-ae3d-4772-abff-92e7cba13994">
      <UserInfo>
        <DisplayName/>
        <AccountId xsi:nil="true"/>
        <AccountType/>
      </UserInfo>
    </Division>
    <DocumentDescription xmlns="5af92df4-ae3d-4772-abff-92e7cba13994">Cleared for upload to CEWO website</DocumentDescription>
    <Branch xmlns="5af92df4-ae3d-4772-abff-92e7cba13994">
      <UserInfo>
        <DisplayName/>
        <AccountId xsi:nil="true"/>
        <AccountType/>
      </UserInfo>
    </Branch>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98F025F69719843A486E83C4110F39A" ma:contentTypeVersion="24" ma:contentTypeDescription="SPIRE Document" ma:contentTypeScope="" ma:versionID="27f8f4c42c78c900f27bac026d68eb99">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d20d8bc575433f342a9dfef7f464c1fc"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fault="23;#"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fault="113;#"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fault="270;#"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5af92df4-ae3d-4772-abff-92e7cba13994"/>
    <ds:schemaRef ds:uri="http://schemas.microsoft.com/sharepoint/v4"/>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4EC386A6-AC74-4060-8AF8-46A671AC9147}">
  <ds:schemaRefs>
    <ds:schemaRef ds:uri="http://schemas.microsoft.com/office/2006/metadata/customXsn"/>
  </ds:schemaRefs>
</ds:datastoreItem>
</file>

<file path=customXml/itemProps4.xml><?xml version="1.0" encoding="utf-8"?>
<ds:datastoreItem xmlns:ds="http://schemas.openxmlformats.org/officeDocument/2006/customXml" ds:itemID="{16286CD5-D1ED-44DE-9025-2BB22DC14697}">
  <ds:schemaRefs>
    <ds:schemaRef ds:uri="http://schemas.microsoft.com/sharepoint/events"/>
  </ds:schemaRefs>
</ds:datastoreItem>
</file>

<file path=customXml/itemProps5.xml><?xml version="1.0" encoding="utf-8"?>
<ds:datastoreItem xmlns:ds="http://schemas.openxmlformats.org/officeDocument/2006/customXml" ds:itemID="{E7066894-B70D-44FB-8D61-08CACC4EE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17BD0C7-A137-4094-9E92-20387B543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1334</Words>
  <Characters>7605</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2013-11-5 Lower Murray - Exec Summary - 2012-13 Interim Report</vt:lpstr>
    </vt:vector>
  </TitlesOfParts>
  <Company>DEWHA</Company>
  <LinksUpToDate>false</LinksUpToDate>
  <CharactersWithSpaces>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Interim Report - Monitoring the ecosystem responses to Commonwealth environmental water delivered to the lower River Murray in 2012-13</dc:title>
  <dc:creator>South Australian Research and Development Institute</dc:creator>
  <cp:lastModifiedBy>Rebecca Durack</cp:lastModifiedBy>
  <cp:revision>2</cp:revision>
  <dcterms:created xsi:type="dcterms:W3CDTF">2014-05-19T06:19:00Z</dcterms:created>
  <dcterms:modified xsi:type="dcterms:W3CDTF">2014-05-19T06:19:00Z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0x010100DB29C2AB6EB75541991FB3E24043BFB600198F025F69719843A486E83C4110F39A</vt:lpwstr>
  </property>
  <property fmtid="{D5CDD505-2E9C-101B-9397-08002B2CF9AE}" pid="3" name="RecordPoint_SubmissionDate">
    <vt:lpwstr/>
  </property>
  <property fmtid="{D5CDD505-2E9C-101B-9397-08002B2CF9AE}" pid="4" name="RecordPoint_ActiveItemSiteId">
    <vt:lpwstr>{a8f0bc9d-7c61-4d87-8154-4194e40ae5d3}</vt:lpwstr>
  </property>
  <property fmtid="{D5CDD505-2E9C-101B-9397-08002B2CF9AE}" pid="5" name="RecordPoint_ActiveItemListId">
    <vt:lpwstr>{e2b24747-f87b-4517-bbbc-cdc7ade52656}</vt:lpwstr>
  </property>
  <property fmtid="{D5CDD505-2E9C-101B-9397-08002B2CF9AE}" pid="6" name="RecordPoint_ActiveItemUniqueId">
    <vt:lpwstr>{cce3216a-bc7d-4cac-be40-109a7e7e5ba0}</vt:lpwstr>
  </property>
  <property fmtid="{D5CDD505-2E9C-101B-9397-08002B2CF9AE}" pid="7" name="RecordPoint_RecordFormat">
    <vt:lpwstr/>
  </property>
  <property fmtid="{D5CDD505-2E9C-101B-9397-08002B2CF9AE}" pid="8" name="RecordPoint_ActiveItemMoved">
    <vt:lpwstr/>
  </property>
  <property fmtid="{D5CDD505-2E9C-101B-9397-08002B2CF9AE}" pid="9" name="RecordPoint_SubmissionCompleted">
    <vt:lpwstr/>
  </property>
  <property fmtid="{D5CDD505-2E9C-101B-9397-08002B2CF9AE}" pid="10" name="RecordPoint_ActiveItemWebId">
    <vt:lpwstr>{da8a1d79-5583-40e4-b6b4-5e9001513e50}</vt:lpwstr>
  </property>
  <property fmtid="{D5CDD505-2E9C-101B-9397-08002B2CF9AE}" pid="11" name="RecordPoint_WorkflowType">
    <vt:lpwstr>ActiveSubmitStub</vt:lpwstr>
  </property>
  <property fmtid="{D5CDD505-2E9C-101B-9397-08002B2CF9AE}" pid="12" name="RecordPoint_RecordNumberSubmitted">
    <vt:lpwstr/>
  </property>
</Properties>
</file>