
<file path=[Content_Types].xml><?xml version="1.0" encoding="utf-8"?>
<Types xmlns="http://schemas.openxmlformats.org/package/2006/content-types">
  <Override PartName="/word/footnotes.xml" ContentType="application/vnd.openxmlformats-officedocument.wordprocessingml.footnotes+xml"/>
  <Override PartName="/word/theme/themeOverride5.xml" ContentType="application/vnd.openxmlformats-officedocument.themeOverride+xml"/>
  <Override PartName="/customXml/itemProps1.xml" ContentType="application/vnd.openxmlformats-officedocument.customXmlProperties+xml"/>
  <Override PartName="/word/theme/themeOverride3.xml" ContentType="application/vnd.openxmlformats-officedocument.themeOverride+xml"/>
  <Default Extension="jpeg" ContentType="image/jpeg"/>
  <Default Extension="emf" ContentType="image/x-emf"/>
  <Default Extension="wmf" ContentType="image/x-w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charts/chart8.xml" ContentType="application/vnd.openxmlformats-officedocument.drawingml.chart+xml"/>
  <Override PartName="/word/footer5.xml" ContentType="application/vnd.openxmlformats-officedocument.wordprocessingml.footer+xml"/>
  <Override PartName="/docProps/app.xml" ContentType="application/vnd.openxmlformats-officedocument.extended-properties+xml"/>
  <Override PartName="/word/charts/colors7.xml" ContentType="application/vnd.ms-office.chartcolorstyle+xml"/>
  <Override PartName="/word/charts/colors8.xml" ContentType="application/vnd.ms-office.chartcolorstyle+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olors5.xml" ContentType="application/vnd.ms-office.chartcolorstyle+xml"/>
  <Override PartName="/word/charts/style8.xml" ContentType="application/vnd.ms-office.chartstyle+xml"/>
  <Override PartName="/word/charts/colors6.xml" ContentType="application/vnd.ms-office.chartcolorstyle+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Default Extension="tiff" ContentType="image/tiff"/>
  <Override PartName="/word/theme/theme1.xml" ContentType="application/vnd.openxmlformats-officedocument.theme+xml"/>
  <Override PartName="/word/charts/colors4.xml" ContentType="application/vnd.ms-office.chartcolorstyle+xml"/>
  <Override PartName="/word/charts/style7.xml" ContentType="application/vnd.ms-office.chartstyle+xml"/>
  <Override PartName="/word/charts/colors3.xml" ContentType="application/vnd.ms-office.chartcolorstyle+xml"/>
  <Override PartName="/word/charts/style6.xml" ContentType="application/vnd.ms-office.chartstyl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charts/style4.xml" ContentType="application/vnd.ms-office.chartstyle+xml"/>
  <Override PartName="/word/charts/style5.xml" ContentType="application/vnd.ms-office.chartstyle+xml"/>
  <Override PartName="/word/charts/style3.xml" ContentType="application/vnd.ms-office.chartstyle+xml"/>
  <Override PartName="/word/charts/colors1.xml" ContentType="application/vnd.ms-office.chartcolorstyle+xml"/>
  <Override PartName="/word/charts/colors2.xml" ContentType="application/vnd.ms-office.chartcolorsty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theme/themeOverride6.xml" ContentType="application/vnd.openxmlformats-officedocument.themeOverride+xml"/>
  <Override PartName="/docProps/core.xml" ContentType="application/vnd.openxmlformats-package.core-properties+xml"/>
  <Override PartName="/word/charts/style1.xml" ContentType="application/vnd.ms-office.chartstyle+xml"/>
  <Override PartName="/word/charts/style2.xml" ContentType="application/vnd.ms-office.chartstyle+xml"/>
  <Default Extension="png" ContentType="image/png"/>
  <Override PartName="/word/theme/themeOverride4.xml" ContentType="application/vnd.openxmlformats-officedocument.themeOverride+xml"/>
  <Default Extension="bin" ContentType="application/vnd.openxmlformats-officedocument.oleObject"/>
  <Override PartName="/word/theme/themeOverride2.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731A" w:rsidRPr="000D2D0D" w:rsidRDefault="004708E9" w:rsidP="003A30D5">
      <w:pPr>
        <w:spacing w:after="0" w:line="240" w:lineRule="auto"/>
        <w:ind w:left="-1701" w:right="-1134"/>
        <w:jc w:val="center"/>
        <w:rPr>
          <w:noProof/>
          <w:sz w:val="52"/>
          <w:szCs w:val="52"/>
        </w:rPr>
        <w:sectPr w:rsidR="003C731A" w:rsidRPr="000D2D0D" w:rsidSect="00DB03B2">
          <w:headerReference w:type="even" r:id="rId8"/>
          <w:headerReference w:type="default" r:id="rId9"/>
          <w:footerReference w:type="even" r:id="rId10"/>
          <w:footerReference w:type="default" r:id="rId11"/>
          <w:headerReference w:type="first" r:id="rId12"/>
          <w:footerReference w:type="first" r:id="rId13"/>
          <w:pgSz w:w="11906" w:h="16838"/>
          <w:pgMar w:top="0" w:right="0" w:bottom="0" w:left="284" w:header="113" w:footer="340" w:gutter="0"/>
          <w:pgNumType w:fmt="lowerRoman" w:start="1"/>
          <w:cols w:space="708"/>
          <w:titlePg/>
          <w:docGrid w:linePitch="360"/>
        </w:sectPr>
      </w:pPr>
      <w:r>
        <w:rPr>
          <w:noProof/>
          <w:sz w:val="52"/>
          <w:szCs w:val="52"/>
        </w:rPr>
        <w:t xml:space="preserve"> </w:t>
      </w:r>
      <w:r w:rsidR="00DA542B">
        <w:rPr>
          <w:noProof/>
          <w:sz w:val="52"/>
          <w:szCs w:val="52"/>
          <w:lang w:eastAsia="en-AU"/>
        </w:rPr>
        <w:drawing>
          <wp:inline distT="0" distB="0" distL="0" distR="0">
            <wp:extent cx="7371715" cy="10408285"/>
            <wp:effectExtent l="1905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screen"/>
                    <a:srcRect/>
                    <a:stretch>
                      <a:fillRect/>
                    </a:stretch>
                  </pic:blipFill>
                  <pic:spPr bwMode="auto">
                    <a:xfrm>
                      <a:off x="0" y="0"/>
                      <a:ext cx="7371715" cy="10408285"/>
                    </a:xfrm>
                    <a:prstGeom prst="rect">
                      <a:avLst/>
                    </a:prstGeom>
                    <a:noFill/>
                    <a:ln w="9525">
                      <a:noFill/>
                      <a:miter lim="800000"/>
                      <a:headEnd/>
                      <a:tailEnd/>
                    </a:ln>
                  </pic:spPr>
                </pic:pic>
              </a:graphicData>
            </a:graphic>
          </wp:inline>
        </w:drawing>
      </w:r>
    </w:p>
    <w:p w:rsidR="00D63AA1" w:rsidRPr="00826115" w:rsidRDefault="00F671D2" w:rsidP="00D63AA1">
      <w:pPr>
        <w:spacing w:line="240" w:lineRule="auto"/>
        <w:ind w:right="-1"/>
      </w:pPr>
      <w:r>
        <w:rPr>
          <w:noProof/>
          <w:lang w:eastAsia="en-AU"/>
        </w:rPr>
        <w:lastRenderedPageBreak/>
        <w:pict>
          <v:shapetype id="_x0000_t202" coordsize="21600,21600" o:spt="202" path="m,l,21600r21600,l21600,xe">
            <v:stroke joinstyle="miter"/>
            <v:path gradientshapeok="t" o:connecttype="rect"/>
          </v:shapetype>
          <v:shape id="Text Box 66" o:spid="_x0000_s1026" type="#_x0000_t202" style="position:absolute;left:0;text-align:left;margin-left:-4.8pt;margin-top:-283.7pt;width:468.95pt;height:108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" filled="f" stroked="f">
            <v:textbox style="mso-fit-shape-to-text:t">
              <w:txbxContent>
                <w:p w:rsidR="0097684C" w:rsidRPr="00C85ECC" w:rsidRDefault="0097684C" w:rsidP="00C85ECC">
                  <w:pPr>
                    <w:spacing w:line="240" w:lineRule="auto"/>
                    <w:jc w:val="right"/>
                    <w:rPr>
                      <w:rFonts w:ascii="Arial" w:hAnsi="Arial" w:cs="Arial"/>
                      <w:color w:val="FFFFFF"/>
                      <w:sz w:val="48"/>
                      <w:szCs w:val="48"/>
                    </w:rPr>
                  </w:pPr>
                  <w:r w:rsidRPr="00C85ECC">
                    <w:rPr>
                      <w:rFonts w:ascii="Arial" w:hAnsi="Arial" w:cs="Arial"/>
                      <w:b/>
                      <w:bCs/>
                      <w:color w:val="FFFFFF"/>
                      <w:sz w:val="48"/>
                      <w:szCs w:val="48"/>
                    </w:rPr>
                    <w:t>Monitoring of ecosystem responses to the delivery of environmental water in the Edward-Wakool system</w:t>
                  </w:r>
                  <w:r>
                    <w:rPr>
                      <w:rFonts w:ascii="Arial" w:hAnsi="Arial" w:cs="Arial"/>
                      <w:b/>
                      <w:bCs/>
                      <w:color w:val="FFFFFF"/>
                      <w:sz w:val="48"/>
                      <w:szCs w:val="48"/>
                    </w:rPr>
                    <w:t>, 2011-</w:t>
                  </w:r>
                  <w:r w:rsidRPr="00C85ECC">
                    <w:rPr>
                      <w:rFonts w:ascii="Arial" w:hAnsi="Arial" w:cs="Arial"/>
                      <w:b/>
                      <w:bCs/>
                      <w:color w:val="FFFFFF"/>
                      <w:sz w:val="48"/>
                      <w:szCs w:val="48"/>
                    </w:rPr>
                    <w:t>2012</w:t>
                  </w:r>
                </w:p>
              </w:txbxContent>
            </v:textbox>
          </v:shape>
        </w:pict>
      </w:r>
      <w:r w:rsidR="00D63AA1" w:rsidRPr="00826115">
        <w:rPr>
          <w:bCs/>
          <w:szCs w:val="22"/>
        </w:rPr>
        <w:t>Watts, R.J.</w:t>
      </w:r>
      <w:r w:rsidR="00D63AA1" w:rsidRPr="00826115">
        <w:rPr>
          <w:bCs/>
          <w:szCs w:val="22"/>
          <w:vertAlign w:val="superscript"/>
        </w:rPr>
        <w:t>a</w:t>
      </w:r>
      <w:r w:rsidR="00D63AA1" w:rsidRPr="00826115">
        <w:rPr>
          <w:bCs/>
          <w:szCs w:val="22"/>
        </w:rPr>
        <w:t>, McCasker, N.</w:t>
      </w:r>
      <w:r w:rsidR="00D63AA1" w:rsidRPr="00826115">
        <w:rPr>
          <w:bCs/>
          <w:szCs w:val="22"/>
          <w:vertAlign w:val="superscript"/>
        </w:rPr>
        <w:t>a</w:t>
      </w:r>
      <w:r w:rsidR="00D63AA1" w:rsidRPr="00826115">
        <w:rPr>
          <w:bCs/>
          <w:szCs w:val="22"/>
        </w:rPr>
        <w:t xml:space="preserve">, </w:t>
      </w:r>
      <w:r w:rsidR="00676000" w:rsidRPr="00826115">
        <w:rPr>
          <w:bCs/>
          <w:szCs w:val="22"/>
        </w:rPr>
        <w:t>Thie</w:t>
      </w:r>
      <w:r w:rsidR="000D2D0D" w:rsidRPr="00826115">
        <w:rPr>
          <w:bCs/>
          <w:szCs w:val="22"/>
        </w:rPr>
        <w:t>m, J.</w:t>
      </w:r>
      <w:r w:rsidR="000D2D0D" w:rsidRPr="00826115">
        <w:rPr>
          <w:bCs/>
          <w:szCs w:val="22"/>
          <w:vertAlign w:val="superscript"/>
        </w:rPr>
        <w:t xml:space="preserve"> b</w:t>
      </w:r>
      <w:r w:rsidR="00D832E3" w:rsidRPr="00826115">
        <w:rPr>
          <w:bCs/>
          <w:szCs w:val="22"/>
        </w:rPr>
        <w:t xml:space="preserve">, </w:t>
      </w:r>
      <w:r w:rsidR="002E5EE0" w:rsidRPr="00826115">
        <w:rPr>
          <w:bCs/>
          <w:szCs w:val="22"/>
        </w:rPr>
        <w:t>Howitt, J.A.</w:t>
      </w:r>
      <w:r w:rsidR="002E5EE0" w:rsidRPr="00826115">
        <w:rPr>
          <w:bCs/>
          <w:szCs w:val="22"/>
          <w:vertAlign w:val="superscript"/>
        </w:rPr>
        <w:t>a</w:t>
      </w:r>
      <w:r w:rsidR="002E5EE0" w:rsidRPr="00826115">
        <w:rPr>
          <w:bCs/>
          <w:szCs w:val="22"/>
        </w:rPr>
        <w:t xml:space="preserve">, </w:t>
      </w:r>
      <w:r w:rsidR="00D832E3" w:rsidRPr="00826115">
        <w:rPr>
          <w:bCs/>
          <w:szCs w:val="22"/>
        </w:rPr>
        <w:t>Grace, M.</w:t>
      </w:r>
      <w:r w:rsidR="002E5EE0" w:rsidRPr="00826115">
        <w:rPr>
          <w:bCs/>
          <w:szCs w:val="22"/>
          <w:vertAlign w:val="superscript"/>
        </w:rPr>
        <w:t>c</w:t>
      </w:r>
      <w:r w:rsidR="00D832E3" w:rsidRPr="00826115">
        <w:rPr>
          <w:bCs/>
          <w:szCs w:val="22"/>
        </w:rPr>
        <w:t xml:space="preserve">, </w:t>
      </w:r>
      <w:r w:rsidR="00981345" w:rsidRPr="00826115">
        <w:rPr>
          <w:bCs/>
          <w:szCs w:val="22"/>
        </w:rPr>
        <w:t>Kopf, R.K.</w:t>
      </w:r>
      <w:r w:rsidR="00981345" w:rsidRPr="00826115">
        <w:rPr>
          <w:bCs/>
          <w:szCs w:val="22"/>
          <w:vertAlign w:val="superscript"/>
        </w:rPr>
        <w:t>a</w:t>
      </w:r>
      <w:r w:rsidR="00981345" w:rsidRPr="00826115">
        <w:rPr>
          <w:bCs/>
          <w:szCs w:val="22"/>
        </w:rPr>
        <w:t xml:space="preserve">, </w:t>
      </w:r>
      <w:r w:rsidR="00D832E3" w:rsidRPr="00826115">
        <w:rPr>
          <w:bCs/>
          <w:szCs w:val="22"/>
        </w:rPr>
        <w:t>Healy, S.</w:t>
      </w:r>
      <w:r w:rsidR="002E5EE0" w:rsidRPr="00826115">
        <w:rPr>
          <w:bCs/>
          <w:szCs w:val="22"/>
          <w:vertAlign w:val="superscript"/>
        </w:rPr>
        <w:t>d</w:t>
      </w:r>
      <w:r w:rsidR="00721478" w:rsidRPr="00826115">
        <w:rPr>
          <w:bCs/>
          <w:szCs w:val="22"/>
        </w:rPr>
        <w:t>, Bond, N.</w:t>
      </w:r>
      <w:r w:rsidR="00721478" w:rsidRPr="00826115">
        <w:rPr>
          <w:bCs/>
          <w:szCs w:val="22"/>
          <w:vertAlign w:val="superscript"/>
        </w:rPr>
        <w:t>e</w:t>
      </w:r>
      <w:r w:rsidR="00721478" w:rsidRPr="00826115">
        <w:rPr>
          <w:bCs/>
          <w:szCs w:val="22"/>
        </w:rPr>
        <w:t xml:space="preserve"> </w:t>
      </w:r>
      <w:r w:rsidR="00D04AD6" w:rsidRPr="00826115">
        <w:rPr>
          <w:bCs/>
          <w:szCs w:val="22"/>
        </w:rPr>
        <w:t>(</w:t>
      </w:r>
      <w:r w:rsidR="00981345" w:rsidRPr="00826115">
        <w:rPr>
          <w:bCs/>
          <w:szCs w:val="22"/>
        </w:rPr>
        <w:t>2015</w:t>
      </w:r>
      <w:r w:rsidR="00D63AA1" w:rsidRPr="00826115">
        <w:rPr>
          <w:bCs/>
          <w:szCs w:val="22"/>
        </w:rPr>
        <w:t xml:space="preserve">). </w:t>
      </w:r>
      <w:r w:rsidR="00826115" w:rsidRPr="00826115">
        <w:rPr>
          <w:bCs/>
          <w:szCs w:val="22"/>
        </w:rPr>
        <w:t>Commonwealth Environmental W</w:t>
      </w:r>
      <w:r w:rsidR="00D63AA1" w:rsidRPr="00826115">
        <w:rPr>
          <w:bCs/>
          <w:szCs w:val="22"/>
        </w:rPr>
        <w:t xml:space="preserve">ater </w:t>
      </w:r>
      <w:r w:rsidR="00826115" w:rsidRPr="00826115">
        <w:rPr>
          <w:bCs/>
          <w:szCs w:val="22"/>
        </w:rPr>
        <w:t xml:space="preserve">Office Long Term Intervention Monitoring Project: </w:t>
      </w:r>
      <w:r w:rsidR="00721478" w:rsidRPr="00826115">
        <w:rPr>
          <w:bCs/>
          <w:szCs w:val="22"/>
        </w:rPr>
        <w:t xml:space="preserve">Edward-Wakool </w:t>
      </w:r>
      <w:r w:rsidR="00826115" w:rsidRPr="00826115">
        <w:rPr>
          <w:bCs/>
          <w:szCs w:val="22"/>
        </w:rPr>
        <w:t>Selected Area Technical Report,</w:t>
      </w:r>
      <w:r w:rsidR="00721478" w:rsidRPr="00826115">
        <w:rPr>
          <w:bCs/>
          <w:szCs w:val="22"/>
        </w:rPr>
        <w:t xml:space="preserve"> 2014-15</w:t>
      </w:r>
      <w:r w:rsidR="00D63AA1" w:rsidRPr="00826115">
        <w:rPr>
          <w:bCs/>
          <w:szCs w:val="22"/>
        </w:rPr>
        <w:t>. Institute for Land, Water and Society, Charles S</w:t>
      </w:r>
      <w:r w:rsidR="00826115" w:rsidRPr="00826115">
        <w:rPr>
          <w:bCs/>
          <w:szCs w:val="22"/>
        </w:rPr>
        <w:t>turt University,</w:t>
      </w:r>
      <w:r w:rsidR="00D63AA1" w:rsidRPr="00826115">
        <w:rPr>
          <w:bCs/>
          <w:szCs w:val="22"/>
        </w:rPr>
        <w:t xml:space="preserve"> Prepared for </w:t>
      </w:r>
      <w:r w:rsidR="00D63AA1" w:rsidRPr="00826115">
        <w:t>Co</w:t>
      </w:r>
      <w:r w:rsidR="00D832E3" w:rsidRPr="00826115">
        <w:t>mmonwealth Environmental Water.</w:t>
      </w:r>
    </w:p>
    <w:p w:rsidR="00D63AA1" w:rsidRPr="00826115" w:rsidRDefault="00D63AA1" w:rsidP="00A539DF">
      <w:pPr>
        <w:spacing w:after="0" w:line="240" w:lineRule="auto"/>
        <w:rPr>
          <w:sz w:val="20"/>
        </w:rPr>
      </w:pPr>
      <w:proofErr w:type="gramStart"/>
      <w:r w:rsidRPr="00826115">
        <w:rPr>
          <w:sz w:val="20"/>
          <w:vertAlign w:val="superscript"/>
        </w:rPr>
        <w:t>a</w:t>
      </w:r>
      <w:proofErr w:type="gramEnd"/>
      <w:r w:rsidRPr="00826115">
        <w:rPr>
          <w:sz w:val="20"/>
          <w:vertAlign w:val="superscript"/>
        </w:rPr>
        <w:t xml:space="preserve">. </w:t>
      </w:r>
      <w:r w:rsidRPr="00826115">
        <w:rPr>
          <w:bCs/>
          <w:sz w:val="20"/>
        </w:rPr>
        <w:t>Institute for Land, Water and Society</w:t>
      </w:r>
      <w:r w:rsidRPr="00826115">
        <w:rPr>
          <w:sz w:val="20"/>
        </w:rPr>
        <w:t xml:space="preserve">  </w:t>
      </w:r>
      <w:r w:rsidRPr="00826115">
        <w:rPr>
          <w:sz w:val="20"/>
        </w:rPr>
        <w:tab/>
      </w:r>
      <w:r w:rsidRPr="00826115">
        <w:rPr>
          <w:sz w:val="20"/>
        </w:rPr>
        <w:tab/>
      </w:r>
      <w:r w:rsidRPr="00826115">
        <w:rPr>
          <w:sz w:val="20"/>
          <w:vertAlign w:val="superscript"/>
        </w:rPr>
        <w:t>b.</w:t>
      </w:r>
      <w:r w:rsidRPr="00826115">
        <w:rPr>
          <w:rFonts w:ascii="Arial" w:hAnsi="Arial" w:cs="Arial"/>
          <w:color w:val="C20041"/>
          <w:sz w:val="20"/>
        </w:rPr>
        <w:t xml:space="preserve"> </w:t>
      </w:r>
      <w:r w:rsidRPr="00826115">
        <w:rPr>
          <w:sz w:val="20"/>
        </w:rPr>
        <w:t xml:space="preserve">NSW </w:t>
      </w:r>
      <w:r w:rsidR="002E5EE0" w:rsidRPr="00826115">
        <w:rPr>
          <w:sz w:val="20"/>
        </w:rPr>
        <w:t>Department of Primary Industries</w:t>
      </w:r>
      <w:r w:rsidRPr="00826115">
        <w:rPr>
          <w:sz w:val="20"/>
        </w:rPr>
        <w:t xml:space="preserve"> </w:t>
      </w:r>
    </w:p>
    <w:p w:rsidR="00D63AA1" w:rsidRPr="00826115" w:rsidRDefault="00D63AA1" w:rsidP="00A539DF">
      <w:pPr>
        <w:spacing w:after="0" w:line="240" w:lineRule="auto"/>
        <w:rPr>
          <w:sz w:val="20"/>
        </w:rPr>
      </w:pPr>
      <w:r w:rsidRPr="00826115">
        <w:rPr>
          <w:sz w:val="20"/>
        </w:rPr>
        <w:t xml:space="preserve">   Charles Sturt University </w:t>
      </w:r>
      <w:r w:rsidRPr="00826115">
        <w:rPr>
          <w:sz w:val="20"/>
        </w:rPr>
        <w:tab/>
      </w:r>
      <w:r w:rsidRPr="00826115">
        <w:rPr>
          <w:sz w:val="20"/>
        </w:rPr>
        <w:tab/>
      </w:r>
      <w:r w:rsidRPr="00826115">
        <w:rPr>
          <w:sz w:val="20"/>
        </w:rPr>
        <w:tab/>
        <w:t xml:space="preserve">   </w:t>
      </w:r>
      <w:r w:rsidR="00A539DF" w:rsidRPr="00826115">
        <w:rPr>
          <w:sz w:val="20"/>
        </w:rPr>
        <w:tab/>
        <w:t xml:space="preserve">   </w:t>
      </w:r>
      <w:r w:rsidRPr="00826115">
        <w:rPr>
          <w:sz w:val="20"/>
        </w:rPr>
        <w:t>Narrandera Fisheries Centre,</w:t>
      </w:r>
    </w:p>
    <w:p w:rsidR="00D63AA1" w:rsidRPr="00826115" w:rsidRDefault="00D63AA1" w:rsidP="00A539DF">
      <w:pPr>
        <w:spacing w:after="0" w:line="240" w:lineRule="auto"/>
        <w:rPr>
          <w:sz w:val="20"/>
        </w:rPr>
      </w:pPr>
      <w:r w:rsidRPr="00826115">
        <w:rPr>
          <w:sz w:val="20"/>
        </w:rPr>
        <w:t xml:space="preserve">   PO Box789, Albury, NSW 2640</w:t>
      </w:r>
      <w:r w:rsidRPr="00826115">
        <w:rPr>
          <w:sz w:val="20"/>
        </w:rPr>
        <w:tab/>
      </w:r>
      <w:r w:rsidRPr="00826115">
        <w:rPr>
          <w:sz w:val="20"/>
        </w:rPr>
        <w:tab/>
      </w:r>
      <w:r w:rsidRPr="00826115">
        <w:rPr>
          <w:sz w:val="20"/>
        </w:rPr>
        <w:tab/>
        <w:t xml:space="preserve">   PO Box 182, Narrandera NSW 2700</w:t>
      </w:r>
    </w:p>
    <w:p w:rsidR="00D63AA1" w:rsidRPr="00826115" w:rsidRDefault="00D63AA1" w:rsidP="00D63AA1">
      <w:pPr>
        <w:spacing w:after="0" w:line="240" w:lineRule="auto"/>
        <w:ind w:right="-1"/>
      </w:pPr>
      <w:r w:rsidRPr="00826115">
        <w:rPr>
          <w:noProof/>
          <w:vertAlign w:val="superscript"/>
          <w:lang w:eastAsia="en-AU"/>
        </w:rPr>
        <w:drawing>
          <wp:inline distT="0" distB="0" distL="0" distR="0">
            <wp:extent cx="1590675" cy="425039"/>
            <wp:effectExtent l="19050" t="0" r="9525" b="0"/>
            <wp:docPr id="21" name="Picture 90" descr="S:\Research\Institute for Land, Water &amp; Society\ILWS Templates and Guidelines\InstLandWaterSociety_LOGOS\InstLandWaterSociety Logo 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Research\Institute for Land, Water &amp; Society\ILWS Templates and Guidelines\InstLandWaterSociety_LOGOS\InstLandWaterSociety Logo RGB.jpg"/>
                    <pic:cNvPicPr>
                      <a:picLocks noChangeAspect="1" noChangeArrowheads="1"/>
                    </pic:cNvPicPr>
                  </pic:nvPicPr>
                  <pic:blipFill>
                    <a:blip r:embed="rId15" cstate="screen"/>
                    <a:srcRect/>
                    <a:stretch>
                      <a:fillRect/>
                    </a:stretch>
                  </pic:blipFill>
                  <pic:spPr bwMode="auto">
                    <a:xfrm>
                      <a:off x="0" y="0"/>
                      <a:ext cx="1603931" cy="428581"/>
                    </a:xfrm>
                    <a:prstGeom prst="rect">
                      <a:avLst/>
                    </a:prstGeom>
                    <a:noFill/>
                    <a:ln w="9525">
                      <a:noFill/>
                      <a:miter lim="800000"/>
                      <a:headEnd/>
                      <a:tailEnd/>
                    </a:ln>
                  </pic:spPr>
                </pic:pic>
              </a:graphicData>
            </a:graphic>
          </wp:inline>
        </w:drawing>
      </w:r>
      <w:r w:rsidR="002E5EE0" w:rsidRPr="00826115">
        <w:t xml:space="preserve">                                    </w:t>
      </w:r>
      <w:r w:rsidR="002E5EE0" w:rsidRPr="00826115">
        <w:rPr>
          <w:noProof/>
          <w:lang w:eastAsia="en-AU"/>
        </w:rPr>
        <w:drawing>
          <wp:inline distT="0" distB="0" distL="0" distR="0">
            <wp:extent cx="1706233" cy="427045"/>
            <wp:effectExtent l="19050" t="0" r="8267" b="0"/>
            <wp:docPr id="18" name="Picture 6" descr="DPI_logo_colour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I_logo_colour_rgb.jpg"/>
                    <pic:cNvPicPr/>
                  </pic:nvPicPr>
                  <pic:blipFill>
                    <a:blip r:embed="rId16" cstate="screen"/>
                    <a:stretch>
                      <a:fillRect/>
                    </a:stretch>
                  </pic:blipFill>
                  <pic:spPr>
                    <a:xfrm>
                      <a:off x="0" y="0"/>
                      <a:ext cx="1716895" cy="429713"/>
                    </a:xfrm>
                    <a:prstGeom prst="rect">
                      <a:avLst/>
                    </a:prstGeom>
                  </pic:spPr>
                </pic:pic>
              </a:graphicData>
            </a:graphic>
          </wp:inline>
        </w:drawing>
      </w:r>
    </w:p>
    <w:p w:rsidR="00D63AA1" w:rsidRPr="00826115" w:rsidRDefault="00D63AA1" w:rsidP="00D63AA1">
      <w:pPr>
        <w:spacing w:after="0" w:line="240" w:lineRule="auto"/>
        <w:ind w:right="-1"/>
        <w:rPr>
          <w:sz w:val="20"/>
        </w:rPr>
      </w:pPr>
    </w:p>
    <w:p w:rsidR="00D63AA1" w:rsidRPr="00826115" w:rsidRDefault="002E5EE0" w:rsidP="00D63AA1">
      <w:pPr>
        <w:spacing w:after="0" w:line="240" w:lineRule="auto"/>
        <w:ind w:right="-1"/>
        <w:rPr>
          <w:sz w:val="20"/>
          <w:vertAlign w:val="superscript"/>
        </w:rPr>
      </w:pPr>
      <w:r w:rsidRPr="00826115">
        <w:rPr>
          <w:sz w:val="20"/>
          <w:vertAlign w:val="superscript"/>
        </w:rPr>
        <w:t>c</w:t>
      </w:r>
      <w:r w:rsidR="00D63AA1" w:rsidRPr="00826115">
        <w:rPr>
          <w:sz w:val="20"/>
          <w:vertAlign w:val="superscript"/>
        </w:rPr>
        <w:t>.</w:t>
      </w:r>
      <w:r w:rsidR="00D63AA1" w:rsidRPr="00826115">
        <w:rPr>
          <w:sz w:val="20"/>
        </w:rPr>
        <w:t xml:space="preserve"> Water Studies Centre</w:t>
      </w:r>
      <w:r w:rsidRPr="00826115">
        <w:rPr>
          <w:sz w:val="20"/>
          <w:vertAlign w:val="superscript"/>
        </w:rPr>
        <w:t xml:space="preserve"> </w:t>
      </w:r>
      <w:r w:rsidRPr="00826115">
        <w:rPr>
          <w:sz w:val="20"/>
          <w:vertAlign w:val="superscript"/>
        </w:rPr>
        <w:tab/>
      </w:r>
      <w:r w:rsidRPr="00826115">
        <w:rPr>
          <w:sz w:val="20"/>
          <w:vertAlign w:val="superscript"/>
        </w:rPr>
        <w:tab/>
      </w:r>
      <w:r w:rsidRPr="00826115">
        <w:rPr>
          <w:sz w:val="20"/>
          <w:vertAlign w:val="superscript"/>
        </w:rPr>
        <w:tab/>
      </w:r>
      <w:r w:rsidRPr="00826115">
        <w:rPr>
          <w:sz w:val="20"/>
          <w:vertAlign w:val="superscript"/>
        </w:rPr>
        <w:tab/>
        <w:t>d</w:t>
      </w:r>
      <w:r w:rsidR="00D63AA1" w:rsidRPr="00826115">
        <w:rPr>
          <w:sz w:val="20"/>
          <w:vertAlign w:val="superscript"/>
        </w:rPr>
        <w:t xml:space="preserve">. </w:t>
      </w:r>
      <w:r w:rsidR="00D63AA1" w:rsidRPr="00826115">
        <w:rPr>
          <w:sz w:val="20"/>
        </w:rPr>
        <w:t>NSW Office of Environment and Heritage</w:t>
      </w:r>
    </w:p>
    <w:p w:rsidR="00D63AA1" w:rsidRPr="00826115" w:rsidRDefault="00D63AA1" w:rsidP="00D63AA1">
      <w:pPr>
        <w:spacing w:after="0" w:line="240" w:lineRule="auto"/>
        <w:ind w:right="-1"/>
        <w:jc w:val="left"/>
        <w:rPr>
          <w:sz w:val="20"/>
        </w:rPr>
      </w:pPr>
      <w:r w:rsidRPr="00826115">
        <w:rPr>
          <w:sz w:val="20"/>
        </w:rPr>
        <w:t xml:space="preserve">   Monash University,</w:t>
      </w:r>
      <w:r w:rsidRPr="00826115">
        <w:rPr>
          <w:sz w:val="20"/>
        </w:rPr>
        <w:tab/>
      </w:r>
      <w:r w:rsidRPr="00826115">
        <w:rPr>
          <w:sz w:val="20"/>
        </w:rPr>
        <w:tab/>
      </w:r>
      <w:r w:rsidRPr="00826115">
        <w:rPr>
          <w:sz w:val="20"/>
        </w:rPr>
        <w:tab/>
      </w:r>
      <w:r w:rsidRPr="00826115">
        <w:rPr>
          <w:sz w:val="20"/>
        </w:rPr>
        <w:tab/>
        <w:t xml:space="preserve">   PO Box 363, Buronga NSW 2739</w:t>
      </w:r>
    </w:p>
    <w:p w:rsidR="00D63AA1" w:rsidRPr="00826115" w:rsidRDefault="00D63AA1" w:rsidP="00D63AA1">
      <w:pPr>
        <w:spacing w:after="0" w:line="240" w:lineRule="auto"/>
        <w:ind w:right="-1"/>
        <w:jc w:val="left"/>
        <w:rPr>
          <w:sz w:val="20"/>
        </w:rPr>
      </w:pPr>
      <w:r w:rsidRPr="00826115">
        <w:rPr>
          <w:sz w:val="20"/>
        </w:rPr>
        <w:t xml:space="preserve">   </w:t>
      </w:r>
      <w:r w:rsidR="00A539DF" w:rsidRPr="00826115">
        <w:rPr>
          <w:sz w:val="20"/>
        </w:rPr>
        <w:t>Clayton, Victoria, 3800</w:t>
      </w:r>
    </w:p>
    <w:p w:rsidR="00D63AA1" w:rsidRPr="00826115" w:rsidRDefault="00D63AA1" w:rsidP="00D63AA1">
      <w:pPr>
        <w:spacing w:after="0" w:line="240" w:lineRule="auto"/>
        <w:ind w:right="-1"/>
        <w:jc w:val="left"/>
      </w:pPr>
      <w:r w:rsidRPr="00826115">
        <w:rPr>
          <w:noProof/>
          <w:lang w:eastAsia="en-AU"/>
        </w:rPr>
        <w:drawing>
          <wp:anchor distT="0" distB="0" distL="114300" distR="114300" simplePos="0" relativeHeight="251593728" behindDoc="0" locked="0" layoutInCell="1" allowOverlap="1">
            <wp:simplePos x="0" y="0"/>
            <wp:positionH relativeFrom="column">
              <wp:posOffset>-139861</wp:posOffset>
            </wp:positionH>
            <wp:positionV relativeFrom="paragraph">
              <wp:posOffset>51852</wp:posOffset>
            </wp:positionV>
            <wp:extent cx="2266950" cy="395785"/>
            <wp:effectExtent l="19050" t="0" r="0" b="0"/>
            <wp:wrapNone/>
            <wp:docPr id="672"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17" cstate="screen"/>
                    <a:srcRect/>
                    <a:stretch>
                      <a:fillRect/>
                    </a:stretch>
                  </pic:blipFill>
                  <pic:spPr bwMode="auto">
                    <a:xfrm>
                      <a:off x="0" y="0"/>
                      <a:ext cx="2266950" cy="395785"/>
                    </a:xfrm>
                    <a:prstGeom prst="rect">
                      <a:avLst/>
                    </a:prstGeom>
                    <a:noFill/>
                    <a:ln w="9525">
                      <a:noFill/>
                      <a:miter lim="800000"/>
                      <a:headEnd/>
                      <a:tailEnd/>
                    </a:ln>
                  </pic:spPr>
                </pic:pic>
              </a:graphicData>
            </a:graphic>
          </wp:anchor>
        </w:drawing>
      </w:r>
      <w:r w:rsidRPr="00826115">
        <w:t xml:space="preserve">                                                              </w:t>
      </w:r>
      <w:r w:rsidR="009E7419">
        <w:t xml:space="preserve">                          </w:t>
      </w:r>
      <w:r w:rsidRPr="00826115">
        <w:rPr>
          <w:noProof/>
          <w:lang w:eastAsia="en-AU"/>
        </w:rPr>
        <w:drawing>
          <wp:inline distT="0" distB="0" distL="0" distR="0">
            <wp:extent cx="1306191" cy="447675"/>
            <wp:effectExtent l="19050" t="0" r="8259" b="0"/>
            <wp:docPr id="676" name="Picture 2" descr="OEH2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EH2Colour"/>
                    <pic:cNvPicPr>
                      <a:picLocks noChangeAspect="1" noChangeArrowheads="1"/>
                    </pic:cNvPicPr>
                  </pic:nvPicPr>
                  <pic:blipFill>
                    <a:blip r:embed="rId18" cstate="screen"/>
                    <a:srcRect/>
                    <a:stretch>
                      <a:fillRect/>
                    </a:stretch>
                  </pic:blipFill>
                  <pic:spPr bwMode="auto">
                    <a:xfrm>
                      <a:off x="0" y="0"/>
                      <a:ext cx="1319535" cy="452248"/>
                    </a:xfrm>
                    <a:prstGeom prst="rect">
                      <a:avLst/>
                    </a:prstGeom>
                    <a:noFill/>
                    <a:ln w="9525">
                      <a:noFill/>
                      <a:miter lim="800000"/>
                      <a:headEnd/>
                      <a:tailEnd/>
                    </a:ln>
                  </pic:spPr>
                </pic:pic>
              </a:graphicData>
            </a:graphic>
          </wp:inline>
        </w:drawing>
      </w:r>
    </w:p>
    <w:p w:rsidR="002E5EE0" w:rsidRPr="00826115" w:rsidRDefault="002E5EE0" w:rsidP="00D63AA1">
      <w:pPr>
        <w:spacing w:after="0" w:line="240" w:lineRule="auto"/>
        <w:ind w:right="-1"/>
        <w:jc w:val="left"/>
      </w:pPr>
    </w:p>
    <w:p w:rsidR="002E5EE0" w:rsidRPr="00826115" w:rsidRDefault="002E5EE0" w:rsidP="009E7419">
      <w:pPr>
        <w:spacing w:after="0" w:line="240" w:lineRule="auto"/>
        <w:rPr>
          <w:sz w:val="20"/>
        </w:rPr>
      </w:pPr>
      <w:proofErr w:type="gramStart"/>
      <w:r w:rsidRPr="00826115">
        <w:rPr>
          <w:sz w:val="20"/>
          <w:vertAlign w:val="superscript"/>
        </w:rPr>
        <w:t>e.</w:t>
      </w:r>
      <w:r w:rsidRPr="00826115">
        <w:rPr>
          <w:sz w:val="20"/>
        </w:rPr>
        <w:t xml:space="preserve"> </w:t>
      </w:r>
      <w:r w:rsidR="009E7419" w:rsidRPr="009E7419">
        <w:rPr>
          <w:sz w:val="20"/>
        </w:rPr>
        <w:t>Australian</w:t>
      </w:r>
      <w:proofErr w:type="gramEnd"/>
      <w:r w:rsidR="009E7419" w:rsidRPr="009E7419">
        <w:rPr>
          <w:sz w:val="20"/>
        </w:rPr>
        <w:t xml:space="preserve"> Rivers Institute</w:t>
      </w:r>
    </w:p>
    <w:p w:rsidR="002E5EE0" w:rsidRPr="009E7419" w:rsidRDefault="002E5EE0" w:rsidP="009E7419">
      <w:pPr>
        <w:spacing w:after="120" w:line="240" w:lineRule="auto"/>
      </w:pPr>
      <w:r w:rsidRPr="00826115">
        <w:rPr>
          <w:sz w:val="20"/>
        </w:rPr>
        <w:t xml:space="preserve">   </w:t>
      </w:r>
      <w:r w:rsidR="009E7419" w:rsidRPr="009E7419">
        <w:rPr>
          <w:sz w:val="20"/>
        </w:rPr>
        <w:t>Griffith University</w:t>
      </w:r>
      <w:r w:rsidR="009E7419">
        <w:rPr>
          <w:sz w:val="20"/>
        </w:rPr>
        <w:t xml:space="preserve">, </w:t>
      </w:r>
      <w:r w:rsidR="009E7419" w:rsidRPr="009E7419">
        <w:rPr>
          <w:sz w:val="20"/>
        </w:rPr>
        <w:t>Nathan, Qld, 4111</w:t>
      </w:r>
    </w:p>
    <w:p w:rsidR="002E5EE0" w:rsidRPr="00826115" w:rsidRDefault="009E7419" w:rsidP="002E5EE0">
      <w:pPr>
        <w:spacing w:after="0" w:line="240" w:lineRule="auto"/>
        <w:ind w:right="-1"/>
        <w:jc w:val="left"/>
        <w:rPr>
          <w:sz w:val="20"/>
        </w:rPr>
      </w:pPr>
      <w:r>
        <w:rPr>
          <w:noProof/>
          <w:sz w:val="24"/>
          <w:szCs w:val="24"/>
          <w:vertAlign w:val="superscript"/>
          <w:lang w:eastAsia="en-AU"/>
        </w:rPr>
        <w:drawing>
          <wp:inline distT="0" distB="0" distL="0" distR="0">
            <wp:extent cx="1543050" cy="439952"/>
            <wp:effectExtent l="19050" t="0" r="0" b="0"/>
            <wp:docPr id="460" name="Picture 698" descr="Griff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ffith.jpg"/>
                    <pic:cNvPicPr/>
                  </pic:nvPicPr>
                  <pic:blipFill>
                    <a:blip r:embed="rId19" cstate="screen"/>
                    <a:stretch>
                      <a:fillRect/>
                    </a:stretch>
                  </pic:blipFill>
                  <pic:spPr>
                    <a:xfrm>
                      <a:off x="0" y="0"/>
                      <a:ext cx="1559233" cy="444566"/>
                    </a:xfrm>
                    <a:prstGeom prst="rect">
                      <a:avLst/>
                    </a:prstGeom>
                  </pic:spPr>
                </pic:pic>
              </a:graphicData>
            </a:graphic>
          </wp:inline>
        </w:drawing>
      </w:r>
    </w:p>
    <w:p w:rsidR="00D63AA1" w:rsidRPr="00826115" w:rsidRDefault="00D63AA1" w:rsidP="00D63AA1">
      <w:pPr>
        <w:spacing w:after="0" w:line="240" w:lineRule="auto"/>
        <w:ind w:right="-1"/>
        <w:rPr>
          <w:vertAlign w:val="superscript"/>
        </w:rPr>
      </w:pPr>
    </w:p>
    <w:p w:rsidR="00A539DF" w:rsidRPr="00826115" w:rsidRDefault="00A539DF" w:rsidP="00A539DF">
      <w:pPr>
        <w:pStyle w:val="BodyText1"/>
        <w:spacing w:after="0" w:line="240" w:lineRule="auto"/>
        <w:rPr>
          <w:rFonts w:asciiTheme="minorHAnsi" w:hAnsiTheme="minorHAnsi" w:cstheme="minorHAnsi"/>
        </w:rPr>
      </w:pPr>
      <w:r w:rsidRPr="00826115">
        <w:rPr>
          <w:rFonts w:asciiTheme="minorHAnsi" w:hAnsiTheme="minorHAnsi" w:cstheme="minorHAnsi"/>
          <w:b/>
        </w:rPr>
        <w:t>Copyright</w:t>
      </w:r>
      <w:r w:rsidRPr="00826115">
        <w:rPr>
          <w:rFonts w:asciiTheme="minorHAnsi" w:hAnsiTheme="minorHAnsi" w:cstheme="minorHAnsi"/>
          <w:b/>
        </w:rPr>
        <w:br/>
      </w:r>
      <w:r w:rsidRPr="00826115">
        <w:rPr>
          <w:rFonts w:asciiTheme="minorHAnsi" w:hAnsiTheme="minorHAnsi" w:cstheme="minorHAnsi"/>
        </w:rPr>
        <w:t>© Copyright</w:t>
      </w:r>
      <w:r w:rsidR="00981345" w:rsidRPr="00826115">
        <w:rPr>
          <w:rFonts w:asciiTheme="minorHAnsi" w:hAnsiTheme="minorHAnsi" w:cstheme="minorHAnsi"/>
        </w:rPr>
        <w:t xml:space="preserve"> Commonwealth of Australia, 2015</w:t>
      </w:r>
    </w:p>
    <w:p w:rsidR="00A539DF" w:rsidRPr="00826115" w:rsidRDefault="00A539DF" w:rsidP="00A539DF">
      <w:pPr>
        <w:pStyle w:val="BodyText1"/>
        <w:spacing w:after="0" w:line="240" w:lineRule="auto"/>
        <w:rPr>
          <w:rFonts w:asciiTheme="minorHAnsi" w:hAnsiTheme="minorHAnsi" w:cstheme="minorHAnsi"/>
        </w:rPr>
      </w:pPr>
      <w:r w:rsidRPr="00826115">
        <w:rPr>
          <w:rFonts w:asciiTheme="minorHAnsi" w:hAnsiTheme="minorHAnsi" w:cstheme="minorHAnsi"/>
          <w:noProof/>
          <w:lang w:eastAsia="en-AU" w:bidi="ar-SA"/>
        </w:rPr>
        <w:drawing>
          <wp:inline distT="0" distB="0" distL="0" distR="0">
            <wp:extent cx="1809750" cy="628650"/>
            <wp:effectExtent l="19050" t="0" r="0" b="0"/>
            <wp:docPr id="80" name="Picture 28"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20" cstate="screen"/>
                    <a:srcRect/>
                    <a:stretch>
                      <a:fillRect/>
                    </a:stretch>
                  </pic:blipFill>
                  <pic:spPr bwMode="auto">
                    <a:xfrm>
                      <a:off x="0" y="0"/>
                      <a:ext cx="1809750" cy="628650"/>
                    </a:xfrm>
                    <a:prstGeom prst="rect">
                      <a:avLst/>
                    </a:prstGeom>
                    <a:noFill/>
                    <a:ln w="9525">
                      <a:noFill/>
                      <a:miter lim="800000"/>
                      <a:headEnd/>
                      <a:tailEnd/>
                    </a:ln>
                  </pic:spPr>
                </pic:pic>
              </a:graphicData>
            </a:graphic>
          </wp:inline>
        </w:drawing>
      </w:r>
    </w:p>
    <w:p w:rsidR="00A539DF" w:rsidRPr="00826115" w:rsidRDefault="00A539DF" w:rsidP="00A539DF">
      <w:pPr>
        <w:pStyle w:val="BodyText1"/>
        <w:spacing w:after="0" w:line="240" w:lineRule="auto"/>
        <w:rPr>
          <w:rFonts w:asciiTheme="minorHAnsi" w:hAnsiTheme="minorHAnsi" w:cstheme="minorHAnsi"/>
        </w:rPr>
      </w:pPr>
      <w:r w:rsidRPr="00826115">
        <w:rPr>
          <w:rFonts w:asciiTheme="minorHAnsi" w:hAnsiTheme="minorHAnsi" w:cstheme="minorHAnsi"/>
        </w:rPr>
        <w:t>‘</w:t>
      </w:r>
      <w:r w:rsidR="00826115" w:rsidRPr="00826115">
        <w:rPr>
          <w:rFonts w:asciiTheme="minorHAnsi" w:hAnsiTheme="minorHAnsi" w:cstheme="minorHAnsi"/>
        </w:rPr>
        <w:t>Commonwealth Environmental Water Office Long Term Intervention Monitoring Project: Edward-Wakool Selected Area Technical Report, 2014-15’</w:t>
      </w:r>
      <w:r w:rsidR="00826115" w:rsidRPr="00826115">
        <w:rPr>
          <w:bCs/>
        </w:rPr>
        <w:t xml:space="preserve"> </w:t>
      </w:r>
      <w:r w:rsidRPr="00826115">
        <w:rPr>
          <w:rFonts w:asciiTheme="minorHAnsi" w:hAnsiTheme="minorHAnsi" w:cstheme="minorHAnsi"/>
        </w:rPr>
        <w:t xml:space="preserve">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21" w:history="1">
        <w:r w:rsidRPr="00826115">
          <w:rPr>
            <w:rFonts w:asciiTheme="minorHAnsi" w:hAnsiTheme="minorHAnsi" w:cstheme="minorHAnsi"/>
          </w:rPr>
          <w:t>http://creativecommons.org/licenses/by/3.0/au/</w:t>
        </w:r>
      </w:hyperlink>
      <w:r w:rsidRPr="00826115">
        <w:rPr>
          <w:rFonts w:asciiTheme="minorHAnsi" w:hAnsiTheme="minorHAnsi" w:cstheme="minorHAnsi"/>
        </w:rPr>
        <w:t xml:space="preserve">   </w:t>
      </w:r>
      <w:proofErr w:type="gramStart"/>
      <w:r w:rsidRPr="00826115">
        <w:rPr>
          <w:rFonts w:asciiTheme="minorHAnsi" w:hAnsiTheme="minorHAnsi" w:cstheme="minorHAnsi"/>
        </w:rPr>
        <w:t>This</w:t>
      </w:r>
      <w:proofErr w:type="gramEnd"/>
      <w:r w:rsidRPr="00826115">
        <w:rPr>
          <w:rFonts w:asciiTheme="minorHAnsi" w:hAnsiTheme="minorHAnsi" w:cstheme="minorHAnsi"/>
        </w:rPr>
        <w:t xml:space="preserve"> report should be attributed ‘</w:t>
      </w:r>
      <w:r w:rsidR="00826115" w:rsidRPr="00826115">
        <w:rPr>
          <w:rFonts w:asciiTheme="minorHAnsi" w:hAnsiTheme="minorHAnsi" w:cstheme="minorHAnsi"/>
        </w:rPr>
        <w:t>Commonwealth Environmental Water Office Long Term Intervention Monitoring Project: Edward-Wakool Selected Area Technical Report, 2014-15</w:t>
      </w:r>
      <w:r w:rsidRPr="00826115">
        <w:rPr>
          <w:rFonts w:asciiTheme="minorHAnsi" w:hAnsiTheme="minorHAnsi" w:cstheme="minorHAnsi"/>
        </w:rPr>
        <w:t>’. The Commonwealth of Australia has made all reasonable efforts to identify content supplied by third parties using the following format ‘© Copyright</w:t>
      </w:r>
      <w:r w:rsidR="00596A5B" w:rsidRPr="00826115">
        <w:rPr>
          <w:rFonts w:asciiTheme="minorHAnsi" w:hAnsiTheme="minorHAnsi" w:cstheme="minorHAnsi"/>
        </w:rPr>
        <w:t>.</w:t>
      </w:r>
    </w:p>
    <w:p w:rsidR="00A539DF" w:rsidRPr="00826115" w:rsidRDefault="00A539DF" w:rsidP="00A539DF">
      <w:pPr>
        <w:pStyle w:val="BodyText1"/>
        <w:spacing w:after="0" w:line="240" w:lineRule="auto"/>
        <w:rPr>
          <w:rFonts w:asciiTheme="minorHAnsi" w:hAnsiTheme="minorHAnsi" w:cstheme="minorHAnsi"/>
          <w:b/>
        </w:rPr>
      </w:pPr>
      <w:r w:rsidRPr="00826115">
        <w:rPr>
          <w:rFonts w:asciiTheme="minorHAnsi" w:hAnsiTheme="minorHAnsi" w:cstheme="minorHAnsi"/>
          <w:b/>
        </w:rPr>
        <w:t>Disclaimer</w:t>
      </w:r>
    </w:p>
    <w:p w:rsidR="00193D29" w:rsidRDefault="00A539DF" w:rsidP="00A539DF">
      <w:pPr>
        <w:pStyle w:val="BodyText1"/>
        <w:spacing w:after="0" w:line="240" w:lineRule="auto"/>
      </w:pPr>
      <w:r w:rsidRPr="00826115">
        <w:rPr>
          <w:rFonts w:asciiTheme="minorHAnsi" w:hAnsiTheme="minorHAnsi" w:cstheme="minorHAnsi"/>
        </w:rPr>
        <w:t>The views and opinions expressed in this publication are those of the authors and do not necessarily reflect those of the Australian Government or the Minister for the Environment. 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r w:rsidRPr="00A539DF">
        <w:rPr>
          <w:rFonts w:asciiTheme="minorHAnsi" w:hAnsiTheme="minorHAnsi" w:cstheme="minorHAnsi"/>
        </w:rPr>
        <w:t>.</w:t>
      </w:r>
      <w:r w:rsidR="00193D29">
        <w:br w:type="page"/>
      </w:r>
    </w:p>
    <w:p w:rsidR="00193D29" w:rsidRPr="009E7419" w:rsidRDefault="00E46676" w:rsidP="00193D29">
      <w:pPr>
        <w:spacing w:after="0" w:line="240" w:lineRule="auto"/>
        <w:rPr>
          <w:rFonts w:eastAsia="Times New Roman"/>
          <w:b/>
          <w:smallCaps/>
          <w:noProof/>
          <w:color w:val="4F6228"/>
          <w:spacing w:val="5"/>
          <w:szCs w:val="22"/>
          <w:lang w:val="en-US" w:eastAsia="en-AU"/>
        </w:rPr>
      </w:pPr>
      <w:r>
        <w:rPr>
          <w:rFonts w:eastAsia="Times New Roman"/>
          <w:b/>
          <w:smallCaps/>
          <w:noProof/>
          <w:color w:val="4F6228"/>
          <w:spacing w:val="5"/>
          <w:sz w:val="32"/>
          <w:szCs w:val="32"/>
          <w:lang w:val="en-US" w:eastAsia="en-AU"/>
        </w:rPr>
        <w:lastRenderedPageBreak/>
        <w:t>Project Partners</w:t>
      </w:r>
    </w:p>
    <w:p w:rsidR="00E46676" w:rsidRDefault="00193D29" w:rsidP="005310AA">
      <w:pPr>
        <w:spacing w:after="120" w:line="360" w:lineRule="exact"/>
        <w:jc w:val="left"/>
      </w:pPr>
      <w:r w:rsidRPr="009E7419">
        <w:t xml:space="preserve">This project was undertaken as a collaboration among Charles Sturt University, NSW DPI (Fisheries), </w:t>
      </w:r>
      <w:r w:rsidR="009E7419" w:rsidRPr="009E7419">
        <w:t xml:space="preserve">Monash University, </w:t>
      </w:r>
      <w:r w:rsidRPr="009E7419">
        <w:t>NSW Office of Environment and Heritage</w:t>
      </w:r>
      <w:r w:rsidR="009E7419" w:rsidRPr="009E7419">
        <w:t>, Griffith University and Murray Local Land Services</w:t>
      </w:r>
      <w:r w:rsidRPr="009E7419">
        <w:t xml:space="preserve">. </w:t>
      </w:r>
      <w:r w:rsidR="00535F7D">
        <w:t xml:space="preserve">Field sampling for this project was undertaken by staff from Charles Sturt University, </w:t>
      </w:r>
      <w:r w:rsidR="00535F7D" w:rsidRPr="009E7419">
        <w:t>NSW DPI (Fisheries), NSW Office of Environment and Heritage</w:t>
      </w:r>
      <w:r w:rsidR="00535F7D">
        <w:t>, and Murray Local Land Services, with</w:t>
      </w:r>
      <w:r w:rsidR="00535F7D" w:rsidRPr="009E7419">
        <w:t xml:space="preserve"> </w:t>
      </w:r>
      <w:r w:rsidR="0094644A" w:rsidRPr="009E7419">
        <w:t xml:space="preserve">James Abell </w:t>
      </w:r>
      <w:r w:rsidR="00535F7D">
        <w:t xml:space="preserve">(CSU) </w:t>
      </w:r>
      <w:r w:rsidR="0094644A" w:rsidRPr="009E7419">
        <w:t xml:space="preserve">and Chris Smith </w:t>
      </w:r>
      <w:r w:rsidR="00535F7D">
        <w:t xml:space="preserve">(NSW DPI) </w:t>
      </w:r>
      <w:r w:rsidR="0094644A" w:rsidRPr="009E7419">
        <w:t xml:space="preserve">undertaking the </w:t>
      </w:r>
      <w:r w:rsidR="00535F7D">
        <w:t xml:space="preserve">majority of the </w:t>
      </w:r>
      <w:r w:rsidR="0094644A" w:rsidRPr="009E7419">
        <w:t xml:space="preserve">field </w:t>
      </w:r>
      <w:r w:rsidR="00535F7D">
        <w:t>work</w:t>
      </w:r>
      <w:r w:rsidR="0094644A" w:rsidRPr="009E7419">
        <w:t xml:space="preserve">. </w:t>
      </w:r>
      <w:r w:rsidR="00535F7D" w:rsidRPr="009E7419">
        <w:t>Murray Local Land Services</w:t>
      </w:r>
      <w:r w:rsidR="00535F7D">
        <w:t xml:space="preserve"> coordinated several </w:t>
      </w:r>
      <w:r w:rsidR="00835426">
        <w:t xml:space="preserve">community </w:t>
      </w:r>
      <w:r w:rsidR="00535F7D">
        <w:t>activities so community members were informed about this project and had the opportunity to provide input to the project.</w:t>
      </w:r>
    </w:p>
    <w:p w:rsidR="00E46676" w:rsidRPr="009E7419" w:rsidRDefault="00E46676" w:rsidP="00833958">
      <w:pPr>
        <w:spacing w:after="120" w:line="240" w:lineRule="auto"/>
        <w:rPr>
          <w:rFonts w:eastAsia="Times New Roman"/>
          <w:b/>
          <w:smallCaps/>
          <w:noProof/>
          <w:color w:val="4F6228"/>
          <w:spacing w:val="5"/>
          <w:szCs w:val="22"/>
          <w:lang w:val="en-US" w:eastAsia="en-AU"/>
        </w:rPr>
      </w:pPr>
      <w:r w:rsidRPr="009E7419">
        <w:rPr>
          <w:rFonts w:eastAsia="Times New Roman"/>
          <w:b/>
          <w:smallCaps/>
          <w:noProof/>
          <w:color w:val="4F6228"/>
          <w:spacing w:val="5"/>
          <w:sz w:val="32"/>
          <w:szCs w:val="32"/>
          <w:lang w:val="en-US" w:eastAsia="en-AU"/>
        </w:rPr>
        <w:t>Authorship</w:t>
      </w:r>
    </w:p>
    <w:p w:rsidR="00193D29" w:rsidRDefault="00193D29" w:rsidP="00DC3EE8">
      <w:pPr>
        <w:spacing w:after="0"/>
        <w:jc w:val="left"/>
      </w:pPr>
      <w:r w:rsidRPr="009E7419">
        <w:t>The table below lists the lead author</w:t>
      </w:r>
      <w:r w:rsidR="00897C99" w:rsidRPr="009E7419">
        <w:t>(</w:t>
      </w:r>
      <w:r w:rsidRPr="009E7419">
        <w:t>s</w:t>
      </w:r>
      <w:r w:rsidR="00897C99" w:rsidRPr="009E7419">
        <w:t>)</w:t>
      </w:r>
      <w:r w:rsidRPr="009E7419">
        <w:t xml:space="preserve"> for each section of the report</w:t>
      </w:r>
      <w:r w:rsidR="00407A94" w:rsidRPr="009E7419">
        <w:t>. A</w:t>
      </w:r>
      <w:r w:rsidR="00FD6586" w:rsidRPr="009E7419">
        <w:t>ll authors contributed to</w:t>
      </w:r>
      <w:r w:rsidR="00407A94" w:rsidRPr="009E7419">
        <w:t xml:space="preserve"> project design, implementation, and review of the report.</w:t>
      </w:r>
    </w:p>
    <w:tbl>
      <w:tblPr>
        <w:tblW w:w="9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88"/>
        <w:gridCol w:w="5216"/>
        <w:gridCol w:w="2933"/>
      </w:tblGrid>
      <w:tr w:rsidR="00193D29" w:rsidRPr="00981345" w:rsidTr="00DC3EE8">
        <w:tc>
          <w:tcPr>
            <w:tcW w:w="988" w:type="dxa"/>
            <w:shd w:val="clear" w:color="auto" w:fill="D6E3BC" w:themeFill="accent3" w:themeFillTint="66"/>
          </w:tcPr>
          <w:p w:rsidR="00193D29" w:rsidRPr="00D03270" w:rsidRDefault="00193D29" w:rsidP="00D03270">
            <w:pPr>
              <w:spacing w:after="120" w:line="240" w:lineRule="auto"/>
              <w:rPr>
                <w:b/>
                <w:sz w:val="20"/>
              </w:rPr>
            </w:pPr>
            <w:r w:rsidRPr="00D03270">
              <w:rPr>
                <w:b/>
              </w:rPr>
              <w:t>Section</w:t>
            </w:r>
          </w:p>
        </w:tc>
        <w:tc>
          <w:tcPr>
            <w:tcW w:w="5216" w:type="dxa"/>
            <w:shd w:val="clear" w:color="auto" w:fill="D6E3BC" w:themeFill="accent3" w:themeFillTint="66"/>
          </w:tcPr>
          <w:p w:rsidR="00193D29" w:rsidRPr="00D03270" w:rsidRDefault="00193D29" w:rsidP="00D03270">
            <w:pPr>
              <w:spacing w:after="120" w:line="240" w:lineRule="auto"/>
              <w:rPr>
                <w:b/>
              </w:rPr>
            </w:pPr>
            <w:r w:rsidRPr="00D03270">
              <w:rPr>
                <w:b/>
              </w:rPr>
              <w:t>Section Title</w:t>
            </w:r>
          </w:p>
        </w:tc>
        <w:tc>
          <w:tcPr>
            <w:tcW w:w="2933" w:type="dxa"/>
            <w:shd w:val="clear" w:color="auto" w:fill="D6E3BC" w:themeFill="accent3" w:themeFillTint="66"/>
          </w:tcPr>
          <w:p w:rsidR="00193D29" w:rsidRPr="00D03270" w:rsidRDefault="00193D29" w:rsidP="00D03270">
            <w:pPr>
              <w:spacing w:after="120" w:line="240" w:lineRule="auto"/>
              <w:rPr>
                <w:b/>
              </w:rPr>
            </w:pPr>
            <w:r w:rsidRPr="00D03270">
              <w:rPr>
                <w:b/>
              </w:rPr>
              <w:t>Lead author</w:t>
            </w:r>
            <w:r w:rsidR="000F2AEB" w:rsidRPr="00D03270">
              <w:rPr>
                <w:b/>
              </w:rPr>
              <w:t>(</w:t>
            </w:r>
            <w:r w:rsidRPr="00D03270">
              <w:rPr>
                <w:b/>
              </w:rPr>
              <w:t>s</w:t>
            </w:r>
            <w:r w:rsidR="000F2AEB" w:rsidRPr="00D03270">
              <w:rPr>
                <w:b/>
              </w:rPr>
              <w:t>)</w:t>
            </w:r>
          </w:p>
        </w:tc>
      </w:tr>
      <w:tr w:rsidR="00193D29" w:rsidRPr="00981345" w:rsidTr="00D03270">
        <w:tc>
          <w:tcPr>
            <w:tcW w:w="988" w:type="dxa"/>
          </w:tcPr>
          <w:p w:rsidR="00193D29" w:rsidRPr="00D03270" w:rsidRDefault="00193D29" w:rsidP="00D03270">
            <w:pPr>
              <w:spacing w:after="120" w:line="240" w:lineRule="auto"/>
            </w:pPr>
          </w:p>
        </w:tc>
        <w:tc>
          <w:tcPr>
            <w:tcW w:w="5216" w:type="dxa"/>
          </w:tcPr>
          <w:p w:rsidR="00193D29" w:rsidRPr="00D03270" w:rsidRDefault="000F2AEB" w:rsidP="00833958">
            <w:pPr>
              <w:spacing w:after="80" w:line="240" w:lineRule="auto"/>
            </w:pPr>
            <w:r w:rsidRPr="00D03270">
              <w:t>Executive summary</w:t>
            </w:r>
          </w:p>
        </w:tc>
        <w:tc>
          <w:tcPr>
            <w:tcW w:w="2933" w:type="dxa"/>
          </w:tcPr>
          <w:p w:rsidR="00193D29" w:rsidRPr="00D03270" w:rsidRDefault="00D03270" w:rsidP="00833958">
            <w:pPr>
              <w:spacing w:after="80" w:line="240" w:lineRule="auto"/>
            </w:pPr>
            <w:r>
              <w:t>All authors</w:t>
            </w:r>
          </w:p>
        </w:tc>
      </w:tr>
      <w:tr w:rsidR="00193D29" w:rsidRPr="00981345" w:rsidTr="00D03270">
        <w:tc>
          <w:tcPr>
            <w:tcW w:w="988" w:type="dxa"/>
          </w:tcPr>
          <w:p w:rsidR="00193D29" w:rsidRPr="00D03270" w:rsidRDefault="000F2AEB" w:rsidP="00D03270">
            <w:pPr>
              <w:spacing w:after="120" w:line="240" w:lineRule="auto"/>
              <w:jc w:val="left"/>
            </w:pPr>
            <w:r w:rsidRPr="00D03270">
              <w:t>1</w:t>
            </w:r>
          </w:p>
        </w:tc>
        <w:tc>
          <w:tcPr>
            <w:tcW w:w="5216" w:type="dxa"/>
          </w:tcPr>
          <w:p w:rsidR="00193D29" w:rsidRPr="00D03270" w:rsidRDefault="00945D9A" w:rsidP="00833958">
            <w:pPr>
              <w:spacing w:after="80" w:line="240" w:lineRule="auto"/>
            </w:pPr>
            <w:r w:rsidRPr="00D03270">
              <w:t>Background</w:t>
            </w:r>
          </w:p>
        </w:tc>
        <w:tc>
          <w:tcPr>
            <w:tcW w:w="2933" w:type="dxa"/>
          </w:tcPr>
          <w:p w:rsidR="00193D29" w:rsidRPr="00D03270" w:rsidRDefault="00945D9A" w:rsidP="00833958">
            <w:pPr>
              <w:spacing w:after="80" w:line="240" w:lineRule="auto"/>
            </w:pPr>
            <w:r w:rsidRPr="00D03270">
              <w:t xml:space="preserve">Nick Bond and </w:t>
            </w:r>
            <w:r w:rsidR="0094644A" w:rsidRPr="00D03270">
              <w:t xml:space="preserve">Robyn </w:t>
            </w:r>
            <w:r w:rsidR="000F2AEB" w:rsidRPr="00D03270">
              <w:t>Watts</w:t>
            </w:r>
          </w:p>
        </w:tc>
      </w:tr>
      <w:tr w:rsidR="00193D29" w:rsidRPr="00981345" w:rsidTr="00D03270">
        <w:tc>
          <w:tcPr>
            <w:tcW w:w="988" w:type="dxa"/>
          </w:tcPr>
          <w:p w:rsidR="00193D29" w:rsidRPr="00D03270" w:rsidRDefault="000F2AEB" w:rsidP="00D03270">
            <w:pPr>
              <w:spacing w:after="120" w:line="240" w:lineRule="auto"/>
              <w:jc w:val="left"/>
            </w:pPr>
            <w:r w:rsidRPr="00D03270">
              <w:t>2</w:t>
            </w:r>
          </w:p>
        </w:tc>
        <w:tc>
          <w:tcPr>
            <w:tcW w:w="5216" w:type="dxa"/>
          </w:tcPr>
          <w:p w:rsidR="00193D29" w:rsidRPr="00D03270" w:rsidRDefault="000F2AEB" w:rsidP="00833958">
            <w:pPr>
              <w:spacing w:after="80" w:line="240" w:lineRule="auto"/>
            </w:pPr>
            <w:r w:rsidRPr="00D03270">
              <w:t xml:space="preserve">Commonwealth environmental water use objectives </w:t>
            </w:r>
            <w:r w:rsidR="00A66CBF">
              <w:t>and watering actions in</w:t>
            </w:r>
            <w:r w:rsidR="00945D9A" w:rsidRPr="00D03270">
              <w:t xml:space="preserve"> the Edward-Wakool system 2014</w:t>
            </w:r>
            <w:r w:rsidRPr="00D03270">
              <w:t>-1</w:t>
            </w:r>
            <w:r w:rsidR="00945D9A" w:rsidRPr="00D03270">
              <w:t>5</w:t>
            </w:r>
          </w:p>
        </w:tc>
        <w:tc>
          <w:tcPr>
            <w:tcW w:w="2933" w:type="dxa"/>
          </w:tcPr>
          <w:p w:rsidR="00193D29" w:rsidRPr="00D03270" w:rsidRDefault="0094644A" w:rsidP="00833958">
            <w:pPr>
              <w:spacing w:after="80" w:line="240" w:lineRule="auto"/>
            </w:pPr>
            <w:r w:rsidRPr="00D03270">
              <w:t xml:space="preserve">Robyn </w:t>
            </w:r>
            <w:r w:rsidR="000F2AEB" w:rsidRPr="00D03270">
              <w:t>Watts.</w:t>
            </w:r>
          </w:p>
        </w:tc>
      </w:tr>
      <w:tr w:rsidR="00193D29" w:rsidRPr="00981345" w:rsidTr="00D03270">
        <w:tc>
          <w:tcPr>
            <w:tcW w:w="988" w:type="dxa"/>
          </w:tcPr>
          <w:p w:rsidR="00193D29" w:rsidRPr="00D03270" w:rsidRDefault="00945D9A" w:rsidP="00D03270">
            <w:pPr>
              <w:spacing w:after="120" w:line="240" w:lineRule="auto"/>
              <w:jc w:val="left"/>
            </w:pPr>
            <w:r w:rsidRPr="00D03270">
              <w:t>3</w:t>
            </w:r>
          </w:p>
        </w:tc>
        <w:tc>
          <w:tcPr>
            <w:tcW w:w="5216" w:type="dxa"/>
          </w:tcPr>
          <w:p w:rsidR="00193D29" w:rsidRPr="00D03270" w:rsidRDefault="00945D9A" w:rsidP="00833958">
            <w:pPr>
              <w:spacing w:after="80" w:line="240" w:lineRule="auto"/>
            </w:pPr>
            <w:r w:rsidRPr="00D03270">
              <w:t>Monitoring and Evaluation</w:t>
            </w:r>
          </w:p>
        </w:tc>
        <w:tc>
          <w:tcPr>
            <w:tcW w:w="2933" w:type="dxa"/>
          </w:tcPr>
          <w:p w:rsidR="00193D29" w:rsidRPr="00D03270" w:rsidRDefault="00A66CBF" w:rsidP="00833958">
            <w:pPr>
              <w:spacing w:after="80" w:line="240" w:lineRule="auto"/>
            </w:pPr>
            <w:r>
              <w:t>All authors</w:t>
            </w:r>
            <w:r w:rsidR="000F2AEB" w:rsidRPr="00D03270">
              <w:t xml:space="preserve"> </w:t>
            </w:r>
          </w:p>
        </w:tc>
      </w:tr>
      <w:tr w:rsidR="000F2AEB" w:rsidRPr="00981345" w:rsidTr="00D03270">
        <w:tc>
          <w:tcPr>
            <w:tcW w:w="988" w:type="dxa"/>
          </w:tcPr>
          <w:p w:rsidR="000F2AEB" w:rsidRPr="00D03270" w:rsidRDefault="00945D9A" w:rsidP="00D03270">
            <w:pPr>
              <w:spacing w:after="120" w:line="240" w:lineRule="auto"/>
            </w:pPr>
            <w:r w:rsidRPr="00D03270">
              <w:t>4</w:t>
            </w:r>
          </w:p>
        </w:tc>
        <w:tc>
          <w:tcPr>
            <w:tcW w:w="5216" w:type="dxa"/>
          </w:tcPr>
          <w:p w:rsidR="000F2AEB" w:rsidRPr="00D03270" w:rsidRDefault="00945D9A" w:rsidP="00833958">
            <w:pPr>
              <w:spacing w:after="80" w:line="240" w:lineRule="auto"/>
              <w:jc w:val="left"/>
            </w:pPr>
            <w:r w:rsidRPr="00D03270">
              <w:t>Hydrological responses to Commonwealth environmental watering</w:t>
            </w:r>
          </w:p>
        </w:tc>
        <w:tc>
          <w:tcPr>
            <w:tcW w:w="2933" w:type="dxa"/>
          </w:tcPr>
          <w:p w:rsidR="000F2AEB" w:rsidRPr="00D03270" w:rsidRDefault="00945D9A" w:rsidP="00833958">
            <w:pPr>
              <w:spacing w:after="80" w:line="240" w:lineRule="auto"/>
            </w:pPr>
            <w:r w:rsidRPr="00D03270">
              <w:t xml:space="preserve">Robyn Watts </w:t>
            </w:r>
          </w:p>
        </w:tc>
      </w:tr>
      <w:tr w:rsidR="000F30AA" w:rsidRPr="00981345" w:rsidTr="00D03270">
        <w:tc>
          <w:tcPr>
            <w:tcW w:w="988" w:type="dxa"/>
          </w:tcPr>
          <w:p w:rsidR="000F30AA" w:rsidRPr="00D03270" w:rsidRDefault="00945D9A" w:rsidP="00D03270">
            <w:pPr>
              <w:spacing w:after="120" w:line="240" w:lineRule="auto"/>
            </w:pPr>
            <w:r w:rsidRPr="00D03270">
              <w:t>5</w:t>
            </w:r>
          </w:p>
        </w:tc>
        <w:tc>
          <w:tcPr>
            <w:tcW w:w="5216" w:type="dxa"/>
          </w:tcPr>
          <w:p w:rsidR="000F30AA" w:rsidRPr="00D03270" w:rsidRDefault="00945D9A" w:rsidP="00833958">
            <w:pPr>
              <w:spacing w:after="80" w:line="240" w:lineRule="auto"/>
            </w:pPr>
            <w:r w:rsidRPr="00D03270">
              <w:t>Changes in hydraulic habitat in response to Commonwealth environmental waterin</w:t>
            </w:r>
            <w:r w:rsidR="00D03270">
              <w:t>g</w:t>
            </w:r>
          </w:p>
        </w:tc>
        <w:tc>
          <w:tcPr>
            <w:tcW w:w="2933" w:type="dxa"/>
          </w:tcPr>
          <w:p w:rsidR="000F30AA" w:rsidRPr="00D03270" w:rsidRDefault="00945D9A" w:rsidP="00833958">
            <w:pPr>
              <w:spacing w:after="80" w:line="240" w:lineRule="auto"/>
              <w:jc w:val="left"/>
            </w:pPr>
            <w:r w:rsidRPr="00D03270">
              <w:t>Robyn Watts</w:t>
            </w:r>
          </w:p>
        </w:tc>
      </w:tr>
      <w:tr w:rsidR="000F30AA" w:rsidRPr="00981345" w:rsidTr="00D03270">
        <w:tc>
          <w:tcPr>
            <w:tcW w:w="988" w:type="dxa"/>
          </w:tcPr>
          <w:p w:rsidR="000F30AA" w:rsidRPr="00D03270" w:rsidRDefault="00945D9A" w:rsidP="00D03270">
            <w:pPr>
              <w:spacing w:after="120" w:line="240" w:lineRule="auto"/>
              <w:jc w:val="left"/>
            </w:pPr>
            <w:r w:rsidRPr="00D03270">
              <w:t>6</w:t>
            </w:r>
          </w:p>
        </w:tc>
        <w:tc>
          <w:tcPr>
            <w:tcW w:w="5216" w:type="dxa"/>
          </w:tcPr>
          <w:p w:rsidR="000F30AA" w:rsidRPr="00D03270" w:rsidRDefault="00945D9A" w:rsidP="00833958">
            <w:pPr>
              <w:spacing w:after="80" w:line="240" w:lineRule="auto"/>
            </w:pPr>
            <w:r w:rsidRPr="00D03270">
              <w:t>Response of water quality and carbon to Commonwealth environmental watering</w:t>
            </w:r>
          </w:p>
        </w:tc>
        <w:tc>
          <w:tcPr>
            <w:tcW w:w="2933" w:type="dxa"/>
          </w:tcPr>
          <w:p w:rsidR="000F30AA" w:rsidRPr="00D03270" w:rsidRDefault="00945D9A" w:rsidP="00833958">
            <w:pPr>
              <w:spacing w:after="80" w:line="240" w:lineRule="auto"/>
              <w:jc w:val="left"/>
            </w:pPr>
            <w:r w:rsidRPr="00D03270">
              <w:t>Julia Howitt</w:t>
            </w:r>
            <w:r w:rsidR="00BF402A">
              <w:t xml:space="preserve"> and Nicole McCasker</w:t>
            </w:r>
          </w:p>
        </w:tc>
      </w:tr>
      <w:tr w:rsidR="00945D9A" w:rsidRPr="00981345" w:rsidTr="00D03270">
        <w:tc>
          <w:tcPr>
            <w:tcW w:w="988" w:type="dxa"/>
          </w:tcPr>
          <w:p w:rsidR="00945D9A" w:rsidRPr="00D03270" w:rsidRDefault="00945D9A" w:rsidP="00D03270">
            <w:pPr>
              <w:spacing w:after="120" w:line="240" w:lineRule="auto"/>
              <w:jc w:val="left"/>
            </w:pPr>
            <w:r w:rsidRPr="00D03270">
              <w:t>7</w:t>
            </w:r>
          </w:p>
        </w:tc>
        <w:tc>
          <w:tcPr>
            <w:tcW w:w="5216" w:type="dxa"/>
          </w:tcPr>
          <w:p w:rsidR="00945D9A" w:rsidRPr="00D03270" w:rsidRDefault="00DC3EE8" w:rsidP="00833958">
            <w:pPr>
              <w:spacing w:after="80" w:line="240" w:lineRule="auto"/>
            </w:pPr>
            <w:r>
              <w:t>Effect of Commonwealth environmental water on s</w:t>
            </w:r>
            <w:r w:rsidR="00945D9A" w:rsidRPr="00D03270">
              <w:t>tream metabolism</w:t>
            </w:r>
          </w:p>
        </w:tc>
        <w:tc>
          <w:tcPr>
            <w:tcW w:w="2933" w:type="dxa"/>
          </w:tcPr>
          <w:p w:rsidR="00945D9A" w:rsidRPr="00D03270" w:rsidRDefault="00945D9A" w:rsidP="00833958">
            <w:pPr>
              <w:spacing w:after="80" w:line="240" w:lineRule="auto"/>
              <w:jc w:val="left"/>
            </w:pPr>
            <w:r w:rsidRPr="00D03270">
              <w:t>Michael Grace</w:t>
            </w:r>
          </w:p>
        </w:tc>
      </w:tr>
      <w:tr w:rsidR="00945D9A" w:rsidRPr="00981345" w:rsidTr="00D03270">
        <w:tc>
          <w:tcPr>
            <w:tcW w:w="988" w:type="dxa"/>
          </w:tcPr>
          <w:p w:rsidR="00945D9A" w:rsidRPr="00D03270" w:rsidRDefault="00945D9A" w:rsidP="00D03270">
            <w:pPr>
              <w:spacing w:after="120" w:line="240" w:lineRule="auto"/>
              <w:jc w:val="left"/>
            </w:pPr>
            <w:r w:rsidRPr="00D03270">
              <w:t>8</w:t>
            </w:r>
          </w:p>
        </w:tc>
        <w:tc>
          <w:tcPr>
            <w:tcW w:w="5216" w:type="dxa"/>
          </w:tcPr>
          <w:p w:rsidR="00945D9A" w:rsidRPr="00D03270" w:rsidRDefault="00945D9A" w:rsidP="00833958">
            <w:pPr>
              <w:spacing w:after="80" w:line="240" w:lineRule="auto"/>
            </w:pPr>
            <w:r w:rsidRPr="00D03270">
              <w:t>Response of riverbank and aquatic vegetation to Commonwealth environmental watering</w:t>
            </w:r>
          </w:p>
        </w:tc>
        <w:tc>
          <w:tcPr>
            <w:tcW w:w="2933" w:type="dxa"/>
          </w:tcPr>
          <w:p w:rsidR="00945D9A" w:rsidRPr="00D03270" w:rsidRDefault="00945D9A" w:rsidP="00833958">
            <w:pPr>
              <w:spacing w:after="80" w:line="240" w:lineRule="auto"/>
              <w:jc w:val="left"/>
            </w:pPr>
            <w:r w:rsidRPr="00D03270">
              <w:t>Robyn Watts, Sascha Healy and Nicole McCasker</w:t>
            </w:r>
          </w:p>
        </w:tc>
      </w:tr>
      <w:tr w:rsidR="00535F7D" w:rsidRPr="00981345" w:rsidTr="00D03270">
        <w:tc>
          <w:tcPr>
            <w:tcW w:w="988" w:type="dxa"/>
          </w:tcPr>
          <w:p w:rsidR="00535F7D" w:rsidRPr="00D03270" w:rsidRDefault="00535F7D" w:rsidP="00535F7D">
            <w:pPr>
              <w:spacing w:after="120" w:line="240" w:lineRule="auto"/>
              <w:jc w:val="left"/>
            </w:pPr>
            <w:r w:rsidRPr="00D03270">
              <w:t>9</w:t>
            </w:r>
          </w:p>
        </w:tc>
        <w:tc>
          <w:tcPr>
            <w:tcW w:w="5216" w:type="dxa"/>
          </w:tcPr>
          <w:p w:rsidR="00535F7D" w:rsidRPr="00D03270" w:rsidRDefault="00535F7D" w:rsidP="00833958">
            <w:pPr>
              <w:spacing w:after="80" w:line="240" w:lineRule="auto"/>
            </w:pPr>
            <w:r w:rsidRPr="00D03270">
              <w:t>Response of fish community to Commonwealth environmental watering</w:t>
            </w:r>
          </w:p>
        </w:tc>
        <w:tc>
          <w:tcPr>
            <w:tcW w:w="2933" w:type="dxa"/>
          </w:tcPr>
          <w:p w:rsidR="00535F7D" w:rsidRPr="00D03270" w:rsidRDefault="00535F7D" w:rsidP="00833958">
            <w:pPr>
              <w:spacing w:after="80" w:line="240" w:lineRule="auto"/>
            </w:pPr>
            <w:r w:rsidRPr="00D03270">
              <w:t>Jason Thiem</w:t>
            </w:r>
          </w:p>
        </w:tc>
      </w:tr>
      <w:tr w:rsidR="00535F7D" w:rsidRPr="00981345" w:rsidTr="00D03270">
        <w:tc>
          <w:tcPr>
            <w:tcW w:w="988" w:type="dxa"/>
          </w:tcPr>
          <w:p w:rsidR="00535F7D" w:rsidRPr="00D03270" w:rsidRDefault="00535F7D" w:rsidP="00535F7D">
            <w:pPr>
              <w:spacing w:after="120" w:line="240" w:lineRule="auto"/>
              <w:jc w:val="left"/>
            </w:pPr>
            <w:r w:rsidRPr="00D03270">
              <w:t>10</w:t>
            </w:r>
          </w:p>
        </w:tc>
        <w:tc>
          <w:tcPr>
            <w:tcW w:w="5216" w:type="dxa"/>
          </w:tcPr>
          <w:p w:rsidR="00535F7D" w:rsidRPr="00D03270" w:rsidRDefault="00535F7D" w:rsidP="00833958">
            <w:pPr>
              <w:spacing w:after="80" w:line="240" w:lineRule="auto"/>
            </w:pPr>
            <w:r w:rsidRPr="00D03270">
              <w:t>Fish spawning and reproduction responses to Commonwealth environmental watering</w:t>
            </w:r>
          </w:p>
        </w:tc>
        <w:tc>
          <w:tcPr>
            <w:tcW w:w="2933" w:type="dxa"/>
          </w:tcPr>
          <w:p w:rsidR="00535F7D" w:rsidRPr="00D03270" w:rsidRDefault="00535F7D" w:rsidP="00833958">
            <w:pPr>
              <w:spacing w:after="80" w:line="240" w:lineRule="auto"/>
            </w:pPr>
            <w:r w:rsidRPr="00D03270">
              <w:t>Nicole McCasker</w:t>
            </w:r>
          </w:p>
        </w:tc>
      </w:tr>
      <w:tr w:rsidR="00535F7D" w:rsidRPr="00981345" w:rsidTr="00D03270">
        <w:tc>
          <w:tcPr>
            <w:tcW w:w="988" w:type="dxa"/>
          </w:tcPr>
          <w:p w:rsidR="00535F7D" w:rsidRPr="00D03270" w:rsidRDefault="00535F7D" w:rsidP="00535F7D">
            <w:pPr>
              <w:spacing w:after="120" w:line="240" w:lineRule="auto"/>
              <w:jc w:val="left"/>
            </w:pPr>
            <w:r w:rsidRPr="00D03270">
              <w:t>11</w:t>
            </w:r>
          </w:p>
        </w:tc>
        <w:tc>
          <w:tcPr>
            <w:tcW w:w="5216" w:type="dxa"/>
          </w:tcPr>
          <w:p w:rsidR="00535F7D" w:rsidRPr="00D03270" w:rsidRDefault="00535F7D" w:rsidP="00833958">
            <w:pPr>
              <w:spacing w:after="80" w:line="240" w:lineRule="auto"/>
            </w:pPr>
            <w:r w:rsidRPr="00D03270">
              <w:t>Murray cod, golden perch and silver perch recruitment and growth responses to Commonwealth environmental watering</w:t>
            </w:r>
          </w:p>
        </w:tc>
        <w:tc>
          <w:tcPr>
            <w:tcW w:w="2933" w:type="dxa"/>
          </w:tcPr>
          <w:p w:rsidR="00535F7D" w:rsidRPr="00D03270" w:rsidRDefault="00535F7D" w:rsidP="00833958">
            <w:pPr>
              <w:spacing w:after="80" w:line="240" w:lineRule="auto"/>
              <w:jc w:val="left"/>
            </w:pPr>
            <w:r w:rsidRPr="00D03270">
              <w:t>Keller Kopf</w:t>
            </w:r>
          </w:p>
        </w:tc>
      </w:tr>
      <w:tr w:rsidR="00535F7D" w:rsidRPr="00981345" w:rsidTr="00D03270">
        <w:tc>
          <w:tcPr>
            <w:tcW w:w="988" w:type="dxa"/>
          </w:tcPr>
          <w:p w:rsidR="00535F7D" w:rsidRPr="00D03270" w:rsidRDefault="00535F7D" w:rsidP="00535F7D">
            <w:pPr>
              <w:spacing w:after="120" w:line="240" w:lineRule="auto"/>
              <w:jc w:val="left"/>
            </w:pPr>
            <w:r>
              <w:t>12</w:t>
            </w:r>
          </w:p>
        </w:tc>
        <w:tc>
          <w:tcPr>
            <w:tcW w:w="5216" w:type="dxa"/>
          </w:tcPr>
          <w:p w:rsidR="00535F7D" w:rsidRPr="00D03270" w:rsidRDefault="00535F7D" w:rsidP="00833958">
            <w:pPr>
              <w:spacing w:after="80" w:line="240" w:lineRule="auto"/>
            </w:pPr>
            <w:r w:rsidRPr="00D03270">
              <w:t>S</w:t>
            </w:r>
            <w:r>
              <w:t>ummary and s</w:t>
            </w:r>
            <w:r w:rsidRPr="00D03270">
              <w:t>ynthesis</w:t>
            </w:r>
          </w:p>
        </w:tc>
        <w:tc>
          <w:tcPr>
            <w:tcW w:w="2933" w:type="dxa"/>
          </w:tcPr>
          <w:p w:rsidR="00535F7D" w:rsidRPr="00D03270" w:rsidRDefault="00535F7D" w:rsidP="00833958">
            <w:pPr>
              <w:spacing w:after="80" w:line="240" w:lineRule="auto"/>
            </w:pPr>
            <w:r>
              <w:t>All authors</w:t>
            </w:r>
          </w:p>
        </w:tc>
      </w:tr>
      <w:tr w:rsidR="00535F7D" w:rsidRPr="0025666A" w:rsidTr="00D03270">
        <w:tc>
          <w:tcPr>
            <w:tcW w:w="988" w:type="dxa"/>
          </w:tcPr>
          <w:p w:rsidR="00535F7D" w:rsidRPr="00D03270" w:rsidRDefault="00535F7D" w:rsidP="00535F7D">
            <w:pPr>
              <w:spacing w:after="120" w:line="240" w:lineRule="auto"/>
              <w:jc w:val="left"/>
            </w:pPr>
            <w:r>
              <w:t>13</w:t>
            </w:r>
          </w:p>
        </w:tc>
        <w:tc>
          <w:tcPr>
            <w:tcW w:w="5216" w:type="dxa"/>
          </w:tcPr>
          <w:p w:rsidR="00535F7D" w:rsidRPr="00D03270" w:rsidRDefault="00535F7D" w:rsidP="00833958">
            <w:pPr>
              <w:spacing w:after="80" w:line="240" w:lineRule="auto"/>
            </w:pPr>
            <w:r w:rsidRPr="00D03270">
              <w:t>Recommendations</w:t>
            </w:r>
            <w:r w:rsidR="00DC3EE8">
              <w:t xml:space="preserve"> </w:t>
            </w:r>
            <w:r w:rsidR="00DC3EE8" w:rsidRPr="00DC3EE8">
              <w:t>and application through adaptive management into 2015-16 use of Commonwealth environmental water</w:t>
            </w:r>
          </w:p>
        </w:tc>
        <w:tc>
          <w:tcPr>
            <w:tcW w:w="2933" w:type="dxa"/>
          </w:tcPr>
          <w:p w:rsidR="00535F7D" w:rsidRPr="00D03270" w:rsidRDefault="00535F7D" w:rsidP="00833958">
            <w:pPr>
              <w:spacing w:after="80" w:line="240" w:lineRule="auto"/>
            </w:pPr>
            <w:r>
              <w:t>All authors</w:t>
            </w:r>
            <w:r w:rsidRPr="00D03270">
              <w:t xml:space="preserve"> </w:t>
            </w:r>
          </w:p>
        </w:tc>
      </w:tr>
    </w:tbl>
    <w:p w:rsidR="00AA1B14" w:rsidRDefault="00AA1B14" w:rsidP="00D63AA1">
      <w:pPr>
        <w:pStyle w:val="Heading1"/>
        <w:rPr>
          <w:highlight w:val="yellow"/>
        </w:rPr>
      </w:pPr>
      <w:bookmarkStart w:id="0" w:name="_Toc325028458"/>
      <w:bookmarkStart w:id="1" w:name="_Toc450199545"/>
      <w:r w:rsidRPr="00D03270">
        <w:lastRenderedPageBreak/>
        <w:t>Executive summary</w:t>
      </w:r>
      <w:bookmarkEnd w:id="0"/>
      <w:bookmarkEnd w:id="1"/>
    </w:p>
    <w:p w:rsidR="004E3F82" w:rsidRDefault="004E3F82" w:rsidP="004E3F82">
      <w:pPr>
        <w:spacing w:after="240"/>
        <w:jc w:val="left"/>
      </w:pPr>
      <w:r w:rsidRPr="00D40BC7">
        <w:t xml:space="preserve">This report documents the monitoring and evaluation of ecosystem responses to Commonwealth environmental watering in the Edward-Wakool system in 2014-15. It is the first annual report of </w:t>
      </w:r>
      <w:r>
        <w:t xml:space="preserve">the Long </w:t>
      </w:r>
      <w:r w:rsidRPr="00D40BC7">
        <w:t xml:space="preserve">Term Intervention Monitoring </w:t>
      </w:r>
      <w:r>
        <w:t>(LTIM) Project</w:t>
      </w:r>
      <w:r w:rsidRPr="00D40BC7">
        <w:t xml:space="preserve"> </w:t>
      </w:r>
      <w:r>
        <w:t>funded by</w:t>
      </w:r>
      <w:r w:rsidRPr="00D40BC7">
        <w:t xml:space="preserve"> the Commonwealth Environmental Watering Office</w:t>
      </w:r>
      <w:r w:rsidRPr="0064366C">
        <w:rPr>
          <w:rFonts w:asciiTheme="minorHAnsi" w:eastAsia="Times New Roman" w:hAnsiTheme="minorHAnsi" w:cs="Courier New"/>
          <w:color w:val="000000"/>
        </w:rPr>
        <w:t xml:space="preserve">. </w:t>
      </w:r>
      <w:r w:rsidRPr="009E7419">
        <w:t xml:space="preserve">This project was undertaken as a collaboration among Charles Sturt University, NSW DPI (Fisheries), Monash University, NSW Office of Environment and Heritage, Griffith University and Murray Local Land Services. </w:t>
      </w:r>
      <w:r>
        <w:t xml:space="preserve">Field sampling for this project was undertaken by staff from Charles Sturt University, </w:t>
      </w:r>
      <w:r w:rsidRPr="009E7419">
        <w:t>NSW DPI (Fisheries), NSW Office of Environment and Heritage</w:t>
      </w:r>
      <w:r>
        <w:t xml:space="preserve">, and Murray Local Land Services. </w:t>
      </w:r>
      <w:r w:rsidRPr="009E7419">
        <w:t>Murray Local Land Services</w:t>
      </w:r>
      <w:r>
        <w:t xml:space="preserve"> coordinated several community activities so community members were informed about this project and had the opportunity to provide input to the project.</w:t>
      </w:r>
    </w:p>
    <w:p w:rsidR="004E3F82" w:rsidRDefault="004E3F82" w:rsidP="004E3F82">
      <w:pPr>
        <w:spacing w:after="240"/>
        <w:jc w:val="left"/>
      </w:pPr>
      <w:r w:rsidRPr="00D40BC7">
        <w:t xml:space="preserve">This report provides details of the watering actions, indicators, methodology, and an assessment of </w:t>
      </w:r>
      <w:r>
        <w:t>short-term</w:t>
      </w:r>
      <w:r w:rsidRPr="00D40BC7">
        <w:t xml:space="preserve"> ecosystem responses to environmental watering </w:t>
      </w:r>
      <w:r>
        <w:t xml:space="preserve">in 2014-15 </w:t>
      </w:r>
      <w:r w:rsidRPr="00D40BC7">
        <w:t>with respect to the objectives set by the Commonwealth Environmental Water Offic</w:t>
      </w:r>
      <w:r>
        <w:t xml:space="preserve">e. Evaluation of responses across multiple years will be undertaken in subsequent reports. The findings </w:t>
      </w:r>
      <w:r w:rsidRPr="003B2E69">
        <w:t>underpin recommendations on</w:t>
      </w:r>
      <w:r w:rsidRPr="003B2E69">
        <w:rPr>
          <w:szCs w:val="22"/>
        </w:rPr>
        <w:t xml:space="preserve"> the timing, duration and magnitude of flow to help inform the adaptive management of future </w:t>
      </w:r>
      <w:r>
        <w:rPr>
          <w:szCs w:val="22"/>
        </w:rPr>
        <w:t xml:space="preserve">environmental </w:t>
      </w:r>
      <w:r w:rsidRPr="003B2E69">
        <w:rPr>
          <w:szCs w:val="22"/>
        </w:rPr>
        <w:t>flows</w:t>
      </w:r>
      <w:r>
        <w:rPr>
          <w:szCs w:val="22"/>
        </w:rPr>
        <w:t xml:space="preserve"> in this system</w:t>
      </w:r>
      <w:r w:rsidRPr="003B2E69">
        <w:t>.</w:t>
      </w:r>
      <w:r>
        <w:t xml:space="preserve"> </w:t>
      </w:r>
      <w:r>
        <w:rPr>
          <w:rFonts w:asciiTheme="minorHAnsi" w:hAnsiTheme="minorHAnsi" w:cs="Courier New"/>
          <w:color w:val="000000"/>
        </w:rPr>
        <w:t>A synthesis of the results is presented in the LTIM Edward-Wakool Selected Area Synthesis report 2014-15 (Watts et al. 2015).</w:t>
      </w:r>
    </w:p>
    <w:p w:rsidR="004E3F82" w:rsidRPr="00BD2D0B" w:rsidRDefault="004E3F82" w:rsidP="004E3F82">
      <w:pPr>
        <w:spacing w:after="240"/>
        <w:jc w:val="left"/>
        <w:rPr>
          <w:rFonts w:asciiTheme="minorHAnsi" w:eastAsia="Times New Roman" w:hAnsiTheme="minorHAnsi" w:cs="Courier New"/>
          <w:b/>
          <w:color w:val="000000"/>
        </w:rPr>
      </w:pPr>
      <w:r w:rsidRPr="00BD2D0B">
        <w:rPr>
          <w:b/>
        </w:rPr>
        <w:t>Commonwealth environmental watering actions in the Edward-Wakool system in 2014-15</w:t>
      </w:r>
    </w:p>
    <w:p w:rsidR="00E64C68" w:rsidRDefault="00E64C68" w:rsidP="00E64C68">
      <w:pPr>
        <w:shd w:val="clear" w:color="auto" w:fill="FFFFFF"/>
        <w:tabs>
          <w:tab w:val="left" w:pos="426"/>
        </w:tabs>
        <w:spacing w:after="240"/>
        <w:jc w:val="left"/>
        <w:rPr>
          <w:rFonts w:asciiTheme="minorHAnsi" w:hAnsiTheme="minorHAnsi" w:cs="Courier New"/>
          <w:color w:val="000000"/>
        </w:rPr>
      </w:pPr>
      <w:r>
        <w:rPr>
          <w:rFonts w:asciiTheme="minorHAnsi" w:eastAsia="Times New Roman" w:hAnsiTheme="minorHAnsi" w:cs="Courier New"/>
          <w:color w:val="000000"/>
        </w:rPr>
        <w:t>Three</w:t>
      </w:r>
      <w:r w:rsidRPr="002918AB">
        <w:rPr>
          <w:rFonts w:asciiTheme="minorHAnsi" w:eastAsia="Times New Roman" w:hAnsiTheme="minorHAnsi" w:cs="Courier New"/>
          <w:color w:val="000000"/>
        </w:rPr>
        <w:t xml:space="preserve"> Commonwealth environmental watering actions were </w:t>
      </w:r>
      <w:r>
        <w:rPr>
          <w:rFonts w:asciiTheme="minorHAnsi" w:eastAsia="Times New Roman" w:hAnsiTheme="minorHAnsi" w:cs="Courier New"/>
          <w:color w:val="000000"/>
        </w:rPr>
        <w:t xml:space="preserve">undertaken for </w:t>
      </w:r>
      <w:r w:rsidRPr="002918AB">
        <w:rPr>
          <w:rFonts w:asciiTheme="minorHAnsi" w:eastAsia="Times New Roman" w:hAnsiTheme="minorHAnsi" w:cs="Courier New"/>
          <w:color w:val="000000"/>
        </w:rPr>
        <w:t xml:space="preserve">the Edward-Wakool System in 2014-15; </w:t>
      </w:r>
      <w:r>
        <w:rPr>
          <w:rFonts w:asciiTheme="minorHAnsi" w:eastAsia="Times New Roman" w:hAnsiTheme="minorHAnsi" w:cs="Courier New"/>
          <w:color w:val="000000"/>
        </w:rPr>
        <w:t xml:space="preserve">i) </w:t>
      </w:r>
      <w:r w:rsidRPr="005354A0">
        <w:t xml:space="preserve">Yallakool Creek-Wakool </w:t>
      </w:r>
      <w:r>
        <w:t xml:space="preserve">River watering action </w:t>
      </w:r>
      <w:r w:rsidRPr="005354A0">
        <w:t>between August 2014 and January 2015</w:t>
      </w:r>
      <w:r>
        <w:t xml:space="preserve">, ii) </w:t>
      </w:r>
      <w:r w:rsidRPr="005354A0">
        <w:t xml:space="preserve">Tuppal Creek </w:t>
      </w:r>
      <w:r>
        <w:t xml:space="preserve">watering action </w:t>
      </w:r>
      <w:r w:rsidRPr="005354A0">
        <w:t xml:space="preserve">(partnered with NSW environmental water) </w:t>
      </w:r>
      <w:r>
        <w:t xml:space="preserve">in </w:t>
      </w:r>
      <w:r w:rsidRPr="006D2ECD">
        <w:rPr>
          <w:rFonts w:ascii="Verdana" w:hAnsi="Verdana"/>
          <w:sz w:val="19"/>
          <w:szCs w:val="19"/>
        </w:rPr>
        <w:t>spring (October to November 2014) and autumn (March to April 2015)</w:t>
      </w:r>
      <w:r>
        <w:rPr>
          <w:rFonts w:ascii="Verdana" w:hAnsi="Verdana"/>
          <w:sz w:val="19"/>
          <w:szCs w:val="19"/>
        </w:rPr>
        <w:t xml:space="preserve">, and iii) </w:t>
      </w:r>
      <w:r w:rsidRPr="005C3A6B">
        <w:rPr>
          <w:rFonts w:asciiTheme="minorHAnsi" w:eastAsia="Times New Roman" w:hAnsiTheme="minorHAnsi" w:cs="Courier New"/>
          <w:color w:val="000000"/>
        </w:rPr>
        <w:t xml:space="preserve">Colligen Creek </w:t>
      </w:r>
      <w:r>
        <w:rPr>
          <w:rFonts w:asciiTheme="minorHAnsi" w:eastAsia="Times New Roman" w:hAnsiTheme="minorHAnsi" w:cs="Courier New"/>
          <w:color w:val="000000"/>
        </w:rPr>
        <w:t xml:space="preserve">watering action </w:t>
      </w:r>
      <w:r w:rsidRPr="005C3A6B">
        <w:rPr>
          <w:rFonts w:asciiTheme="minorHAnsi" w:eastAsia="Times New Roman" w:hAnsiTheme="minorHAnsi" w:cs="Courier New"/>
          <w:color w:val="000000"/>
        </w:rPr>
        <w:t>in January 2015</w:t>
      </w:r>
      <w:r>
        <w:rPr>
          <w:rFonts w:asciiTheme="minorHAnsi" w:eastAsia="Times New Roman" w:hAnsiTheme="minorHAnsi" w:cs="Courier New"/>
          <w:color w:val="000000"/>
        </w:rPr>
        <w:t xml:space="preserve">. </w:t>
      </w:r>
    </w:p>
    <w:p w:rsidR="004E3F82" w:rsidRDefault="004E3F82" w:rsidP="004E3F82">
      <w:pPr>
        <w:shd w:val="clear" w:color="auto" w:fill="FFFFFF"/>
        <w:tabs>
          <w:tab w:val="left" w:pos="426"/>
        </w:tabs>
        <w:spacing w:after="240"/>
        <w:jc w:val="left"/>
        <w:rPr>
          <w:rFonts w:asciiTheme="minorHAnsi" w:hAnsiTheme="minorHAnsi" w:cs="Courier New"/>
          <w:color w:val="000000"/>
        </w:rPr>
      </w:pPr>
      <w:r w:rsidRPr="00B136C6">
        <w:rPr>
          <w:rFonts w:asciiTheme="minorHAnsi" w:hAnsiTheme="minorHAnsi" w:cs="Courier New"/>
          <w:color w:val="000000"/>
        </w:rPr>
        <w:t>Th</w:t>
      </w:r>
      <w:r>
        <w:rPr>
          <w:rFonts w:asciiTheme="minorHAnsi" w:hAnsiTheme="minorHAnsi" w:cs="Courier New"/>
          <w:color w:val="000000"/>
        </w:rPr>
        <w:t xml:space="preserve">e Tuppal Creek and Colligen Creek </w:t>
      </w:r>
      <w:r w:rsidRPr="00B136C6">
        <w:rPr>
          <w:rFonts w:asciiTheme="minorHAnsi" w:hAnsiTheme="minorHAnsi" w:cs="Courier New"/>
          <w:color w:val="000000"/>
        </w:rPr>
        <w:t>watering action</w:t>
      </w:r>
      <w:r>
        <w:rPr>
          <w:rFonts w:asciiTheme="minorHAnsi" w:hAnsiTheme="minorHAnsi" w:cs="Courier New"/>
          <w:color w:val="000000"/>
        </w:rPr>
        <w:t>s</w:t>
      </w:r>
      <w:r w:rsidRPr="00B136C6">
        <w:rPr>
          <w:rFonts w:asciiTheme="minorHAnsi" w:hAnsiTheme="minorHAnsi" w:cs="Courier New"/>
          <w:color w:val="000000"/>
        </w:rPr>
        <w:t xml:space="preserve"> w</w:t>
      </w:r>
      <w:r>
        <w:rPr>
          <w:rFonts w:asciiTheme="minorHAnsi" w:hAnsiTheme="minorHAnsi" w:cs="Courier New"/>
          <w:color w:val="000000"/>
        </w:rPr>
        <w:t>ere</w:t>
      </w:r>
      <w:r w:rsidRPr="00B136C6">
        <w:rPr>
          <w:rFonts w:asciiTheme="minorHAnsi" w:hAnsiTheme="minorHAnsi" w:cs="Courier New"/>
          <w:color w:val="000000"/>
        </w:rPr>
        <w:t xml:space="preserve"> not monitored as part of the </w:t>
      </w:r>
      <w:r>
        <w:rPr>
          <w:rFonts w:asciiTheme="minorHAnsi" w:hAnsiTheme="minorHAnsi" w:cs="Courier New"/>
          <w:color w:val="000000"/>
        </w:rPr>
        <w:t xml:space="preserve">Edward-Wakool </w:t>
      </w:r>
      <w:r w:rsidRPr="00B136C6">
        <w:rPr>
          <w:rFonts w:asciiTheme="minorHAnsi" w:hAnsiTheme="minorHAnsi" w:cs="Courier New"/>
          <w:color w:val="000000"/>
        </w:rPr>
        <w:t xml:space="preserve">LTIM </w:t>
      </w:r>
      <w:r>
        <w:rPr>
          <w:rFonts w:asciiTheme="minorHAnsi" w:hAnsiTheme="minorHAnsi" w:cs="Courier New"/>
          <w:color w:val="000000"/>
        </w:rPr>
        <w:t>Project, and hence have not been described or evaluated in this report. The Yallakool Creek-Wakool River environmental watering action is the focus of this technical report and the synthesis report (Watts et al. 2015).</w:t>
      </w:r>
    </w:p>
    <w:p w:rsidR="00DA542B" w:rsidRDefault="00DA542B" w:rsidP="004E3F82">
      <w:pPr>
        <w:shd w:val="clear" w:color="auto" w:fill="FFFFFF"/>
        <w:tabs>
          <w:tab w:val="left" w:pos="426"/>
        </w:tabs>
        <w:spacing w:after="240"/>
        <w:jc w:val="left"/>
        <w:rPr>
          <w:rFonts w:asciiTheme="minorHAnsi" w:hAnsiTheme="minorHAnsi" w:cs="Courier New"/>
          <w:color w:val="000000"/>
        </w:rPr>
      </w:pPr>
    </w:p>
    <w:p w:rsidR="00DA542B" w:rsidRDefault="00DA542B" w:rsidP="004E3F82">
      <w:pPr>
        <w:shd w:val="clear" w:color="auto" w:fill="FFFFFF"/>
        <w:tabs>
          <w:tab w:val="left" w:pos="426"/>
        </w:tabs>
        <w:spacing w:after="240"/>
        <w:jc w:val="left"/>
        <w:rPr>
          <w:rFonts w:asciiTheme="minorHAnsi" w:hAnsiTheme="minorHAnsi" w:cs="Courier New"/>
          <w:color w:val="000000"/>
        </w:rPr>
      </w:pPr>
    </w:p>
    <w:p w:rsidR="00E64C68" w:rsidRDefault="00E64C68" w:rsidP="00E64C68">
      <w:pPr>
        <w:spacing w:after="120"/>
        <w:rPr>
          <w:rFonts w:asciiTheme="minorHAnsi" w:hAnsiTheme="minorHAnsi"/>
          <w:b/>
          <w:szCs w:val="22"/>
        </w:rPr>
      </w:pPr>
      <w:r w:rsidRPr="006620D7">
        <w:rPr>
          <w:rFonts w:asciiTheme="minorHAnsi" w:hAnsiTheme="minorHAnsi"/>
          <w:b/>
          <w:szCs w:val="22"/>
        </w:rPr>
        <w:t>Yallakool Creek Environmental Watering Action</w:t>
      </w:r>
      <w:r>
        <w:rPr>
          <w:rFonts w:asciiTheme="minorHAnsi" w:hAnsiTheme="minorHAnsi"/>
          <w:b/>
          <w:szCs w:val="22"/>
        </w:rPr>
        <w:t xml:space="preserve"> </w:t>
      </w:r>
      <w:r w:rsidRPr="006C73F3">
        <w:rPr>
          <w:rFonts w:asciiTheme="minorHAnsi" w:hAnsiTheme="minorHAnsi"/>
          <w:b/>
          <w:szCs w:val="22"/>
        </w:rPr>
        <w:t>(Aug 2014 – January 2015)</w:t>
      </w:r>
    </w:p>
    <w:p w:rsidR="00E64C68" w:rsidRDefault="00E64C68" w:rsidP="00E64C68">
      <w:pPr>
        <w:pStyle w:val="ListBullet"/>
        <w:spacing w:after="120" w:line="360" w:lineRule="auto"/>
        <w:jc w:val="left"/>
        <w:rPr>
          <w:rFonts w:asciiTheme="minorHAnsi" w:eastAsia="Calibri" w:hAnsiTheme="minorHAnsi" w:cs="Courier New"/>
          <w:color w:val="000000"/>
          <w:sz w:val="22"/>
          <w:lang w:eastAsia="en-US"/>
        </w:rPr>
      </w:pPr>
      <w:r w:rsidRPr="007A6DE5">
        <w:rPr>
          <w:rFonts w:asciiTheme="minorHAnsi" w:eastAsia="Calibri" w:hAnsiTheme="minorHAnsi" w:cs="Courier New"/>
          <w:color w:val="000000"/>
          <w:sz w:val="22"/>
          <w:lang w:eastAsia="en-US"/>
        </w:rPr>
        <w:t xml:space="preserve">A cod maintenance watering option was developed for Yallakool Creek for 2014-15 </w:t>
      </w:r>
      <w:r>
        <w:rPr>
          <w:rFonts w:asciiTheme="minorHAnsi" w:eastAsia="Calibri" w:hAnsiTheme="minorHAnsi" w:cs="Courier New"/>
          <w:color w:val="000000"/>
          <w:sz w:val="22"/>
          <w:lang w:eastAsia="en-US"/>
        </w:rPr>
        <w:t xml:space="preserve">(CEWO 2014) </w:t>
      </w:r>
      <w:r w:rsidRPr="007A6DE5">
        <w:rPr>
          <w:rFonts w:asciiTheme="minorHAnsi" w:eastAsia="Calibri" w:hAnsiTheme="minorHAnsi" w:cs="Courier New"/>
          <w:color w:val="000000"/>
          <w:sz w:val="22"/>
          <w:lang w:eastAsia="en-US"/>
        </w:rPr>
        <w:t xml:space="preserve">that was similar to </w:t>
      </w:r>
      <w:r>
        <w:rPr>
          <w:rFonts w:asciiTheme="minorHAnsi" w:eastAsia="Calibri" w:hAnsiTheme="minorHAnsi" w:cs="Courier New"/>
          <w:color w:val="000000"/>
          <w:sz w:val="22"/>
          <w:lang w:eastAsia="en-US"/>
        </w:rPr>
        <w:t xml:space="preserve">a </w:t>
      </w:r>
      <w:r w:rsidRPr="007A6DE5">
        <w:rPr>
          <w:rFonts w:asciiTheme="minorHAnsi" w:eastAsia="Calibri" w:hAnsiTheme="minorHAnsi" w:cs="Courier New"/>
          <w:color w:val="000000"/>
          <w:sz w:val="22"/>
          <w:lang w:eastAsia="en-US"/>
        </w:rPr>
        <w:t xml:space="preserve">watering action undertaken in 2013-14 in this system. </w:t>
      </w:r>
      <w:r>
        <w:rPr>
          <w:rFonts w:asciiTheme="minorHAnsi" w:eastAsia="Calibri" w:hAnsiTheme="minorHAnsi" w:cs="Courier New"/>
          <w:color w:val="000000"/>
          <w:sz w:val="22"/>
          <w:lang w:eastAsia="en-US"/>
        </w:rPr>
        <w:t>I</w:t>
      </w:r>
      <w:r w:rsidRPr="00767601">
        <w:rPr>
          <w:rFonts w:asciiTheme="minorHAnsi" w:eastAsia="Calibri" w:hAnsiTheme="minorHAnsi" w:cs="Courier New"/>
          <w:color w:val="000000"/>
          <w:sz w:val="22"/>
          <w:lang w:eastAsia="en-US"/>
        </w:rPr>
        <w:t xml:space="preserve">t was planned that </w:t>
      </w:r>
      <w:r>
        <w:rPr>
          <w:rFonts w:asciiTheme="minorHAnsi" w:eastAsia="Calibri" w:hAnsiTheme="minorHAnsi" w:cs="Courier New"/>
          <w:color w:val="000000"/>
          <w:sz w:val="22"/>
          <w:lang w:eastAsia="en-US"/>
        </w:rPr>
        <w:t>Commonwealth environmental water</w:t>
      </w:r>
      <w:r w:rsidRPr="00767601">
        <w:rPr>
          <w:rFonts w:asciiTheme="minorHAnsi" w:eastAsia="Calibri" w:hAnsiTheme="minorHAnsi" w:cs="Courier New"/>
          <w:color w:val="000000"/>
          <w:sz w:val="22"/>
          <w:lang w:eastAsia="en-US"/>
        </w:rPr>
        <w:t xml:space="preserve"> would contribute </w:t>
      </w:r>
      <w:r>
        <w:rPr>
          <w:rFonts w:asciiTheme="minorHAnsi" w:eastAsia="Calibri" w:hAnsiTheme="minorHAnsi" w:cs="Courier New"/>
          <w:color w:val="000000"/>
          <w:sz w:val="22"/>
          <w:lang w:eastAsia="en-US"/>
        </w:rPr>
        <w:t>about 500 ML/day</w:t>
      </w:r>
      <w:r w:rsidRPr="00767601">
        <w:rPr>
          <w:rFonts w:asciiTheme="minorHAnsi" w:eastAsia="Calibri" w:hAnsiTheme="minorHAnsi" w:cs="Courier New"/>
          <w:color w:val="000000"/>
          <w:sz w:val="22"/>
          <w:lang w:eastAsia="en-US"/>
        </w:rPr>
        <w:t xml:space="preserve"> in Yallakool Creek through to</w:t>
      </w:r>
      <w:r>
        <w:rPr>
          <w:rFonts w:asciiTheme="minorHAnsi" w:eastAsia="Calibri" w:hAnsiTheme="minorHAnsi" w:cs="Courier New"/>
          <w:color w:val="000000"/>
          <w:sz w:val="22"/>
          <w:lang w:eastAsia="en-US"/>
        </w:rPr>
        <w:t xml:space="preserve"> the</w:t>
      </w:r>
      <w:r w:rsidRPr="00767601">
        <w:rPr>
          <w:rFonts w:asciiTheme="minorHAnsi" w:eastAsia="Calibri" w:hAnsiTheme="minorHAnsi" w:cs="Courier New"/>
          <w:color w:val="000000"/>
          <w:sz w:val="22"/>
          <w:lang w:eastAsia="en-US"/>
        </w:rPr>
        <w:t xml:space="preserve"> end of</w:t>
      </w:r>
      <w:r>
        <w:rPr>
          <w:rFonts w:asciiTheme="minorHAnsi" w:eastAsia="Calibri" w:hAnsiTheme="minorHAnsi" w:cs="Courier New"/>
          <w:color w:val="000000"/>
          <w:sz w:val="22"/>
          <w:lang w:eastAsia="en-US"/>
        </w:rPr>
        <w:t xml:space="preserve"> the</w:t>
      </w:r>
      <w:r w:rsidRPr="00767601">
        <w:rPr>
          <w:rFonts w:asciiTheme="minorHAnsi" w:eastAsia="Calibri" w:hAnsiTheme="minorHAnsi" w:cs="Courier New"/>
          <w:color w:val="000000"/>
          <w:sz w:val="22"/>
          <w:lang w:eastAsia="en-US"/>
        </w:rPr>
        <w:t xml:space="preserve"> cod spawning season. </w:t>
      </w:r>
      <w:r w:rsidRPr="007A6DE5">
        <w:rPr>
          <w:rFonts w:asciiTheme="minorHAnsi" w:eastAsia="Calibri" w:hAnsiTheme="minorHAnsi" w:cs="Courier New"/>
          <w:color w:val="000000"/>
          <w:sz w:val="22"/>
          <w:lang w:eastAsia="en-US"/>
        </w:rPr>
        <w:t xml:space="preserve">In the absence of natural high inflows, </w:t>
      </w:r>
      <w:r>
        <w:rPr>
          <w:rFonts w:asciiTheme="minorHAnsi" w:eastAsia="Calibri" w:hAnsiTheme="minorHAnsi" w:cs="Courier New"/>
          <w:color w:val="000000"/>
          <w:sz w:val="22"/>
          <w:lang w:eastAsia="en-US"/>
        </w:rPr>
        <w:t>it was planned that environmental water w</w:t>
      </w:r>
      <w:r w:rsidRPr="007A6DE5">
        <w:rPr>
          <w:rFonts w:asciiTheme="minorHAnsi" w:eastAsia="Calibri" w:hAnsiTheme="minorHAnsi" w:cs="Courier New"/>
          <w:color w:val="000000"/>
          <w:sz w:val="22"/>
          <w:lang w:eastAsia="en-US"/>
        </w:rPr>
        <w:t>ould be delivered to provide an early season pulse to ‘prime’ the channel and contribute to a more natural flow regime (CEWO 2014).</w:t>
      </w:r>
    </w:p>
    <w:p w:rsidR="00E64C68" w:rsidRDefault="00E64C68" w:rsidP="00E64C68">
      <w:pPr>
        <w:spacing w:after="0"/>
        <w:ind w:right="-272"/>
        <w:jc w:val="left"/>
        <w:rPr>
          <w:rFonts w:ascii="Tahoma" w:hAnsi="Tahoma" w:cs="Tahoma"/>
          <w:sz w:val="20"/>
        </w:rPr>
      </w:pPr>
      <w:r>
        <w:t>The watering action objectives for this action were defined by CEWO on 22 July. It was expected that this action will</w:t>
      </w:r>
      <w:r>
        <w:rPr>
          <w:rFonts w:ascii="Tahoma" w:hAnsi="Tahoma" w:cs="Tahoma"/>
          <w:sz w:val="20"/>
        </w:rPr>
        <w:t>:</w:t>
      </w:r>
    </w:p>
    <w:p w:rsidR="00E64C68" w:rsidRDefault="00E64C68" w:rsidP="00E64C68">
      <w:pPr>
        <w:numPr>
          <w:ilvl w:val="0"/>
          <w:numId w:val="36"/>
        </w:numPr>
        <w:shd w:val="clear" w:color="auto" w:fill="FFFFFF"/>
        <w:tabs>
          <w:tab w:val="left" w:pos="426"/>
        </w:tabs>
        <w:spacing w:after="0"/>
        <w:ind w:left="425" w:hanging="425"/>
        <w:jc w:val="left"/>
      </w:pPr>
      <w:r w:rsidRPr="0050051F">
        <w:t>support inundation of Murray cod nesting sites and contribute to maximising Murray cod recruitment</w:t>
      </w:r>
    </w:p>
    <w:p w:rsidR="00E64C68" w:rsidRDefault="00E64C68" w:rsidP="00E64C68">
      <w:pPr>
        <w:numPr>
          <w:ilvl w:val="0"/>
          <w:numId w:val="36"/>
        </w:numPr>
        <w:shd w:val="clear" w:color="auto" w:fill="FFFFFF"/>
        <w:tabs>
          <w:tab w:val="left" w:pos="426"/>
        </w:tabs>
        <w:spacing w:after="0"/>
        <w:ind w:left="425" w:hanging="425"/>
        <w:jc w:val="left"/>
      </w:pPr>
      <w:r w:rsidRPr="0050051F">
        <w:t>contribute to improved opportunities for movement, condition, reproduction and recruitment of native fish</w:t>
      </w:r>
    </w:p>
    <w:p w:rsidR="00E64C68" w:rsidRDefault="00E64C68" w:rsidP="00E64C68">
      <w:pPr>
        <w:numPr>
          <w:ilvl w:val="0"/>
          <w:numId w:val="36"/>
        </w:numPr>
        <w:shd w:val="clear" w:color="auto" w:fill="FFFFFF"/>
        <w:tabs>
          <w:tab w:val="left" w:pos="426"/>
        </w:tabs>
        <w:spacing w:after="0"/>
        <w:ind w:left="425" w:hanging="425"/>
        <w:jc w:val="left"/>
      </w:pPr>
      <w:r w:rsidRPr="0050051F">
        <w:t xml:space="preserve">increase hydrological connectivity, including inundation of slackwater habitats areas </w:t>
      </w:r>
      <w:r>
        <w:t>downstream of</w:t>
      </w:r>
      <w:r w:rsidRPr="0050051F">
        <w:t xml:space="preserve"> the Yallakool-Wakool confluence, providing opportunities for recruitment of s</w:t>
      </w:r>
      <w:r>
        <w:t xml:space="preserve">mall bodied native fish, frogs and </w:t>
      </w:r>
      <w:r w:rsidRPr="0050051F">
        <w:t>shrimp</w:t>
      </w:r>
    </w:p>
    <w:p w:rsidR="00E64C68" w:rsidRDefault="00E64C68" w:rsidP="00E64C68">
      <w:pPr>
        <w:numPr>
          <w:ilvl w:val="0"/>
          <w:numId w:val="36"/>
        </w:numPr>
        <w:shd w:val="clear" w:color="auto" w:fill="FFFFFF"/>
        <w:tabs>
          <w:tab w:val="left" w:pos="426"/>
        </w:tabs>
        <w:spacing w:after="0"/>
        <w:ind w:left="425" w:hanging="425"/>
        <w:jc w:val="left"/>
      </w:pPr>
      <w:r w:rsidRPr="0050051F">
        <w:t>maintain/improve vegetation condition, including fringing vegetation and emergent/submerged aquatic plants</w:t>
      </w:r>
    </w:p>
    <w:p w:rsidR="00E64C68" w:rsidRDefault="00E64C68" w:rsidP="00E64C68">
      <w:pPr>
        <w:numPr>
          <w:ilvl w:val="0"/>
          <w:numId w:val="36"/>
        </w:numPr>
        <w:shd w:val="clear" w:color="auto" w:fill="FFFFFF"/>
        <w:tabs>
          <w:tab w:val="left" w:pos="426"/>
        </w:tabs>
        <w:spacing w:after="0"/>
        <w:ind w:left="425" w:hanging="425"/>
        <w:jc w:val="left"/>
      </w:pPr>
      <w:r w:rsidRPr="0050051F">
        <w:t>maintain/improve water quality, particularly dissolved oxygen, salinity and pH</w:t>
      </w:r>
    </w:p>
    <w:p w:rsidR="00E64C68" w:rsidRDefault="00E64C68" w:rsidP="00E64C68">
      <w:pPr>
        <w:numPr>
          <w:ilvl w:val="0"/>
          <w:numId w:val="36"/>
        </w:numPr>
        <w:shd w:val="clear" w:color="auto" w:fill="FFFFFF"/>
        <w:tabs>
          <w:tab w:val="left" w:pos="426"/>
        </w:tabs>
        <w:spacing w:after="120"/>
        <w:ind w:left="425" w:hanging="425"/>
        <w:jc w:val="left"/>
      </w:pPr>
      <w:proofErr w:type="gramStart"/>
      <w:r w:rsidRPr="0050051F">
        <w:t>contribute</w:t>
      </w:r>
      <w:proofErr w:type="gramEnd"/>
      <w:r w:rsidRPr="0050051F">
        <w:t xml:space="preserve"> to maximising outcomes in the Wakool from outflows from Koondrook-Perricoota and provide greater volume of receiving water</w:t>
      </w:r>
      <w:r>
        <w:t>.</w:t>
      </w:r>
    </w:p>
    <w:p w:rsidR="00E64C68" w:rsidRDefault="00E64C68" w:rsidP="00E64C68">
      <w:pPr>
        <w:jc w:val="left"/>
        <w:rPr>
          <w:rFonts w:ascii="Tahoma" w:hAnsi="Tahoma" w:cs="Tahoma"/>
          <w:sz w:val="20"/>
        </w:rPr>
      </w:pPr>
      <w:r w:rsidRPr="006C73F3">
        <w:t xml:space="preserve">Following a series of </w:t>
      </w:r>
      <w:r>
        <w:t>high unregulated</w:t>
      </w:r>
      <w:r w:rsidRPr="006C73F3">
        <w:t xml:space="preserve"> inflow events</w:t>
      </w:r>
      <w:r>
        <w:t xml:space="preserve"> in July 2014</w:t>
      </w:r>
      <w:r w:rsidRPr="006C73F3">
        <w:t xml:space="preserve">, flows </w:t>
      </w:r>
      <w:r>
        <w:t>started to pass</w:t>
      </w:r>
      <w:r w:rsidRPr="006C73F3">
        <w:t xml:space="preserve"> through the Edward-Wakool system, including overbank flows into Werai </w:t>
      </w:r>
      <w:r>
        <w:t xml:space="preserve">Forest </w:t>
      </w:r>
      <w:r w:rsidRPr="006C73F3">
        <w:t xml:space="preserve">and to </w:t>
      </w:r>
      <w:r>
        <w:t xml:space="preserve">Colligen and Yallakool Creeks. </w:t>
      </w:r>
      <w:r w:rsidRPr="006C73F3">
        <w:t xml:space="preserve">On the back of </w:t>
      </w:r>
      <w:r>
        <w:t>these tributary inflows, use of Commonwealth environmental water commenced earlier than planned to synchronise with naturally occurring high flows and the potential that, despite low water temperatures, large bodied native fish may have commenced moving into breeding habitat and nesting sites. The watering action in Yallakool Creek (zone 1) commenced on 12 August 2014 and there was an extended in-channel fresh of approximately 500 ML/day from August until 16 December 2014, followed by a recession of about 40cm over 30 days until it reached operational flows in the range of 200 to 240 ML/day. The action was completed on 15 January 2015. The total Commonwealth environmental water delivery for this action was 34,561 ML.</w:t>
      </w:r>
    </w:p>
    <w:p w:rsidR="00E64C68" w:rsidRPr="00E64C68" w:rsidRDefault="00E64C68" w:rsidP="004E3F82">
      <w:pPr>
        <w:tabs>
          <w:tab w:val="left" w:pos="9071"/>
        </w:tabs>
        <w:spacing w:after="240"/>
        <w:jc w:val="left"/>
        <w:rPr>
          <w:b/>
        </w:rPr>
      </w:pPr>
      <w:r w:rsidRPr="00E64C68">
        <w:rPr>
          <w:b/>
        </w:rPr>
        <w:t>Monitoring</w:t>
      </w:r>
    </w:p>
    <w:p w:rsidR="004E3F82" w:rsidRDefault="004E3F82" w:rsidP="004E3F82">
      <w:pPr>
        <w:tabs>
          <w:tab w:val="left" w:pos="9071"/>
        </w:tabs>
        <w:spacing w:after="240"/>
        <w:jc w:val="left"/>
      </w:pPr>
      <w:r w:rsidRPr="004E6055">
        <w:t xml:space="preserve">The monitoring </w:t>
      </w:r>
      <w:r>
        <w:t>for the Edward-Wakool LTIM Selected Area Evaluation focussed</w:t>
      </w:r>
      <w:r w:rsidRPr="004E6055">
        <w:t xml:space="preserve"> </w:t>
      </w:r>
      <w:r>
        <w:t xml:space="preserve">on four hydrological zones: </w:t>
      </w:r>
      <w:r w:rsidRPr="004E6055">
        <w:t xml:space="preserve">Yallakool Creek </w:t>
      </w:r>
      <w:r>
        <w:t xml:space="preserve">(zone 1), </w:t>
      </w:r>
      <w:r w:rsidRPr="004E6055">
        <w:t xml:space="preserve">the upper </w:t>
      </w:r>
      <w:r>
        <w:t xml:space="preserve">Wakool River (zone 2) </w:t>
      </w:r>
      <w:r w:rsidRPr="004E6055">
        <w:t>and mid reaches of the Wakool River</w:t>
      </w:r>
      <w:r>
        <w:t xml:space="preserve"> (zones 3 and 4). Indicators monitored in 2014-15 were: river hydrology, riverbank inundation by 2D-hydraulic modelling, stream metabolism and instream primary productivity, water quality and carbon, riverbank and aquatic vegetation, fish reproduction, fish recruitment, and fish community.</w:t>
      </w:r>
    </w:p>
    <w:p w:rsidR="004E3F82" w:rsidRPr="00AC165D" w:rsidRDefault="004E3F82" w:rsidP="004E3F82">
      <w:pPr>
        <w:spacing w:after="80"/>
        <w:rPr>
          <w:b/>
        </w:rPr>
      </w:pPr>
      <w:r w:rsidRPr="00AC165D">
        <w:rPr>
          <w:b/>
        </w:rPr>
        <w:t>Outcomes of Commonwealth environmental watering</w:t>
      </w:r>
    </w:p>
    <w:p w:rsidR="004E3F82" w:rsidRDefault="004E3F82" w:rsidP="004E3F82">
      <w:pPr>
        <w:spacing w:after="0"/>
      </w:pPr>
      <w:r w:rsidRPr="001D7084">
        <w:t xml:space="preserve">Commonwealth environmental water delivered to </w:t>
      </w:r>
      <w:r>
        <w:t>Yallakool Creek in 2014-15</w:t>
      </w:r>
      <w:r w:rsidRPr="001D7084">
        <w:t xml:space="preserve"> </w:t>
      </w:r>
      <w:r>
        <w:t>had the following positive outcomes in reaches receiving environmental water (Table i):</w:t>
      </w:r>
    </w:p>
    <w:p w:rsidR="004E3F82" w:rsidRDefault="004E3F82" w:rsidP="004E3F82">
      <w:pPr>
        <w:pStyle w:val="ListParagraph"/>
        <w:numPr>
          <w:ilvl w:val="0"/>
          <w:numId w:val="13"/>
        </w:numPr>
        <w:spacing w:after="0"/>
        <w:ind w:left="714" w:hanging="357"/>
      </w:pPr>
      <w:r>
        <w:t>Increased variation in discharge (section 4)</w:t>
      </w:r>
    </w:p>
    <w:p w:rsidR="004E3F82" w:rsidRDefault="004E3F82" w:rsidP="004E3F82">
      <w:pPr>
        <w:pStyle w:val="ListParagraph"/>
        <w:numPr>
          <w:ilvl w:val="0"/>
          <w:numId w:val="13"/>
        </w:numPr>
        <w:spacing w:after="0"/>
        <w:ind w:left="714" w:hanging="357"/>
      </w:pPr>
      <w:r>
        <w:t>Increased</w:t>
      </w:r>
      <w:r w:rsidRPr="001D7084">
        <w:t xml:space="preserve"> </w:t>
      </w:r>
      <w:r>
        <w:t>in-channel longitudinal connectivity (section 4)</w:t>
      </w:r>
    </w:p>
    <w:p w:rsidR="004E3F82" w:rsidRDefault="004E3F82" w:rsidP="004E3F82">
      <w:pPr>
        <w:pStyle w:val="ListParagraph"/>
        <w:numPr>
          <w:ilvl w:val="0"/>
          <w:numId w:val="13"/>
        </w:numPr>
        <w:spacing w:after="0"/>
        <w:ind w:left="714" w:right="-143" w:hanging="357"/>
      </w:pPr>
      <w:r>
        <w:t xml:space="preserve">Increased lateral connectivity. There was an </w:t>
      </w:r>
      <w:r w:rsidRPr="001D7084">
        <w:t>increase</w:t>
      </w:r>
      <w:r>
        <w:t xml:space="preserve"> in </w:t>
      </w:r>
      <w:r w:rsidRPr="001D7084">
        <w:t xml:space="preserve">wetted benthic area </w:t>
      </w:r>
      <w:r>
        <w:t>and area of slackwater and slow water in Wakool River zones 3 and 4, but not in Yallakool Creek (section 5)</w:t>
      </w:r>
    </w:p>
    <w:p w:rsidR="004E3F82" w:rsidRDefault="004E3F82" w:rsidP="004E3F82">
      <w:pPr>
        <w:pStyle w:val="ListParagraph"/>
        <w:numPr>
          <w:ilvl w:val="0"/>
          <w:numId w:val="13"/>
        </w:numPr>
        <w:spacing w:after="0"/>
        <w:ind w:left="714" w:hanging="357"/>
      </w:pPr>
      <w:r>
        <w:t>Maintained dissolved oxygen levels and ecosystem respiration (section 6)</w:t>
      </w:r>
    </w:p>
    <w:p w:rsidR="004E3F82" w:rsidRDefault="004E3F82" w:rsidP="004E3F82">
      <w:pPr>
        <w:pStyle w:val="ListParagraph"/>
        <w:numPr>
          <w:ilvl w:val="0"/>
          <w:numId w:val="13"/>
        </w:numPr>
        <w:spacing w:after="0"/>
        <w:ind w:left="714" w:hanging="357"/>
      </w:pPr>
      <w:r>
        <w:t>Increased</w:t>
      </w:r>
      <w:r w:rsidRPr="001D7084">
        <w:t xml:space="preserve"> </w:t>
      </w:r>
      <w:r>
        <w:t xml:space="preserve">cover and diversity of </w:t>
      </w:r>
      <w:r w:rsidRPr="001D7084">
        <w:t>instream aquatic vegetation</w:t>
      </w:r>
      <w:r>
        <w:t>, particularly in Wakool River zones 3 and 4, but not consistently in Yallakool Creek zone 1 (section 8)</w:t>
      </w:r>
    </w:p>
    <w:p w:rsidR="004E3F82" w:rsidRDefault="004E3F82" w:rsidP="004E3F82">
      <w:pPr>
        <w:pStyle w:val="ListParagraph"/>
        <w:numPr>
          <w:ilvl w:val="0"/>
          <w:numId w:val="13"/>
        </w:numPr>
        <w:spacing w:after="120"/>
        <w:ind w:left="714" w:hanging="357"/>
        <w:jc w:val="left"/>
      </w:pPr>
      <w:r>
        <w:t xml:space="preserve">Potentially contributed to an increase in the diversity of native fish, with one new species, </w:t>
      </w:r>
      <w:r w:rsidRPr="00C12FDE">
        <w:rPr>
          <w:i/>
          <w:kern w:val="32"/>
          <w:szCs w:val="22"/>
        </w:rPr>
        <w:t>Galaxias oliros</w:t>
      </w:r>
      <w:r>
        <w:rPr>
          <w:kern w:val="32"/>
          <w:szCs w:val="22"/>
        </w:rPr>
        <w:t xml:space="preserve"> (obscure galaxias)</w:t>
      </w:r>
      <w:r>
        <w:t xml:space="preserve"> recorded in Yallakool Creek (section 10).</w:t>
      </w:r>
    </w:p>
    <w:p w:rsidR="004E3F82" w:rsidRPr="00BD2D0B" w:rsidRDefault="004E3F82" w:rsidP="004E3F82">
      <w:pPr>
        <w:spacing w:after="120"/>
        <w:jc w:val="left"/>
      </w:pPr>
      <w:r>
        <w:t xml:space="preserve">There was </w:t>
      </w:r>
      <w:r w:rsidRPr="00F45EF8">
        <w:t xml:space="preserve">one negative response </w:t>
      </w:r>
      <w:r>
        <w:t xml:space="preserve">to Commonwealth environmental watering </w:t>
      </w:r>
      <w:r w:rsidRPr="00F45EF8">
        <w:t>in 2014-15</w:t>
      </w:r>
      <w:r>
        <w:t xml:space="preserve"> (Table </w:t>
      </w:r>
      <w:r w:rsidR="00E64C68">
        <w:t>i</w:t>
      </w:r>
      <w:r>
        <w:t>)</w:t>
      </w:r>
      <w:r w:rsidRPr="00F45EF8">
        <w:t xml:space="preserve">, </w:t>
      </w:r>
      <w:r>
        <w:t xml:space="preserve">being </w:t>
      </w:r>
      <w:r w:rsidRPr="00F45EF8">
        <w:t xml:space="preserve">a reduction in the area of slackwater in Yallakool Creek during </w:t>
      </w:r>
      <w:r>
        <w:t>the environmental watering action</w:t>
      </w:r>
      <w:r w:rsidRPr="00F45EF8">
        <w:t xml:space="preserve"> compared to area of available slackwater during base flows</w:t>
      </w:r>
      <w:r>
        <w:t xml:space="preserve"> (section 5). </w:t>
      </w:r>
      <w:r w:rsidRPr="004E3F82">
        <w:rPr>
          <w:szCs w:val="22"/>
        </w:rPr>
        <w:t xml:space="preserve">This finding </w:t>
      </w:r>
      <w:r>
        <w:t>was</w:t>
      </w:r>
      <w:r w:rsidRPr="00F45EF8">
        <w:t xml:space="preserve"> consistent with observation</w:t>
      </w:r>
      <w:r>
        <w:t xml:space="preserve">s in 2013-14 (Watts et al 2014) of </w:t>
      </w:r>
      <w:r w:rsidRPr="00F45EF8">
        <w:t>a</w:t>
      </w:r>
      <w:r>
        <w:t xml:space="preserve"> </w:t>
      </w:r>
      <w:r w:rsidRPr="004E3F82">
        <w:rPr>
          <w:szCs w:val="22"/>
        </w:rPr>
        <w:t>lower abundance of shrimp larvae in Yallakool Creek during the environmental watering. Shrimp are not monitored as part of the LTIM Project, but it is expected that the increased area of fast flows in Yallakool Creek during the environmental watering action will have had a negative effect on larval shrimp, and the increase in slack water and slow water in zones 3 and 4 will have had a positive outcome for shrimp and other taxa in those zones that require slow flowing water for recruitment and survival.</w:t>
      </w:r>
    </w:p>
    <w:p w:rsidR="004E3F82" w:rsidRPr="004E3F82" w:rsidRDefault="004E3F82" w:rsidP="004E3F82">
      <w:pPr>
        <w:spacing w:after="120"/>
        <w:jc w:val="left"/>
        <w:rPr>
          <w:rFonts w:cs="Calibri"/>
          <w:szCs w:val="22"/>
        </w:rPr>
      </w:pPr>
      <w:r>
        <w:t>T</w:t>
      </w:r>
      <w:r w:rsidRPr="00F45EF8">
        <w:t xml:space="preserve">here were a number of indicators </w:t>
      </w:r>
      <w:r>
        <w:t>that showed</w:t>
      </w:r>
      <w:r w:rsidRPr="00F45EF8">
        <w:t xml:space="preserve"> no detectable res</w:t>
      </w:r>
      <w:r>
        <w:t>ponse to environmental watering</w:t>
      </w:r>
      <w:r w:rsidR="00E64C68">
        <w:t xml:space="preserve"> (Table i</w:t>
      </w:r>
      <w:r>
        <w:t xml:space="preserve">). Although </w:t>
      </w:r>
      <w:r w:rsidRPr="004E3F82">
        <w:rPr>
          <w:rFonts w:cs="Calibri"/>
          <w:szCs w:val="22"/>
        </w:rPr>
        <w:t xml:space="preserve">environmental watering increased wetted benthic area in some reaches (section 5), this increase was not </w:t>
      </w:r>
      <w:r w:rsidRPr="00E367BE">
        <w:t xml:space="preserve">sufficient to trigger an increase in gross </w:t>
      </w:r>
      <w:r>
        <w:t>primary productivity (section 7)</w:t>
      </w:r>
      <w:r w:rsidRPr="004E3F82">
        <w:rPr>
          <w:rFonts w:cs="Calibri"/>
          <w:szCs w:val="22"/>
        </w:rPr>
        <w:t>. The delivery of environmental water is currently constrained by a limited capacity to deliver larger in-channel flow pulses because of potential impacts on third parties. Although the Commonwealth Environmental Water Office has sought to maximize the flows to a level that is acceptable to third parties in the catchment area, current and previous monitoring in this system suggest that larger in-channel flow events will be required to increase the gross primary productivity in this system.</w:t>
      </w:r>
    </w:p>
    <w:p w:rsidR="004E3F82" w:rsidRDefault="004E3F82" w:rsidP="004E3F82">
      <w:pPr>
        <w:spacing w:after="120"/>
        <w:jc w:val="left"/>
      </w:pPr>
      <w:r w:rsidRPr="004E3F82">
        <w:rPr>
          <w:rFonts w:cs="Calibri"/>
          <w:szCs w:val="22"/>
        </w:rPr>
        <w:t>F</w:t>
      </w:r>
      <w:r>
        <w:t xml:space="preserve">ish spawning (section 10), and fish recruitment (section 11) indicators did not respond to environmental watering action. Although there is good evidence that fish reproduction occurs in this system </w:t>
      </w:r>
      <w:r w:rsidRPr="00E367BE">
        <w:t>(</w:t>
      </w:r>
      <w:r>
        <w:t>n</w:t>
      </w:r>
      <w:r w:rsidRPr="00E367BE">
        <w:t>ine species collected as larvae in 2014</w:t>
      </w:r>
      <w:r>
        <w:t xml:space="preserve">-15, see section 10; nine </w:t>
      </w:r>
      <w:r w:rsidRPr="00E367BE">
        <w:t>species collected as larvae in 2013-14</w:t>
      </w:r>
      <w:r>
        <w:t>,</w:t>
      </w:r>
      <w:r w:rsidRPr="00E367BE">
        <w:t xml:space="preserve"> Watts et al</w:t>
      </w:r>
      <w:r>
        <w:t>.</w:t>
      </w:r>
      <w:r w:rsidRPr="00E367BE">
        <w:t xml:space="preserve"> 2014)</w:t>
      </w:r>
      <w:r>
        <w:t xml:space="preserve">, </w:t>
      </w:r>
      <w:r w:rsidRPr="00E367BE">
        <w:t xml:space="preserve">the spawning response could not be attributed to </w:t>
      </w:r>
      <w:r>
        <w:t xml:space="preserve">the </w:t>
      </w:r>
      <w:r w:rsidRPr="00E367BE">
        <w:t>watering</w:t>
      </w:r>
      <w:r>
        <w:t xml:space="preserve"> action because a similar level of reproduction occurred in the Wakool River (zone 2) that did not receive environmental water. A</w:t>
      </w:r>
      <w:r w:rsidRPr="00E367BE">
        <w:t xml:space="preserve">lthough there is evidence of </w:t>
      </w:r>
      <w:r>
        <w:t xml:space="preserve">some </w:t>
      </w:r>
      <w:r w:rsidRPr="00E367BE">
        <w:t>recovery in the fish community in areas impacted by the blackwater events in 2010-2012</w:t>
      </w:r>
      <w:r>
        <w:t xml:space="preserve"> (section 9)</w:t>
      </w:r>
      <w:r w:rsidRPr="00E367BE">
        <w:t xml:space="preserve">, </w:t>
      </w:r>
      <w:r w:rsidRPr="00EC14D1">
        <w:t xml:space="preserve">some of the improvement in the fish community </w:t>
      </w:r>
      <w:r>
        <w:t>is</w:t>
      </w:r>
      <w:r w:rsidRPr="00EC14D1">
        <w:t xml:space="preserve"> </w:t>
      </w:r>
      <w:r>
        <w:t>likely to be</w:t>
      </w:r>
      <w:r w:rsidRPr="00EC14D1">
        <w:t xml:space="preserve"> due to other factors, such as immigration of fish into the system</w:t>
      </w:r>
      <w:r>
        <w:t>.</w:t>
      </w:r>
    </w:p>
    <w:p w:rsidR="004E3F82" w:rsidRDefault="004E3F82" w:rsidP="004E3F82">
      <w:pPr>
        <w:spacing w:after="120"/>
        <w:jc w:val="left"/>
      </w:pPr>
      <w:r w:rsidRPr="001D7084">
        <w:t xml:space="preserve">The responses to Commonwealth environmental watering observed in 2014-15 were consistent with those observed </w:t>
      </w:r>
      <w:r>
        <w:t>previously in this system</w:t>
      </w:r>
      <w:r w:rsidRPr="001D7084">
        <w:t>.</w:t>
      </w:r>
      <w:r>
        <w:t xml:space="preserve"> The good outcomes for dissolved oxygen and aquatic vegetation will help improve the system for longer term benefits to be realised, providing habitat for invertebrates and small bodied fish and potentially improving riverine productivity. Good dissolved oxygen levels and increased instream habitat are essential for the long-term health of this system and could lead to improved outcomes for fish in the longer term.</w:t>
      </w:r>
    </w:p>
    <w:p w:rsidR="004E3F82" w:rsidRDefault="004E3F82" w:rsidP="004E3F82">
      <w:pPr>
        <w:spacing w:after="240"/>
        <w:jc w:val="left"/>
      </w:pPr>
      <w:r w:rsidRPr="00EC14D1">
        <w:t xml:space="preserve">The environmental watering </w:t>
      </w:r>
      <w:r>
        <w:t xml:space="preserve">that was implemented </w:t>
      </w:r>
      <w:r w:rsidRPr="00EC14D1">
        <w:t xml:space="preserve">during the blackwater events of 2010 to 2012 mitigated extreme low dissolved oxygen concentrations (Watts et al. 2013) and created an area of refuge habitat </w:t>
      </w:r>
      <w:r>
        <w:t>and water quality conditions to avoid</w:t>
      </w:r>
      <w:r w:rsidRPr="00EC14D1">
        <w:t xml:space="preserve"> critical loss of fish in the upper reaches of the Wakool River and Yallakool Creek.</w:t>
      </w:r>
      <w:r>
        <w:t xml:space="preserve"> </w:t>
      </w:r>
      <w:r w:rsidRPr="00EC14D1">
        <w:t xml:space="preserve">The benefits of those watering actions </w:t>
      </w:r>
      <w:r>
        <w:t>area still</w:t>
      </w:r>
      <w:r w:rsidRPr="00EC14D1">
        <w:t xml:space="preserve"> evident, with fish populations in </w:t>
      </w:r>
      <w:r>
        <w:t xml:space="preserve">the </w:t>
      </w:r>
      <w:r w:rsidRPr="00EC14D1">
        <w:t xml:space="preserve">upper </w:t>
      </w:r>
      <w:r>
        <w:t>reaches</w:t>
      </w:r>
      <w:r w:rsidRPr="00EC14D1">
        <w:t xml:space="preserve"> </w:t>
      </w:r>
      <w:r>
        <w:t>having</w:t>
      </w:r>
      <w:r w:rsidRPr="00EC14D1">
        <w:t xml:space="preserve"> higher biomass th</w:t>
      </w:r>
      <w:r>
        <w:t xml:space="preserve">an those </w:t>
      </w:r>
      <w:r w:rsidRPr="00EC14D1">
        <w:t>in the lower reaches</w:t>
      </w:r>
      <w:r>
        <w:t xml:space="preserve"> (section 10)</w:t>
      </w:r>
      <w:r w:rsidRPr="00EC14D1">
        <w:t xml:space="preserve">. The long-term recovery of fish populations in this system is </w:t>
      </w:r>
      <w:r>
        <w:t>ongoing.</w:t>
      </w:r>
      <w:r w:rsidRPr="00960AA1">
        <w:t xml:space="preserve"> </w:t>
      </w:r>
      <w:r>
        <w:t>S</w:t>
      </w:r>
      <w:r w:rsidRPr="00EC14D1">
        <w:t xml:space="preserve">ome of the benefits of the Commonwealth environmental watering actions are expected to be realised over a much longer time frame </w:t>
      </w:r>
      <w:r>
        <w:t>and should not be expected to eventuate from a single flow action or within a single year.</w:t>
      </w:r>
    </w:p>
    <w:p w:rsidR="00E64C68" w:rsidRDefault="00E64C68">
      <w:pPr>
        <w:spacing w:after="0" w:line="240" w:lineRule="auto"/>
        <w:jc w:val="left"/>
        <w:rPr>
          <w:b/>
        </w:rPr>
      </w:pPr>
      <w:r>
        <w:rPr>
          <w:b/>
        </w:rPr>
        <w:br w:type="page"/>
      </w:r>
    </w:p>
    <w:p w:rsidR="004E3F82" w:rsidRPr="004E3F82" w:rsidRDefault="00E64C68" w:rsidP="00E64C68">
      <w:pPr>
        <w:spacing w:after="0" w:line="240" w:lineRule="auto"/>
        <w:jc w:val="left"/>
        <w:rPr>
          <w:sz w:val="20"/>
        </w:rPr>
      </w:pPr>
      <w:r>
        <w:rPr>
          <w:b/>
        </w:rPr>
        <w:t>Table i</w:t>
      </w:r>
      <w:r w:rsidR="004E3F82" w:rsidRPr="00E367BE">
        <w:t xml:space="preserve">. </w:t>
      </w:r>
      <w:r w:rsidR="004E3F82" w:rsidRPr="004E3F82">
        <w:rPr>
          <w:sz w:val="20"/>
        </w:rPr>
        <w:t xml:space="preserve">Summary of ecosystem responses to Commonwealth environmental watering in the Edward-Wakool system in 2014-15. </w:t>
      </w:r>
    </w:p>
    <w:p w:rsidR="004E3F82" w:rsidRPr="00E64C68" w:rsidRDefault="00F671D2" w:rsidP="00E64C68">
      <w:pPr>
        <w:spacing w:after="0" w:line="240" w:lineRule="auto"/>
        <w:ind w:left="360" w:firstLine="360"/>
        <w:rPr>
          <w:sz w:val="20"/>
        </w:rPr>
      </w:pPr>
      <w:r w:rsidRPr="00F671D2">
        <w:rPr>
          <w:noProof/>
          <w:lang w:eastAsia="en-AU"/>
        </w:rPr>
        <w:pict>
          <v:roundrect id="Rounded Rectangle 172" o:spid="_x0000_s1412" style="position:absolute;left:0;text-align:left;margin-left:-.05pt;margin-top:.5pt;width:16.95pt;height:8.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" fillcolor="#c2d69b [1942]" strokecolor="#76923c [2406]">
            <w10:wrap anchorx="margin"/>
          </v:roundrect>
        </w:pict>
      </w:r>
      <w:r w:rsidR="004E3F82" w:rsidRPr="00E64C68">
        <w:rPr>
          <w:sz w:val="20"/>
        </w:rPr>
        <w:t>Positive response to environmental watering (green)</w:t>
      </w:r>
    </w:p>
    <w:p w:rsidR="004E3F82" w:rsidRPr="00E64C68" w:rsidRDefault="00F671D2" w:rsidP="00E64C68">
      <w:pPr>
        <w:spacing w:after="0" w:line="240" w:lineRule="auto"/>
        <w:ind w:left="360" w:firstLine="360"/>
        <w:rPr>
          <w:sz w:val="20"/>
        </w:rPr>
      </w:pPr>
      <w:r w:rsidRPr="00F671D2">
        <w:rPr>
          <w:noProof/>
          <w:lang w:eastAsia="en-AU"/>
        </w:rPr>
        <w:pict>
          <v:roundrect id="Rounded Rectangle 173" o:spid="_x0000_s1411" style="position:absolute;left:0;text-align:left;margin-left:-.05pt;margin-top:.25pt;width:16.95pt;height:8.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" fillcolor="#d99594 [1941]" strokecolor="#943634 [2405]">
            <w10:wrap anchorx="margin"/>
          </v:roundrect>
        </w:pict>
      </w:r>
      <w:r w:rsidR="004E3F82" w:rsidRPr="00E64C68">
        <w:rPr>
          <w:sz w:val="20"/>
        </w:rPr>
        <w:t>Negative response to environmental watering (red)</w:t>
      </w:r>
    </w:p>
    <w:p w:rsidR="004E3F82" w:rsidRPr="00E64C68" w:rsidRDefault="00F671D2" w:rsidP="00E64C68">
      <w:pPr>
        <w:spacing w:after="0" w:line="240" w:lineRule="auto"/>
        <w:ind w:left="360" w:firstLine="360"/>
        <w:rPr>
          <w:sz w:val="20"/>
        </w:rPr>
      </w:pPr>
      <w:r w:rsidRPr="00F671D2">
        <w:rPr>
          <w:noProof/>
          <w:lang w:eastAsia="en-AU"/>
        </w:rPr>
        <w:pict>
          <v:roundrect id="Rounded Rectangle 177" o:spid="_x0000_s1410" style="position:absolute;left:0;text-align:left;margin-left:-.05pt;margin-top:1.2pt;width:16.95pt;height:8.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" fillcolor="#a5a5a5 [2092]" strokecolor="#a5a5a5 [2092]">
            <w10:wrap anchorx="margin"/>
          </v:roundrect>
        </w:pict>
      </w:r>
      <w:r w:rsidR="004E3F82" w:rsidRPr="00E64C68">
        <w:rPr>
          <w:sz w:val="20"/>
        </w:rPr>
        <w:t>No detectable response to environmental watering (neither positive nor negative response) (grey)</w:t>
      </w:r>
    </w:p>
    <w:p w:rsidR="004E3F82" w:rsidRPr="00E64C68" w:rsidRDefault="00F671D2" w:rsidP="00E64C68">
      <w:pPr>
        <w:spacing w:after="0" w:line="240" w:lineRule="auto"/>
        <w:ind w:left="360" w:firstLine="360"/>
        <w:rPr>
          <w:sz w:val="20"/>
        </w:rPr>
      </w:pPr>
      <w:r w:rsidRPr="00F671D2">
        <w:rPr>
          <w:noProof/>
          <w:lang w:eastAsia="en-AU"/>
        </w:rPr>
        <w:pict>
          <v:roundrect id="Rounded Rectangle 178" o:spid="_x0000_s1409" style="position:absolute;left:0;text-align:left;margin-left:-.05pt;margin-top:.6pt;width:16.95pt;height:8.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" fillcolor="white [3212]" strokecolor="black [3213]">
            <w10:wrap anchorx="margin"/>
          </v:roundrect>
        </w:pict>
      </w:r>
      <w:r w:rsidR="004E3F82" w:rsidRPr="00E64C68">
        <w:rPr>
          <w:sz w:val="20"/>
        </w:rPr>
        <w:t>N/A No evaluation undertaken by this project (white)</w:t>
      </w: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55"/>
        <w:gridCol w:w="2268"/>
        <w:gridCol w:w="1842"/>
        <w:gridCol w:w="1843"/>
        <w:gridCol w:w="1701"/>
      </w:tblGrid>
      <w:tr w:rsidR="004E3F82" w:rsidRPr="008D4AE6" w:rsidTr="00A66CBF">
        <w:trPr>
          <w:trHeight w:val="1247"/>
        </w:trPr>
        <w:tc>
          <w:tcPr>
            <w:tcW w:w="1555" w:type="dxa"/>
            <w:shd w:val="clear" w:color="auto" w:fill="auto"/>
          </w:tcPr>
          <w:p w:rsidR="004E3F82" w:rsidRPr="008D4AE6" w:rsidRDefault="004E3F82" w:rsidP="00A66CBF">
            <w:pPr>
              <w:rPr>
                <w:b/>
                <w:sz w:val="20"/>
              </w:rPr>
            </w:pPr>
            <w:r w:rsidRPr="008D4AE6">
              <w:rPr>
                <w:b/>
                <w:sz w:val="20"/>
              </w:rPr>
              <w:t>Indicators</w:t>
            </w:r>
          </w:p>
        </w:tc>
        <w:tc>
          <w:tcPr>
            <w:tcW w:w="2268" w:type="dxa"/>
          </w:tcPr>
          <w:p w:rsidR="004E3F82" w:rsidRPr="007518FC" w:rsidRDefault="004E3F82" w:rsidP="00A66CBF">
            <w:pPr>
              <w:spacing w:after="0" w:line="240" w:lineRule="auto"/>
              <w:rPr>
                <w:b/>
                <w:sz w:val="20"/>
              </w:rPr>
            </w:pPr>
            <w:r>
              <w:rPr>
                <w:b/>
                <w:sz w:val="20"/>
              </w:rPr>
              <w:t>Dependant variable</w:t>
            </w:r>
          </w:p>
        </w:tc>
        <w:tc>
          <w:tcPr>
            <w:tcW w:w="1842" w:type="dxa"/>
            <w:shd w:val="clear" w:color="auto" w:fill="auto"/>
            <w:tcMar>
              <w:left w:w="57" w:type="dxa"/>
              <w:right w:w="57" w:type="dxa"/>
            </w:tcMar>
          </w:tcPr>
          <w:p w:rsidR="004E3F82" w:rsidRDefault="004E3F82" w:rsidP="00A66CBF">
            <w:pPr>
              <w:spacing w:after="0" w:line="240" w:lineRule="auto"/>
              <w:jc w:val="left"/>
              <w:rPr>
                <w:b/>
                <w:sz w:val="20"/>
              </w:rPr>
            </w:pPr>
            <w:r>
              <w:rPr>
                <w:b/>
                <w:sz w:val="20"/>
              </w:rPr>
              <w:t>Short-term response</w:t>
            </w:r>
            <w:r w:rsidRPr="007518FC">
              <w:rPr>
                <w:b/>
                <w:sz w:val="20"/>
              </w:rPr>
              <w:t xml:space="preserve"> to </w:t>
            </w:r>
            <w:r>
              <w:rPr>
                <w:b/>
                <w:sz w:val="20"/>
              </w:rPr>
              <w:t>Yallakool Creek   e-watering event (Aug 2014-Jan 2015)</w:t>
            </w:r>
          </w:p>
          <w:p w:rsidR="004E3F82" w:rsidRPr="007518FC" w:rsidRDefault="004E3F82" w:rsidP="00A66CBF">
            <w:pPr>
              <w:spacing w:after="0" w:line="240" w:lineRule="auto"/>
              <w:jc w:val="left"/>
              <w:rPr>
                <w:b/>
                <w:sz w:val="20"/>
              </w:rPr>
            </w:pPr>
            <w:r>
              <w:rPr>
                <w:b/>
                <w:sz w:val="20"/>
              </w:rPr>
              <w:t>(&lt; 1 year)</w:t>
            </w:r>
          </w:p>
        </w:tc>
        <w:tc>
          <w:tcPr>
            <w:tcW w:w="1843" w:type="dxa"/>
            <w:tcMar>
              <w:left w:w="57" w:type="dxa"/>
              <w:right w:w="57" w:type="dxa"/>
            </w:tcMar>
          </w:tcPr>
          <w:p w:rsidR="004E3F82" w:rsidRDefault="004E3F82" w:rsidP="00A66CBF">
            <w:pPr>
              <w:spacing w:after="0" w:line="240" w:lineRule="auto"/>
              <w:jc w:val="left"/>
              <w:rPr>
                <w:b/>
                <w:sz w:val="20"/>
              </w:rPr>
            </w:pPr>
            <w:r>
              <w:rPr>
                <w:b/>
                <w:sz w:val="20"/>
              </w:rPr>
              <w:t>Response to             e-watering assessed across 2014-15 watering year</w:t>
            </w:r>
          </w:p>
          <w:p w:rsidR="004E3F82" w:rsidRPr="008D4AE6" w:rsidRDefault="004E3F82" w:rsidP="00A66CBF">
            <w:pPr>
              <w:spacing w:after="0" w:line="240" w:lineRule="auto"/>
              <w:jc w:val="left"/>
              <w:rPr>
                <w:b/>
                <w:sz w:val="20"/>
              </w:rPr>
            </w:pPr>
            <w:r>
              <w:rPr>
                <w:b/>
                <w:sz w:val="20"/>
              </w:rPr>
              <w:t>(1 year)</w:t>
            </w:r>
          </w:p>
        </w:tc>
        <w:tc>
          <w:tcPr>
            <w:tcW w:w="1701" w:type="dxa"/>
            <w:shd w:val="clear" w:color="auto" w:fill="auto"/>
            <w:tcMar>
              <w:left w:w="57" w:type="dxa"/>
              <w:right w:w="57" w:type="dxa"/>
            </w:tcMar>
          </w:tcPr>
          <w:p w:rsidR="004E3F82" w:rsidRDefault="004E3F82" w:rsidP="00A66CBF">
            <w:pPr>
              <w:spacing w:after="0" w:line="240" w:lineRule="auto"/>
              <w:jc w:val="left"/>
              <w:rPr>
                <w:b/>
                <w:sz w:val="20"/>
              </w:rPr>
            </w:pPr>
            <w:r w:rsidRPr="008D4AE6">
              <w:rPr>
                <w:b/>
                <w:sz w:val="20"/>
              </w:rPr>
              <w:t>L</w:t>
            </w:r>
            <w:r>
              <w:rPr>
                <w:b/>
                <w:sz w:val="20"/>
              </w:rPr>
              <w:t>onger-term response</w:t>
            </w:r>
            <w:r w:rsidRPr="008D4AE6">
              <w:rPr>
                <w:b/>
                <w:sz w:val="20"/>
              </w:rPr>
              <w:t xml:space="preserve"> </w:t>
            </w:r>
            <w:r>
              <w:rPr>
                <w:b/>
                <w:sz w:val="20"/>
              </w:rPr>
              <w:t>to              e-watering</w:t>
            </w:r>
          </w:p>
          <w:p w:rsidR="004E3F82" w:rsidRPr="008D4AE6" w:rsidRDefault="004E3F82" w:rsidP="00A66CBF">
            <w:pPr>
              <w:spacing w:after="0" w:line="240" w:lineRule="auto"/>
              <w:jc w:val="left"/>
              <w:rPr>
                <w:b/>
                <w:sz w:val="20"/>
              </w:rPr>
            </w:pPr>
            <w:r w:rsidRPr="008D4AE6">
              <w:rPr>
                <w:b/>
                <w:sz w:val="20"/>
              </w:rPr>
              <w:t>(</w:t>
            </w:r>
            <w:r>
              <w:rPr>
                <w:b/>
                <w:sz w:val="20"/>
              </w:rPr>
              <w:t xml:space="preserve">assessed across  1-5 </w:t>
            </w:r>
            <w:r w:rsidRPr="008D4AE6">
              <w:rPr>
                <w:b/>
                <w:sz w:val="20"/>
              </w:rPr>
              <w:t>years)</w:t>
            </w:r>
          </w:p>
        </w:tc>
      </w:tr>
      <w:tr w:rsidR="004E3F82" w:rsidRPr="00287858" w:rsidTr="00A66CBF">
        <w:trPr>
          <w:trHeight w:val="273"/>
        </w:trPr>
        <w:tc>
          <w:tcPr>
            <w:tcW w:w="1555" w:type="dxa"/>
            <w:vMerge w:val="restart"/>
            <w:tcMar>
              <w:left w:w="57" w:type="dxa"/>
              <w:right w:w="57" w:type="dxa"/>
            </w:tcMar>
          </w:tcPr>
          <w:p w:rsidR="004E3F82" w:rsidRPr="00DE3187" w:rsidRDefault="004E3F82" w:rsidP="00A66CBF">
            <w:pPr>
              <w:spacing w:after="0" w:line="240" w:lineRule="auto"/>
              <w:rPr>
                <w:b/>
                <w:sz w:val="18"/>
                <w:szCs w:val="18"/>
              </w:rPr>
            </w:pPr>
            <w:r>
              <w:rPr>
                <w:b/>
                <w:sz w:val="18"/>
                <w:szCs w:val="18"/>
              </w:rPr>
              <w:t>Hydrology</w:t>
            </w:r>
          </w:p>
        </w:tc>
        <w:tc>
          <w:tcPr>
            <w:tcW w:w="2268" w:type="dxa"/>
            <w:tcBorders>
              <w:bottom w:val="single" w:sz="4" w:space="0" w:color="000000"/>
            </w:tcBorders>
            <w:shd w:val="clear" w:color="auto" w:fill="auto"/>
          </w:tcPr>
          <w:p w:rsidR="004E3F82" w:rsidRPr="00A11AF6" w:rsidRDefault="004E3F82" w:rsidP="00A66CBF">
            <w:pPr>
              <w:spacing w:after="0" w:line="240" w:lineRule="auto"/>
              <w:jc w:val="left"/>
              <w:rPr>
                <w:sz w:val="16"/>
                <w:szCs w:val="16"/>
              </w:rPr>
            </w:pPr>
            <w:r>
              <w:rPr>
                <w:sz w:val="18"/>
                <w:szCs w:val="18"/>
              </w:rPr>
              <w:t>Hydrological connectivity</w:t>
            </w:r>
          </w:p>
        </w:tc>
        <w:tc>
          <w:tcPr>
            <w:tcW w:w="1842" w:type="dxa"/>
            <w:tcBorders>
              <w:bottom w:val="single" w:sz="4" w:space="0" w:color="000000"/>
            </w:tcBorders>
            <w:shd w:val="clear" w:color="auto" w:fill="C2D69B" w:themeFill="accent3" w:themeFillTint="99"/>
            <w:tcMar>
              <w:left w:w="57" w:type="dxa"/>
              <w:right w:w="57" w:type="dxa"/>
            </w:tcMar>
          </w:tcPr>
          <w:p w:rsidR="004E3F82" w:rsidRPr="00A11AF6" w:rsidRDefault="004E3F82" w:rsidP="00A66CBF">
            <w:pPr>
              <w:spacing w:after="0" w:line="240" w:lineRule="auto"/>
              <w:jc w:val="center"/>
              <w:rPr>
                <w:sz w:val="16"/>
                <w:szCs w:val="16"/>
              </w:rPr>
            </w:pPr>
          </w:p>
        </w:tc>
        <w:tc>
          <w:tcPr>
            <w:tcW w:w="1843" w:type="dxa"/>
            <w:tcBorders>
              <w:bottom w:val="single" w:sz="4" w:space="0" w:color="000000"/>
            </w:tcBorders>
            <w:shd w:val="clear" w:color="auto" w:fill="C2D69B" w:themeFill="accent3" w:themeFillTint="99"/>
          </w:tcPr>
          <w:p w:rsidR="004E3F82" w:rsidRPr="00A11AF6" w:rsidRDefault="004E3F82" w:rsidP="00A66CBF">
            <w:pPr>
              <w:spacing w:after="0" w:line="240" w:lineRule="auto"/>
              <w:jc w:val="center"/>
              <w:rPr>
                <w:rFonts w:asciiTheme="minorHAnsi" w:hAnsiTheme="minorHAnsi" w:cstheme="minorHAnsi"/>
                <w:sz w:val="16"/>
                <w:szCs w:val="16"/>
              </w:rPr>
            </w:pPr>
          </w:p>
        </w:tc>
        <w:tc>
          <w:tcPr>
            <w:tcW w:w="1701" w:type="dxa"/>
            <w:vMerge w:val="restart"/>
            <w:shd w:val="clear" w:color="auto" w:fill="auto"/>
            <w:tcMar>
              <w:left w:w="57" w:type="dxa"/>
              <w:right w:w="57" w:type="dxa"/>
            </w:tcMar>
          </w:tcPr>
          <w:p w:rsidR="004E3F82" w:rsidRDefault="004E3F82" w:rsidP="00A66CBF">
            <w:pPr>
              <w:spacing w:after="0" w:line="240" w:lineRule="auto"/>
              <w:jc w:val="center"/>
              <w:rPr>
                <w:sz w:val="16"/>
                <w:szCs w:val="16"/>
              </w:rPr>
            </w:pPr>
            <w:r>
              <w:rPr>
                <w:sz w:val="16"/>
                <w:szCs w:val="16"/>
              </w:rPr>
              <w:t>N/A</w:t>
            </w:r>
          </w:p>
          <w:p w:rsidR="004E3F82" w:rsidRDefault="004E3F82" w:rsidP="00A66CBF">
            <w:pPr>
              <w:spacing w:after="0" w:line="240" w:lineRule="auto"/>
              <w:jc w:val="center"/>
              <w:rPr>
                <w:sz w:val="16"/>
                <w:szCs w:val="16"/>
              </w:rPr>
            </w:pPr>
          </w:p>
          <w:p w:rsidR="004E3F82" w:rsidRPr="00EB3A5C" w:rsidRDefault="004E3F82" w:rsidP="00A66CBF">
            <w:pPr>
              <w:spacing w:after="0" w:line="240" w:lineRule="auto"/>
              <w:jc w:val="center"/>
              <w:rPr>
                <w:sz w:val="16"/>
                <w:szCs w:val="16"/>
              </w:rPr>
            </w:pPr>
            <w:r>
              <w:rPr>
                <w:sz w:val="16"/>
                <w:szCs w:val="16"/>
              </w:rPr>
              <w:t>TO BE ASSESSED IN YEARS 2 TO 5 OF THE LONG-TERM INTERVENTION MONITORING PROJECT</w:t>
            </w:r>
          </w:p>
          <w:p w:rsidR="004E3F82" w:rsidRPr="00A11AF6" w:rsidRDefault="004E3F82" w:rsidP="00A66CBF">
            <w:pPr>
              <w:spacing w:after="0" w:line="240" w:lineRule="auto"/>
              <w:jc w:val="center"/>
              <w:rPr>
                <w:sz w:val="16"/>
                <w:szCs w:val="16"/>
              </w:rPr>
            </w:pPr>
          </w:p>
        </w:tc>
      </w:tr>
      <w:tr w:rsidR="004E3F82" w:rsidRPr="00287858" w:rsidTr="00A66CBF">
        <w:trPr>
          <w:trHeight w:val="263"/>
        </w:trPr>
        <w:tc>
          <w:tcPr>
            <w:tcW w:w="1555" w:type="dxa"/>
            <w:vMerge/>
            <w:tcBorders>
              <w:bottom w:val="single" w:sz="4" w:space="0" w:color="000000"/>
            </w:tcBorders>
            <w:tcMar>
              <w:left w:w="57" w:type="dxa"/>
              <w:right w:w="57" w:type="dxa"/>
            </w:tcMar>
          </w:tcPr>
          <w:p w:rsidR="004E3F82" w:rsidRDefault="004E3F82" w:rsidP="00A66CBF">
            <w:pPr>
              <w:spacing w:after="0" w:line="240" w:lineRule="auto"/>
              <w:rPr>
                <w:b/>
                <w:sz w:val="18"/>
                <w:szCs w:val="18"/>
              </w:rPr>
            </w:pPr>
          </w:p>
        </w:tc>
        <w:tc>
          <w:tcPr>
            <w:tcW w:w="2268" w:type="dxa"/>
            <w:tcBorders>
              <w:bottom w:val="single" w:sz="4" w:space="0" w:color="000000"/>
            </w:tcBorders>
            <w:shd w:val="clear" w:color="auto" w:fill="auto"/>
          </w:tcPr>
          <w:p w:rsidR="004E3F82" w:rsidRPr="00A11AF6" w:rsidRDefault="004E3F82" w:rsidP="00A66CBF">
            <w:pPr>
              <w:spacing w:after="0" w:line="240" w:lineRule="auto"/>
              <w:jc w:val="left"/>
              <w:rPr>
                <w:sz w:val="18"/>
                <w:szCs w:val="18"/>
              </w:rPr>
            </w:pPr>
            <w:r>
              <w:rPr>
                <w:sz w:val="18"/>
                <w:szCs w:val="18"/>
              </w:rPr>
              <w:t>Coefficient of variation of discharge</w:t>
            </w:r>
          </w:p>
        </w:tc>
        <w:tc>
          <w:tcPr>
            <w:tcW w:w="1842" w:type="dxa"/>
            <w:tcBorders>
              <w:bottom w:val="single" w:sz="4" w:space="0" w:color="000000"/>
            </w:tcBorders>
            <w:shd w:val="clear" w:color="auto" w:fill="auto"/>
            <w:tcMar>
              <w:left w:w="57" w:type="dxa"/>
              <w:right w:w="57" w:type="dxa"/>
            </w:tcMar>
          </w:tcPr>
          <w:p w:rsidR="004E3F82" w:rsidRPr="00A11AF6" w:rsidRDefault="004E3F82" w:rsidP="00A66CBF">
            <w:pPr>
              <w:spacing w:after="0" w:line="240" w:lineRule="auto"/>
              <w:jc w:val="center"/>
              <w:rPr>
                <w:sz w:val="16"/>
                <w:szCs w:val="16"/>
              </w:rPr>
            </w:pPr>
            <w:r>
              <w:rPr>
                <w:sz w:val="16"/>
                <w:szCs w:val="16"/>
              </w:rPr>
              <w:t>N/A</w:t>
            </w:r>
          </w:p>
        </w:tc>
        <w:tc>
          <w:tcPr>
            <w:tcW w:w="1843" w:type="dxa"/>
            <w:tcBorders>
              <w:bottom w:val="single" w:sz="4" w:space="0" w:color="000000"/>
            </w:tcBorders>
            <w:shd w:val="clear" w:color="auto" w:fill="C2D69B" w:themeFill="accent3" w:themeFillTint="99"/>
          </w:tcPr>
          <w:p w:rsidR="004E3F82" w:rsidRPr="00A11AF6" w:rsidRDefault="004E3F82" w:rsidP="00A66CBF">
            <w:pPr>
              <w:spacing w:after="0" w:line="240" w:lineRule="auto"/>
              <w:jc w:val="center"/>
              <w:rPr>
                <w:rFonts w:asciiTheme="minorHAnsi" w:hAnsiTheme="minorHAnsi" w:cstheme="minorHAnsi"/>
                <w:sz w:val="16"/>
                <w:szCs w:val="16"/>
              </w:rPr>
            </w:pPr>
            <w:r>
              <w:rPr>
                <w:rFonts w:asciiTheme="minorHAnsi" w:hAnsiTheme="minorHAnsi" w:cstheme="minorHAnsi"/>
                <w:sz w:val="16"/>
                <w:szCs w:val="16"/>
              </w:rPr>
              <w:t>zone 3 and 4 only</w:t>
            </w:r>
          </w:p>
        </w:tc>
        <w:tc>
          <w:tcPr>
            <w:tcW w:w="1701" w:type="dxa"/>
            <w:vMerge/>
            <w:shd w:val="clear" w:color="auto" w:fill="auto"/>
            <w:tcMar>
              <w:left w:w="57" w:type="dxa"/>
              <w:right w:w="57" w:type="dxa"/>
            </w:tcMar>
          </w:tcPr>
          <w:p w:rsidR="004E3F82" w:rsidRPr="00A11AF6" w:rsidRDefault="004E3F82" w:rsidP="00A66CBF">
            <w:pPr>
              <w:spacing w:after="0" w:line="240" w:lineRule="auto"/>
              <w:jc w:val="center"/>
              <w:rPr>
                <w:sz w:val="16"/>
                <w:szCs w:val="16"/>
              </w:rPr>
            </w:pPr>
          </w:p>
        </w:tc>
      </w:tr>
      <w:tr w:rsidR="004E3F82" w:rsidRPr="00287858" w:rsidTr="00A66CBF">
        <w:trPr>
          <w:trHeight w:val="390"/>
        </w:trPr>
        <w:tc>
          <w:tcPr>
            <w:tcW w:w="1555" w:type="dxa"/>
            <w:vMerge w:val="restart"/>
            <w:tcMar>
              <w:left w:w="57" w:type="dxa"/>
              <w:right w:w="57" w:type="dxa"/>
            </w:tcMar>
          </w:tcPr>
          <w:p w:rsidR="004E3F82" w:rsidRPr="00DE3187" w:rsidRDefault="004E3F82" w:rsidP="00A66CBF">
            <w:pPr>
              <w:spacing w:after="0" w:line="240" w:lineRule="auto"/>
              <w:rPr>
                <w:b/>
                <w:sz w:val="18"/>
                <w:szCs w:val="18"/>
              </w:rPr>
            </w:pPr>
            <w:r>
              <w:rPr>
                <w:b/>
                <w:sz w:val="18"/>
                <w:szCs w:val="18"/>
              </w:rPr>
              <w:t>Hydraulic modelling</w:t>
            </w:r>
          </w:p>
        </w:tc>
        <w:tc>
          <w:tcPr>
            <w:tcW w:w="2268" w:type="dxa"/>
            <w:tcBorders>
              <w:bottom w:val="single" w:sz="4" w:space="0" w:color="000000"/>
            </w:tcBorders>
            <w:shd w:val="clear" w:color="auto" w:fill="auto"/>
          </w:tcPr>
          <w:p w:rsidR="004E3F82" w:rsidRPr="00A11AF6" w:rsidRDefault="004E3F82" w:rsidP="00A66CBF">
            <w:pPr>
              <w:spacing w:after="0" w:line="240" w:lineRule="auto"/>
              <w:jc w:val="left"/>
              <w:rPr>
                <w:sz w:val="18"/>
                <w:szCs w:val="18"/>
              </w:rPr>
            </w:pPr>
            <w:r>
              <w:rPr>
                <w:sz w:val="18"/>
                <w:szCs w:val="18"/>
              </w:rPr>
              <w:t>In-channel w</w:t>
            </w:r>
            <w:r w:rsidRPr="00A11AF6">
              <w:rPr>
                <w:sz w:val="18"/>
                <w:szCs w:val="18"/>
              </w:rPr>
              <w:t>etted benthic ar</w:t>
            </w:r>
            <w:r>
              <w:rPr>
                <w:sz w:val="18"/>
                <w:szCs w:val="18"/>
              </w:rPr>
              <w:t>ea</w:t>
            </w:r>
          </w:p>
        </w:tc>
        <w:tc>
          <w:tcPr>
            <w:tcW w:w="1842" w:type="dxa"/>
            <w:tcBorders>
              <w:bottom w:val="single" w:sz="4" w:space="0" w:color="000000"/>
            </w:tcBorders>
            <w:shd w:val="clear" w:color="auto" w:fill="C2D69B" w:themeFill="accent3" w:themeFillTint="99"/>
            <w:tcMar>
              <w:left w:w="57" w:type="dxa"/>
              <w:right w:w="57" w:type="dxa"/>
            </w:tcMar>
          </w:tcPr>
          <w:p w:rsidR="004E3F82" w:rsidRPr="00A11AF6" w:rsidRDefault="004E3F82" w:rsidP="00A66CBF">
            <w:pPr>
              <w:spacing w:after="0" w:line="240" w:lineRule="auto"/>
              <w:jc w:val="center"/>
              <w:rPr>
                <w:sz w:val="16"/>
                <w:szCs w:val="16"/>
              </w:rPr>
            </w:pPr>
          </w:p>
        </w:tc>
        <w:tc>
          <w:tcPr>
            <w:tcW w:w="1843" w:type="dxa"/>
            <w:tcBorders>
              <w:bottom w:val="single" w:sz="4" w:space="0" w:color="000000"/>
            </w:tcBorders>
            <w:shd w:val="clear" w:color="auto" w:fill="auto"/>
          </w:tcPr>
          <w:p w:rsidR="004E3F82" w:rsidRPr="00A11AF6" w:rsidRDefault="004E3F82" w:rsidP="00A66CBF">
            <w:pPr>
              <w:spacing w:after="0" w:line="240" w:lineRule="auto"/>
              <w:jc w:val="center"/>
              <w:rPr>
                <w:rFonts w:asciiTheme="minorHAnsi" w:hAnsiTheme="minorHAnsi" w:cstheme="minorHAnsi"/>
                <w:sz w:val="16"/>
                <w:szCs w:val="16"/>
              </w:rPr>
            </w:pPr>
            <w:r>
              <w:rPr>
                <w:rFonts w:asciiTheme="minorHAnsi" w:hAnsiTheme="minorHAnsi" w:cstheme="minorHAnsi"/>
                <w:sz w:val="16"/>
                <w:szCs w:val="16"/>
              </w:rPr>
              <w:t>N/A</w:t>
            </w:r>
          </w:p>
        </w:tc>
        <w:tc>
          <w:tcPr>
            <w:tcW w:w="1701" w:type="dxa"/>
            <w:vMerge/>
            <w:shd w:val="clear" w:color="auto" w:fill="auto"/>
            <w:tcMar>
              <w:left w:w="57" w:type="dxa"/>
              <w:right w:w="57" w:type="dxa"/>
            </w:tcMar>
          </w:tcPr>
          <w:p w:rsidR="004E3F82" w:rsidRPr="00A11AF6" w:rsidRDefault="004E3F82" w:rsidP="00A66CBF">
            <w:pPr>
              <w:spacing w:after="0" w:line="240" w:lineRule="auto"/>
              <w:jc w:val="center"/>
              <w:rPr>
                <w:sz w:val="16"/>
                <w:szCs w:val="16"/>
              </w:rPr>
            </w:pPr>
          </w:p>
        </w:tc>
      </w:tr>
      <w:tr w:rsidR="004E3F82" w:rsidRPr="00287858" w:rsidTr="00A66CBF">
        <w:trPr>
          <w:trHeight w:val="390"/>
        </w:trPr>
        <w:tc>
          <w:tcPr>
            <w:tcW w:w="1555" w:type="dxa"/>
            <w:vMerge/>
            <w:tcMar>
              <w:left w:w="57" w:type="dxa"/>
              <w:right w:w="57" w:type="dxa"/>
            </w:tcMar>
          </w:tcPr>
          <w:p w:rsidR="004E3F82" w:rsidRDefault="004E3F82" w:rsidP="00A66CBF">
            <w:pPr>
              <w:spacing w:after="0" w:line="240" w:lineRule="auto"/>
              <w:rPr>
                <w:b/>
                <w:sz w:val="18"/>
                <w:szCs w:val="18"/>
              </w:rPr>
            </w:pPr>
          </w:p>
        </w:tc>
        <w:tc>
          <w:tcPr>
            <w:tcW w:w="2268" w:type="dxa"/>
            <w:tcBorders>
              <w:bottom w:val="single" w:sz="4" w:space="0" w:color="000000"/>
            </w:tcBorders>
            <w:shd w:val="clear" w:color="auto" w:fill="auto"/>
          </w:tcPr>
          <w:p w:rsidR="004E3F82" w:rsidRPr="00A11AF6" w:rsidRDefault="004E3F82" w:rsidP="00A66CBF">
            <w:pPr>
              <w:spacing w:after="0" w:line="240" w:lineRule="auto"/>
              <w:jc w:val="left"/>
              <w:rPr>
                <w:sz w:val="18"/>
                <w:szCs w:val="18"/>
              </w:rPr>
            </w:pPr>
            <w:r w:rsidRPr="00A11AF6">
              <w:rPr>
                <w:sz w:val="18"/>
                <w:szCs w:val="18"/>
              </w:rPr>
              <w:t>Area of slackwater</w:t>
            </w:r>
          </w:p>
        </w:tc>
        <w:tc>
          <w:tcPr>
            <w:tcW w:w="1842" w:type="dxa"/>
            <w:tcBorders>
              <w:bottom w:val="single" w:sz="4" w:space="0" w:color="000000"/>
            </w:tcBorders>
            <w:shd w:val="clear" w:color="auto" w:fill="C2D69B" w:themeFill="accent3" w:themeFillTint="99"/>
            <w:tcMar>
              <w:left w:w="57" w:type="dxa"/>
              <w:right w:w="57" w:type="dxa"/>
            </w:tcMar>
          </w:tcPr>
          <w:p w:rsidR="004E3F82" w:rsidRPr="00A11AF6" w:rsidRDefault="004E3F82" w:rsidP="00A66CBF">
            <w:pPr>
              <w:spacing w:after="0" w:line="240" w:lineRule="auto"/>
              <w:jc w:val="center"/>
              <w:rPr>
                <w:sz w:val="16"/>
                <w:szCs w:val="16"/>
              </w:rPr>
            </w:pPr>
            <w:r>
              <w:rPr>
                <w:sz w:val="16"/>
                <w:szCs w:val="16"/>
              </w:rPr>
              <w:t>zone 3 and 4 only</w:t>
            </w:r>
          </w:p>
        </w:tc>
        <w:tc>
          <w:tcPr>
            <w:tcW w:w="1843" w:type="dxa"/>
            <w:tcBorders>
              <w:bottom w:val="single" w:sz="4" w:space="0" w:color="000000"/>
            </w:tcBorders>
            <w:shd w:val="clear" w:color="auto" w:fill="auto"/>
          </w:tcPr>
          <w:p w:rsidR="004E3F82" w:rsidRPr="00A11AF6" w:rsidRDefault="004E3F82" w:rsidP="00A66CBF">
            <w:pPr>
              <w:spacing w:after="0" w:line="240" w:lineRule="auto"/>
              <w:jc w:val="center"/>
              <w:rPr>
                <w:rFonts w:asciiTheme="minorHAnsi" w:hAnsiTheme="minorHAnsi" w:cstheme="minorHAnsi"/>
                <w:sz w:val="16"/>
                <w:szCs w:val="16"/>
              </w:rPr>
            </w:pPr>
            <w:r>
              <w:rPr>
                <w:rFonts w:asciiTheme="minorHAnsi" w:hAnsiTheme="minorHAnsi" w:cstheme="minorHAnsi"/>
                <w:sz w:val="16"/>
                <w:szCs w:val="16"/>
              </w:rPr>
              <w:t>N/A</w:t>
            </w:r>
          </w:p>
        </w:tc>
        <w:tc>
          <w:tcPr>
            <w:tcW w:w="1701" w:type="dxa"/>
            <w:vMerge/>
            <w:shd w:val="clear" w:color="auto" w:fill="auto"/>
            <w:tcMar>
              <w:left w:w="57" w:type="dxa"/>
              <w:right w:w="57" w:type="dxa"/>
            </w:tcMar>
          </w:tcPr>
          <w:p w:rsidR="004E3F82" w:rsidRPr="00A11AF6" w:rsidRDefault="004E3F82" w:rsidP="00A66CBF">
            <w:pPr>
              <w:spacing w:after="0" w:line="240" w:lineRule="auto"/>
              <w:jc w:val="center"/>
              <w:rPr>
                <w:sz w:val="16"/>
                <w:szCs w:val="16"/>
              </w:rPr>
            </w:pPr>
          </w:p>
        </w:tc>
      </w:tr>
      <w:tr w:rsidR="004E3F82" w:rsidRPr="00287858" w:rsidTr="00A66CBF">
        <w:trPr>
          <w:trHeight w:val="390"/>
        </w:trPr>
        <w:tc>
          <w:tcPr>
            <w:tcW w:w="1555" w:type="dxa"/>
            <w:vMerge/>
            <w:tcMar>
              <w:left w:w="57" w:type="dxa"/>
              <w:right w:w="57" w:type="dxa"/>
            </w:tcMar>
          </w:tcPr>
          <w:p w:rsidR="004E3F82" w:rsidRDefault="004E3F82" w:rsidP="00A66CBF">
            <w:pPr>
              <w:spacing w:after="0" w:line="240" w:lineRule="auto"/>
              <w:rPr>
                <w:b/>
                <w:sz w:val="18"/>
                <w:szCs w:val="18"/>
              </w:rPr>
            </w:pPr>
          </w:p>
        </w:tc>
        <w:tc>
          <w:tcPr>
            <w:tcW w:w="2268" w:type="dxa"/>
            <w:tcBorders>
              <w:bottom w:val="single" w:sz="4" w:space="0" w:color="000000"/>
            </w:tcBorders>
            <w:shd w:val="clear" w:color="auto" w:fill="auto"/>
          </w:tcPr>
          <w:p w:rsidR="004E3F82" w:rsidRPr="00A11AF6" w:rsidRDefault="004E3F82" w:rsidP="00A66CBF">
            <w:pPr>
              <w:spacing w:after="0" w:line="240" w:lineRule="auto"/>
              <w:jc w:val="left"/>
              <w:rPr>
                <w:sz w:val="18"/>
                <w:szCs w:val="18"/>
              </w:rPr>
            </w:pPr>
            <w:r w:rsidRPr="00A11AF6">
              <w:rPr>
                <w:sz w:val="18"/>
                <w:szCs w:val="18"/>
              </w:rPr>
              <w:t>Area of slow</w:t>
            </w:r>
            <w:r>
              <w:rPr>
                <w:sz w:val="18"/>
                <w:szCs w:val="18"/>
              </w:rPr>
              <w:t xml:space="preserve"> flowing water</w:t>
            </w:r>
          </w:p>
        </w:tc>
        <w:tc>
          <w:tcPr>
            <w:tcW w:w="1842" w:type="dxa"/>
            <w:tcBorders>
              <w:bottom w:val="single" w:sz="4" w:space="0" w:color="000000"/>
            </w:tcBorders>
            <w:shd w:val="clear" w:color="auto" w:fill="C2D69B" w:themeFill="accent3" w:themeFillTint="99"/>
            <w:tcMar>
              <w:left w:w="57" w:type="dxa"/>
              <w:right w:w="57" w:type="dxa"/>
            </w:tcMar>
          </w:tcPr>
          <w:p w:rsidR="004E3F82" w:rsidRPr="00A11AF6" w:rsidRDefault="004E3F82" w:rsidP="00A66CBF">
            <w:pPr>
              <w:spacing w:after="0" w:line="240" w:lineRule="auto"/>
              <w:jc w:val="center"/>
              <w:rPr>
                <w:sz w:val="16"/>
                <w:szCs w:val="16"/>
              </w:rPr>
            </w:pPr>
            <w:r>
              <w:rPr>
                <w:sz w:val="16"/>
                <w:szCs w:val="16"/>
              </w:rPr>
              <w:t>zone 3 and 4 only</w:t>
            </w:r>
          </w:p>
        </w:tc>
        <w:tc>
          <w:tcPr>
            <w:tcW w:w="1843" w:type="dxa"/>
            <w:tcBorders>
              <w:bottom w:val="single" w:sz="4" w:space="0" w:color="000000"/>
            </w:tcBorders>
            <w:shd w:val="clear" w:color="auto" w:fill="auto"/>
          </w:tcPr>
          <w:p w:rsidR="004E3F82" w:rsidRPr="00A11AF6" w:rsidRDefault="004E3F82" w:rsidP="00A66CBF">
            <w:pPr>
              <w:spacing w:after="0" w:line="240" w:lineRule="auto"/>
              <w:jc w:val="center"/>
              <w:rPr>
                <w:rFonts w:asciiTheme="minorHAnsi" w:hAnsiTheme="minorHAnsi" w:cstheme="minorHAnsi"/>
                <w:sz w:val="16"/>
                <w:szCs w:val="16"/>
              </w:rPr>
            </w:pPr>
            <w:r>
              <w:rPr>
                <w:rFonts w:asciiTheme="minorHAnsi" w:hAnsiTheme="minorHAnsi" w:cstheme="minorHAnsi"/>
                <w:sz w:val="16"/>
                <w:szCs w:val="16"/>
              </w:rPr>
              <w:t>N/A</w:t>
            </w:r>
          </w:p>
        </w:tc>
        <w:tc>
          <w:tcPr>
            <w:tcW w:w="1701" w:type="dxa"/>
            <w:vMerge/>
            <w:shd w:val="clear" w:color="auto" w:fill="auto"/>
            <w:tcMar>
              <w:left w:w="57" w:type="dxa"/>
              <w:right w:w="57" w:type="dxa"/>
            </w:tcMar>
          </w:tcPr>
          <w:p w:rsidR="004E3F82" w:rsidRPr="00A11AF6" w:rsidRDefault="004E3F82" w:rsidP="00A66CBF">
            <w:pPr>
              <w:spacing w:after="0" w:line="240" w:lineRule="auto"/>
              <w:jc w:val="center"/>
              <w:rPr>
                <w:sz w:val="16"/>
                <w:szCs w:val="16"/>
              </w:rPr>
            </w:pPr>
          </w:p>
        </w:tc>
      </w:tr>
      <w:tr w:rsidR="004E3F82" w:rsidRPr="00287858" w:rsidTr="00A66CBF">
        <w:trPr>
          <w:trHeight w:val="390"/>
        </w:trPr>
        <w:tc>
          <w:tcPr>
            <w:tcW w:w="1555" w:type="dxa"/>
            <w:vMerge/>
            <w:tcMar>
              <w:left w:w="57" w:type="dxa"/>
              <w:right w:w="57" w:type="dxa"/>
            </w:tcMar>
          </w:tcPr>
          <w:p w:rsidR="004E3F82" w:rsidRDefault="004E3F82" w:rsidP="00A66CBF">
            <w:pPr>
              <w:spacing w:after="0" w:line="240" w:lineRule="auto"/>
              <w:rPr>
                <w:b/>
                <w:sz w:val="18"/>
                <w:szCs w:val="18"/>
              </w:rPr>
            </w:pPr>
          </w:p>
        </w:tc>
        <w:tc>
          <w:tcPr>
            <w:tcW w:w="2268" w:type="dxa"/>
            <w:tcBorders>
              <w:bottom w:val="single" w:sz="4" w:space="0" w:color="000000"/>
            </w:tcBorders>
            <w:shd w:val="clear" w:color="auto" w:fill="auto"/>
          </w:tcPr>
          <w:p w:rsidR="004E3F82" w:rsidRPr="00A11AF6" w:rsidRDefault="004E3F82" w:rsidP="00A66CBF">
            <w:pPr>
              <w:spacing w:after="0" w:line="240" w:lineRule="auto"/>
              <w:jc w:val="left"/>
              <w:rPr>
                <w:sz w:val="18"/>
                <w:szCs w:val="18"/>
              </w:rPr>
            </w:pPr>
            <w:r>
              <w:rPr>
                <w:sz w:val="18"/>
                <w:szCs w:val="18"/>
              </w:rPr>
              <w:t>Area of fast flowing water</w:t>
            </w:r>
          </w:p>
        </w:tc>
        <w:tc>
          <w:tcPr>
            <w:tcW w:w="1842" w:type="dxa"/>
            <w:tcBorders>
              <w:bottom w:val="single" w:sz="4" w:space="0" w:color="000000"/>
            </w:tcBorders>
            <w:shd w:val="clear" w:color="auto" w:fill="E5B8B7" w:themeFill="accent2" w:themeFillTint="66"/>
            <w:tcMar>
              <w:left w:w="57" w:type="dxa"/>
              <w:right w:w="57" w:type="dxa"/>
            </w:tcMar>
          </w:tcPr>
          <w:p w:rsidR="004E3F82" w:rsidRDefault="004E3F82" w:rsidP="00A66CBF">
            <w:pPr>
              <w:spacing w:after="0" w:line="240" w:lineRule="auto"/>
              <w:jc w:val="center"/>
              <w:rPr>
                <w:sz w:val="16"/>
                <w:szCs w:val="16"/>
              </w:rPr>
            </w:pPr>
            <w:r>
              <w:rPr>
                <w:sz w:val="16"/>
                <w:szCs w:val="16"/>
              </w:rPr>
              <w:t>zone 1</w:t>
            </w:r>
          </w:p>
        </w:tc>
        <w:tc>
          <w:tcPr>
            <w:tcW w:w="1843" w:type="dxa"/>
            <w:tcBorders>
              <w:bottom w:val="single" w:sz="4" w:space="0" w:color="000000"/>
            </w:tcBorders>
            <w:shd w:val="clear" w:color="auto" w:fill="auto"/>
          </w:tcPr>
          <w:p w:rsidR="004E3F82" w:rsidRDefault="004E3F82" w:rsidP="00A66CBF">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4E3F82" w:rsidRPr="00A11AF6" w:rsidRDefault="004E3F82" w:rsidP="00A66CBF">
            <w:pPr>
              <w:spacing w:after="0" w:line="240" w:lineRule="auto"/>
              <w:jc w:val="center"/>
              <w:rPr>
                <w:sz w:val="16"/>
                <w:szCs w:val="16"/>
              </w:rPr>
            </w:pPr>
          </w:p>
        </w:tc>
      </w:tr>
      <w:tr w:rsidR="004E3F82" w:rsidRPr="00287858" w:rsidTr="00A66CBF">
        <w:trPr>
          <w:trHeight w:val="390"/>
        </w:trPr>
        <w:tc>
          <w:tcPr>
            <w:tcW w:w="1555" w:type="dxa"/>
            <w:vMerge w:val="restart"/>
            <w:tcMar>
              <w:left w:w="57" w:type="dxa"/>
              <w:right w:w="57" w:type="dxa"/>
            </w:tcMar>
          </w:tcPr>
          <w:p w:rsidR="004E3F82" w:rsidRDefault="004E3F82" w:rsidP="00A66CBF">
            <w:pPr>
              <w:spacing w:after="0" w:line="240" w:lineRule="auto"/>
              <w:jc w:val="left"/>
              <w:rPr>
                <w:b/>
                <w:sz w:val="18"/>
                <w:szCs w:val="18"/>
              </w:rPr>
            </w:pPr>
            <w:r w:rsidRPr="00DE3187">
              <w:rPr>
                <w:b/>
                <w:sz w:val="18"/>
                <w:szCs w:val="18"/>
              </w:rPr>
              <w:t>Stream metabolism</w:t>
            </w:r>
            <w:r>
              <w:rPr>
                <w:b/>
                <w:sz w:val="18"/>
                <w:szCs w:val="18"/>
              </w:rPr>
              <w:t>, water quality, and o</w:t>
            </w:r>
            <w:r w:rsidRPr="00DE3187">
              <w:rPr>
                <w:b/>
                <w:sz w:val="18"/>
                <w:szCs w:val="18"/>
              </w:rPr>
              <w:t xml:space="preserve">rganic matter </w:t>
            </w:r>
            <w:r w:rsidRPr="00207410">
              <w:rPr>
                <w:b/>
                <w:sz w:val="16"/>
                <w:szCs w:val="16"/>
              </w:rPr>
              <w:t>c</w:t>
            </w:r>
            <w:r w:rsidRPr="00646EF7">
              <w:rPr>
                <w:b/>
                <w:sz w:val="18"/>
                <w:szCs w:val="18"/>
              </w:rPr>
              <w:t>haracterisation</w:t>
            </w:r>
          </w:p>
        </w:tc>
        <w:tc>
          <w:tcPr>
            <w:tcW w:w="2268" w:type="dxa"/>
            <w:tcBorders>
              <w:bottom w:val="single" w:sz="4" w:space="0" w:color="000000"/>
            </w:tcBorders>
            <w:shd w:val="clear" w:color="auto" w:fill="auto"/>
          </w:tcPr>
          <w:p w:rsidR="004E3F82" w:rsidRPr="00A11AF6" w:rsidRDefault="004E3F82" w:rsidP="00A66CBF">
            <w:pPr>
              <w:spacing w:after="0" w:line="240" w:lineRule="auto"/>
              <w:jc w:val="left"/>
              <w:rPr>
                <w:sz w:val="18"/>
                <w:szCs w:val="18"/>
              </w:rPr>
            </w:pPr>
            <w:r w:rsidRPr="00BF402A">
              <w:rPr>
                <w:sz w:val="18"/>
                <w:szCs w:val="18"/>
              </w:rPr>
              <w:t xml:space="preserve">Rates of gross primary productivity </w:t>
            </w:r>
          </w:p>
        </w:tc>
        <w:tc>
          <w:tcPr>
            <w:tcW w:w="1842" w:type="dxa"/>
            <w:tcBorders>
              <w:bottom w:val="single" w:sz="4" w:space="0" w:color="000000"/>
            </w:tcBorders>
            <w:shd w:val="clear" w:color="auto" w:fill="D9D9D9" w:themeFill="background1" w:themeFillShade="D9"/>
            <w:tcMar>
              <w:left w:w="57" w:type="dxa"/>
              <w:right w:w="57" w:type="dxa"/>
            </w:tcMar>
          </w:tcPr>
          <w:p w:rsidR="004E3F82" w:rsidRPr="00A11AF6" w:rsidRDefault="004E3F82" w:rsidP="00A66CBF">
            <w:pPr>
              <w:spacing w:after="0" w:line="240" w:lineRule="auto"/>
              <w:jc w:val="center"/>
              <w:rPr>
                <w:sz w:val="16"/>
                <w:szCs w:val="16"/>
              </w:rPr>
            </w:pPr>
          </w:p>
        </w:tc>
        <w:tc>
          <w:tcPr>
            <w:tcW w:w="1843" w:type="dxa"/>
            <w:tcBorders>
              <w:bottom w:val="single" w:sz="4" w:space="0" w:color="000000"/>
            </w:tcBorders>
            <w:shd w:val="clear" w:color="auto" w:fill="D9D9D9" w:themeFill="background1" w:themeFillShade="D9"/>
          </w:tcPr>
          <w:p w:rsidR="004E3F82" w:rsidRDefault="004E3F82" w:rsidP="00A66CBF">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4E3F82" w:rsidRPr="00A11AF6" w:rsidRDefault="004E3F82" w:rsidP="00A66CBF">
            <w:pPr>
              <w:spacing w:after="0" w:line="240" w:lineRule="auto"/>
              <w:jc w:val="center"/>
              <w:rPr>
                <w:sz w:val="16"/>
                <w:szCs w:val="16"/>
              </w:rPr>
            </w:pPr>
          </w:p>
        </w:tc>
      </w:tr>
      <w:tr w:rsidR="004E3F82" w:rsidRPr="00287858" w:rsidTr="00A66CBF">
        <w:trPr>
          <w:trHeight w:val="390"/>
        </w:trPr>
        <w:tc>
          <w:tcPr>
            <w:tcW w:w="1555" w:type="dxa"/>
            <w:vMerge/>
            <w:tcMar>
              <w:left w:w="57" w:type="dxa"/>
              <w:right w:w="57" w:type="dxa"/>
            </w:tcMar>
          </w:tcPr>
          <w:p w:rsidR="004E3F82" w:rsidRPr="00DE3187" w:rsidRDefault="004E3F82" w:rsidP="00A66CBF">
            <w:pPr>
              <w:spacing w:after="0" w:line="240" w:lineRule="auto"/>
              <w:jc w:val="left"/>
              <w:rPr>
                <w:b/>
                <w:sz w:val="18"/>
                <w:szCs w:val="18"/>
              </w:rPr>
            </w:pPr>
          </w:p>
        </w:tc>
        <w:tc>
          <w:tcPr>
            <w:tcW w:w="2268" w:type="dxa"/>
            <w:tcBorders>
              <w:bottom w:val="single" w:sz="4" w:space="0" w:color="000000"/>
            </w:tcBorders>
            <w:shd w:val="clear" w:color="auto" w:fill="auto"/>
          </w:tcPr>
          <w:p w:rsidR="004E3F82" w:rsidRPr="00BF402A" w:rsidRDefault="004E3F82" w:rsidP="00A66CBF">
            <w:pPr>
              <w:spacing w:after="0" w:line="240" w:lineRule="auto"/>
              <w:jc w:val="left"/>
              <w:rPr>
                <w:sz w:val="18"/>
                <w:szCs w:val="18"/>
              </w:rPr>
            </w:pPr>
            <w:r>
              <w:rPr>
                <w:sz w:val="18"/>
                <w:szCs w:val="18"/>
              </w:rPr>
              <w:t>Rates of ecosystem respiration</w:t>
            </w:r>
          </w:p>
        </w:tc>
        <w:tc>
          <w:tcPr>
            <w:tcW w:w="1842" w:type="dxa"/>
            <w:tcBorders>
              <w:bottom w:val="single" w:sz="4" w:space="0" w:color="000000"/>
            </w:tcBorders>
            <w:shd w:val="clear" w:color="auto" w:fill="C2D69B" w:themeFill="accent3" w:themeFillTint="99"/>
            <w:tcMar>
              <w:left w:w="57" w:type="dxa"/>
              <w:right w:w="57" w:type="dxa"/>
            </w:tcMar>
          </w:tcPr>
          <w:p w:rsidR="004E3F82" w:rsidRPr="00A11AF6" w:rsidRDefault="004E3F82" w:rsidP="00A66CBF">
            <w:pPr>
              <w:spacing w:after="0" w:line="240" w:lineRule="auto"/>
              <w:jc w:val="center"/>
              <w:rPr>
                <w:sz w:val="16"/>
                <w:szCs w:val="16"/>
              </w:rPr>
            </w:pPr>
          </w:p>
        </w:tc>
        <w:tc>
          <w:tcPr>
            <w:tcW w:w="1843" w:type="dxa"/>
            <w:tcBorders>
              <w:bottom w:val="single" w:sz="4" w:space="0" w:color="000000"/>
            </w:tcBorders>
            <w:shd w:val="clear" w:color="auto" w:fill="C2D69B" w:themeFill="accent3" w:themeFillTint="99"/>
          </w:tcPr>
          <w:p w:rsidR="004E3F82" w:rsidRDefault="004E3F82" w:rsidP="00A66CBF">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4E3F82" w:rsidRPr="00A11AF6" w:rsidRDefault="004E3F82" w:rsidP="00A66CBF">
            <w:pPr>
              <w:spacing w:after="0" w:line="240" w:lineRule="auto"/>
              <w:jc w:val="center"/>
              <w:rPr>
                <w:sz w:val="16"/>
                <w:szCs w:val="16"/>
              </w:rPr>
            </w:pPr>
          </w:p>
        </w:tc>
      </w:tr>
      <w:tr w:rsidR="004E3F82" w:rsidRPr="00287858" w:rsidTr="00A66CBF">
        <w:trPr>
          <w:trHeight w:val="390"/>
        </w:trPr>
        <w:tc>
          <w:tcPr>
            <w:tcW w:w="1555" w:type="dxa"/>
            <w:vMerge/>
            <w:tcMar>
              <w:left w:w="57" w:type="dxa"/>
              <w:right w:w="57" w:type="dxa"/>
            </w:tcMar>
          </w:tcPr>
          <w:p w:rsidR="004E3F82" w:rsidRPr="00DE3187" w:rsidRDefault="004E3F82" w:rsidP="00A66CBF">
            <w:pPr>
              <w:spacing w:after="0" w:line="240" w:lineRule="auto"/>
              <w:rPr>
                <w:b/>
                <w:sz w:val="18"/>
                <w:szCs w:val="18"/>
              </w:rPr>
            </w:pPr>
          </w:p>
        </w:tc>
        <w:tc>
          <w:tcPr>
            <w:tcW w:w="2268" w:type="dxa"/>
            <w:tcBorders>
              <w:bottom w:val="single" w:sz="4" w:space="0" w:color="000000"/>
            </w:tcBorders>
            <w:shd w:val="clear" w:color="auto" w:fill="auto"/>
          </w:tcPr>
          <w:p w:rsidR="004E3F82" w:rsidRPr="00D721FD" w:rsidRDefault="004E3F82" w:rsidP="00A66CBF">
            <w:pPr>
              <w:spacing w:after="0" w:line="240" w:lineRule="auto"/>
              <w:jc w:val="left"/>
              <w:rPr>
                <w:sz w:val="18"/>
                <w:szCs w:val="18"/>
              </w:rPr>
            </w:pPr>
            <w:r w:rsidRPr="00BF402A">
              <w:rPr>
                <w:sz w:val="18"/>
                <w:szCs w:val="18"/>
              </w:rPr>
              <w:t>Rates of primary productivity</w:t>
            </w:r>
          </w:p>
        </w:tc>
        <w:tc>
          <w:tcPr>
            <w:tcW w:w="1842" w:type="dxa"/>
            <w:tcBorders>
              <w:bottom w:val="single" w:sz="4" w:space="0" w:color="000000"/>
            </w:tcBorders>
            <w:shd w:val="clear" w:color="auto" w:fill="D9D9D9" w:themeFill="background1" w:themeFillShade="D9"/>
            <w:tcMar>
              <w:left w:w="57" w:type="dxa"/>
              <w:right w:w="57" w:type="dxa"/>
            </w:tcMar>
          </w:tcPr>
          <w:p w:rsidR="004E3F82" w:rsidRPr="00A11AF6" w:rsidRDefault="004E3F82" w:rsidP="00A66CBF">
            <w:pPr>
              <w:spacing w:after="0" w:line="240" w:lineRule="auto"/>
              <w:jc w:val="center"/>
              <w:rPr>
                <w:sz w:val="16"/>
                <w:szCs w:val="16"/>
              </w:rPr>
            </w:pPr>
          </w:p>
        </w:tc>
        <w:tc>
          <w:tcPr>
            <w:tcW w:w="1843" w:type="dxa"/>
            <w:tcBorders>
              <w:bottom w:val="single" w:sz="4" w:space="0" w:color="000000"/>
            </w:tcBorders>
            <w:shd w:val="clear" w:color="auto" w:fill="D9D9D9" w:themeFill="background1" w:themeFillShade="D9"/>
          </w:tcPr>
          <w:p w:rsidR="004E3F82" w:rsidRPr="00A11AF6" w:rsidRDefault="004E3F82" w:rsidP="00A66CBF">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4E3F82" w:rsidRPr="00A11AF6" w:rsidRDefault="004E3F82" w:rsidP="00A66CBF">
            <w:pPr>
              <w:spacing w:after="0" w:line="240" w:lineRule="auto"/>
              <w:jc w:val="center"/>
              <w:rPr>
                <w:sz w:val="16"/>
                <w:szCs w:val="16"/>
              </w:rPr>
            </w:pPr>
          </w:p>
        </w:tc>
      </w:tr>
      <w:tr w:rsidR="004E3F82" w:rsidRPr="00287858" w:rsidTr="00A66CBF">
        <w:trPr>
          <w:trHeight w:val="390"/>
        </w:trPr>
        <w:tc>
          <w:tcPr>
            <w:tcW w:w="1555" w:type="dxa"/>
            <w:vMerge/>
            <w:tcMar>
              <w:left w:w="57" w:type="dxa"/>
              <w:right w:w="57" w:type="dxa"/>
            </w:tcMar>
          </w:tcPr>
          <w:p w:rsidR="004E3F82" w:rsidRPr="00DE3187" w:rsidRDefault="004E3F82" w:rsidP="00A66CBF">
            <w:pPr>
              <w:spacing w:after="0" w:line="240" w:lineRule="auto"/>
              <w:rPr>
                <w:b/>
                <w:sz w:val="18"/>
                <w:szCs w:val="18"/>
              </w:rPr>
            </w:pPr>
          </w:p>
        </w:tc>
        <w:tc>
          <w:tcPr>
            <w:tcW w:w="2268" w:type="dxa"/>
            <w:tcBorders>
              <w:bottom w:val="single" w:sz="4" w:space="0" w:color="000000"/>
            </w:tcBorders>
            <w:shd w:val="clear" w:color="auto" w:fill="auto"/>
          </w:tcPr>
          <w:p w:rsidR="004E3F82" w:rsidRPr="00D721FD" w:rsidRDefault="004E3F82" w:rsidP="00A66CBF">
            <w:pPr>
              <w:spacing w:after="0" w:line="240" w:lineRule="auto"/>
              <w:jc w:val="left"/>
              <w:rPr>
                <w:sz w:val="18"/>
                <w:szCs w:val="18"/>
              </w:rPr>
            </w:pPr>
            <w:r w:rsidRPr="00D721FD">
              <w:rPr>
                <w:sz w:val="18"/>
                <w:szCs w:val="18"/>
              </w:rPr>
              <w:t>D</w:t>
            </w:r>
            <w:r>
              <w:rPr>
                <w:sz w:val="18"/>
                <w:szCs w:val="18"/>
              </w:rPr>
              <w:t>issolved organic matter</w:t>
            </w:r>
          </w:p>
        </w:tc>
        <w:tc>
          <w:tcPr>
            <w:tcW w:w="1842" w:type="dxa"/>
            <w:tcBorders>
              <w:bottom w:val="single" w:sz="4" w:space="0" w:color="000000"/>
            </w:tcBorders>
            <w:shd w:val="clear" w:color="auto" w:fill="D9D9D9" w:themeFill="background1" w:themeFillShade="D9"/>
            <w:tcMar>
              <w:left w:w="57" w:type="dxa"/>
              <w:right w:w="57" w:type="dxa"/>
            </w:tcMar>
          </w:tcPr>
          <w:p w:rsidR="004E3F82" w:rsidRPr="00A11AF6" w:rsidRDefault="004E3F82" w:rsidP="00A66CBF">
            <w:pPr>
              <w:spacing w:after="0" w:line="240" w:lineRule="auto"/>
              <w:jc w:val="center"/>
              <w:rPr>
                <w:sz w:val="16"/>
                <w:szCs w:val="16"/>
              </w:rPr>
            </w:pPr>
          </w:p>
        </w:tc>
        <w:tc>
          <w:tcPr>
            <w:tcW w:w="1843" w:type="dxa"/>
            <w:tcBorders>
              <w:bottom w:val="single" w:sz="4" w:space="0" w:color="000000"/>
            </w:tcBorders>
            <w:shd w:val="clear" w:color="auto" w:fill="D9D9D9" w:themeFill="background1" w:themeFillShade="D9"/>
          </w:tcPr>
          <w:p w:rsidR="004E3F82" w:rsidRPr="00A11AF6" w:rsidRDefault="004E3F82" w:rsidP="00A66CBF">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4E3F82" w:rsidRPr="00A11AF6" w:rsidRDefault="004E3F82" w:rsidP="00A66CBF">
            <w:pPr>
              <w:spacing w:after="0" w:line="240" w:lineRule="auto"/>
              <w:jc w:val="center"/>
              <w:rPr>
                <w:sz w:val="16"/>
                <w:szCs w:val="16"/>
              </w:rPr>
            </w:pPr>
          </w:p>
        </w:tc>
      </w:tr>
      <w:tr w:rsidR="004E3F82" w:rsidRPr="00287858" w:rsidTr="00A66CBF">
        <w:trPr>
          <w:trHeight w:val="247"/>
        </w:trPr>
        <w:tc>
          <w:tcPr>
            <w:tcW w:w="1555" w:type="dxa"/>
            <w:vMerge/>
            <w:tcMar>
              <w:left w:w="57" w:type="dxa"/>
              <w:right w:w="57" w:type="dxa"/>
            </w:tcMar>
          </w:tcPr>
          <w:p w:rsidR="004E3F82" w:rsidRPr="00DE3187" w:rsidRDefault="004E3F82" w:rsidP="00A66CBF">
            <w:pPr>
              <w:spacing w:after="0" w:line="240" w:lineRule="auto"/>
              <w:rPr>
                <w:b/>
                <w:sz w:val="18"/>
                <w:szCs w:val="18"/>
              </w:rPr>
            </w:pPr>
          </w:p>
        </w:tc>
        <w:tc>
          <w:tcPr>
            <w:tcW w:w="2268" w:type="dxa"/>
            <w:tcBorders>
              <w:bottom w:val="single" w:sz="4" w:space="0" w:color="000000"/>
            </w:tcBorders>
            <w:shd w:val="clear" w:color="auto" w:fill="auto"/>
          </w:tcPr>
          <w:p w:rsidR="004E3F82" w:rsidRPr="00D721FD" w:rsidRDefault="004E3F82" w:rsidP="00A66CBF">
            <w:pPr>
              <w:spacing w:after="0" w:line="240" w:lineRule="auto"/>
              <w:jc w:val="left"/>
              <w:rPr>
                <w:sz w:val="18"/>
                <w:szCs w:val="18"/>
              </w:rPr>
            </w:pPr>
            <w:r>
              <w:rPr>
                <w:sz w:val="18"/>
                <w:szCs w:val="18"/>
              </w:rPr>
              <w:t>Dissolved oxygen</w:t>
            </w:r>
          </w:p>
        </w:tc>
        <w:tc>
          <w:tcPr>
            <w:tcW w:w="1842" w:type="dxa"/>
            <w:tcBorders>
              <w:bottom w:val="single" w:sz="4" w:space="0" w:color="000000"/>
            </w:tcBorders>
            <w:shd w:val="clear" w:color="auto" w:fill="C2D69B" w:themeFill="accent3" w:themeFillTint="99"/>
            <w:tcMar>
              <w:left w:w="57" w:type="dxa"/>
              <w:right w:w="57" w:type="dxa"/>
            </w:tcMar>
          </w:tcPr>
          <w:p w:rsidR="004E3F82" w:rsidRPr="00A11AF6" w:rsidRDefault="004E3F82" w:rsidP="00A66CBF">
            <w:pPr>
              <w:spacing w:after="0" w:line="240" w:lineRule="auto"/>
              <w:jc w:val="center"/>
              <w:rPr>
                <w:sz w:val="16"/>
                <w:szCs w:val="16"/>
              </w:rPr>
            </w:pPr>
          </w:p>
        </w:tc>
        <w:tc>
          <w:tcPr>
            <w:tcW w:w="1843" w:type="dxa"/>
            <w:tcBorders>
              <w:bottom w:val="single" w:sz="4" w:space="0" w:color="000000"/>
            </w:tcBorders>
            <w:shd w:val="clear" w:color="auto" w:fill="C2D69B" w:themeFill="accent3" w:themeFillTint="99"/>
          </w:tcPr>
          <w:p w:rsidR="004E3F82" w:rsidRPr="00A11AF6" w:rsidRDefault="004E3F82" w:rsidP="00A66CBF">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4E3F82" w:rsidRPr="00A11AF6" w:rsidRDefault="004E3F82" w:rsidP="00A66CBF">
            <w:pPr>
              <w:spacing w:after="0" w:line="240" w:lineRule="auto"/>
              <w:jc w:val="center"/>
              <w:rPr>
                <w:sz w:val="16"/>
                <w:szCs w:val="16"/>
              </w:rPr>
            </w:pPr>
          </w:p>
        </w:tc>
      </w:tr>
      <w:tr w:rsidR="004E3F82" w:rsidRPr="00287858" w:rsidTr="00A66CBF">
        <w:trPr>
          <w:trHeight w:val="247"/>
        </w:trPr>
        <w:tc>
          <w:tcPr>
            <w:tcW w:w="1555" w:type="dxa"/>
            <w:vMerge/>
            <w:tcMar>
              <w:left w:w="57" w:type="dxa"/>
              <w:right w:w="57" w:type="dxa"/>
            </w:tcMar>
          </w:tcPr>
          <w:p w:rsidR="004E3F82" w:rsidRPr="00DE3187" w:rsidRDefault="004E3F82" w:rsidP="00A66CBF">
            <w:pPr>
              <w:spacing w:after="0" w:line="240" w:lineRule="auto"/>
              <w:rPr>
                <w:b/>
                <w:sz w:val="18"/>
                <w:szCs w:val="18"/>
              </w:rPr>
            </w:pPr>
          </w:p>
        </w:tc>
        <w:tc>
          <w:tcPr>
            <w:tcW w:w="2268" w:type="dxa"/>
            <w:tcBorders>
              <w:bottom w:val="single" w:sz="4" w:space="0" w:color="000000"/>
            </w:tcBorders>
            <w:shd w:val="clear" w:color="auto" w:fill="auto"/>
          </w:tcPr>
          <w:p w:rsidR="004E3F82" w:rsidRPr="00D721FD" w:rsidRDefault="004E3F82" w:rsidP="00A66CBF">
            <w:pPr>
              <w:spacing w:after="0" w:line="240" w:lineRule="auto"/>
              <w:jc w:val="left"/>
              <w:rPr>
                <w:sz w:val="18"/>
                <w:szCs w:val="18"/>
              </w:rPr>
            </w:pPr>
            <w:r w:rsidRPr="00D721FD">
              <w:rPr>
                <w:sz w:val="18"/>
                <w:szCs w:val="18"/>
              </w:rPr>
              <w:t>Temperature</w:t>
            </w:r>
          </w:p>
        </w:tc>
        <w:tc>
          <w:tcPr>
            <w:tcW w:w="1842" w:type="dxa"/>
            <w:tcBorders>
              <w:bottom w:val="single" w:sz="4" w:space="0" w:color="000000"/>
            </w:tcBorders>
            <w:shd w:val="clear" w:color="auto" w:fill="D9D9D9" w:themeFill="background1" w:themeFillShade="D9"/>
            <w:tcMar>
              <w:left w:w="57" w:type="dxa"/>
              <w:right w:w="57" w:type="dxa"/>
            </w:tcMar>
          </w:tcPr>
          <w:p w:rsidR="004E3F82" w:rsidRPr="00A11AF6" w:rsidRDefault="004E3F82" w:rsidP="00A66CBF">
            <w:pPr>
              <w:spacing w:after="0" w:line="240" w:lineRule="auto"/>
              <w:jc w:val="center"/>
              <w:rPr>
                <w:sz w:val="16"/>
                <w:szCs w:val="16"/>
              </w:rPr>
            </w:pPr>
          </w:p>
        </w:tc>
        <w:tc>
          <w:tcPr>
            <w:tcW w:w="1843" w:type="dxa"/>
            <w:tcBorders>
              <w:bottom w:val="single" w:sz="4" w:space="0" w:color="000000"/>
            </w:tcBorders>
            <w:shd w:val="clear" w:color="auto" w:fill="D9D9D9" w:themeFill="background1" w:themeFillShade="D9"/>
          </w:tcPr>
          <w:p w:rsidR="004E3F82" w:rsidRPr="00A11AF6" w:rsidRDefault="004E3F82" w:rsidP="00A66CBF">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4E3F82" w:rsidRPr="00A11AF6" w:rsidRDefault="004E3F82" w:rsidP="00A66CBF">
            <w:pPr>
              <w:spacing w:after="0" w:line="240" w:lineRule="auto"/>
              <w:jc w:val="center"/>
              <w:rPr>
                <w:sz w:val="16"/>
                <w:szCs w:val="16"/>
              </w:rPr>
            </w:pPr>
          </w:p>
        </w:tc>
      </w:tr>
      <w:tr w:rsidR="004E3F82" w:rsidRPr="00287858" w:rsidTr="00A66CBF">
        <w:trPr>
          <w:trHeight w:val="265"/>
        </w:trPr>
        <w:tc>
          <w:tcPr>
            <w:tcW w:w="1555" w:type="dxa"/>
            <w:vMerge/>
            <w:tcMar>
              <w:left w:w="57" w:type="dxa"/>
              <w:right w:w="57" w:type="dxa"/>
            </w:tcMar>
          </w:tcPr>
          <w:p w:rsidR="004E3F82" w:rsidRPr="00DE3187" w:rsidRDefault="004E3F82" w:rsidP="00A66CBF">
            <w:pPr>
              <w:spacing w:after="0" w:line="240" w:lineRule="auto"/>
              <w:rPr>
                <w:b/>
                <w:sz w:val="18"/>
                <w:szCs w:val="18"/>
              </w:rPr>
            </w:pPr>
          </w:p>
        </w:tc>
        <w:tc>
          <w:tcPr>
            <w:tcW w:w="2268" w:type="dxa"/>
            <w:tcBorders>
              <w:bottom w:val="single" w:sz="4" w:space="0" w:color="000000"/>
            </w:tcBorders>
            <w:shd w:val="clear" w:color="auto" w:fill="auto"/>
          </w:tcPr>
          <w:p w:rsidR="004E3F82" w:rsidRPr="00D721FD" w:rsidRDefault="004E3F82" w:rsidP="00A66CBF">
            <w:pPr>
              <w:spacing w:after="0" w:line="240" w:lineRule="auto"/>
              <w:jc w:val="left"/>
              <w:rPr>
                <w:sz w:val="18"/>
                <w:szCs w:val="18"/>
              </w:rPr>
            </w:pPr>
            <w:r w:rsidRPr="00D721FD">
              <w:rPr>
                <w:sz w:val="18"/>
                <w:szCs w:val="18"/>
              </w:rPr>
              <w:t>Nutrient concentration</w:t>
            </w:r>
          </w:p>
        </w:tc>
        <w:tc>
          <w:tcPr>
            <w:tcW w:w="1842" w:type="dxa"/>
            <w:tcBorders>
              <w:bottom w:val="single" w:sz="4" w:space="0" w:color="000000"/>
            </w:tcBorders>
            <w:shd w:val="clear" w:color="auto" w:fill="D9D9D9" w:themeFill="background1" w:themeFillShade="D9"/>
            <w:tcMar>
              <w:left w:w="57" w:type="dxa"/>
              <w:right w:w="57" w:type="dxa"/>
            </w:tcMar>
          </w:tcPr>
          <w:p w:rsidR="004E3F82" w:rsidRPr="00A11AF6" w:rsidRDefault="004E3F82" w:rsidP="00A66CBF">
            <w:pPr>
              <w:spacing w:after="0" w:line="240" w:lineRule="auto"/>
              <w:jc w:val="center"/>
              <w:rPr>
                <w:sz w:val="16"/>
                <w:szCs w:val="16"/>
              </w:rPr>
            </w:pPr>
          </w:p>
        </w:tc>
        <w:tc>
          <w:tcPr>
            <w:tcW w:w="1843" w:type="dxa"/>
            <w:tcBorders>
              <w:bottom w:val="single" w:sz="4" w:space="0" w:color="000000"/>
            </w:tcBorders>
            <w:shd w:val="clear" w:color="auto" w:fill="D9D9D9" w:themeFill="background1" w:themeFillShade="D9"/>
          </w:tcPr>
          <w:p w:rsidR="004E3F82" w:rsidRPr="00A11AF6" w:rsidRDefault="004E3F82" w:rsidP="00A66CBF">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4E3F82" w:rsidRPr="00A11AF6" w:rsidRDefault="004E3F82" w:rsidP="00A66CBF">
            <w:pPr>
              <w:spacing w:after="0" w:line="240" w:lineRule="auto"/>
              <w:jc w:val="center"/>
              <w:rPr>
                <w:sz w:val="16"/>
                <w:szCs w:val="16"/>
              </w:rPr>
            </w:pPr>
          </w:p>
        </w:tc>
      </w:tr>
      <w:tr w:rsidR="004E3F82" w:rsidRPr="00287858" w:rsidTr="00A66CBF">
        <w:trPr>
          <w:trHeight w:val="283"/>
        </w:trPr>
        <w:tc>
          <w:tcPr>
            <w:tcW w:w="1555" w:type="dxa"/>
            <w:vMerge/>
            <w:tcBorders>
              <w:bottom w:val="nil"/>
            </w:tcBorders>
            <w:tcMar>
              <w:left w:w="57" w:type="dxa"/>
              <w:right w:w="57" w:type="dxa"/>
            </w:tcMar>
          </w:tcPr>
          <w:p w:rsidR="004E3F82" w:rsidRPr="00DE3187" w:rsidRDefault="004E3F82" w:rsidP="00A66CBF">
            <w:pPr>
              <w:spacing w:after="0" w:line="240" w:lineRule="auto"/>
              <w:rPr>
                <w:b/>
                <w:sz w:val="18"/>
                <w:szCs w:val="18"/>
              </w:rPr>
            </w:pPr>
          </w:p>
        </w:tc>
        <w:tc>
          <w:tcPr>
            <w:tcW w:w="2268" w:type="dxa"/>
            <w:tcBorders>
              <w:bottom w:val="nil"/>
            </w:tcBorders>
            <w:shd w:val="clear" w:color="auto" w:fill="auto"/>
          </w:tcPr>
          <w:p w:rsidR="004E3F82" w:rsidRPr="00D721FD" w:rsidRDefault="004E3F82" w:rsidP="00A66CBF">
            <w:pPr>
              <w:spacing w:after="0" w:line="240" w:lineRule="auto"/>
              <w:jc w:val="left"/>
              <w:rPr>
                <w:sz w:val="18"/>
                <w:szCs w:val="18"/>
              </w:rPr>
            </w:pPr>
            <w:r>
              <w:rPr>
                <w:sz w:val="18"/>
                <w:szCs w:val="18"/>
              </w:rPr>
              <w:t>Modification of type and amount of DOM</w:t>
            </w:r>
          </w:p>
        </w:tc>
        <w:tc>
          <w:tcPr>
            <w:tcW w:w="1842" w:type="dxa"/>
            <w:tcBorders>
              <w:bottom w:val="nil"/>
            </w:tcBorders>
            <w:shd w:val="clear" w:color="auto" w:fill="D9D9D9" w:themeFill="background1" w:themeFillShade="D9"/>
            <w:tcMar>
              <w:left w:w="57" w:type="dxa"/>
              <w:right w:w="57" w:type="dxa"/>
            </w:tcMar>
          </w:tcPr>
          <w:p w:rsidR="004E3F82" w:rsidRPr="00A11AF6" w:rsidRDefault="004E3F82" w:rsidP="00A66CBF">
            <w:pPr>
              <w:spacing w:after="0" w:line="240" w:lineRule="auto"/>
              <w:jc w:val="center"/>
              <w:rPr>
                <w:sz w:val="16"/>
                <w:szCs w:val="16"/>
              </w:rPr>
            </w:pPr>
          </w:p>
        </w:tc>
        <w:tc>
          <w:tcPr>
            <w:tcW w:w="1843" w:type="dxa"/>
            <w:tcBorders>
              <w:bottom w:val="nil"/>
            </w:tcBorders>
            <w:shd w:val="clear" w:color="auto" w:fill="D9D9D9" w:themeFill="background1" w:themeFillShade="D9"/>
          </w:tcPr>
          <w:p w:rsidR="004E3F82" w:rsidRPr="00A11AF6" w:rsidRDefault="004E3F82" w:rsidP="00A66CBF">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4E3F82" w:rsidRPr="00A11AF6" w:rsidRDefault="004E3F82" w:rsidP="00A66CBF">
            <w:pPr>
              <w:spacing w:after="0" w:line="240" w:lineRule="auto"/>
              <w:jc w:val="center"/>
              <w:rPr>
                <w:sz w:val="16"/>
                <w:szCs w:val="16"/>
              </w:rPr>
            </w:pPr>
          </w:p>
        </w:tc>
      </w:tr>
      <w:tr w:rsidR="004E3F82" w:rsidRPr="00287858" w:rsidTr="00A66CBF">
        <w:trPr>
          <w:trHeight w:val="390"/>
        </w:trPr>
        <w:tc>
          <w:tcPr>
            <w:tcW w:w="1555" w:type="dxa"/>
            <w:vMerge w:val="restart"/>
            <w:tcMar>
              <w:left w:w="57" w:type="dxa"/>
              <w:right w:w="57" w:type="dxa"/>
            </w:tcMar>
          </w:tcPr>
          <w:p w:rsidR="004E3F82" w:rsidRPr="00DE3187" w:rsidRDefault="004E3F82" w:rsidP="00A66CBF">
            <w:pPr>
              <w:spacing w:after="0" w:line="240" w:lineRule="auto"/>
              <w:jc w:val="left"/>
              <w:rPr>
                <w:b/>
                <w:sz w:val="18"/>
                <w:szCs w:val="18"/>
              </w:rPr>
            </w:pPr>
            <w:r w:rsidRPr="00DE3187">
              <w:rPr>
                <w:b/>
                <w:sz w:val="18"/>
                <w:szCs w:val="18"/>
              </w:rPr>
              <w:t xml:space="preserve">Riverbank and </w:t>
            </w:r>
            <w:r>
              <w:rPr>
                <w:b/>
                <w:sz w:val="18"/>
                <w:szCs w:val="18"/>
              </w:rPr>
              <w:t>aquatic</w:t>
            </w:r>
            <w:r w:rsidRPr="00DE3187">
              <w:rPr>
                <w:b/>
                <w:sz w:val="18"/>
                <w:szCs w:val="18"/>
              </w:rPr>
              <w:t xml:space="preserve"> veg</w:t>
            </w:r>
            <w:r>
              <w:rPr>
                <w:b/>
                <w:sz w:val="18"/>
                <w:szCs w:val="18"/>
              </w:rPr>
              <w:t>etation</w:t>
            </w:r>
          </w:p>
        </w:tc>
        <w:tc>
          <w:tcPr>
            <w:tcW w:w="2268" w:type="dxa"/>
            <w:shd w:val="clear" w:color="auto" w:fill="auto"/>
          </w:tcPr>
          <w:p w:rsidR="004E3F82" w:rsidRPr="00A11AF6" w:rsidRDefault="004E3F82" w:rsidP="00A66CBF">
            <w:pPr>
              <w:spacing w:after="0" w:line="240" w:lineRule="auto"/>
              <w:rPr>
                <w:sz w:val="18"/>
                <w:szCs w:val="18"/>
              </w:rPr>
            </w:pPr>
            <w:r>
              <w:rPr>
                <w:sz w:val="18"/>
                <w:szCs w:val="18"/>
              </w:rPr>
              <w:t>Percent c</w:t>
            </w:r>
            <w:r w:rsidRPr="00A11AF6">
              <w:rPr>
                <w:sz w:val="18"/>
                <w:szCs w:val="18"/>
              </w:rPr>
              <w:t>over</w:t>
            </w:r>
            <w:r>
              <w:rPr>
                <w:sz w:val="18"/>
                <w:szCs w:val="18"/>
              </w:rPr>
              <w:t xml:space="preserve"> of riverbank and aquatic vegetation</w:t>
            </w:r>
          </w:p>
        </w:tc>
        <w:tc>
          <w:tcPr>
            <w:tcW w:w="1842" w:type="dxa"/>
            <w:shd w:val="clear" w:color="auto" w:fill="auto"/>
            <w:tcMar>
              <w:left w:w="57" w:type="dxa"/>
              <w:right w:w="57" w:type="dxa"/>
            </w:tcMar>
          </w:tcPr>
          <w:p w:rsidR="004E3F82" w:rsidRPr="00A11AF6" w:rsidRDefault="004E3F82" w:rsidP="00A66CBF">
            <w:pPr>
              <w:spacing w:after="0" w:line="240" w:lineRule="auto"/>
              <w:jc w:val="center"/>
              <w:rPr>
                <w:sz w:val="16"/>
                <w:szCs w:val="16"/>
              </w:rPr>
            </w:pPr>
            <w:r>
              <w:rPr>
                <w:sz w:val="16"/>
                <w:szCs w:val="16"/>
              </w:rPr>
              <w:t>N/A</w:t>
            </w:r>
          </w:p>
        </w:tc>
        <w:tc>
          <w:tcPr>
            <w:tcW w:w="1843" w:type="dxa"/>
            <w:shd w:val="clear" w:color="auto" w:fill="C2D69B" w:themeFill="accent3" w:themeFillTint="99"/>
          </w:tcPr>
          <w:p w:rsidR="004E3F82" w:rsidRPr="00A11AF6" w:rsidRDefault="004E3F82" w:rsidP="00A66CBF">
            <w:pPr>
              <w:spacing w:after="0" w:line="240" w:lineRule="auto"/>
              <w:jc w:val="center"/>
              <w:rPr>
                <w:sz w:val="16"/>
                <w:szCs w:val="16"/>
              </w:rPr>
            </w:pPr>
          </w:p>
        </w:tc>
        <w:tc>
          <w:tcPr>
            <w:tcW w:w="1701" w:type="dxa"/>
            <w:vMerge/>
            <w:shd w:val="clear" w:color="auto" w:fill="auto"/>
            <w:tcMar>
              <w:left w:w="57" w:type="dxa"/>
              <w:right w:w="57" w:type="dxa"/>
            </w:tcMar>
          </w:tcPr>
          <w:p w:rsidR="004E3F82" w:rsidRPr="00A11AF6" w:rsidRDefault="004E3F82" w:rsidP="00A66CBF">
            <w:pPr>
              <w:spacing w:after="0" w:line="240" w:lineRule="auto"/>
              <w:jc w:val="center"/>
              <w:rPr>
                <w:sz w:val="16"/>
                <w:szCs w:val="16"/>
              </w:rPr>
            </w:pPr>
          </w:p>
        </w:tc>
      </w:tr>
      <w:tr w:rsidR="004E3F82" w:rsidRPr="00287858" w:rsidTr="00A66CBF">
        <w:trPr>
          <w:trHeight w:val="265"/>
        </w:trPr>
        <w:tc>
          <w:tcPr>
            <w:tcW w:w="1555" w:type="dxa"/>
            <w:vMerge/>
            <w:tcMar>
              <w:left w:w="57" w:type="dxa"/>
              <w:right w:w="57" w:type="dxa"/>
            </w:tcMar>
          </w:tcPr>
          <w:p w:rsidR="004E3F82" w:rsidRPr="00DE3187" w:rsidRDefault="004E3F82" w:rsidP="00A66CBF">
            <w:pPr>
              <w:spacing w:after="0" w:line="240" w:lineRule="auto"/>
              <w:rPr>
                <w:b/>
                <w:sz w:val="18"/>
                <w:szCs w:val="18"/>
              </w:rPr>
            </w:pPr>
          </w:p>
        </w:tc>
        <w:tc>
          <w:tcPr>
            <w:tcW w:w="2268" w:type="dxa"/>
            <w:shd w:val="clear" w:color="auto" w:fill="auto"/>
          </w:tcPr>
          <w:p w:rsidR="004E3F82" w:rsidRPr="00A11AF6" w:rsidRDefault="004E3F82" w:rsidP="00A66CBF">
            <w:pPr>
              <w:spacing w:after="0" w:line="240" w:lineRule="auto"/>
              <w:rPr>
                <w:sz w:val="18"/>
                <w:szCs w:val="18"/>
              </w:rPr>
            </w:pPr>
            <w:r w:rsidRPr="00A11AF6">
              <w:rPr>
                <w:sz w:val="18"/>
                <w:szCs w:val="18"/>
              </w:rPr>
              <w:t>Diversity</w:t>
            </w:r>
            <w:r>
              <w:rPr>
                <w:sz w:val="18"/>
                <w:szCs w:val="18"/>
              </w:rPr>
              <w:t xml:space="preserve"> of riverbank and aquatic vegetation</w:t>
            </w:r>
          </w:p>
        </w:tc>
        <w:tc>
          <w:tcPr>
            <w:tcW w:w="1842" w:type="dxa"/>
            <w:shd w:val="clear" w:color="auto" w:fill="auto"/>
            <w:tcMar>
              <w:left w:w="57" w:type="dxa"/>
              <w:right w:w="57" w:type="dxa"/>
            </w:tcMar>
          </w:tcPr>
          <w:p w:rsidR="004E3F82" w:rsidRPr="00A11AF6" w:rsidRDefault="004E3F82" w:rsidP="00A66CBF">
            <w:pPr>
              <w:spacing w:after="0" w:line="240" w:lineRule="auto"/>
              <w:jc w:val="center"/>
              <w:rPr>
                <w:sz w:val="16"/>
                <w:szCs w:val="16"/>
              </w:rPr>
            </w:pPr>
            <w:r>
              <w:rPr>
                <w:sz w:val="16"/>
                <w:szCs w:val="16"/>
              </w:rPr>
              <w:t>N/A</w:t>
            </w:r>
          </w:p>
        </w:tc>
        <w:tc>
          <w:tcPr>
            <w:tcW w:w="1843" w:type="dxa"/>
            <w:shd w:val="clear" w:color="auto" w:fill="C2D69B" w:themeFill="accent3" w:themeFillTint="99"/>
          </w:tcPr>
          <w:p w:rsidR="004E3F82" w:rsidRPr="00A11AF6" w:rsidRDefault="004E3F82" w:rsidP="00A66CBF">
            <w:pPr>
              <w:spacing w:after="0" w:line="240" w:lineRule="auto"/>
              <w:jc w:val="center"/>
              <w:rPr>
                <w:sz w:val="18"/>
                <w:szCs w:val="18"/>
              </w:rPr>
            </w:pPr>
          </w:p>
        </w:tc>
        <w:tc>
          <w:tcPr>
            <w:tcW w:w="1701" w:type="dxa"/>
            <w:vMerge/>
            <w:shd w:val="clear" w:color="auto" w:fill="auto"/>
            <w:tcMar>
              <w:left w:w="57" w:type="dxa"/>
              <w:right w:w="57" w:type="dxa"/>
            </w:tcMar>
          </w:tcPr>
          <w:p w:rsidR="004E3F82" w:rsidRPr="00A11AF6" w:rsidRDefault="004E3F82" w:rsidP="00A66CBF">
            <w:pPr>
              <w:spacing w:after="0" w:line="240" w:lineRule="auto"/>
              <w:jc w:val="center"/>
              <w:rPr>
                <w:sz w:val="18"/>
                <w:szCs w:val="18"/>
              </w:rPr>
            </w:pPr>
          </w:p>
        </w:tc>
      </w:tr>
      <w:tr w:rsidR="004E3F82" w:rsidRPr="00287858" w:rsidTr="00A66CBF">
        <w:trPr>
          <w:trHeight w:val="215"/>
        </w:trPr>
        <w:tc>
          <w:tcPr>
            <w:tcW w:w="1555" w:type="dxa"/>
            <w:tcMar>
              <w:left w:w="57" w:type="dxa"/>
              <w:right w:w="57" w:type="dxa"/>
            </w:tcMar>
          </w:tcPr>
          <w:p w:rsidR="004E3F82" w:rsidRPr="00DE3187" w:rsidRDefault="004E3F82" w:rsidP="00A66CBF">
            <w:pPr>
              <w:spacing w:after="0" w:line="240" w:lineRule="auto"/>
              <w:rPr>
                <w:b/>
                <w:sz w:val="18"/>
                <w:szCs w:val="18"/>
              </w:rPr>
            </w:pPr>
            <w:r w:rsidRPr="00DE3187">
              <w:rPr>
                <w:b/>
                <w:sz w:val="18"/>
                <w:szCs w:val="18"/>
              </w:rPr>
              <w:t>Fish movement</w:t>
            </w:r>
          </w:p>
        </w:tc>
        <w:tc>
          <w:tcPr>
            <w:tcW w:w="2268" w:type="dxa"/>
            <w:shd w:val="clear" w:color="auto" w:fill="auto"/>
          </w:tcPr>
          <w:p w:rsidR="004E3F82" w:rsidRPr="00A11AF6" w:rsidRDefault="004E3F82" w:rsidP="00A66CBF">
            <w:pPr>
              <w:spacing w:after="0" w:line="240" w:lineRule="auto"/>
              <w:rPr>
                <w:sz w:val="18"/>
                <w:szCs w:val="18"/>
              </w:rPr>
            </w:pPr>
            <w:r w:rsidRPr="00BF402A">
              <w:rPr>
                <w:sz w:val="18"/>
                <w:szCs w:val="18"/>
              </w:rPr>
              <w:t>Native fish survival, dispersal and synchronised movement</w:t>
            </w:r>
          </w:p>
        </w:tc>
        <w:tc>
          <w:tcPr>
            <w:tcW w:w="1842" w:type="dxa"/>
            <w:shd w:val="clear" w:color="auto" w:fill="auto"/>
            <w:tcMar>
              <w:left w:w="57" w:type="dxa"/>
              <w:right w:w="57" w:type="dxa"/>
            </w:tcMar>
          </w:tcPr>
          <w:p w:rsidR="004E3F82" w:rsidRPr="00A11AF6" w:rsidRDefault="004E3F82" w:rsidP="00A66CBF">
            <w:pPr>
              <w:spacing w:after="120" w:line="240" w:lineRule="auto"/>
              <w:jc w:val="center"/>
              <w:rPr>
                <w:sz w:val="16"/>
                <w:szCs w:val="16"/>
              </w:rPr>
            </w:pPr>
            <w:r>
              <w:rPr>
                <w:sz w:val="16"/>
                <w:szCs w:val="16"/>
              </w:rPr>
              <w:t>N/A</w:t>
            </w:r>
          </w:p>
        </w:tc>
        <w:tc>
          <w:tcPr>
            <w:tcW w:w="1843" w:type="dxa"/>
            <w:shd w:val="clear" w:color="auto" w:fill="auto"/>
          </w:tcPr>
          <w:p w:rsidR="004E3F82" w:rsidRPr="00A11AF6" w:rsidRDefault="004E3F82" w:rsidP="00A66CBF">
            <w:pPr>
              <w:spacing w:after="0" w:line="240" w:lineRule="auto"/>
              <w:jc w:val="center"/>
              <w:rPr>
                <w:sz w:val="18"/>
                <w:szCs w:val="18"/>
              </w:rPr>
            </w:pPr>
            <w:r>
              <w:rPr>
                <w:sz w:val="16"/>
                <w:szCs w:val="16"/>
              </w:rPr>
              <w:t>N/A</w:t>
            </w:r>
          </w:p>
        </w:tc>
        <w:tc>
          <w:tcPr>
            <w:tcW w:w="1701" w:type="dxa"/>
            <w:vMerge/>
            <w:shd w:val="clear" w:color="auto" w:fill="auto"/>
            <w:tcMar>
              <w:left w:w="57" w:type="dxa"/>
              <w:right w:w="57" w:type="dxa"/>
            </w:tcMar>
          </w:tcPr>
          <w:p w:rsidR="004E3F82" w:rsidRPr="00A11AF6" w:rsidRDefault="004E3F82" w:rsidP="00A66CBF">
            <w:pPr>
              <w:spacing w:after="0" w:line="240" w:lineRule="auto"/>
              <w:jc w:val="center"/>
              <w:rPr>
                <w:sz w:val="18"/>
                <w:szCs w:val="18"/>
              </w:rPr>
            </w:pPr>
          </w:p>
        </w:tc>
      </w:tr>
      <w:tr w:rsidR="004E3F82" w:rsidRPr="00287858" w:rsidTr="00A66CBF">
        <w:trPr>
          <w:trHeight w:val="390"/>
        </w:trPr>
        <w:tc>
          <w:tcPr>
            <w:tcW w:w="1555" w:type="dxa"/>
            <w:vMerge w:val="restart"/>
            <w:tcMar>
              <w:left w:w="57" w:type="dxa"/>
              <w:right w:w="57" w:type="dxa"/>
            </w:tcMar>
          </w:tcPr>
          <w:p w:rsidR="004E3F82" w:rsidRPr="00DE3187" w:rsidRDefault="004E3F82" w:rsidP="00A66CBF">
            <w:pPr>
              <w:spacing w:after="0" w:line="240" w:lineRule="auto"/>
              <w:rPr>
                <w:b/>
                <w:sz w:val="18"/>
                <w:szCs w:val="18"/>
              </w:rPr>
            </w:pPr>
            <w:r w:rsidRPr="00DE3187">
              <w:rPr>
                <w:b/>
                <w:sz w:val="18"/>
                <w:szCs w:val="18"/>
              </w:rPr>
              <w:t>Fish spawning and reproduction</w:t>
            </w:r>
          </w:p>
        </w:tc>
        <w:tc>
          <w:tcPr>
            <w:tcW w:w="2268" w:type="dxa"/>
            <w:shd w:val="clear" w:color="auto" w:fill="auto"/>
          </w:tcPr>
          <w:p w:rsidR="004E3F82" w:rsidRPr="004963F6" w:rsidRDefault="004E3F82" w:rsidP="00A66CBF">
            <w:pPr>
              <w:spacing w:after="0" w:line="240" w:lineRule="auto"/>
              <w:rPr>
                <w:sz w:val="18"/>
                <w:szCs w:val="18"/>
              </w:rPr>
            </w:pPr>
            <w:r>
              <w:rPr>
                <w:sz w:val="18"/>
                <w:szCs w:val="18"/>
              </w:rPr>
              <w:t>Abundance</w:t>
            </w:r>
            <w:r w:rsidRPr="007D03D4">
              <w:rPr>
                <w:sz w:val="18"/>
                <w:szCs w:val="18"/>
              </w:rPr>
              <w:t xml:space="preserve"> of 'Opportunistic' (</w:t>
            </w:r>
            <w:r>
              <w:rPr>
                <w:sz w:val="18"/>
                <w:szCs w:val="18"/>
              </w:rPr>
              <w:t>e.g. small bodied fish) species</w:t>
            </w:r>
          </w:p>
        </w:tc>
        <w:tc>
          <w:tcPr>
            <w:tcW w:w="1842" w:type="dxa"/>
            <w:shd w:val="clear" w:color="auto" w:fill="auto"/>
            <w:tcMar>
              <w:left w:w="57" w:type="dxa"/>
              <w:right w:w="57" w:type="dxa"/>
            </w:tcMar>
          </w:tcPr>
          <w:p w:rsidR="004E3F82" w:rsidRPr="00A11AF6" w:rsidRDefault="004E3F82" w:rsidP="00A66CBF">
            <w:pPr>
              <w:spacing w:after="0" w:line="240" w:lineRule="auto"/>
              <w:jc w:val="center"/>
              <w:rPr>
                <w:sz w:val="16"/>
                <w:szCs w:val="16"/>
              </w:rPr>
            </w:pPr>
            <w:r>
              <w:rPr>
                <w:sz w:val="16"/>
                <w:szCs w:val="16"/>
              </w:rPr>
              <w:t>N/A</w:t>
            </w:r>
          </w:p>
        </w:tc>
        <w:tc>
          <w:tcPr>
            <w:tcW w:w="1843" w:type="dxa"/>
            <w:shd w:val="clear" w:color="auto" w:fill="D9D9D9" w:themeFill="background1" w:themeFillShade="D9"/>
          </w:tcPr>
          <w:p w:rsidR="004E3F82" w:rsidRPr="00A11AF6" w:rsidRDefault="004E3F82" w:rsidP="00A66CBF">
            <w:pPr>
              <w:spacing w:after="0" w:line="240" w:lineRule="auto"/>
              <w:jc w:val="center"/>
              <w:rPr>
                <w:sz w:val="16"/>
                <w:szCs w:val="16"/>
              </w:rPr>
            </w:pPr>
          </w:p>
        </w:tc>
        <w:tc>
          <w:tcPr>
            <w:tcW w:w="1701" w:type="dxa"/>
            <w:vMerge/>
            <w:shd w:val="clear" w:color="auto" w:fill="auto"/>
            <w:tcMar>
              <w:left w:w="57" w:type="dxa"/>
              <w:right w:w="57" w:type="dxa"/>
            </w:tcMar>
          </w:tcPr>
          <w:p w:rsidR="004E3F82" w:rsidRPr="00A11AF6" w:rsidRDefault="004E3F82" w:rsidP="00A66CBF">
            <w:pPr>
              <w:spacing w:after="0" w:line="240" w:lineRule="auto"/>
              <w:jc w:val="center"/>
              <w:rPr>
                <w:sz w:val="16"/>
                <w:szCs w:val="16"/>
              </w:rPr>
            </w:pPr>
          </w:p>
        </w:tc>
      </w:tr>
      <w:tr w:rsidR="004E3F82" w:rsidRPr="00287858" w:rsidTr="00A66CBF">
        <w:trPr>
          <w:trHeight w:val="389"/>
        </w:trPr>
        <w:tc>
          <w:tcPr>
            <w:tcW w:w="1555" w:type="dxa"/>
            <w:vMerge/>
            <w:tcMar>
              <w:left w:w="57" w:type="dxa"/>
              <w:right w:w="57" w:type="dxa"/>
            </w:tcMar>
          </w:tcPr>
          <w:p w:rsidR="004E3F82" w:rsidRPr="00DE3187" w:rsidRDefault="004E3F82" w:rsidP="00A66CBF">
            <w:pPr>
              <w:spacing w:after="0" w:line="240" w:lineRule="auto"/>
              <w:rPr>
                <w:b/>
                <w:sz w:val="18"/>
                <w:szCs w:val="18"/>
              </w:rPr>
            </w:pPr>
          </w:p>
        </w:tc>
        <w:tc>
          <w:tcPr>
            <w:tcW w:w="2268" w:type="dxa"/>
            <w:shd w:val="clear" w:color="auto" w:fill="auto"/>
          </w:tcPr>
          <w:p w:rsidR="004E3F82" w:rsidRPr="00A11AF6" w:rsidRDefault="004E3F82" w:rsidP="00A66CBF">
            <w:pPr>
              <w:spacing w:after="0" w:line="240" w:lineRule="auto"/>
              <w:jc w:val="left"/>
              <w:rPr>
                <w:sz w:val="16"/>
                <w:szCs w:val="16"/>
              </w:rPr>
            </w:pPr>
            <w:r>
              <w:rPr>
                <w:sz w:val="18"/>
                <w:szCs w:val="18"/>
              </w:rPr>
              <w:t>Abundance of</w:t>
            </w:r>
            <w:r w:rsidRPr="007D03D4">
              <w:rPr>
                <w:sz w:val="18"/>
                <w:szCs w:val="18"/>
              </w:rPr>
              <w:t xml:space="preserve"> ‘flow-dependent’ spawning species</w:t>
            </w:r>
            <w:r>
              <w:rPr>
                <w:sz w:val="18"/>
                <w:szCs w:val="18"/>
              </w:rPr>
              <w:t xml:space="preserve"> (e.g. golden and silver perch)</w:t>
            </w:r>
          </w:p>
        </w:tc>
        <w:tc>
          <w:tcPr>
            <w:tcW w:w="1842" w:type="dxa"/>
            <w:shd w:val="clear" w:color="auto" w:fill="auto"/>
            <w:tcMar>
              <w:left w:w="57" w:type="dxa"/>
              <w:right w:w="57" w:type="dxa"/>
            </w:tcMar>
          </w:tcPr>
          <w:p w:rsidR="004E3F82" w:rsidRPr="00A11AF6" w:rsidRDefault="004E3F82" w:rsidP="00A66CBF">
            <w:pPr>
              <w:spacing w:after="0" w:line="240" w:lineRule="auto"/>
              <w:jc w:val="center"/>
              <w:rPr>
                <w:sz w:val="16"/>
                <w:szCs w:val="16"/>
              </w:rPr>
            </w:pPr>
            <w:r>
              <w:rPr>
                <w:sz w:val="16"/>
                <w:szCs w:val="16"/>
              </w:rPr>
              <w:t>N/A</w:t>
            </w:r>
          </w:p>
        </w:tc>
        <w:tc>
          <w:tcPr>
            <w:tcW w:w="1843" w:type="dxa"/>
            <w:shd w:val="clear" w:color="auto" w:fill="D9D9D9" w:themeFill="background1" w:themeFillShade="D9"/>
          </w:tcPr>
          <w:p w:rsidR="004E3F82" w:rsidRPr="00A11AF6" w:rsidRDefault="004E3F82" w:rsidP="00A66CBF">
            <w:pPr>
              <w:spacing w:after="0" w:line="240" w:lineRule="auto"/>
              <w:jc w:val="center"/>
              <w:rPr>
                <w:sz w:val="16"/>
                <w:szCs w:val="16"/>
              </w:rPr>
            </w:pPr>
          </w:p>
        </w:tc>
        <w:tc>
          <w:tcPr>
            <w:tcW w:w="1701" w:type="dxa"/>
            <w:vMerge/>
            <w:shd w:val="clear" w:color="auto" w:fill="auto"/>
            <w:tcMar>
              <w:left w:w="57" w:type="dxa"/>
              <w:right w:w="57" w:type="dxa"/>
            </w:tcMar>
          </w:tcPr>
          <w:p w:rsidR="004E3F82" w:rsidRPr="00A11AF6" w:rsidRDefault="004E3F82" w:rsidP="00A66CBF">
            <w:pPr>
              <w:spacing w:after="0" w:line="240" w:lineRule="auto"/>
              <w:jc w:val="center"/>
              <w:rPr>
                <w:sz w:val="16"/>
                <w:szCs w:val="16"/>
              </w:rPr>
            </w:pPr>
          </w:p>
        </w:tc>
      </w:tr>
      <w:tr w:rsidR="004E3F82" w:rsidRPr="00287858" w:rsidTr="00A66CBF">
        <w:trPr>
          <w:trHeight w:val="353"/>
        </w:trPr>
        <w:tc>
          <w:tcPr>
            <w:tcW w:w="1555" w:type="dxa"/>
            <w:vMerge w:val="restart"/>
            <w:tcMar>
              <w:left w:w="57" w:type="dxa"/>
              <w:right w:w="57" w:type="dxa"/>
            </w:tcMar>
          </w:tcPr>
          <w:p w:rsidR="004E3F82" w:rsidRPr="00DE3187" w:rsidRDefault="004E3F82" w:rsidP="00A66CBF">
            <w:pPr>
              <w:spacing w:after="0" w:line="240" w:lineRule="auto"/>
              <w:rPr>
                <w:b/>
                <w:sz w:val="18"/>
                <w:szCs w:val="18"/>
              </w:rPr>
            </w:pPr>
            <w:r w:rsidRPr="00DE3187">
              <w:rPr>
                <w:b/>
                <w:sz w:val="18"/>
                <w:szCs w:val="18"/>
              </w:rPr>
              <w:t>Fish recruitment</w:t>
            </w:r>
          </w:p>
        </w:tc>
        <w:tc>
          <w:tcPr>
            <w:tcW w:w="2268" w:type="dxa"/>
            <w:shd w:val="clear" w:color="auto" w:fill="auto"/>
          </w:tcPr>
          <w:p w:rsidR="004E3F82" w:rsidRPr="00660948" w:rsidRDefault="004E3F82" w:rsidP="00A66CBF">
            <w:pPr>
              <w:spacing w:after="0" w:line="240" w:lineRule="auto"/>
              <w:jc w:val="left"/>
              <w:rPr>
                <w:sz w:val="18"/>
                <w:szCs w:val="18"/>
              </w:rPr>
            </w:pPr>
            <w:r>
              <w:rPr>
                <w:sz w:val="18"/>
                <w:szCs w:val="18"/>
              </w:rPr>
              <w:t>G</w:t>
            </w:r>
            <w:r w:rsidRPr="00660948">
              <w:rPr>
                <w:sz w:val="18"/>
                <w:szCs w:val="18"/>
              </w:rPr>
              <w:t>rowth rate</w:t>
            </w:r>
            <w:r>
              <w:rPr>
                <w:sz w:val="18"/>
                <w:szCs w:val="18"/>
              </w:rPr>
              <w:t xml:space="preserve"> of </w:t>
            </w:r>
            <w:r w:rsidRPr="00660948">
              <w:rPr>
                <w:sz w:val="18"/>
                <w:szCs w:val="18"/>
              </w:rPr>
              <w:t>young-of-year (YOY) and age-class 1 (1+) Murray cod</w:t>
            </w:r>
          </w:p>
        </w:tc>
        <w:tc>
          <w:tcPr>
            <w:tcW w:w="1842" w:type="dxa"/>
            <w:shd w:val="clear" w:color="auto" w:fill="auto"/>
            <w:tcMar>
              <w:left w:w="57" w:type="dxa"/>
              <w:right w:w="57" w:type="dxa"/>
            </w:tcMar>
          </w:tcPr>
          <w:p w:rsidR="004E3F82" w:rsidRPr="00A11AF6" w:rsidRDefault="004E3F82" w:rsidP="00A66CBF">
            <w:pPr>
              <w:spacing w:after="0" w:line="240" w:lineRule="auto"/>
              <w:jc w:val="center"/>
              <w:rPr>
                <w:sz w:val="16"/>
                <w:szCs w:val="16"/>
              </w:rPr>
            </w:pPr>
            <w:r>
              <w:rPr>
                <w:sz w:val="16"/>
                <w:szCs w:val="16"/>
              </w:rPr>
              <w:t>N/A</w:t>
            </w:r>
          </w:p>
        </w:tc>
        <w:tc>
          <w:tcPr>
            <w:tcW w:w="1843" w:type="dxa"/>
            <w:shd w:val="clear" w:color="auto" w:fill="D9D9D9" w:themeFill="background1" w:themeFillShade="D9"/>
          </w:tcPr>
          <w:p w:rsidR="004E3F82" w:rsidRPr="00A11AF6" w:rsidRDefault="004E3F82" w:rsidP="00A66CBF">
            <w:pPr>
              <w:spacing w:after="0" w:line="240" w:lineRule="auto"/>
              <w:jc w:val="center"/>
              <w:rPr>
                <w:sz w:val="16"/>
                <w:szCs w:val="16"/>
              </w:rPr>
            </w:pPr>
          </w:p>
        </w:tc>
        <w:tc>
          <w:tcPr>
            <w:tcW w:w="1701" w:type="dxa"/>
            <w:vMerge/>
            <w:shd w:val="clear" w:color="auto" w:fill="auto"/>
            <w:tcMar>
              <w:left w:w="57" w:type="dxa"/>
              <w:right w:w="57" w:type="dxa"/>
            </w:tcMar>
          </w:tcPr>
          <w:p w:rsidR="004E3F82" w:rsidRPr="00A11AF6" w:rsidRDefault="004E3F82" w:rsidP="00A66CBF">
            <w:pPr>
              <w:spacing w:after="0" w:line="240" w:lineRule="auto"/>
              <w:jc w:val="center"/>
              <w:rPr>
                <w:sz w:val="16"/>
                <w:szCs w:val="16"/>
              </w:rPr>
            </w:pPr>
          </w:p>
        </w:tc>
      </w:tr>
      <w:tr w:rsidR="004E3F82" w:rsidRPr="00287858" w:rsidTr="00A66CBF">
        <w:trPr>
          <w:trHeight w:val="390"/>
        </w:trPr>
        <w:tc>
          <w:tcPr>
            <w:tcW w:w="1555" w:type="dxa"/>
            <w:vMerge/>
            <w:tcMar>
              <w:left w:w="57" w:type="dxa"/>
              <w:right w:w="57" w:type="dxa"/>
            </w:tcMar>
          </w:tcPr>
          <w:p w:rsidR="004E3F82" w:rsidRDefault="004E3F82" w:rsidP="00A66CBF">
            <w:pPr>
              <w:spacing w:after="0" w:line="240" w:lineRule="auto"/>
              <w:jc w:val="left"/>
              <w:rPr>
                <w:b/>
                <w:sz w:val="18"/>
                <w:szCs w:val="18"/>
              </w:rPr>
            </w:pPr>
          </w:p>
        </w:tc>
        <w:tc>
          <w:tcPr>
            <w:tcW w:w="2268" w:type="dxa"/>
            <w:shd w:val="clear" w:color="auto" w:fill="auto"/>
          </w:tcPr>
          <w:p w:rsidR="004E3F82" w:rsidRPr="00660948" w:rsidRDefault="004E3F82" w:rsidP="00A66CBF">
            <w:pPr>
              <w:spacing w:after="0" w:line="240" w:lineRule="auto"/>
              <w:jc w:val="left"/>
              <w:rPr>
                <w:sz w:val="18"/>
                <w:szCs w:val="18"/>
              </w:rPr>
            </w:pPr>
            <w:r>
              <w:rPr>
                <w:sz w:val="18"/>
                <w:szCs w:val="18"/>
              </w:rPr>
              <w:t>R</w:t>
            </w:r>
            <w:r w:rsidRPr="00660948">
              <w:rPr>
                <w:sz w:val="18"/>
                <w:szCs w:val="18"/>
              </w:rPr>
              <w:t>ecruitment</w:t>
            </w:r>
            <w:r>
              <w:rPr>
                <w:sz w:val="18"/>
                <w:szCs w:val="18"/>
              </w:rPr>
              <w:t xml:space="preserve"> of </w:t>
            </w:r>
            <w:r w:rsidRPr="00660948">
              <w:rPr>
                <w:sz w:val="18"/>
                <w:szCs w:val="18"/>
              </w:rPr>
              <w:t>young-of-year (YOY) and age-class 1 (1+) Murray cod</w:t>
            </w:r>
          </w:p>
        </w:tc>
        <w:tc>
          <w:tcPr>
            <w:tcW w:w="1842" w:type="dxa"/>
            <w:shd w:val="clear" w:color="auto" w:fill="auto"/>
            <w:tcMar>
              <w:left w:w="57" w:type="dxa"/>
              <w:right w:w="57" w:type="dxa"/>
            </w:tcMar>
          </w:tcPr>
          <w:p w:rsidR="004E3F82" w:rsidRPr="00A11AF6" w:rsidRDefault="004E3F82" w:rsidP="00A66CBF">
            <w:pPr>
              <w:spacing w:after="120" w:line="240" w:lineRule="auto"/>
              <w:jc w:val="center"/>
              <w:rPr>
                <w:sz w:val="16"/>
                <w:szCs w:val="16"/>
              </w:rPr>
            </w:pPr>
            <w:r>
              <w:rPr>
                <w:sz w:val="16"/>
                <w:szCs w:val="16"/>
              </w:rPr>
              <w:t>N/A</w:t>
            </w:r>
          </w:p>
        </w:tc>
        <w:tc>
          <w:tcPr>
            <w:tcW w:w="1843" w:type="dxa"/>
            <w:shd w:val="clear" w:color="auto" w:fill="D9D9D9" w:themeFill="background1" w:themeFillShade="D9"/>
          </w:tcPr>
          <w:p w:rsidR="004E3F82" w:rsidRPr="00A11AF6" w:rsidRDefault="004E3F82" w:rsidP="00A66CBF">
            <w:pPr>
              <w:spacing w:after="0" w:line="240" w:lineRule="auto"/>
              <w:jc w:val="center"/>
              <w:rPr>
                <w:sz w:val="16"/>
                <w:szCs w:val="16"/>
              </w:rPr>
            </w:pPr>
          </w:p>
        </w:tc>
        <w:tc>
          <w:tcPr>
            <w:tcW w:w="1701" w:type="dxa"/>
            <w:vMerge/>
            <w:shd w:val="clear" w:color="auto" w:fill="auto"/>
            <w:tcMar>
              <w:left w:w="57" w:type="dxa"/>
              <w:right w:w="57" w:type="dxa"/>
            </w:tcMar>
          </w:tcPr>
          <w:p w:rsidR="004E3F82" w:rsidRPr="00A11AF6" w:rsidRDefault="004E3F82" w:rsidP="00A66CBF">
            <w:pPr>
              <w:spacing w:after="0" w:line="240" w:lineRule="auto"/>
              <w:jc w:val="center"/>
              <w:rPr>
                <w:sz w:val="16"/>
                <w:szCs w:val="16"/>
              </w:rPr>
            </w:pPr>
          </w:p>
        </w:tc>
      </w:tr>
      <w:tr w:rsidR="004E3F82" w:rsidRPr="00287858" w:rsidTr="00A66CBF">
        <w:trPr>
          <w:trHeight w:val="390"/>
        </w:trPr>
        <w:tc>
          <w:tcPr>
            <w:tcW w:w="1555" w:type="dxa"/>
            <w:vMerge w:val="restart"/>
            <w:tcMar>
              <w:left w:w="57" w:type="dxa"/>
              <w:right w:w="57" w:type="dxa"/>
            </w:tcMar>
          </w:tcPr>
          <w:p w:rsidR="004E3F82" w:rsidRPr="00DE3187" w:rsidRDefault="004E3F82" w:rsidP="00A66CBF">
            <w:pPr>
              <w:spacing w:after="0" w:line="240" w:lineRule="auto"/>
              <w:jc w:val="left"/>
              <w:rPr>
                <w:b/>
                <w:sz w:val="18"/>
                <w:szCs w:val="18"/>
              </w:rPr>
            </w:pPr>
            <w:r>
              <w:rPr>
                <w:b/>
                <w:sz w:val="18"/>
                <w:szCs w:val="18"/>
              </w:rPr>
              <w:t>Fish community</w:t>
            </w:r>
          </w:p>
        </w:tc>
        <w:tc>
          <w:tcPr>
            <w:tcW w:w="2268" w:type="dxa"/>
            <w:shd w:val="clear" w:color="auto" w:fill="auto"/>
          </w:tcPr>
          <w:p w:rsidR="004E3F82" w:rsidRPr="00660948" w:rsidRDefault="004E3F82" w:rsidP="00A66CBF">
            <w:pPr>
              <w:spacing w:after="0" w:line="240" w:lineRule="auto"/>
              <w:jc w:val="left"/>
              <w:rPr>
                <w:sz w:val="18"/>
                <w:szCs w:val="18"/>
              </w:rPr>
            </w:pPr>
            <w:r w:rsidRPr="0060345B">
              <w:rPr>
                <w:sz w:val="18"/>
                <w:szCs w:val="18"/>
              </w:rPr>
              <w:t>Fish condition</w:t>
            </w:r>
          </w:p>
        </w:tc>
        <w:tc>
          <w:tcPr>
            <w:tcW w:w="1842" w:type="dxa"/>
            <w:shd w:val="clear" w:color="auto" w:fill="auto"/>
            <w:tcMar>
              <w:left w:w="57" w:type="dxa"/>
              <w:right w:w="57" w:type="dxa"/>
            </w:tcMar>
          </w:tcPr>
          <w:p w:rsidR="004E3F82" w:rsidRPr="00A11AF6" w:rsidRDefault="004E3F82" w:rsidP="00A66CBF">
            <w:pPr>
              <w:spacing w:after="0" w:line="240" w:lineRule="auto"/>
              <w:jc w:val="center"/>
              <w:rPr>
                <w:sz w:val="16"/>
                <w:szCs w:val="16"/>
              </w:rPr>
            </w:pPr>
            <w:r>
              <w:rPr>
                <w:sz w:val="16"/>
                <w:szCs w:val="16"/>
              </w:rPr>
              <w:t>N/A</w:t>
            </w:r>
          </w:p>
        </w:tc>
        <w:tc>
          <w:tcPr>
            <w:tcW w:w="1843" w:type="dxa"/>
            <w:shd w:val="clear" w:color="auto" w:fill="auto"/>
          </w:tcPr>
          <w:p w:rsidR="004E3F82" w:rsidRPr="00A11AF6" w:rsidRDefault="004E3F82" w:rsidP="00A66CBF">
            <w:pPr>
              <w:spacing w:after="0" w:line="240" w:lineRule="auto"/>
              <w:jc w:val="center"/>
              <w:rPr>
                <w:sz w:val="16"/>
                <w:szCs w:val="16"/>
              </w:rPr>
            </w:pPr>
            <w:r>
              <w:rPr>
                <w:sz w:val="16"/>
                <w:szCs w:val="16"/>
              </w:rPr>
              <w:t>N/A</w:t>
            </w:r>
          </w:p>
        </w:tc>
        <w:tc>
          <w:tcPr>
            <w:tcW w:w="1701" w:type="dxa"/>
            <w:vMerge/>
            <w:shd w:val="clear" w:color="auto" w:fill="auto"/>
            <w:tcMar>
              <w:left w:w="57" w:type="dxa"/>
              <w:right w:w="57" w:type="dxa"/>
            </w:tcMar>
          </w:tcPr>
          <w:p w:rsidR="004E3F82" w:rsidRPr="00A11AF6" w:rsidRDefault="004E3F82" w:rsidP="00A66CBF">
            <w:pPr>
              <w:spacing w:after="0" w:line="240" w:lineRule="auto"/>
              <w:jc w:val="center"/>
              <w:rPr>
                <w:sz w:val="16"/>
                <w:szCs w:val="16"/>
              </w:rPr>
            </w:pPr>
          </w:p>
        </w:tc>
      </w:tr>
      <w:tr w:rsidR="004E3F82" w:rsidRPr="00287858" w:rsidTr="00A66CBF">
        <w:trPr>
          <w:trHeight w:val="390"/>
        </w:trPr>
        <w:tc>
          <w:tcPr>
            <w:tcW w:w="1555" w:type="dxa"/>
            <w:vMerge/>
            <w:tcMar>
              <w:left w:w="57" w:type="dxa"/>
              <w:right w:w="57" w:type="dxa"/>
            </w:tcMar>
          </w:tcPr>
          <w:p w:rsidR="004E3F82" w:rsidRDefault="004E3F82" w:rsidP="00A66CBF">
            <w:pPr>
              <w:spacing w:after="0" w:line="240" w:lineRule="auto"/>
              <w:jc w:val="left"/>
              <w:rPr>
                <w:b/>
                <w:sz w:val="18"/>
                <w:szCs w:val="18"/>
              </w:rPr>
            </w:pPr>
          </w:p>
        </w:tc>
        <w:tc>
          <w:tcPr>
            <w:tcW w:w="2268" w:type="dxa"/>
            <w:shd w:val="clear" w:color="auto" w:fill="auto"/>
          </w:tcPr>
          <w:p w:rsidR="004E3F82" w:rsidRPr="0060345B" w:rsidRDefault="004E3F82" w:rsidP="00A66CBF">
            <w:pPr>
              <w:spacing w:after="0" w:line="240" w:lineRule="auto"/>
              <w:jc w:val="left"/>
              <w:rPr>
                <w:sz w:val="18"/>
                <w:szCs w:val="18"/>
              </w:rPr>
            </w:pPr>
            <w:r>
              <w:rPr>
                <w:sz w:val="18"/>
                <w:szCs w:val="18"/>
              </w:rPr>
              <w:t>Fish recovery</w:t>
            </w:r>
          </w:p>
        </w:tc>
        <w:tc>
          <w:tcPr>
            <w:tcW w:w="1842" w:type="dxa"/>
            <w:shd w:val="clear" w:color="auto" w:fill="auto"/>
            <w:tcMar>
              <w:left w:w="57" w:type="dxa"/>
              <w:right w:w="57" w:type="dxa"/>
            </w:tcMar>
          </w:tcPr>
          <w:p w:rsidR="004E3F82" w:rsidRDefault="004E3F82" w:rsidP="00A66CBF">
            <w:pPr>
              <w:spacing w:after="0" w:line="240" w:lineRule="auto"/>
              <w:jc w:val="center"/>
              <w:rPr>
                <w:sz w:val="16"/>
                <w:szCs w:val="16"/>
              </w:rPr>
            </w:pPr>
            <w:r>
              <w:rPr>
                <w:sz w:val="16"/>
                <w:szCs w:val="16"/>
              </w:rPr>
              <w:t>N/A</w:t>
            </w:r>
          </w:p>
        </w:tc>
        <w:tc>
          <w:tcPr>
            <w:tcW w:w="1843" w:type="dxa"/>
            <w:shd w:val="clear" w:color="auto" w:fill="auto"/>
          </w:tcPr>
          <w:p w:rsidR="004E3F82" w:rsidRDefault="004E3F82" w:rsidP="00A66CBF">
            <w:pPr>
              <w:spacing w:after="0" w:line="240" w:lineRule="auto"/>
              <w:jc w:val="center"/>
              <w:rPr>
                <w:sz w:val="16"/>
                <w:szCs w:val="16"/>
              </w:rPr>
            </w:pPr>
            <w:r>
              <w:rPr>
                <w:sz w:val="16"/>
                <w:szCs w:val="16"/>
              </w:rPr>
              <w:t>N/A</w:t>
            </w:r>
          </w:p>
        </w:tc>
        <w:tc>
          <w:tcPr>
            <w:tcW w:w="1701" w:type="dxa"/>
            <w:vMerge/>
            <w:shd w:val="clear" w:color="auto" w:fill="auto"/>
            <w:tcMar>
              <w:left w:w="57" w:type="dxa"/>
              <w:right w:w="57" w:type="dxa"/>
            </w:tcMar>
          </w:tcPr>
          <w:p w:rsidR="004E3F82" w:rsidRPr="00A11AF6" w:rsidRDefault="004E3F82" w:rsidP="00A66CBF">
            <w:pPr>
              <w:spacing w:after="0" w:line="240" w:lineRule="auto"/>
              <w:jc w:val="center"/>
              <w:rPr>
                <w:sz w:val="16"/>
                <w:szCs w:val="16"/>
              </w:rPr>
            </w:pPr>
          </w:p>
        </w:tc>
      </w:tr>
    </w:tbl>
    <w:p w:rsidR="004E3F82" w:rsidRPr="00C770B1" w:rsidRDefault="004E3F82" w:rsidP="004E3F82">
      <w:pPr>
        <w:pStyle w:val="NoSpacing"/>
        <w:spacing w:line="360" w:lineRule="auto"/>
        <w:jc w:val="left"/>
        <w:rPr>
          <w:b/>
          <w:color w:val="4F6228" w:themeColor="accent3" w:themeShade="80"/>
          <w:sz w:val="24"/>
          <w:szCs w:val="24"/>
        </w:rPr>
      </w:pPr>
      <w:r w:rsidRPr="00C770B1">
        <w:rPr>
          <w:b/>
          <w:color w:val="4F6228" w:themeColor="accent3" w:themeShade="80"/>
          <w:sz w:val="24"/>
          <w:szCs w:val="24"/>
        </w:rPr>
        <w:t>Assessment of outcomes against the Commonwealth environmental watering objectives</w:t>
      </w:r>
    </w:p>
    <w:p w:rsidR="004E3F82" w:rsidRDefault="004E3F82" w:rsidP="004E3F82">
      <w:pPr>
        <w:spacing w:after="120"/>
        <w:jc w:val="left"/>
      </w:pPr>
      <w:r>
        <w:t>An assessment of</w:t>
      </w:r>
      <w:r w:rsidRPr="001436D3">
        <w:t xml:space="preserve"> </w:t>
      </w:r>
      <w:r>
        <w:t xml:space="preserve">the outcomes against the </w:t>
      </w:r>
      <w:r w:rsidRPr="001436D3">
        <w:t xml:space="preserve">ecological objectives for </w:t>
      </w:r>
      <w:r>
        <w:t xml:space="preserve">2014-15 in </w:t>
      </w:r>
      <w:r w:rsidRPr="001436D3">
        <w:t>the Edward-Wakool system outlined in</w:t>
      </w:r>
      <w:r w:rsidRPr="004E3F82">
        <w:rPr>
          <w:rFonts w:asciiTheme="minorHAnsi" w:hAnsiTheme="minorHAnsi"/>
        </w:rPr>
        <w:t xml:space="preserve"> the Water Use Minute 10008 (CEWO, 2014) </w:t>
      </w:r>
      <w:r w:rsidR="00E64C68">
        <w:t>is presented in Table ii</w:t>
      </w:r>
      <w:r>
        <w:t xml:space="preserve"> and an assessment of outcomes against the specific objectives for the Yallakool Creek environmental watering action in 2014-15</w:t>
      </w:r>
      <w:r w:rsidR="00E64C68">
        <w:t xml:space="preserve"> is provided in Table iii</w:t>
      </w:r>
      <w:r>
        <w:t>. Some of the watering objectives were achieved, some were not achieved</w:t>
      </w:r>
      <w:r w:rsidRPr="003F4225">
        <w:t xml:space="preserve"> </w:t>
      </w:r>
      <w:r>
        <w:t>and some were not assessed in the Edward-Wakool system in 2014-15. In both of these assessments the water quality and vegetation objectives were met. The lateral and longitudinal connectivity objectives were met at some sites, but not consistently throughout all zones. The objectives for reproduction and recruitment of native fish were not achieved by the Yallakool Creek environmental watering action in 2014-15.</w:t>
      </w:r>
    </w:p>
    <w:p w:rsidR="004E3F82" w:rsidRPr="004E3F82" w:rsidRDefault="00E64C68" w:rsidP="00E64C68">
      <w:pPr>
        <w:spacing w:after="0" w:line="240" w:lineRule="auto"/>
        <w:jc w:val="left"/>
        <w:rPr>
          <w:sz w:val="20"/>
        </w:rPr>
      </w:pPr>
      <w:r>
        <w:rPr>
          <w:b/>
          <w:sz w:val="20"/>
        </w:rPr>
        <w:t>Table ii</w:t>
      </w:r>
      <w:r w:rsidR="004E3F82" w:rsidRPr="004E3F82">
        <w:rPr>
          <w:b/>
          <w:sz w:val="20"/>
        </w:rPr>
        <w:t>.</w:t>
      </w:r>
      <w:r w:rsidR="004E3F82" w:rsidRPr="004E3F82">
        <w:rPr>
          <w:sz w:val="20"/>
        </w:rPr>
        <w:t xml:space="preserve"> Assessment of outcomes of Commonwealth environmental watering in the Edward-Wakool system in 2014-15 against the broad environmental watering objectives outlined in water use Minute 10008. Green shading indicates positive response, red shading indicates negative response, grey shading indicates no detectable response (</w:t>
      </w:r>
      <w:proofErr w:type="gramStart"/>
      <w:r w:rsidR="004E3F82" w:rsidRPr="004E3F82">
        <w:rPr>
          <w:sz w:val="20"/>
        </w:rPr>
        <w:t>neither positive or</w:t>
      </w:r>
      <w:proofErr w:type="gramEnd"/>
      <w:r w:rsidR="004E3F82" w:rsidRPr="004E3F82">
        <w:rPr>
          <w:sz w:val="20"/>
        </w:rPr>
        <w:t xml:space="preserve"> negative) to environmental watering. White boxes indicate no evaluation was undertaken.</w:t>
      </w:r>
    </w:p>
    <w:tbl>
      <w:tblPr>
        <w:tblStyle w:val="TableGrid"/>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8"/>
        <w:gridCol w:w="4252"/>
      </w:tblGrid>
      <w:tr w:rsidR="004E3F82" w:rsidRPr="001436D3" w:rsidTr="00A66CBF">
        <w:tc>
          <w:tcPr>
            <w:tcW w:w="4928" w:type="dxa"/>
            <w:tcBorders>
              <w:top w:val="single" w:sz="4" w:space="0" w:color="auto"/>
              <w:left w:val="single" w:sz="4" w:space="0" w:color="auto"/>
              <w:bottom w:val="single" w:sz="4" w:space="0" w:color="auto"/>
              <w:right w:val="single" w:sz="4" w:space="0" w:color="auto"/>
            </w:tcBorders>
            <w:shd w:val="clear" w:color="auto" w:fill="auto"/>
          </w:tcPr>
          <w:p w:rsidR="004E3F82" w:rsidRPr="005F605E" w:rsidRDefault="004E3F82" w:rsidP="00A66CBF">
            <w:pPr>
              <w:shd w:val="clear" w:color="auto" w:fill="FFFFFF"/>
              <w:tabs>
                <w:tab w:val="left" w:pos="426"/>
              </w:tabs>
              <w:spacing w:after="0" w:line="240" w:lineRule="auto"/>
              <w:jc w:val="left"/>
              <w:rPr>
                <w:b/>
              </w:rPr>
            </w:pPr>
            <w:r w:rsidRPr="005F605E">
              <w:rPr>
                <w:b/>
              </w:rPr>
              <w:t>Commonwealth environmental watering objective from Water Use Minute 10008</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4E3F82" w:rsidRPr="005F605E" w:rsidRDefault="004E3F82" w:rsidP="00A66CBF">
            <w:pPr>
              <w:shd w:val="clear" w:color="auto" w:fill="FFFFFF"/>
              <w:tabs>
                <w:tab w:val="left" w:pos="426"/>
              </w:tabs>
              <w:spacing w:after="0" w:line="240" w:lineRule="auto"/>
              <w:jc w:val="left"/>
              <w:rPr>
                <w:b/>
              </w:rPr>
            </w:pPr>
            <w:r w:rsidRPr="005F605E">
              <w:rPr>
                <w:b/>
              </w:rPr>
              <w:t>Objective achieved or not achieved</w:t>
            </w:r>
          </w:p>
        </w:tc>
      </w:tr>
      <w:tr w:rsidR="004E3F82" w:rsidRPr="001436D3" w:rsidTr="00A66CBF">
        <w:tc>
          <w:tcPr>
            <w:tcW w:w="4928" w:type="dxa"/>
            <w:vMerge w:val="restart"/>
            <w:tcBorders>
              <w:top w:val="single" w:sz="4" w:space="0" w:color="auto"/>
              <w:left w:val="single" w:sz="4" w:space="0" w:color="auto"/>
              <w:right w:val="single" w:sz="4" w:space="0" w:color="auto"/>
            </w:tcBorders>
          </w:tcPr>
          <w:p w:rsidR="004E3F82" w:rsidRPr="001436D3" w:rsidRDefault="004E3F82" w:rsidP="00A66CBF">
            <w:pPr>
              <w:shd w:val="clear" w:color="auto" w:fill="FFFFFF"/>
              <w:tabs>
                <w:tab w:val="left" w:pos="426"/>
              </w:tabs>
              <w:spacing w:after="0" w:line="240" w:lineRule="auto"/>
              <w:jc w:val="left"/>
            </w:pPr>
            <w:r>
              <w:t>I</w:t>
            </w:r>
            <w:r w:rsidRPr="001436D3">
              <w:t>mprove the diversity and condition of native fish and other native species including frogs, turtles and invertebrates through maintaining suitable habitat and providing/supporting opportunities to move, breed and recruit</w:t>
            </w:r>
          </w:p>
        </w:tc>
        <w:tc>
          <w:tcPr>
            <w:tcW w:w="4252" w:type="dxa"/>
            <w:tcBorders>
              <w:top w:val="single" w:sz="4" w:space="0" w:color="auto"/>
              <w:left w:val="single" w:sz="4" w:space="0" w:color="auto"/>
              <w:bottom w:val="single" w:sz="4" w:space="0" w:color="auto"/>
              <w:right w:val="single" w:sz="4" w:space="0" w:color="auto"/>
            </w:tcBorders>
          </w:tcPr>
          <w:p w:rsidR="004E3F82" w:rsidRPr="00263049" w:rsidRDefault="004E3F82" w:rsidP="00A66CBF">
            <w:pPr>
              <w:shd w:val="clear" w:color="auto" w:fill="C2D69B" w:themeFill="accent3" w:themeFillTint="99"/>
              <w:tabs>
                <w:tab w:val="left" w:pos="426"/>
              </w:tabs>
              <w:spacing w:after="0" w:line="240" w:lineRule="auto"/>
              <w:jc w:val="left"/>
            </w:pPr>
            <w:r w:rsidRPr="00263049">
              <w:t>Improved diversity of native fish, with one new species detected</w:t>
            </w:r>
          </w:p>
          <w:p w:rsidR="004E3F82" w:rsidRPr="00263049" w:rsidRDefault="004E3F82" w:rsidP="00A66CBF">
            <w:pPr>
              <w:shd w:val="clear" w:color="auto" w:fill="FFFFFF"/>
              <w:tabs>
                <w:tab w:val="left" w:pos="426"/>
              </w:tabs>
              <w:spacing w:after="0" w:line="240" w:lineRule="auto"/>
              <w:jc w:val="left"/>
            </w:pPr>
            <w:r w:rsidRPr="00263049">
              <w:t>Diversity and condition of frogs, turtles and invertebrates not assessed</w:t>
            </w:r>
          </w:p>
        </w:tc>
      </w:tr>
      <w:tr w:rsidR="004E3F82" w:rsidRPr="001436D3" w:rsidTr="00A66CBF">
        <w:tc>
          <w:tcPr>
            <w:tcW w:w="4928" w:type="dxa"/>
            <w:vMerge/>
            <w:tcBorders>
              <w:left w:val="single" w:sz="4" w:space="0" w:color="auto"/>
              <w:bottom w:val="single" w:sz="4" w:space="0" w:color="auto"/>
              <w:right w:val="single" w:sz="4" w:space="0" w:color="auto"/>
            </w:tcBorders>
          </w:tcPr>
          <w:p w:rsidR="004E3F82" w:rsidRDefault="004E3F82" w:rsidP="00A66CBF">
            <w:pPr>
              <w:shd w:val="clear" w:color="auto" w:fill="FFFFFF"/>
              <w:tabs>
                <w:tab w:val="left" w:pos="426"/>
              </w:tabs>
              <w:spacing w:after="0" w:line="240" w:lineRule="auto"/>
              <w:jc w:val="left"/>
            </w:pPr>
          </w:p>
        </w:tc>
        <w:tc>
          <w:tcPr>
            <w:tcW w:w="42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E3F82" w:rsidRPr="00263049" w:rsidRDefault="004E3F82" w:rsidP="00A66CBF">
            <w:pPr>
              <w:spacing w:after="0" w:line="240" w:lineRule="auto"/>
              <w:jc w:val="left"/>
            </w:pPr>
            <w:r w:rsidRPr="00263049">
              <w:t>Improvement in reproduction and recruitment of native fish not achieved</w:t>
            </w:r>
          </w:p>
        </w:tc>
      </w:tr>
      <w:tr w:rsidR="004E3F82" w:rsidRPr="001436D3" w:rsidTr="00A66CBF">
        <w:tc>
          <w:tcPr>
            <w:tcW w:w="4928" w:type="dxa"/>
            <w:tcBorders>
              <w:top w:val="single" w:sz="4" w:space="0" w:color="auto"/>
              <w:left w:val="single" w:sz="4" w:space="0" w:color="auto"/>
              <w:bottom w:val="single" w:sz="4" w:space="0" w:color="auto"/>
              <w:right w:val="single" w:sz="4" w:space="0" w:color="auto"/>
            </w:tcBorders>
          </w:tcPr>
          <w:p w:rsidR="004E3F82" w:rsidRPr="001436D3" w:rsidRDefault="004E3F82" w:rsidP="00A66CBF">
            <w:pPr>
              <w:shd w:val="clear" w:color="auto" w:fill="FFFFFF"/>
              <w:tabs>
                <w:tab w:val="left" w:pos="426"/>
              </w:tabs>
              <w:spacing w:after="0" w:line="240" w:lineRule="auto"/>
              <w:jc w:val="left"/>
            </w:pPr>
            <w:r>
              <w:t>I</w:t>
            </w:r>
            <w:r w:rsidRPr="001436D3">
              <w:t>mprove habitat quality in ephemeral watercourses</w:t>
            </w:r>
          </w:p>
        </w:tc>
        <w:tc>
          <w:tcPr>
            <w:tcW w:w="4252" w:type="dxa"/>
            <w:tcBorders>
              <w:top w:val="single" w:sz="4" w:space="0" w:color="auto"/>
              <w:left w:val="single" w:sz="4" w:space="0" w:color="auto"/>
              <w:bottom w:val="single" w:sz="4" w:space="0" w:color="auto"/>
              <w:right w:val="single" w:sz="4" w:space="0" w:color="auto"/>
            </w:tcBorders>
          </w:tcPr>
          <w:p w:rsidR="004E3F82" w:rsidRPr="00263049" w:rsidRDefault="004E3F82" w:rsidP="00A66CBF">
            <w:pPr>
              <w:shd w:val="clear" w:color="auto" w:fill="FFFFFF"/>
              <w:tabs>
                <w:tab w:val="left" w:pos="426"/>
              </w:tabs>
              <w:spacing w:after="0" w:line="240" w:lineRule="auto"/>
              <w:jc w:val="left"/>
            </w:pPr>
            <w:r w:rsidRPr="00263049">
              <w:t>Ephemeral watercourses not assessed</w:t>
            </w:r>
          </w:p>
        </w:tc>
      </w:tr>
      <w:tr w:rsidR="004E3F82" w:rsidRPr="001436D3" w:rsidTr="00A66CBF">
        <w:tc>
          <w:tcPr>
            <w:tcW w:w="4928" w:type="dxa"/>
            <w:vMerge w:val="restart"/>
            <w:tcBorders>
              <w:top w:val="single" w:sz="4" w:space="0" w:color="auto"/>
              <w:left w:val="single" w:sz="4" w:space="0" w:color="auto"/>
              <w:right w:val="single" w:sz="4" w:space="0" w:color="auto"/>
            </w:tcBorders>
          </w:tcPr>
          <w:p w:rsidR="004E3F82" w:rsidRPr="001436D3" w:rsidRDefault="004E3F82" w:rsidP="00A66CBF">
            <w:pPr>
              <w:shd w:val="clear" w:color="auto" w:fill="FFFFFF"/>
              <w:tabs>
                <w:tab w:val="left" w:pos="426"/>
              </w:tabs>
              <w:spacing w:after="0" w:line="240" w:lineRule="auto"/>
              <w:jc w:val="left"/>
            </w:pPr>
            <w:r>
              <w:t>S</w:t>
            </w:r>
            <w:r w:rsidRPr="001436D3">
              <w:t>upport mobilisation, transport and dispersal of biotic and abiotic material (e.g. sediment, nutrients and organic matter) through longitudinal and lateral hydrological connectivity</w:t>
            </w:r>
          </w:p>
        </w:tc>
        <w:tc>
          <w:tcPr>
            <w:tcW w:w="4252" w:type="dxa"/>
            <w:tcBorders>
              <w:top w:val="single" w:sz="4" w:space="0" w:color="auto"/>
              <w:left w:val="single" w:sz="4" w:space="0" w:color="auto"/>
              <w:bottom w:val="single" w:sz="4" w:space="0" w:color="auto"/>
              <w:right w:val="single" w:sz="4" w:space="0" w:color="auto"/>
            </w:tcBorders>
          </w:tcPr>
          <w:p w:rsidR="004E3F82" w:rsidRPr="00263049" w:rsidRDefault="004E3F82" w:rsidP="00A66CBF">
            <w:pPr>
              <w:shd w:val="clear" w:color="auto" w:fill="FFFFFF"/>
              <w:tabs>
                <w:tab w:val="left" w:pos="426"/>
              </w:tabs>
              <w:spacing w:after="0" w:line="240" w:lineRule="auto"/>
              <w:jc w:val="left"/>
            </w:pPr>
            <w:r w:rsidRPr="00263049">
              <w:t>Mobilisation, transport and dispersal not assessed</w:t>
            </w:r>
          </w:p>
        </w:tc>
      </w:tr>
      <w:tr w:rsidR="004E3F82" w:rsidRPr="001436D3" w:rsidTr="00A66CBF">
        <w:tc>
          <w:tcPr>
            <w:tcW w:w="4928" w:type="dxa"/>
            <w:vMerge/>
            <w:tcBorders>
              <w:left w:val="single" w:sz="4" w:space="0" w:color="auto"/>
              <w:bottom w:val="single" w:sz="4" w:space="0" w:color="auto"/>
              <w:right w:val="single" w:sz="4" w:space="0" w:color="auto"/>
            </w:tcBorders>
          </w:tcPr>
          <w:p w:rsidR="004E3F82" w:rsidRDefault="004E3F82" w:rsidP="00A66CBF">
            <w:pPr>
              <w:shd w:val="clear" w:color="auto" w:fill="FFFFFF"/>
              <w:tabs>
                <w:tab w:val="left" w:pos="426"/>
              </w:tabs>
              <w:spacing w:after="0" w:line="240" w:lineRule="auto"/>
              <w:jc w:val="left"/>
            </w:pPr>
          </w:p>
        </w:tc>
        <w:tc>
          <w:tcPr>
            <w:tcW w:w="4252"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4E3F82" w:rsidRPr="00263049" w:rsidRDefault="004E3F82" w:rsidP="00A66CBF">
            <w:pPr>
              <w:spacing w:after="0" w:line="240" w:lineRule="auto"/>
              <w:jc w:val="left"/>
            </w:pPr>
            <w:r w:rsidRPr="00263049">
              <w:t>Increased longitudinal connectivity</w:t>
            </w:r>
            <w:r>
              <w:t xml:space="preserve">. </w:t>
            </w:r>
            <w:r w:rsidRPr="00263049">
              <w:t>Increased lateral connectivity at some sites</w:t>
            </w:r>
          </w:p>
        </w:tc>
      </w:tr>
      <w:tr w:rsidR="004E3F82" w:rsidRPr="001436D3" w:rsidTr="00A66CBF">
        <w:tc>
          <w:tcPr>
            <w:tcW w:w="4928" w:type="dxa"/>
            <w:tcBorders>
              <w:top w:val="single" w:sz="4" w:space="0" w:color="auto"/>
              <w:left w:val="single" w:sz="4" w:space="0" w:color="auto"/>
              <w:bottom w:val="single" w:sz="4" w:space="0" w:color="auto"/>
              <w:right w:val="single" w:sz="4" w:space="0" w:color="auto"/>
            </w:tcBorders>
          </w:tcPr>
          <w:p w:rsidR="004E3F82" w:rsidRPr="001436D3" w:rsidRDefault="004E3F82" w:rsidP="00A66CBF">
            <w:pPr>
              <w:shd w:val="clear" w:color="auto" w:fill="FFFFFF"/>
              <w:tabs>
                <w:tab w:val="left" w:pos="426"/>
              </w:tabs>
              <w:spacing w:after="0" w:line="240" w:lineRule="auto"/>
              <w:jc w:val="left"/>
            </w:pPr>
            <w:r>
              <w:t>S</w:t>
            </w:r>
            <w:r w:rsidRPr="001436D3">
              <w:t>upport inundation of low-lying wetlands/floodplains habitats within the system</w:t>
            </w:r>
          </w:p>
        </w:tc>
        <w:tc>
          <w:tcPr>
            <w:tcW w:w="4252"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4E3F82" w:rsidRPr="00263049" w:rsidRDefault="004E3F82" w:rsidP="00A66CBF">
            <w:pPr>
              <w:shd w:val="clear" w:color="auto" w:fill="C2D69B" w:themeFill="accent3" w:themeFillTint="99"/>
              <w:tabs>
                <w:tab w:val="left" w:pos="426"/>
              </w:tabs>
              <w:spacing w:after="0" w:line="240" w:lineRule="auto"/>
              <w:jc w:val="left"/>
            </w:pPr>
            <w:r w:rsidRPr="00263049">
              <w:t>Inundation of low lying in-channel features at some sites</w:t>
            </w:r>
          </w:p>
        </w:tc>
      </w:tr>
      <w:tr w:rsidR="004E3F82" w:rsidRPr="001436D3" w:rsidTr="00A66CBF">
        <w:tc>
          <w:tcPr>
            <w:tcW w:w="4928" w:type="dxa"/>
            <w:vMerge w:val="restart"/>
            <w:tcBorders>
              <w:top w:val="single" w:sz="4" w:space="0" w:color="auto"/>
              <w:left w:val="single" w:sz="4" w:space="0" w:color="auto"/>
              <w:right w:val="single" w:sz="4" w:space="0" w:color="auto"/>
            </w:tcBorders>
          </w:tcPr>
          <w:p w:rsidR="004E3F82" w:rsidRPr="001436D3" w:rsidRDefault="004E3F82" w:rsidP="00A66CBF">
            <w:pPr>
              <w:shd w:val="clear" w:color="auto" w:fill="FFFFFF"/>
              <w:tabs>
                <w:tab w:val="left" w:pos="426"/>
              </w:tabs>
              <w:spacing w:after="0" w:line="240" w:lineRule="auto"/>
              <w:jc w:val="left"/>
            </w:pPr>
            <w:r>
              <w:t>M</w:t>
            </w:r>
            <w:r w:rsidRPr="001436D3">
              <w:t>aintain health of riparian, floodplain and wetland native vegetation communities</w:t>
            </w:r>
          </w:p>
        </w:tc>
        <w:tc>
          <w:tcPr>
            <w:tcW w:w="4252" w:type="dxa"/>
            <w:tcBorders>
              <w:top w:val="single" w:sz="4" w:space="0" w:color="auto"/>
              <w:left w:val="single" w:sz="4" w:space="0" w:color="auto"/>
              <w:bottom w:val="single" w:sz="4" w:space="0" w:color="auto"/>
              <w:right w:val="single" w:sz="4" w:space="0" w:color="auto"/>
            </w:tcBorders>
          </w:tcPr>
          <w:p w:rsidR="004E3F82" w:rsidRPr="00263049" w:rsidRDefault="004E3F82" w:rsidP="00A66CBF">
            <w:pPr>
              <w:shd w:val="clear" w:color="auto" w:fill="FFFFFF"/>
              <w:tabs>
                <w:tab w:val="left" w:pos="426"/>
              </w:tabs>
              <w:spacing w:after="0" w:line="240" w:lineRule="auto"/>
              <w:jc w:val="left"/>
            </w:pPr>
            <w:r w:rsidRPr="00263049">
              <w:t xml:space="preserve">Floodplain and wetland vegetation not assessed. </w:t>
            </w:r>
          </w:p>
        </w:tc>
      </w:tr>
      <w:tr w:rsidR="004E3F82" w:rsidRPr="001436D3" w:rsidTr="00A66CBF">
        <w:tc>
          <w:tcPr>
            <w:tcW w:w="4928" w:type="dxa"/>
            <w:vMerge/>
            <w:tcBorders>
              <w:left w:val="single" w:sz="4" w:space="0" w:color="auto"/>
              <w:bottom w:val="single" w:sz="4" w:space="0" w:color="auto"/>
              <w:right w:val="single" w:sz="4" w:space="0" w:color="auto"/>
            </w:tcBorders>
          </w:tcPr>
          <w:p w:rsidR="004E3F82" w:rsidRDefault="004E3F82" w:rsidP="00A66CBF">
            <w:pPr>
              <w:shd w:val="clear" w:color="auto" w:fill="FFFFFF"/>
              <w:tabs>
                <w:tab w:val="left" w:pos="426"/>
              </w:tabs>
              <w:spacing w:after="0" w:line="240" w:lineRule="auto"/>
              <w:jc w:val="left"/>
            </w:pPr>
          </w:p>
        </w:tc>
        <w:tc>
          <w:tcPr>
            <w:tcW w:w="4252"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4E3F82" w:rsidRPr="00263049" w:rsidRDefault="004E3F82" w:rsidP="00A66CBF">
            <w:pPr>
              <w:spacing w:after="0" w:line="240" w:lineRule="auto"/>
              <w:jc w:val="left"/>
            </w:pPr>
            <w:r w:rsidRPr="00263049">
              <w:t>Cover and diversity of riverbank and aquatic vegetation was improved at most sites</w:t>
            </w:r>
          </w:p>
        </w:tc>
      </w:tr>
      <w:tr w:rsidR="004E3F82" w:rsidRPr="001436D3" w:rsidTr="00A66CBF">
        <w:trPr>
          <w:trHeight w:val="576"/>
        </w:trPr>
        <w:tc>
          <w:tcPr>
            <w:tcW w:w="4928" w:type="dxa"/>
            <w:tcBorders>
              <w:top w:val="single" w:sz="4" w:space="0" w:color="auto"/>
              <w:left w:val="single" w:sz="4" w:space="0" w:color="auto"/>
              <w:bottom w:val="single" w:sz="4" w:space="0" w:color="auto"/>
              <w:right w:val="single" w:sz="4" w:space="0" w:color="auto"/>
            </w:tcBorders>
          </w:tcPr>
          <w:p w:rsidR="004E3F82" w:rsidRPr="001436D3" w:rsidRDefault="004E3F82" w:rsidP="00A66CBF">
            <w:pPr>
              <w:shd w:val="clear" w:color="auto" w:fill="FFFFFF"/>
              <w:tabs>
                <w:tab w:val="left" w:pos="426"/>
              </w:tabs>
              <w:spacing w:after="0" w:line="240" w:lineRule="auto"/>
              <w:jc w:val="left"/>
            </w:pPr>
            <w:r>
              <w:t>C</w:t>
            </w:r>
            <w:r w:rsidRPr="001436D3">
              <w:t>ontribute to a more natural wetting-drying cycle for ephemeral wetlands and watercourses</w:t>
            </w:r>
          </w:p>
        </w:tc>
        <w:tc>
          <w:tcPr>
            <w:tcW w:w="4252" w:type="dxa"/>
            <w:tcBorders>
              <w:top w:val="single" w:sz="4" w:space="0" w:color="auto"/>
              <w:left w:val="single" w:sz="4" w:space="0" w:color="auto"/>
              <w:bottom w:val="single" w:sz="4" w:space="0" w:color="auto"/>
              <w:right w:val="single" w:sz="4" w:space="0" w:color="auto"/>
            </w:tcBorders>
          </w:tcPr>
          <w:p w:rsidR="004E3F82" w:rsidRPr="00263049" w:rsidRDefault="004E3F82" w:rsidP="00A66CBF">
            <w:pPr>
              <w:shd w:val="clear" w:color="auto" w:fill="FFFFFF"/>
              <w:tabs>
                <w:tab w:val="left" w:pos="426"/>
              </w:tabs>
              <w:spacing w:after="0" w:line="240" w:lineRule="auto"/>
              <w:jc w:val="left"/>
            </w:pPr>
            <w:r w:rsidRPr="00263049">
              <w:t>Not assessed</w:t>
            </w:r>
          </w:p>
        </w:tc>
      </w:tr>
      <w:tr w:rsidR="004E3F82" w:rsidRPr="001436D3" w:rsidTr="00A66CBF">
        <w:tc>
          <w:tcPr>
            <w:tcW w:w="4928" w:type="dxa"/>
            <w:tcBorders>
              <w:top w:val="single" w:sz="4" w:space="0" w:color="auto"/>
              <w:left w:val="single" w:sz="4" w:space="0" w:color="auto"/>
              <w:bottom w:val="single" w:sz="4" w:space="0" w:color="auto"/>
              <w:right w:val="single" w:sz="4" w:space="0" w:color="auto"/>
            </w:tcBorders>
          </w:tcPr>
          <w:p w:rsidR="004E3F82" w:rsidRPr="001436D3" w:rsidRDefault="004E3F82" w:rsidP="00A66CBF">
            <w:pPr>
              <w:shd w:val="clear" w:color="auto" w:fill="FFFFFF"/>
              <w:tabs>
                <w:tab w:val="left" w:pos="426"/>
              </w:tabs>
              <w:spacing w:after="0" w:line="240" w:lineRule="auto"/>
              <w:jc w:val="left"/>
            </w:pPr>
            <w:r>
              <w:t>M</w:t>
            </w:r>
            <w:r w:rsidRPr="001436D3">
              <w:t>aintain/improve water quality within the system, particularly dissolved oxygen, salinity and pH</w:t>
            </w:r>
          </w:p>
        </w:tc>
        <w:tc>
          <w:tcPr>
            <w:tcW w:w="4252"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4E3F82" w:rsidRPr="00263049" w:rsidRDefault="004E3F82" w:rsidP="00A66CBF">
            <w:pPr>
              <w:shd w:val="clear" w:color="auto" w:fill="C2D69B" w:themeFill="accent3" w:themeFillTint="99"/>
              <w:tabs>
                <w:tab w:val="left" w:pos="426"/>
              </w:tabs>
              <w:spacing w:after="0" w:line="240" w:lineRule="auto"/>
              <w:jc w:val="left"/>
            </w:pPr>
            <w:r w:rsidRPr="00263049">
              <w:t xml:space="preserve">Concentration of dissolved oxygen and rates of ecosystem respiration </w:t>
            </w:r>
            <w:r>
              <w:t xml:space="preserve">was </w:t>
            </w:r>
            <w:r w:rsidRPr="00263049">
              <w:t>maintained in reaches receiving environmental water</w:t>
            </w:r>
          </w:p>
        </w:tc>
      </w:tr>
      <w:tr w:rsidR="004E3F82" w:rsidRPr="001436D3" w:rsidTr="00A66CBF">
        <w:tc>
          <w:tcPr>
            <w:tcW w:w="4928" w:type="dxa"/>
            <w:vMerge w:val="restart"/>
            <w:tcBorders>
              <w:top w:val="single" w:sz="4" w:space="0" w:color="auto"/>
              <w:left w:val="single" w:sz="4" w:space="0" w:color="auto"/>
              <w:right w:val="single" w:sz="4" w:space="0" w:color="auto"/>
            </w:tcBorders>
          </w:tcPr>
          <w:p w:rsidR="004E3F82" w:rsidRPr="001436D3" w:rsidRDefault="004E3F82" w:rsidP="00A66CBF">
            <w:pPr>
              <w:shd w:val="clear" w:color="auto" w:fill="FFFFFF"/>
              <w:tabs>
                <w:tab w:val="left" w:pos="426"/>
              </w:tabs>
              <w:spacing w:after="0" w:line="240" w:lineRule="auto"/>
              <w:jc w:val="left"/>
            </w:pPr>
            <w:r>
              <w:t>I</w:t>
            </w:r>
            <w:r w:rsidRPr="001436D3">
              <w:t>mprove ecosystem and population resilience through supporting ecological recovery and maintaining aquatic habitat</w:t>
            </w:r>
          </w:p>
        </w:tc>
        <w:tc>
          <w:tcPr>
            <w:tcW w:w="4252"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4E3F82" w:rsidRPr="00263049" w:rsidRDefault="004E3F82" w:rsidP="00A66CBF">
            <w:pPr>
              <w:shd w:val="clear" w:color="auto" w:fill="C2D69B" w:themeFill="accent3" w:themeFillTint="99"/>
              <w:tabs>
                <w:tab w:val="left" w:pos="426"/>
              </w:tabs>
              <w:spacing w:after="0" w:line="240" w:lineRule="auto"/>
              <w:jc w:val="left"/>
            </w:pPr>
            <w:r w:rsidRPr="00263049">
              <w:t>Aquatic habitat (aquatic vegetation, slackwater) was maintained at most sites receiving environmental water</w:t>
            </w:r>
          </w:p>
        </w:tc>
      </w:tr>
      <w:tr w:rsidR="004E3F82" w:rsidRPr="001436D3" w:rsidTr="00A66CBF">
        <w:tc>
          <w:tcPr>
            <w:tcW w:w="4928" w:type="dxa"/>
            <w:vMerge/>
            <w:tcBorders>
              <w:left w:val="single" w:sz="4" w:space="0" w:color="auto"/>
              <w:bottom w:val="single" w:sz="4" w:space="0" w:color="auto"/>
              <w:right w:val="single" w:sz="4" w:space="0" w:color="auto"/>
            </w:tcBorders>
          </w:tcPr>
          <w:p w:rsidR="004E3F82" w:rsidRDefault="004E3F82" w:rsidP="00A66CBF">
            <w:pPr>
              <w:shd w:val="clear" w:color="auto" w:fill="FFFFFF"/>
              <w:tabs>
                <w:tab w:val="left" w:pos="426"/>
              </w:tabs>
              <w:spacing w:after="0" w:line="240" w:lineRule="auto"/>
              <w:jc w:val="left"/>
            </w:pPr>
          </w:p>
        </w:tc>
        <w:tc>
          <w:tcPr>
            <w:tcW w:w="4252"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rsidR="004E3F82" w:rsidRPr="00263049" w:rsidRDefault="004E3F82" w:rsidP="00A66CBF">
            <w:pPr>
              <w:spacing w:after="0" w:line="240" w:lineRule="auto"/>
              <w:jc w:val="left"/>
            </w:pPr>
            <w:r w:rsidRPr="00263049">
              <w:t xml:space="preserve">Reduced area of slackwater in </w:t>
            </w:r>
            <w:r>
              <w:t>Yallakool Creek</w:t>
            </w:r>
          </w:p>
        </w:tc>
      </w:tr>
    </w:tbl>
    <w:p w:rsidR="004E3F82" w:rsidRPr="004E3F82" w:rsidRDefault="00E64C68" w:rsidP="004E3F82">
      <w:pPr>
        <w:spacing w:after="120" w:line="240" w:lineRule="auto"/>
        <w:rPr>
          <w:sz w:val="20"/>
        </w:rPr>
      </w:pPr>
      <w:r>
        <w:rPr>
          <w:b/>
          <w:sz w:val="20"/>
        </w:rPr>
        <w:t>Table iii</w:t>
      </w:r>
      <w:r w:rsidR="004E3F82" w:rsidRPr="004E3F82">
        <w:rPr>
          <w:b/>
          <w:sz w:val="20"/>
        </w:rPr>
        <w:t>.</w:t>
      </w:r>
      <w:r w:rsidR="004E3F82" w:rsidRPr="004E3F82">
        <w:rPr>
          <w:sz w:val="20"/>
        </w:rPr>
        <w:t xml:space="preserve"> Assessment of outcomes of Commonwealth environmental watering against the environmental watering objectives defined for the Yallakool Creek environmental watering action in 2014-15. Green shading indicates positive response, red shading indicates negative response, grey shading indicates no detectable response (either positive or negative) to environmental watering. White boxes indicate no evaluation was undertaken.</w:t>
      </w:r>
    </w:p>
    <w:tbl>
      <w:tblPr>
        <w:tblStyle w:val="TableGrid"/>
        <w:tblW w:w="8921"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93"/>
        <w:gridCol w:w="3828"/>
      </w:tblGrid>
      <w:tr w:rsidR="004E3F82" w:rsidRPr="001436D3" w:rsidTr="00A66CBF">
        <w:tc>
          <w:tcPr>
            <w:tcW w:w="5093" w:type="dxa"/>
            <w:tcBorders>
              <w:top w:val="single" w:sz="4" w:space="0" w:color="auto"/>
              <w:left w:val="single" w:sz="4" w:space="0" w:color="auto"/>
              <w:bottom w:val="single" w:sz="4" w:space="0" w:color="auto"/>
              <w:right w:val="single" w:sz="4" w:space="0" w:color="auto"/>
            </w:tcBorders>
            <w:shd w:val="clear" w:color="auto" w:fill="auto"/>
          </w:tcPr>
          <w:p w:rsidR="004E3F82" w:rsidRPr="008B14FF" w:rsidRDefault="004E3F82" w:rsidP="00A66CBF">
            <w:pPr>
              <w:shd w:val="clear" w:color="auto" w:fill="FFFFFF"/>
              <w:tabs>
                <w:tab w:val="left" w:pos="426"/>
              </w:tabs>
              <w:spacing w:after="0" w:line="240" w:lineRule="auto"/>
              <w:jc w:val="left"/>
              <w:rPr>
                <w:b/>
              </w:rPr>
            </w:pPr>
            <w:r w:rsidRPr="008B14FF">
              <w:rPr>
                <w:b/>
              </w:rPr>
              <w:t>Commonwealth environmental watering objective for the Yallakool Creek environmental watering action</w:t>
            </w:r>
          </w:p>
        </w:tc>
        <w:tc>
          <w:tcPr>
            <w:tcW w:w="3828" w:type="dxa"/>
            <w:tcBorders>
              <w:top w:val="single" w:sz="4" w:space="0" w:color="auto"/>
              <w:left w:val="single" w:sz="4" w:space="0" w:color="auto"/>
              <w:bottom w:val="single" w:sz="4" w:space="0" w:color="auto"/>
              <w:right w:val="single" w:sz="4" w:space="0" w:color="auto"/>
            </w:tcBorders>
            <w:shd w:val="clear" w:color="auto" w:fill="auto"/>
          </w:tcPr>
          <w:p w:rsidR="004E3F82" w:rsidRPr="008B14FF" w:rsidRDefault="004E3F82" w:rsidP="00A66CBF">
            <w:pPr>
              <w:shd w:val="clear" w:color="auto" w:fill="FFFFFF"/>
              <w:tabs>
                <w:tab w:val="left" w:pos="426"/>
              </w:tabs>
              <w:spacing w:after="0"/>
              <w:jc w:val="left"/>
              <w:rPr>
                <w:b/>
              </w:rPr>
            </w:pPr>
            <w:r w:rsidRPr="008B14FF">
              <w:rPr>
                <w:b/>
              </w:rPr>
              <w:t>Objective achieved or not achieved</w:t>
            </w:r>
          </w:p>
        </w:tc>
      </w:tr>
      <w:tr w:rsidR="004E3F82" w:rsidRPr="001436D3" w:rsidTr="00A66CBF">
        <w:tc>
          <w:tcPr>
            <w:tcW w:w="5093" w:type="dxa"/>
            <w:vMerge w:val="restart"/>
            <w:tcBorders>
              <w:top w:val="single" w:sz="4" w:space="0" w:color="auto"/>
              <w:left w:val="single" w:sz="4" w:space="0" w:color="auto"/>
              <w:right w:val="single" w:sz="4" w:space="0" w:color="auto"/>
            </w:tcBorders>
          </w:tcPr>
          <w:p w:rsidR="004E3F82" w:rsidRPr="001436D3" w:rsidRDefault="004E3F82" w:rsidP="00A66CBF">
            <w:pPr>
              <w:shd w:val="clear" w:color="auto" w:fill="FFFFFF"/>
              <w:tabs>
                <w:tab w:val="left" w:pos="426"/>
              </w:tabs>
              <w:spacing w:after="0" w:line="240" w:lineRule="auto"/>
              <w:jc w:val="left"/>
            </w:pPr>
            <w:r>
              <w:t>S</w:t>
            </w:r>
            <w:r w:rsidRPr="0050051F">
              <w:t>upport inundation of Murray cod nesting sites and contribute to maximising Murray cod recruitment</w:t>
            </w:r>
          </w:p>
        </w:tc>
        <w:tc>
          <w:tcPr>
            <w:tcW w:w="3828" w:type="dxa"/>
            <w:tcBorders>
              <w:top w:val="single" w:sz="4" w:space="0" w:color="auto"/>
              <w:left w:val="nil"/>
              <w:bottom w:val="single" w:sz="4" w:space="0" w:color="auto"/>
              <w:right w:val="single" w:sz="4" w:space="0" w:color="auto"/>
            </w:tcBorders>
          </w:tcPr>
          <w:p w:rsidR="004E3F82" w:rsidRPr="001436D3" w:rsidRDefault="004E3F82" w:rsidP="00A66CBF">
            <w:pPr>
              <w:shd w:val="clear" w:color="auto" w:fill="FFFFFF"/>
              <w:tabs>
                <w:tab w:val="left" w:pos="426"/>
              </w:tabs>
              <w:spacing w:after="0" w:line="240" w:lineRule="auto"/>
              <w:jc w:val="left"/>
            </w:pPr>
            <w:r>
              <w:t>Extent of inundation of Murray cod nesting sites not assessed, but it is expected that the environmental flow inundated nests</w:t>
            </w:r>
          </w:p>
        </w:tc>
      </w:tr>
      <w:tr w:rsidR="004E3F82" w:rsidRPr="001436D3" w:rsidTr="00A66CBF">
        <w:tc>
          <w:tcPr>
            <w:tcW w:w="5093" w:type="dxa"/>
            <w:vMerge/>
            <w:tcBorders>
              <w:left w:val="single" w:sz="4" w:space="0" w:color="auto"/>
              <w:bottom w:val="single" w:sz="4" w:space="0" w:color="auto"/>
              <w:right w:val="single" w:sz="4" w:space="0" w:color="auto"/>
            </w:tcBorders>
          </w:tcPr>
          <w:p w:rsidR="004E3F82" w:rsidRDefault="004E3F82" w:rsidP="00A66CBF">
            <w:pPr>
              <w:shd w:val="clear" w:color="auto" w:fill="FFFFFF"/>
              <w:tabs>
                <w:tab w:val="left" w:pos="426"/>
              </w:tabs>
              <w:spacing w:after="0" w:line="240" w:lineRule="auto"/>
              <w:jc w:val="left"/>
            </w:pPr>
          </w:p>
        </w:tc>
        <w:tc>
          <w:tcPr>
            <w:tcW w:w="3828" w:type="dxa"/>
            <w:tcBorders>
              <w:top w:val="single" w:sz="4" w:space="0" w:color="auto"/>
              <w:left w:val="nil"/>
              <w:bottom w:val="single" w:sz="4" w:space="0" w:color="auto"/>
              <w:right w:val="single" w:sz="4" w:space="0" w:color="auto"/>
            </w:tcBorders>
            <w:shd w:val="clear" w:color="auto" w:fill="D9D9D9" w:themeFill="background1" w:themeFillShade="D9"/>
          </w:tcPr>
          <w:p w:rsidR="004E3F82" w:rsidRPr="00263049" w:rsidRDefault="004E3F82" w:rsidP="00A66CBF">
            <w:pPr>
              <w:spacing w:after="0" w:line="240" w:lineRule="auto"/>
            </w:pPr>
            <w:r>
              <w:t>No detectib</w:t>
            </w:r>
            <w:r w:rsidRPr="00263049">
              <w:t>le improvement in Murray cod recruitment</w:t>
            </w:r>
          </w:p>
        </w:tc>
      </w:tr>
      <w:tr w:rsidR="004E3F82" w:rsidRPr="001436D3" w:rsidTr="00A66CBF">
        <w:tc>
          <w:tcPr>
            <w:tcW w:w="5093" w:type="dxa"/>
            <w:vMerge w:val="restart"/>
            <w:tcBorders>
              <w:top w:val="single" w:sz="4" w:space="0" w:color="auto"/>
              <w:left w:val="single" w:sz="4" w:space="0" w:color="auto"/>
              <w:right w:val="single" w:sz="4" w:space="0" w:color="auto"/>
            </w:tcBorders>
          </w:tcPr>
          <w:p w:rsidR="004E3F82" w:rsidRPr="001436D3" w:rsidRDefault="004E3F82" w:rsidP="00A66CBF">
            <w:pPr>
              <w:shd w:val="clear" w:color="auto" w:fill="FFFFFF"/>
              <w:tabs>
                <w:tab w:val="left" w:pos="426"/>
              </w:tabs>
              <w:spacing w:after="0" w:line="240" w:lineRule="auto"/>
              <w:jc w:val="left"/>
            </w:pPr>
            <w:r>
              <w:t>C</w:t>
            </w:r>
            <w:r w:rsidRPr="0050051F">
              <w:t>ontribute to improved opportunities for movement, condition, reproduction and recruitment of native fish</w:t>
            </w:r>
          </w:p>
        </w:tc>
        <w:tc>
          <w:tcPr>
            <w:tcW w:w="3828" w:type="dxa"/>
            <w:tcBorders>
              <w:top w:val="single" w:sz="4" w:space="0" w:color="auto"/>
              <w:left w:val="nil"/>
              <w:bottom w:val="single" w:sz="4" w:space="0" w:color="auto"/>
              <w:right w:val="single" w:sz="4" w:space="0" w:color="auto"/>
            </w:tcBorders>
          </w:tcPr>
          <w:p w:rsidR="004E3F82" w:rsidRPr="001436D3" w:rsidRDefault="004E3F82" w:rsidP="00A66CBF">
            <w:pPr>
              <w:shd w:val="clear" w:color="auto" w:fill="FFFFFF"/>
              <w:tabs>
                <w:tab w:val="left" w:pos="426"/>
              </w:tabs>
              <w:spacing w:after="0" w:line="240" w:lineRule="auto"/>
              <w:jc w:val="left"/>
            </w:pPr>
            <w:r>
              <w:t>Fish movement not assessed in 2014-15</w:t>
            </w:r>
          </w:p>
        </w:tc>
      </w:tr>
      <w:tr w:rsidR="004E3F82" w:rsidRPr="001436D3" w:rsidTr="00A66CBF">
        <w:tc>
          <w:tcPr>
            <w:tcW w:w="5093" w:type="dxa"/>
            <w:vMerge/>
            <w:tcBorders>
              <w:left w:val="single" w:sz="4" w:space="0" w:color="auto"/>
              <w:bottom w:val="single" w:sz="4" w:space="0" w:color="auto"/>
              <w:right w:val="single" w:sz="4" w:space="0" w:color="auto"/>
            </w:tcBorders>
          </w:tcPr>
          <w:p w:rsidR="004E3F82" w:rsidRDefault="004E3F82" w:rsidP="00A66CBF">
            <w:pPr>
              <w:shd w:val="clear" w:color="auto" w:fill="FFFFFF"/>
              <w:tabs>
                <w:tab w:val="left" w:pos="426"/>
              </w:tabs>
              <w:spacing w:after="0" w:line="240" w:lineRule="auto"/>
              <w:jc w:val="left"/>
            </w:pPr>
          </w:p>
        </w:tc>
        <w:tc>
          <w:tcPr>
            <w:tcW w:w="3828" w:type="dxa"/>
            <w:tcBorders>
              <w:top w:val="single" w:sz="4" w:space="0" w:color="auto"/>
              <w:left w:val="nil"/>
              <w:bottom w:val="single" w:sz="4" w:space="0" w:color="auto"/>
              <w:right w:val="single" w:sz="4" w:space="0" w:color="auto"/>
            </w:tcBorders>
            <w:shd w:val="clear" w:color="auto" w:fill="D9D9D9" w:themeFill="background1" w:themeFillShade="D9"/>
          </w:tcPr>
          <w:p w:rsidR="004E3F82" w:rsidRDefault="004E3F82" w:rsidP="00A66CBF">
            <w:pPr>
              <w:spacing w:after="0" w:line="240" w:lineRule="auto"/>
            </w:pPr>
            <w:r w:rsidRPr="00263049">
              <w:t>No detectible improvement in reproduction or recruitment of native fish</w:t>
            </w:r>
          </w:p>
        </w:tc>
      </w:tr>
      <w:tr w:rsidR="004E3F82" w:rsidRPr="001436D3" w:rsidTr="00A66CBF">
        <w:tc>
          <w:tcPr>
            <w:tcW w:w="5093" w:type="dxa"/>
            <w:vMerge w:val="restart"/>
            <w:tcBorders>
              <w:top w:val="single" w:sz="4" w:space="0" w:color="auto"/>
              <w:left w:val="single" w:sz="4" w:space="0" w:color="auto"/>
              <w:right w:val="single" w:sz="4" w:space="0" w:color="auto"/>
            </w:tcBorders>
          </w:tcPr>
          <w:p w:rsidR="004E3F82" w:rsidRPr="001436D3" w:rsidRDefault="004E3F82" w:rsidP="00A66CBF">
            <w:pPr>
              <w:shd w:val="clear" w:color="auto" w:fill="FFFFFF"/>
              <w:tabs>
                <w:tab w:val="left" w:pos="426"/>
              </w:tabs>
              <w:spacing w:after="0" w:line="240" w:lineRule="auto"/>
              <w:jc w:val="left"/>
            </w:pPr>
            <w:r>
              <w:t>I</w:t>
            </w:r>
            <w:r w:rsidRPr="0050051F">
              <w:t xml:space="preserve">ncrease hydrological connectivity, including inundation of slackwater habitats areas </w:t>
            </w:r>
            <w:r>
              <w:t>downstream of</w:t>
            </w:r>
            <w:r w:rsidRPr="0050051F">
              <w:t xml:space="preserve"> the Yallakool-Wakool confluence, providing opportunities for recruitment of s</w:t>
            </w:r>
            <w:r>
              <w:t xml:space="preserve">mall bodied native fish, frogs and </w:t>
            </w:r>
            <w:r w:rsidRPr="0050051F">
              <w:t>shrimp</w:t>
            </w:r>
          </w:p>
        </w:tc>
        <w:tc>
          <w:tcPr>
            <w:tcW w:w="3828" w:type="dxa"/>
            <w:tcBorders>
              <w:top w:val="single" w:sz="4" w:space="0" w:color="auto"/>
              <w:left w:val="nil"/>
              <w:bottom w:val="single" w:sz="4" w:space="0" w:color="auto"/>
              <w:right w:val="single" w:sz="4" w:space="0" w:color="auto"/>
            </w:tcBorders>
            <w:shd w:val="clear" w:color="auto" w:fill="C2D69B" w:themeFill="accent3" w:themeFillTint="99"/>
          </w:tcPr>
          <w:p w:rsidR="004E3F82" w:rsidRPr="00277D02" w:rsidRDefault="004E3F82" w:rsidP="00A66CBF">
            <w:pPr>
              <w:spacing w:after="0" w:line="240" w:lineRule="auto"/>
            </w:pPr>
            <w:r w:rsidRPr="00263049">
              <w:t>There was increased longitudinal connectivity.</w:t>
            </w:r>
            <w:r>
              <w:t xml:space="preserve"> </w:t>
            </w:r>
            <w:r w:rsidRPr="00263049">
              <w:t>There was increased lateral hydrological connectivity at some sites</w:t>
            </w:r>
          </w:p>
        </w:tc>
      </w:tr>
      <w:tr w:rsidR="004E3F82" w:rsidRPr="001436D3" w:rsidTr="00A66CBF">
        <w:trPr>
          <w:trHeight w:val="396"/>
        </w:trPr>
        <w:tc>
          <w:tcPr>
            <w:tcW w:w="5093" w:type="dxa"/>
            <w:vMerge/>
            <w:tcBorders>
              <w:left w:val="single" w:sz="4" w:space="0" w:color="auto"/>
              <w:bottom w:val="single" w:sz="4" w:space="0" w:color="auto"/>
              <w:right w:val="single" w:sz="4" w:space="0" w:color="auto"/>
            </w:tcBorders>
          </w:tcPr>
          <w:p w:rsidR="004E3F82" w:rsidRDefault="004E3F82" w:rsidP="00A66CBF">
            <w:pPr>
              <w:shd w:val="clear" w:color="auto" w:fill="FFFFFF"/>
              <w:tabs>
                <w:tab w:val="left" w:pos="426"/>
              </w:tabs>
              <w:spacing w:after="0" w:line="240" w:lineRule="auto"/>
              <w:jc w:val="left"/>
            </w:pPr>
          </w:p>
        </w:tc>
        <w:tc>
          <w:tcPr>
            <w:tcW w:w="3828" w:type="dxa"/>
            <w:tcBorders>
              <w:top w:val="single" w:sz="4" w:space="0" w:color="auto"/>
              <w:left w:val="nil"/>
              <w:bottom w:val="single" w:sz="4" w:space="0" w:color="auto"/>
              <w:right w:val="single" w:sz="4" w:space="0" w:color="auto"/>
            </w:tcBorders>
            <w:shd w:val="clear" w:color="auto" w:fill="E5B8B7" w:themeFill="accent2" w:themeFillTint="66"/>
          </w:tcPr>
          <w:p w:rsidR="004E3F82" w:rsidRPr="00277D02" w:rsidRDefault="004E3F82" w:rsidP="00A66CBF">
            <w:pPr>
              <w:spacing w:after="0" w:line="240" w:lineRule="auto"/>
            </w:pPr>
            <w:r w:rsidRPr="00277D02">
              <w:t xml:space="preserve">Reduced area of slackwater in </w:t>
            </w:r>
            <w:r>
              <w:t>Yallakool Creek</w:t>
            </w:r>
          </w:p>
        </w:tc>
      </w:tr>
      <w:tr w:rsidR="004E3F82" w:rsidRPr="001436D3" w:rsidTr="00A66CBF">
        <w:tc>
          <w:tcPr>
            <w:tcW w:w="5093" w:type="dxa"/>
            <w:tcBorders>
              <w:top w:val="single" w:sz="4" w:space="0" w:color="auto"/>
              <w:left w:val="single" w:sz="4" w:space="0" w:color="auto"/>
              <w:bottom w:val="single" w:sz="4" w:space="0" w:color="auto"/>
              <w:right w:val="single" w:sz="4" w:space="0" w:color="auto"/>
            </w:tcBorders>
          </w:tcPr>
          <w:p w:rsidR="004E3F82" w:rsidRPr="001436D3" w:rsidRDefault="004E3F82" w:rsidP="00A66CBF">
            <w:pPr>
              <w:shd w:val="clear" w:color="auto" w:fill="FFFFFF"/>
              <w:tabs>
                <w:tab w:val="left" w:pos="426"/>
              </w:tabs>
              <w:spacing w:after="0" w:line="240" w:lineRule="auto"/>
              <w:jc w:val="left"/>
            </w:pPr>
            <w:r>
              <w:t>M</w:t>
            </w:r>
            <w:r w:rsidRPr="0050051F">
              <w:t>aintain/improve vegetation condition, including fringing vegetation and emergent/submerged aquatic plants</w:t>
            </w:r>
          </w:p>
        </w:tc>
        <w:tc>
          <w:tcPr>
            <w:tcW w:w="3828" w:type="dxa"/>
            <w:tcBorders>
              <w:top w:val="single" w:sz="4" w:space="0" w:color="auto"/>
              <w:left w:val="nil"/>
              <w:bottom w:val="single" w:sz="4" w:space="0" w:color="auto"/>
              <w:right w:val="single" w:sz="4" w:space="0" w:color="auto"/>
            </w:tcBorders>
            <w:shd w:val="clear" w:color="auto" w:fill="C2D69B" w:themeFill="accent3" w:themeFillTint="99"/>
          </w:tcPr>
          <w:p w:rsidR="004E3F82" w:rsidRPr="00277D02" w:rsidRDefault="004E3F82" w:rsidP="00A66CBF">
            <w:pPr>
              <w:spacing w:after="120" w:line="240" w:lineRule="auto"/>
            </w:pPr>
            <w:r w:rsidRPr="00277D02">
              <w:t xml:space="preserve">Cover and diversity of riverbank and </w:t>
            </w:r>
            <w:r w:rsidRPr="00263049">
              <w:t>aquatic</w:t>
            </w:r>
            <w:r w:rsidRPr="00277D02">
              <w:t xml:space="preserve"> vegetation was improved at most sites</w:t>
            </w:r>
          </w:p>
        </w:tc>
      </w:tr>
      <w:tr w:rsidR="004E3F82" w:rsidRPr="001436D3" w:rsidTr="00A66CBF">
        <w:tc>
          <w:tcPr>
            <w:tcW w:w="5093" w:type="dxa"/>
            <w:tcBorders>
              <w:top w:val="single" w:sz="4" w:space="0" w:color="auto"/>
              <w:left w:val="single" w:sz="4" w:space="0" w:color="auto"/>
              <w:bottom w:val="single" w:sz="4" w:space="0" w:color="auto"/>
              <w:right w:val="single" w:sz="4" w:space="0" w:color="auto"/>
            </w:tcBorders>
          </w:tcPr>
          <w:p w:rsidR="004E3F82" w:rsidRPr="001436D3" w:rsidRDefault="004E3F82" w:rsidP="00A66CBF">
            <w:pPr>
              <w:shd w:val="clear" w:color="auto" w:fill="FFFFFF"/>
              <w:tabs>
                <w:tab w:val="left" w:pos="426"/>
              </w:tabs>
              <w:spacing w:after="0" w:line="240" w:lineRule="auto"/>
              <w:jc w:val="left"/>
            </w:pPr>
            <w:r>
              <w:t>M</w:t>
            </w:r>
            <w:r w:rsidRPr="0050051F">
              <w:t>aintain/improve water quality within the system, particularly dissolved oxygen, salinity and pH</w:t>
            </w:r>
          </w:p>
        </w:tc>
        <w:tc>
          <w:tcPr>
            <w:tcW w:w="3828" w:type="dxa"/>
            <w:tcBorders>
              <w:top w:val="single" w:sz="4" w:space="0" w:color="auto"/>
              <w:left w:val="nil"/>
              <w:bottom w:val="single" w:sz="4" w:space="0" w:color="auto"/>
              <w:right w:val="single" w:sz="4" w:space="0" w:color="auto"/>
            </w:tcBorders>
            <w:shd w:val="clear" w:color="auto" w:fill="C2D69B" w:themeFill="accent3" w:themeFillTint="99"/>
          </w:tcPr>
          <w:p w:rsidR="004E3F82" w:rsidRPr="00277D02" w:rsidRDefault="004E3F82" w:rsidP="00A66CBF">
            <w:pPr>
              <w:spacing w:after="0" w:line="240" w:lineRule="auto"/>
            </w:pPr>
            <w:r w:rsidRPr="00263049">
              <w:t xml:space="preserve">Concentration of dissolved oxygen and rates of ecosystem respiration </w:t>
            </w:r>
            <w:r>
              <w:t xml:space="preserve">was </w:t>
            </w:r>
            <w:r w:rsidRPr="00263049">
              <w:t>maintained in reaches receiving environmental water</w:t>
            </w:r>
          </w:p>
        </w:tc>
      </w:tr>
      <w:tr w:rsidR="004E3F82" w:rsidRPr="001436D3" w:rsidTr="00A66CBF">
        <w:tc>
          <w:tcPr>
            <w:tcW w:w="5093" w:type="dxa"/>
            <w:tcBorders>
              <w:top w:val="single" w:sz="4" w:space="0" w:color="auto"/>
              <w:left w:val="single" w:sz="4" w:space="0" w:color="auto"/>
              <w:bottom w:val="single" w:sz="4" w:space="0" w:color="auto"/>
              <w:right w:val="single" w:sz="4" w:space="0" w:color="auto"/>
            </w:tcBorders>
          </w:tcPr>
          <w:p w:rsidR="004E3F82" w:rsidRPr="001436D3" w:rsidRDefault="004E3F82" w:rsidP="00A66CBF">
            <w:pPr>
              <w:shd w:val="clear" w:color="auto" w:fill="FFFFFF"/>
              <w:tabs>
                <w:tab w:val="left" w:pos="426"/>
              </w:tabs>
              <w:spacing w:after="0" w:line="240" w:lineRule="auto"/>
              <w:jc w:val="left"/>
            </w:pPr>
            <w:r>
              <w:t>C</w:t>
            </w:r>
            <w:r w:rsidRPr="0050051F">
              <w:t>ontribute to maximising outcomes in the Wakool from outflows from Koondrook-Perricoota and provide greater volume of receiving water</w:t>
            </w:r>
          </w:p>
        </w:tc>
        <w:tc>
          <w:tcPr>
            <w:tcW w:w="3828" w:type="dxa"/>
            <w:tcBorders>
              <w:top w:val="single" w:sz="4" w:space="0" w:color="auto"/>
              <w:left w:val="nil"/>
              <w:bottom w:val="single" w:sz="4" w:space="0" w:color="auto"/>
              <w:right w:val="single" w:sz="4" w:space="0" w:color="auto"/>
            </w:tcBorders>
          </w:tcPr>
          <w:p w:rsidR="004E3F82" w:rsidRPr="001436D3" w:rsidRDefault="004E3F82" w:rsidP="00A66CBF">
            <w:pPr>
              <w:shd w:val="clear" w:color="auto" w:fill="FFFFFF"/>
              <w:tabs>
                <w:tab w:val="left" w:pos="426"/>
              </w:tabs>
              <w:spacing w:after="0" w:line="240" w:lineRule="auto"/>
              <w:jc w:val="left"/>
            </w:pPr>
            <w:r>
              <w:t>Not assessed, because a planned outflow from Koondrook-Perricoota by NSW Forestry did not occur</w:t>
            </w:r>
          </w:p>
        </w:tc>
      </w:tr>
    </w:tbl>
    <w:p w:rsidR="004E3F82" w:rsidRDefault="004E3F82" w:rsidP="004E3F82">
      <w:pPr>
        <w:spacing w:after="0" w:line="240" w:lineRule="auto"/>
        <w:jc w:val="left"/>
        <w:rPr>
          <w:b/>
          <w:sz w:val="24"/>
          <w:szCs w:val="24"/>
        </w:rPr>
      </w:pPr>
      <w:r>
        <w:rPr>
          <w:b/>
          <w:sz w:val="24"/>
          <w:szCs w:val="24"/>
        </w:rPr>
        <w:br w:type="page"/>
      </w:r>
    </w:p>
    <w:p w:rsidR="004E3F82" w:rsidRDefault="004E3F82" w:rsidP="004E3F82">
      <w:pPr>
        <w:spacing w:after="240" w:line="240" w:lineRule="auto"/>
        <w:jc w:val="left"/>
        <w:rPr>
          <w:b/>
          <w:sz w:val="24"/>
          <w:szCs w:val="24"/>
        </w:rPr>
      </w:pPr>
      <w:r w:rsidRPr="00AC165D">
        <w:rPr>
          <w:b/>
          <w:sz w:val="24"/>
          <w:szCs w:val="24"/>
        </w:rPr>
        <w:t>Recommendations</w:t>
      </w:r>
      <w:r>
        <w:rPr>
          <w:b/>
          <w:sz w:val="24"/>
          <w:szCs w:val="24"/>
        </w:rPr>
        <w:t xml:space="preserve"> and application through adaptive management into 2015-16 use of Commonwealth environmental water</w:t>
      </w:r>
    </w:p>
    <w:p w:rsidR="004E3F82" w:rsidRDefault="004E3F82" w:rsidP="004E3F82">
      <w:pPr>
        <w:spacing w:after="240"/>
        <w:jc w:val="left"/>
        <w:rPr>
          <w:b/>
        </w:rPr>
      </w:pPr>
      <w:r>
        <w:t>The ten recommendations listed below include, where applicable, a note to indicate if the recommendation has been applied (as at 31 October 2015) in the 2015-16 use of Commonwealth environmental water in the Edward-Wakool system (commenced on 4 September 2015). A detailed explanation of these recommendations is provided in Watts et al. (2015).</w:t>
      </w:r>
    </w:p>
    <w:p w:rsidR="004E3F82" w:rsidRPr="00FC2F4D" w:rsidRDefault="004E3F82" w:rsidP="004E3F82">
      <w:pPr>
        <w:pBdr>
          <w:top w:val="single" w:sz="4" w:space="1" w:color="auto"/>
          <w:left w:val="single" w:sz="4" w:space="4" w:color="auto"/>
          <w:bottom w:val="single" w:sz="4" w:space="1" w:color="auto"/>
          <w:right w:val="single" w:sz="4" w:space="4" w:color="auto"/>
        </w:pBdr>
        <w:shd w:val="clear" w:color="auto" w:fill="C2D69B" w:themeFill="accent3" w:themeFillTint="99"/>
        <w:spacing w:after="240"/>
        <w:contextualSpacing/>
        <w:jc w:val="left"/>
        <w:rPr>
          <w:b/>
        </w:rPr>
      </w:pPr>
      <w:r w:rsidRPr="00FC2F4D">
        <w:rPr>
          <w:b/>
        </w:rPr>
        <w:t>Recommendation 1. Increase the duration of the recession of Commonwealth</w:t>
      </w:r>
      <w:r>
        <w:rPr>
          <w:b/>
        </w:rPr>
        <w:t xml:space="preserve"> environmental watering actions relative to the Yallakool Creek environmental watering actions in 2012-13 and 2013-14.</w:t>
      </w:r>
    </w:p>
    <w:p w:rsidR="004E3F82" w:rsidRDefault="004E3F82" w:rsidP="004E3F82">
      <w:pPr>
        <w:spacing w:after="240" w:line="240" w:lineRule="auto"/>
        <w:contextualSpacing/>
        <w:rPr>
          <w:b/>
        </w:rPr>
      </w:pPr>
    </w:p>
    <w:p w:rsidR="004E3F82" w:rsidRDefault="004E3F82" w:rsidP="004E3F82">
      <w:pPr>
        <w:pBdr>
          <w:top w:val="single" w:sz="4" w:space="1" w:color="auto"/>
          <w:left w:val="single" w:sz="4" w:space="4" w:color="auto"/>
          <w:bottom w:val="single" w:sz="4" w:space="1" w:color="auto"/>
          <w:right w:val="single" w:sz="4" w:space="4" w:color="auto"/>
        </w:pBdr>
        <w:spacing w:after="120" w:line="240" w:lineRule="auto"/>
        <w:contextualSpacing/>
        <w:jc w:val="left"/>
      </w:pPr>
      <w:r w:rsidRPr="004A33AB">
        <w:rPr>
          <w:b/>
        </w:rPr>
        <w:t xml:space="preserve">Adaptive management response </w:t>
      </w:r>
      <w:r>
        <w:rPr>
          <w:b/>
        </w:rPr>
        <w:t>in</w:t>
      </w:r>
      <w:r w:rsidRPr="004A33AB">
        <w:rPr>
          <w:b/>
        </w:rPr>
        <w:t xml:space="preserve"> 2015-16:</w:t>
      </w:r>
      <w:r>
        <w:t xml:space="preserve"> This recommendation has been applied in the 2015-16 use of Commonwealth environmental water in the Yallakool Creek and Colligen Creek-Niemur River watering actions, particularly to maximise outcomes for instream aquatic vegetation. For example, the recession period for 2015-16 flows in Yallakool Creek was over nine weeks compared to four weeks in 2014-15.</w:t>
      </w:r>
    </w:p>
    <w:p w:rsidR="004E3F82" w:rsidRPr="00AE4D12" w:rsidRDefault="004E3F82" w:rsidP="004E3F82">
      <w:pPr>
        <w:spacing w:after="240" w:line="240" w:lineRule="auto"/>
        <w:contextualSpacing/>
        <w:rPr>
          <w:b/>
        </w:rPr>
      </w:pPr>
    </w:p>
    <w:p w:rsidR="004E3F82" w:rsidRPr="00CE6A88" w:rsidRDefault="004E3F82" w:rsidP="004E3F82">
      <w:pPr>
        <w:pBdr>
          <w:top w:val="single" w:sz="4" w:space="1" w:color="auto"/>
          <w:left w:val="single" w:sz="4" w:space="4" w:color="auto"/>
          <w:bottom w:val="single" w:sz="4" w:space="1" w:color="auto"/>
          <w:right w:val="single" w:sz="4" w:space="4" w:color="auto"/>
        </w:pBdr>
        <w:shd w:val="clear" w:color="auto" w:fill="C2D69B" w:themeFill="accent3" w:themeFillTint="99"/>
        <w:spacing w:after="240"/>
        <w:contextualSpacing/>
        <w:jc w:val="left"/>
        <w:rPr>
          <w:b/>
        </w:rPr>
      </w:pPr>
      <w:r w:rsidRPr="00CE6A88">
        <w:rPr>
          <w:b/>
        </w:rPr>
        <w:t>Recommendation 2. Avoid long periods of constant flows by commencing the recession of environmental watering actions earlier and introducing flow variability into environmental watering actions.</w:t>
      </w:r>
    </w:p>
    <w:p w:rsidR="004E3F82" w:rsidRDefault="004E3F82" w:rsidP="004E3F82">
      <w:pPr>
        <w:spacing w:after="240" w:line="240" w:lineRule="auto"/>
        <w:contextualSpacing/>
        <w:rPr>
          <w:b/>
        </w:rPr>
      </w:pPr>
    </w:p>
    <w:p w:rsidR="004E3F82" w:rsidRDefault="004E3F82" w:rsidP="004E3F82">
      <w:pPr>
        <w:pBdr>
          <w:top w:val="single" w:sz="4" w:space="1" w:color="auto"/>
          <w:left w:val="single" w:sz="4" w:space="4" w:color="auto"/>
          <w:bottom w:val="single" w:sz="4" w:space="1" w:color="auto"/>
          <w:right w:val="single" w:sz="4" w:space="4" w:color="auto"/>
        </w:pBdr>
        <w:spacing w:after="0" w:line="240" w:lineRule="auto"/>
        <w:jc w:val="left"/>
      </w:pPr>
      <w:r>
        <w:rPr>
          <w:b/>
        </w:rPr>
        <w:t>A</w:t>
      </w:r>
      <w:r w:rsidRPr="004A33AB">
        <w:rPr>
          <w:b/>
        </w:rPr>
        <w:t xml:space="preserve">daptive management response </w:t>
      </w:r>
      <w:r>
        <w:rPr>
          <w:b/>
        </w:rPr>
        <w:t>in</w:t>
      </w:r>
      <w:r w:rsidRPr="004A33AB">
        <w:rPr>
          <w:b/>
        </w:rPr>
        <w:t xml:space="preserve"> 2015-16:</w:t>
      </w:r>
      <w:r>
        <w:rPr>
          <w:b/>
        </w:rPr>
        <w:t xml:space="preserve"> </w:t>
      </w:r>
      <w:r>
        <w:t xml:space="preserve">This recommendation has been applied in the 2015-16 use of Commonwealth environmental water in the Yallakool Creek, Wakool River and Colligen Creek-Niemur River watering actions. For example, in 2015-16 the River Operator (Water NSW) was provided with an ‘operating range’ during </w:t>
      </w:r>
      <w:r w:rsidRPr="003B7B6D">
        <w:t>the period</w:t>
      </w:r>
      <w:r>
        <w:t xml:space="preserve"> when constant flows were most likely to occur. This trialled the use of the ‘operating range’ to improve flow variability at a small scale whilst not risking the ability to achieve other targeted outcomes, such as providing nesting habitat for Murray cod. Colligen Creek is likely to have increased levels of variability compared to other systems due to the River Operator passing rain rejection or other operational flows through the creek. Monitoring and evaluation of 2015-16 watering actions will inform the development of the ‘operating range’ in future watering actions.</w:t>
      </w:r>
    </w:p>
    <w:p w:rsidR="004E3F82" w:rsidRDefault="004E3F82" w:rsidP="004E3F82">
      <w:pPr>
        <w:spacing w:after="240" w:line="240" w:lineRule="auto"/>
        <w:contextualSpacing/>
        <w:rPr>
          <w:b/>
        </w:rPr>
      </w:pPr>
    </w:p>
    <w:p w:rsidR="004E3F82" w:rsidRDefault="004E3F82" w:rsidP="004E3F8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2D69B" w:themeFill="accent3" w:themeFillTint="99"/>
        <w:spacing w:after="240"/>
        <w:contextualSpacing/>
        <w:jc w:val="left"/>
        <w:rPr>
          <w:b/>
        </w:rPr>
      </w:pPr>
      <w:r>
        <w:rPr>
          <w:b/>
        </w:rPr>
        <w:t>Recommendation 3</w:t>
      </w:r>
      <w:r w:rsidRPr="00B20E68">
        <w:rPr>
          <w:b/>
        </w:rPr>
        <w:t xml:space="preserve">. </w:t>
      </w:r>
      <w:r>
        <w:rPr>
          <w:b/>
        </w:rPr>
        <w:t>Consider a trial of shifting the focus of the delivery of environmental water from Yallakool Creek to the Wakool River to achieve ecosystem outcomes and at the same time facilitate learning about the system.</w:t>
      </w:r>
    </w:p>
    <w:p w:rsidR="004E3F82" w:rsidRDefault="004E3F82" w:rsidP="004E3F82">
      <w:pPr>
        <w:spacing w:after="240" w:line="240" w:lineRule="auto"/>
        <w:contextualSpacing/>
        <w:rPr>
          <w:b/>
        </w:rPr>
      </w:pPr>
    </w:p>
    <w:p w:rsidR="004E3F82" w:rsidRDefault="004E3F82" w:rsidP="004E3F82">
      <w:pPr>
        <w:pBdr>
          <w:top w:val="single" w:sz="4" w:space="1" w:color="auto"/>
          <w:left w:val="single" w:sz="4" w:space="4" w:color="auto"/>
          <w:bottom w:val="single" w:sz="4" w:space="1" w:color="auto"/>
          <w:right w:val="single" w:sz="4" w:space="4" w:color="auto"/>
        </w:pBdr>
        <w:spacing w:after="120" w:line="240" w:lineRule="auto"/>
        <w:contextualSpacing/>
        <w:jc w:val="left"/>
        <w:rPr>
          <w:b/>
        </w:rPr>
      </w:pPr>
      <w:r w:rsidRPr="00634A28">
        <w:rPr>
          <w:b/>
        </w:rPr>
        <w:t>Adaptive management response in 2015-16:</w:t>
      </w:r>
      <w:r>
        <w:t xml:space="preserve"> During 2015-16 environmental water planning this recommendation was considered, and a small volume of Commonwealth environmental water was delivered to the upper Wakool River to maximise outcomes for instream aquatic vegetation and the potential movement of native fish. However, the full recommendation of shifting the focus of environmental watering from Yallakool Creek to the upper Wakool River has not yet been trialled.</w:t>
      </w:r>
    </w:p>
    <w:p w:rsidR="004E3F82" w:rsidRDefault="004E3F82" w:rsidP="004E3F82">
      <w:pPr>
        <w:pBdr>
          <w:top w:val="single" w:sz="4" w:space="1" w:color="auto"/>
          <w:left w:val="single" w:sz="4" w:space="4" w:color="auto"/>
          <w:bottom w:val="single" w:sz="4" w:space="1" w:color="auto"/>
          <w:right w:val="single" w:sz="4" w:space="4" w:color="auto"/>
        </w:pBdr>
        <w:shd w:val="clear" w:color="auto" w:fill="C2D69B" w:themeFill="accent3" w:themeFillTint="99"/>
        <w:spacing w:after="240"/>
        <w:contextualSpacing/>
        <w:jc w:val="left"/>
        <w:rPr>
          <w:b/>
        </w:rPr>
      </w:pPr>
      <w:r>
        <w:rPr>
          <w:b/>
        </w:rPr>
        <w:t>Recommendation 4. Consider the delivery of base environmental flows during autumn and winter to promote the temporal availability and continuity of instream habitat.</w:t>
      </w:r>
    </w:p>
    <w:p w:rsidR="004E3F82" w:rsidRDefault="004E3F82" w:rsidP="004E3F82">
      <w:pPr>
        <w:spacing w:after="0" w:line="240" w:lineRule="auto"/>
        <w:jc w:val="left"/>
        <w:rPr>
          <w:b/>
        </w:rPr>
      </w:pPr>
    </w:p>
    <w:p w:rsidR="004E3F82" w:rsidRPr="00B02767" w:rsidRDefault="004E3F82" w:rsidP="004E3F82">
      <w:pPr>
        <w:pBdr>
          <w:top w:val="single" w:sz="4" w:space="1" w:color="auto"/>
          <w:left w:val="single" w:sz="4" w:space="4" w:color="auto"/>
          <w:bottom w:val="single" w:sz="4" w:space="1" w:color="auto"/>
          <w:right w:val="single" w:sz="4" w:space="4" w:color="auto"/>
        </w:pBdr>
        <w:shd w:val="clear" w:color="auto" w:fill="C2D69B" w:themeFill="accent3" w:themeFillTint="99"/>
        <w:spacing w:after="240"/>
        <w:contextualSpacing/>
        <w:jc w:val="left"/>
        <w:rPr>
          <w:b/>
        </w:rPr>
      </w:pPr>
      <w:r>
        <w:rPr>
          <w:b/>
        </w:rPr>
        <w:t>Recommendation 5</w:t>
      </w:r>
      <w:r w:rsidRPr="00B02767">
        <w:rPr>
          <w:b/>
        </w:rPr>
        <w:t xml:space="preserve">. Continue to </w:t>
      </w:r>
      <w:r>
        <w:rPr>
          <w:b/>
        </w:rPr>
        <w:t>include a water use option in environmental water planning that enables</w:t>
      </w:r>
      <w:r w:rsidRPr="00B02767">
        <w:rPr>
          <w:b/>
        </w:rPr>
        <w:t xml:space="preserve"> Commonwealth environmental water to </w:t>
      </w:r>
      <w:r>
        <w:rPr>
          <w:b/>
        </w:rPr>
        <w:t xml:space="preserve">be used to </w:t>
      </w:r>
      <w:r w:rsidRPr="00B02767">
        <w:rPr>
          <w:b/>
        </w:rPr>
        <w:t>mitigate adverse water quality events</w:t>
      </w:r>
      <w:r>
        <w:rPr>
          <w:b/>
        </w:rPr>
        <w:t>.</w:t>
      </w:r>
    </w:p>
    <w:p w:rsidR="004E3F82" w:rsidRDefault="004E3F82" w:rsidP="004E3F82">
      <w:pPr>
        <w:spacing w:after="0" w:line="240" w:lineRule="auto"/>
        <w:jc w:val="left"/>
        <w:rPr>
          <w:b/>
        </w:rPr>
      </w:pPr>
    </w:p>
    <w:p w:rsidR="004E3F82" w:rsidRDefault="004E3F82" w:rsidP="004E3F82">
      <w:pPr>
        <w:pBdr>
          <w:top w:val="single" w:sz="4" w:space="1" w:color="auto"/>
          <w:left w:val="single" w:sz="4" w:space="4" w:color="auto"/>
          <w:bottom w:val="single" w:sz="4" w:space="1" w:color="auto"/>
          <w:right w:val="single" w:sz="4" w:space="4" w:color="auto"/>
        </w:pBdr>
        <w:spacing w:after="0" w:line="240" w:lineRule="auto"/>
        <w:jc w:val="left"/>
        <w:rPr>
          <w:b/>
        </w:rPr>
      </w:pPr>
      <w:r w:rsidRPr="00634A28">
        <w:rPr>
          <w:b/>
        </w:rPr>
        <w:t>Adaptive management response in 2015-16:</w:t>
      </w:r>
      <w:r>
        <w:t xml:space="preserve"> This recommendation has been applied in the 2015-16 planning for the use of Commonwealth environmental water in the Edward-Wakool River system, especially to contribute to contingency responses to hypoxic blackwater events should they occur.</w:t>
      </w:r>
    </w:p>
    <w:p w:rsidR="004E3F82" w:rsidRDefault="004E3F82" w:rsidP="004E3F82">
      <w:pPr>
        <w:spacing w:after="0" w:line="240" w:lineRule="auto"/>
        <w:jc w:val="left"/>
        <w:rPr>
          <w:b/>
        </w:rPr>
      </w:pPr>
    </w:p>
    <w:p w:rsidR="004E3F82" w:rsidRPr="00667763" w:rsidRDefault="004E3F82" w:rsidP="004E3F82">
      <w:pPr>
        <w:pBdr>
          <w:top w:val="single" w:sz="4" w:space="0" w:color="auto"/>
          <w:left w:val="single" w:sz="4" w:space="4" w:color="auto"/>
          <w:bottom w:val="single" w:sz="4" w:space="1" w:color="auto"/>
          <w:right w:val="single" w:sz="4" w:space="4" w:color="auto"/>
        </w:pBdr>
        <w:shd w:val="clear" w:color="auto" w:fill="C2D69B" w:themeFill="accent3" w:themeFillTint="99"/>
        <w:spacing w:after="240"/>
        <w:contextualSpacing/>
        <w:jc w:val="left"/>
        <w:rPr>
          <w:b/>
        </w:rPr>
      </w:pPr>
      <w:r>
        <w:rPr>
          <w:b/>
        </w:rPr>
        <w:t>Recommendation 6</w:t>
      </w:r>
      <w:r w:rsidRPr="00667763">
        <w:rPr>
          <w:b/>
        </w:rPr>
        <w:t xml:space="preserve">. </w:t>
      </w:r>
      <w:r>
        <w:rPr>
          <w:b/>
        </w:rPr>
        <w:t xml:space="preserve">Set watering action </w:t>
      </w:r>
      <w:r w:rsidRPr="00667763">
        <w:rPr>
          <w:b/>
        </w:rPr>
        <w:t xml:space="preserve">objectives </w:t>
      </w:r>
      <w:r>
        <w:rPr>
          <w:b/>
        </w:rPr>
        <w:t>that identify the temporal and spatial scale at which the response is expected and are realistic given the magnitude of environmental watering actions proposed.</w:t>
      </w:r>
    </w:p>
    <w:p w:rsidR="004E3F82" w:rsidRDefault="004E3F82" w:rsidP="004E3F82">
      <w:pPr>
        <w:spacing w:after="120" w:line="240" w:lineRule="auto"/>
        <w:contextualSpacing/>
      </w:pPr>
    </w:p>
    <w:p w:rsidR="004E3F82" w:rsidRDefault="004E3F82" w:rsidP="004E3F82">
      <w:pPr>
        <w:pBdr>
          <w:top w:val="single" w:sz="4" w:space="1" w:color="auto"/>
          <w:left w:val="single" w:sz="4" w:space="4" w:color="auto"/>
          <w:bottom w:val="single" w:sz="4" w:space="1" w:color="auto"/>
          <w:right w:val="single" w:sz="4" w:space="4" w:color="auto"/>
        </w:pBdr>
        <w:spacing w:after="240" w:line="240" w:lineRule="auto"/>
        <w:contextualSpacing/>
        <w:jc w:val="left"/>
      </w:pPr>
      <w:r w:rsidRPr="00634A28">
        <w:rPr>
          <w:b/>
        </w:rPr>
        <w:t>Adaptive management response in 2015-16:</w:t>
      </w:r>
      <w:r>
        <w:t xml:space="preserve"> This recommendation has been applied in the setting of objectives for the planned use of Commonwealth environmental water in the Edward-Wakool River system during 2015-16. Objectives now reflect the maintaining/supporting role from the use of Commonwealth environmental water in the Edward-Wakool River system.</w:t>
      </w:r>
    </w:p>
    <w:p w:rsidR="004E3F82" w:rsidRDefault="004E3F82" w:rsidP="004E3F82">
      <w:pPr>
        <w:spacing w:after="120" w:line="240" w:lineRule="auto"/>
        <w:contextualSpacing/>
      </w:pPr>
    </w:p>
    <w:p w:rsidR="004E3F82" w:rsidRPr="00F10534" w:rsidRDefault="004E3F82" w:rsidP="004E3F82">
      <w:pPr>
        <w:pBdr>
          <w:top w:val="single" w:sz="4" w:space="1" w:color="auto"/>
          <w:left w:val="single" w:sz="4" w:space="4" w:color="auto"/>
          <w:bottom w:val="single" w:sz="4" w:space="1" w:color="auto"/>
          <w:right w:val="single" w:sz="4" w:space="4" w:color="auto"/>
        </w:pBdr>
        <w:shd w:val="clear" w:color="auto" w:fill="C2D69B" w:themeFill="accent3" w:themeFillTint="99"/>
        <w:spacing w:after="240"/>
        <w:contextualSpacing/>
        <w:jc w:val="left"/>
      </w:pPr>
      <w:r w:rsidRPr="00F10534">
        <w:rPr>
          <w:rFonts w:cstheme="minorHAnsi"/>
          <w:b/>
          <w:szCs w:val="22"/>
        </w:rPr>
        <w:t>Recommendation</w:t>
      </w:r>
      <w:r>
        <w:rPr>
          <w:rFonts w:cstheme="minorHAnsi"/>
          <w:b/>
          <w:szCs w:val="22"/>
        </w:rPr>
        <w:t xml:space="preserve"> 7. </w:t>
      </w:r>
      <w:r w:rsidRPr="00367ECA">
        <w:rPr>
          <w:b/>
        </w:rPr>
        <w:t xml:space="preserve">Consider </w:t>
      </w:r>
      <w:r>
        <w:rPr>
          <w:b/>
        </w:rPr>
        <w:t>the implementation</w:t>
      </w:r>
      <w:r w:rsidRPr="00367ECA">
        <w:rPr>
          <w:b/>
        </w:rPr>
        <w:t xml:space="preserve"> of a </w:t>
      </w:r>
      <w:r>
        <w:rPr>
          <w:b/>
        </w:rPr>
        <w:t xml:space="preserve">short duration environmental flow </w:t>
      </w:r>
      <w:r w:rsidRPr="00367ECA">
        <w:rPr>
          <w:b/>
        </w:rPr>
        <w:t xml:space="preserve">trial in </w:t>
      </w:r>
      <w:r>
        <w:rPr>
          <w:b/>
        </w:rPr>
        <w:t>late winter/</w:t>
      </w:r>
      <w:r w:rsidRPr="00367ECA">
        <w:rPr>
          <w:b/>
        </w:rPr>
        <w:t xml:space="preserve">spring </w:t>
      </w:r>
      <w:r>
        <w:rPr>
          <w:b/>
        </w:rPr>
        <w:t xml:space="preserve">2016 </w:t>
      </w:r>
      <w:r w:rsidRPr="00C76F3B">
        <w:rPr>
          <w:b/>
        </w:rPr>
        <w:t>at a higher discharge than the current constraint of 600 ML/day</w:t>
      </w:r>
      <w:r>
        <w:t xml:space="preserve"> </w:t>
      </w:r>
      <w:r w:rsidRPr="00C76F3B">
        <w:rPr>
          <w:b/>
        </w:rPr>
        <w:t>(possibly</w:t>
      </w:r>
      <w:r>
        <w:t xml:space="preserve"> </w:t>
      </w:r>
      <w:r>
        <w:rPr>
          <w:b/>
        </w:rPr>
        <w:t>up to 1000 to 1200 ML/day). This would facilitate a</w:t>
      </w:r>
      <w:r w:rsidRPr="00367ECA">
        <w:rPr>
          <w:b/>
        </w:rPr>
        <w:t xml:space="preserve"> test </w:t>
      </w:r>
      <w:r>
        <w:rPr>
          <w:b/>
        </w:rPr>
        <w:t xml:space="preserve">of </w:t>
      </w:r>
      <w:r w:rsidRPr="00367ECA">
        <w:rPr>
          <w:b/>
        </w:rPr>
        <w:t xml:space="preserve">the hypothesis that larger </w:t>
      </w:r>
      <w:r>
        <w:rPr>
          <w:b/>
        </w:rPr>
        <w:t xml:space="preserve">in-channel environmental watering action </w:t>
      </w:r>
      <w:r w:rsidRPr="00367ECA">
        <w:rPr>
          <w:b/>
        </w:rPr>
        <w:t xml:space="preserve">will result in increased </w:t>
      </w:r>
      <w:r>
        <w:rPr>
          <w:b/>
        </w:rPr>
        <w:t xml:space="preserve">river </w:t>
      </w:r>
      <w:r w:rsidRPr="00367ECA">
        <w:rPr>
          <w:b/>
        </w:rPr>
        <w:t>productivity</w:t>
      </w:r>
      <w:r>
        <w:rPr>
          <w:b/>
        </w:rPr>
        <w:t>.</w:t>
      </w:r>
    </w:p>
    <w:p w:rsidR="004E3F82" w:rsidRDefault="004E3F82" w:rsidP="004E3F82">
      <w:pPr>
        <w:spacing w:after="120" w:line="240" w:lineRule="auto"/>
        <w:contextualSpacing/>
      </w:pPr>
    </w:p>
    <w:p w:rsidR="004E3F82" w:rsidRPr="008A5FEB" w:rsidRDefault="004E3F82" w:rsidP="004E3F82">
      <w:pPr>
        <w:pBdr>
          <w:top w:val="single" w:sz="4" w:space="1" w:color="auto"/>
          <w:left w:val="single" w:sz="4" w:space="4" w:color="auto"/>
          <w:bottom w:val="single" w:sz="4" w:space="1" w:color="auto"/>
          <w:right w:val="single" w:sz="4" w:space="4" w:color="auto"/>
        </w:pBdr>
        <w:shd w:val="clear" w:color="auto" w:fill="C2D69B" w:themeFill="accent3" w:themeFillTint="99"/>
        <w:spacing w:after="240"/>
        <w:contextualSpacing/>
        <w:jc w:val="left"/>
        <w:rPr>
          <w:b/>
        </w:rPr>
      </w:pPr>
      <w:r w:rsidRPr="008A5FEB">
        <w:rPr>
          <w:b/>
        </w:rPr>
        <w:t xml:space="preserve">Recommendation 8: Consider </w:t>
      </w:r>
      <w:r>
        <w:rPr>
          <w:b/>
        </w:rPr>
        <w:t>the implementation of an</w:t>
      </w:r>
      <w:r w:rsidRPr="008A5FEB">
        <w:rPr>
          <w:b/>
        </w:rPr>
        <w:t xml:space="preserve"> environmental watering action in the Edward River to target golden perch and silver perch spawning, as this </w:t>
      </w:r>
      <w:r>
        <w:rPr>
          <w:b/>
        </w:rPr>
        <w:t xml:space="preserve">is a larger </w:t>
      </w:r>
      <w:r w:rsidRPr="008A5FEB">
        <w:rPr>
          <w:b/>
        </w:rPr>
        <w:t xml:space="preserve">system </w:t>
      </w:r>
      <w:r>
        <w:rPr>
          <w:b/>
        </w:rPr>
        <w:t xml:space="preserve">that </w:t>
      </w:r>
      <w:r w:rsidRPr="008A5FEB">
        <w:rPr>
          <w:b/>
        </w:rPr>
        <w:t xml:space="preserve">does not have the same </w:t>
      </w:r>
      <w:r>
        <w:rPr>
          <w:b/>
        </w:rPr>
        <w:t xml:space="preserve">level of </w:t>
      </w:r>
      <w:r w:rsidRPr="008A5FEB">
        <w:rPr>
          <w:b/>
        </w:rPr>
        <w:t>delivery constraints as the Wakool-Yallakool system.</w:t>
      </w:r>
    </w:p>
    <w:p w:rsidR="004E3F82" w:rsidRDefault="004E3F82" w:rsidP="004E3F82">
      <w:pPr>
        <w:spacing w:after="120" w:line="240" w:lineRule="auto"/>
        <w:contextualSpacing/>
      </w:pPr>
    </w:p>
    <w:p w:rsidR="004E3F82" w:rsidRDefault="004E3F82" w:rsidP="004E3F82">
      <w:pPr>
        <w:pBdr>
          <w:top w:val="single" w:sz="4" w:space="1" w:color="auto"/>
          <w:left w:val="single" w:sz="4" w:space="4" w:color="auto"/>
          <w:bottom w:val="single" w:sz="4" w:space="1" w:color="auto"/>
          <w:right w:val="single" w:sz="4" w:space="4" w:color="auto"/>
        </w:pBdr>
        <w:shd w:val="clear" w:color="auto" w:fill="C2D69B" w:themeFill="accent3" w:themeFillTint="99"/>
        <w:spacing w:after="240"/>
        <w:contextualSpacing/>
        <w:rPr>
          <w:b/>
        </w:rPr>
      </w:pPr>
      <w:r>
        <w:rPr>
          <w:b/>
        </w:rPr>
        <w:t>Recommendation 9</w:t>
      </w:r>
      <w:r w:rsidRPr="004B2CBE">
        <w:rPr>
          <w:b/>
        </w:rPr>
        <w:t>.</w:t>
      </w:r>
      <w:r w:rsidRPr="004B2CBE">
        <w:t xml:space="preserve"> </w:t>
      </w:r>
      <w:r w:rsidRPr="004B2CBE">
        <w:rPr>
          <w:b/>
        </w:rPr>
        <w:t>Undertake</w:t>
      </w:r>
      <w:r w:rsidRPr="007D16D0">
        <w:rPr>
          <w:b/>
        </w:rPr>
        <w:t xml:space="preserve"> comprehensive flows assessment for the smaller creeks and rivers of the Edward-Wakool system</w:t>
      </w:r>
      <w:r>
        <w:rPr>
          <w:b/>
        </w:rPr>
        <w:t xml:space="preserve">. </w:t>
      </w:r>
    </w:p>
    <w:p w:rsidR="004E3F82" w:rsidRDefault="004E3F82" w:rsidP="004E3F82">
      <w:pPr>
        <w:spacing w:after="120" w:line="240" w:lineRule="auto"/>
        <w:contextualSpacing/>
      </w:pPr>
    </w:p>
    <w:p w:rsidR="004E3F82" w:rsidRPr="003D665B" w:rsidRDefault="004E3F82" w:rsidP="004E3F82">
      <w:pPr>
        <w:pBdr>
          <w:top w:val="single" w:sz="4" w:space="1" w:color="auto"/>
          <w:left w:val="single" w:sz="4" w:space="4" w:color="auto"/>
          <w:bottom w:val="single" w:sz="4" w:space="1" w:color="auto"/>
          <w:right w:val="single" w:sz="4" w:space="4" w:color="auto"/>
        </w:pBdr>
        <w:shd w:val="clear" w:color="auto" w:fill="C2D69B" w:themeFill="accent3" w:themeFillTint="99"/>
        <w:spacing w:after="240"/>
        <w:contextualSpacing/>
        <w:jc w:val="left"/>
        <w:rPr>
          <w:b/>
          <w:iCs/>
        </w:rPr>
      </w:pPr>
      <w:r w:rsidRPr="003D665B">
        <w:rPr>
          <w:b/>
          <w:iCs/>
        </w:rPr>
        <w:t xml:space="preserve">Recommendation </w:t>
      </w:r>
      <w:r>
        <w:rPr>
          <w:b/>
          <w:iCs/>
        </w:rPr>
        <w:t>10</w:t>
      </w:r>
      <w:r w:rsidRPr="003D665B">
        <w:rPr>
          <w:b/>
          <w:iCs/>
        </w:rPr>
        <w:t>. C</w:t>
      </w:r>
      <w:r w:rsidRPr="003D665B">
        <w:rPr>
          <w:b/>
        </w:rPr>
        <w:t xml:space="preserve">ollaborate with other management agencies and the community to </w:t>
      </w:r>
      <w:r>
        <w:rPr>
          <w:b/>
        </w:rPr>
        <w:t xml:space="preserve">maximise </w:t>
      </w:r>
      <w:r w:rsidRPr="003D665B">
        <w:rPr>
          <w:b/>
        </w:rPr>
        <w:t>the benefits of Commonwealth environmental watering actions</w:t>
      </w:r>
    </w:p>
    <w:p w:rsidR="004E3F82" w:rsidRDefault="004E3F82" w:rsidP="004E3F82">
      <w:pPr>
        <w:spacing w:after="120" w:line="240" w:lineRule="auto"/>
        <w:contextualSpacing/>
      </w:pPr>
    </w:p>
    <w:p w:rsidR="004E3F82" w:rsidRDefault="004E3F82" w:rsidP="004E3F82">
      <w:pPr>
        <w:pBdr>
          <w:top w:val="single" w:sz="4" w:space="1" w:color="auto"/>
          <w:left w:val="single" w:sz="4" w:space="4" w:color="auto"/>
          <w:bottom w:val="single" w:sz="4" w:space="1" w:color="auto"/>
          <w:right w:val="single" w:sz="4" w:space="4" w:color="auto"/>
        </w:pBdr>
        <w:spacing w:after="0" w:line="240" w:lineRule="auto"/>
      </w:pPr>
      <w:r w:rsidRPr="00634A28">
        <w:rPr>
          <w:b/>
        </w:rPr>
        <w:t>Adaptive management response in 2015-16:</w:t>
      </w:r>
      <w:r>
        <w:t xml:space="preserve"> This recommendation has been applied in the use of Commonwealth environmental water in the Edward-Wakool River system during 2015-16. The use of Commonwealth environmental water to provide slower, more natural rates of recessions to high flow events (e.g. rain rejections and other operational flows) is an example of this.</w:t>
      </w:r>
    </w:p>
    <w:p w:rsidR="00AA1B14" w:rsidRPr="00FA512A" w:rsidRDefault="00AA1B14" w:rsidP="00F462FD">
      <w:pPr>
        <w:spacing w:after="0" w:line="240" w:lineRule="auto"/>
        <w:jc w:val="left"/>
        <w:rPr>
          <w:b/>
          <w:color w:val="4F6228" w:themeColor="accent3" w:themeShade="80"/>
          <w:szCs w:val="22"/>
        </w:rPr>
      </w:pPr>
      <w:bookmarkStart w:id="2" w:name="_Toc325024073"/>
      <w:bookmarkStart w:id="3" w:name="_Toc325028460"/>
      <w:r w:rsidRPr="00FA512A">
        <w:rPr>
          <w:b/>
          <w:color w:val="4F6228" w:themeColor="accent3" w:themeShade="80"/>
          <w:sz w:val="32"/>
          <w:szCs w:val="32"/>
        </w:rPr>
        <w:t>Table of Contents</w:t>
      </w:r>
      <w:bookmarkEnd w:id="2"/>
      <w:bookmarkEnd w:id="3"/>
    </w:p>
    <w:p w:rsidR="00401578" w:rsidRPr="004D29C3" w:rsidRDefault="00401578" w:rsidP="00D03270">
      <w:pPr>
        <w:spacing w:after="120" w:line="240" w:lineRule="auto"/>
        <w:jc w:val="left"/>
        <w:rPr>
          <w:b/>
          <w:szCs w:val="22"/>
        </w:rPr>
      </w:pPr>
    </w:p>
    <w:bookmarkStart w:id="4" w:name="_GoBack"/>
    <w:bookmarkEnd w:id="4"/>
    <w:p w:rsidR="000D259F" w:rsidRDefault="00F671D2">
      <w:pPr>
        <w:pStyle w:val="TOC1"/>
        <w:rPr>
          <w:rFonts w:asciiTheme="minorHAnsi" w:eastAsiaTheme="minorEastAsia" w:hAnsiTheme="minorHAnsi" w:cstheme="minorBidi"/>
          <w:b w:val="0"/>
          <w:szCs w:val="22"/>
          <w:lang w:eastAsia="en-AU"/>
        </w:rPr>
      </w:pPr>
      <w:r w:rsidRPr="00F671D2">
        <w:rPr>
          <w:rFonts w:asciiTheme="minorHAnsi" w:hAnsiTheme="minorHAnsi" w:cstheme="minorHAnsi"/>
          <w:sz w:val="20"/>
        </w:rPr>
        <w:fldChar w:fldCharType="begin"/>
      </w:r>
      <w:r w:rsidR="00AA1B14" w:rsidRPr="000D13BE">
        <w:rPr>
          <w:rFonts w:asciiTheme="minorHAnsi" w:hAnsiTheme="minorHAnsi" w:cstheme="minorHAnsi"/>
          <w:sz w:val="20"/>
        </w:rPr>
        <w:instrText xml:space="preserve"> TOC \o "1-3" \h \z \u </w:instrText>
      </w:r>
      <w:r w:rsidRPr="00F671D2">
        <w:rPr>
          <w:rFonts w:asciiTheme="minorHAnsi" w:hAnsiTheme="minorHAnsi" w:cstheme="minorHAnsi"/>
          <w:sz w:val="20"/>
        </w:rPr>
        <w:fldChar w:fldCharType="separate"/>
      </w:r>
      <w:hyperlink w:anchor="_Toc450199545" w:history="1">
        <w:r w:rsidR="000D259F" w:rsidRPr="001F208E">
          <w:rPr>
            <w:rStyle w:val="Hyperlink"/>
          </w:rPr>
          <w:t>Executive summary</w:t>
        </w:r>
        <w:r w:rsidR="000D259F">
          <w:rPr>
            <w:webHidden/>
          </w:rPr>
          <w:tab/>
        </w:r>
        <w:r>
          <w:rPr>
            <w:webHidden/>
          </w:rPr>
          <w:fldChar w:fldCharType="begin"/>
        </w:r>
        <w:r w:rsidR="000D259F">
          <w:rPr>
            <w:webHidden/>
          </w:rPr>
          <w:instrText xml:space="preserve"> PAGEREF _Toc450199545 \h </w:instrText>
        </w:r>
        <w:r>
          <w:rPr>
            <w:webHidden/>
          </w:rPr>
        </w:r>
        <w:r>
          <w:rPr>
            <w:webHidden/>
          </w:rPr>
          <w:fldChar w:fldCharType="separate"/>
        </w:r>
        <w:r w:rsidR="0097684C">
          <w:rPr>
            <w:webHidden/>
          </w:rPr>
          <w:t>iii</w:t>
        </w:r>
        <w:r>
          <w:rPr>
            <w:webHidden/>
          </w:rPr>
          <w:fldChar w:fldCharType="end"/>
        </w:r>
      </w:hyperlink>
    </w:p>
    <w:p w:rsidR="000D259F" w:rsidRDefault="00F671D2">
      <w:pPr>
        <w:pStyle w:val="TOC1"/>
        <w:rPr>
          <w:rFonts w:asciiTheme="minorHAnsi" w:eastAsiaTheme="minorEastAsia" w:hAnsiTheme="minorHAnsi" w:cstheme="minorBidi"/>
          <w:b w:val="0"/>
          <w:szCs w:val="22"/>
          <w:lang w:eastAsia="en-AU"/>
        </w:rPr>
      </w:pPr>
      <w:hyperlink w:anchor="_Toc450199546" w:history="1">
        <w:r w:rsidR="000D259F" w:rsidRPr="001F208E">
          <w:rPr>
            <w:rStyle w:val="Hyperlink"/>
          </w:rPr>
          <w:t>1. Background</w:t>
        </w:r>
        <w:r w:rsidR="000D259F">
          <w:rPr>
            <w:webHidden/>
          </w:rPr>
          <w:tab/>
        </w:r>
        <w:r>
          <w:rPr>
            <w:webHidden/>
          </w:rPr>
          <w:fldChar w:fldCharType="begin"/>
        </w:r>
        <w:r w:rsidR="000D259F">
          <w:rPr>
            <w:webHidden/>
          </w:rPr>
          <w:instrText xml:space="preserve"> PAGEREF _Toc450199546 \h </w:instrText>
        </w:r>
        <w:r>
          <w:rPr>
            <w:webHidden/>
          </w:rPr>
        </w:r>
        <w:r>
          <w:rPr>
            <w:webHidden/>
          </w:rPr>
          <w:fldChar w:fldCharType="separate"/>
        </w:r>
        <w:r w:rsidR="0097684C">
          <w:rPr>
            <w:webHidden/>
          </w:rPr>
          <w:t>18</w:t>
        </w:r>
        <w:r>
          <w:rPr>
            <w:webHidden/>
          </w:rPr>
          <w:fldChar w:fldCharType="end"/>
        </w:r>
      </w:hyperlink>
    </w:p>
    <w:p w:rsidR="000D259F" w:rsidRDefault="00F671D2">
      <w:pPr>
        <w:pStyle w:val="TOC1"/>
        <w:rPr>
          <w:rFonts w:asciiTheme="minorHAnsi" w:eastAsiaTheme="minorEastAsia" w:hAnsiTheme="minorHAnsi" w:cstheme="minorBidi"/>
          <w:b w:val="0"/>
          <w:szCs w:val="22"/>
          <w:lang w:eastAsia="en-AU"/>
        </w:rPr>
      </w:pPr>
      <w:hyperlink w:anchor="_Toc450199547" w:history="1">
        <w:r w:rsidR="000D259F" w:rsidRPr="001F208E">
          <w:rPr>
            <w:rStyle w:val="Hyperlink"/>
          </w:rPr>
          <w:t>2. Commonwealth environmental water use objectives and watering actions in the Edward-Wakool system</w:t>
        </w:r>
        <w:r w:rsidR="000D259F">
          <w:rPr>
            <w:webHidden/>
          </w:rPr>
          <w:tab/>
        </w:r>
        <w:r>
          <w:rPr>
            <w:webHidden/>
          </w:rPr>
          <w:fldChar w:fldCharType="begin"/>
        </w:r>
        <w:r w:rsidR="000D259F">
          <w:rPr>
            <w:webHidden/>
          </w:rPr>
          <w:instrText xml:space="preserve"> PAGEREF _Toc450199547 \h </w:instrText>
        </w:r>
        <w:r>
          <w:rPr>
            <w:webHidden/>
          </w:rPr>
        </w:r>
        <w:r>
          <w:rPr>
            <w:webHidden/>
          </w:rPr>
          <w:fldChar w:fldCharType="separate"/>
        </w:r>
        <w:r w:rsidR="0097684C">
          <w:rPr>
            <w:webHidden/>
          </w:rPr>
          <w:t>27</w:t>
        </w:r>
        <w:r>
          <w:rPr>
            <w:webHidden/>
          </w:rPr>
          <w:fldChar w:fldCharType="end"/>
        </w:r>
      </w:hyperlink>
    </w:p>
    <w:p w:rsidR="000D259F" w:rsidRDefault="00F671D2">
      <w:pPr>
        <w:pStyle w:val="TOC1"/>
        <w:rPr>
          <w:rFonts w:asciiTheme="minorHAnsi" w:eastAsiaTheme="minorEastAsia" w:hAnsiTheme="minorHAnsi" w:cstheme="minorBidi"/>
          <w:b w:val="0"/>
          <w:szCs w:val="22"/>
          <w:lang w:eastAsia="en-AU"/>
        </w:rPr>
      </w:pPr>
      <w:hyperlink w:anchor="_Toc450199548" w:history="1">
        <w:r w:rsidR="000D259F" w:rsidRPr="001F208E">
          <w:rPr>
            <w:rStyle w:val="Hyperlink"/>
          </w:rPr>
          <w:t>3. Monitoring and Evaluation</w:t>
        </w:r>
        <w:r w:rsidR="000D259F">
          <w:rPr>
            <w:webHidden/>
          </w:rPr>
          <w:tab/>
        </w:r>
        <w:r>
          <w:rPr>
            <w:webHidden/>
          </w:rPr>
          <w:fldChar w:fldCharType="begin"/>
        </w:r>
        <w:r w:rsidR="000D259F">
          <w:rPr>
            <w:webHidden/>
          </w:rPr>
          <w:instrText xml:space="preserve"> PAGEREF _Toc450199548 \h </w:instrText>
        </w:r>
        <w:r>
          <w:rPr>
            <w:webHidden/>
          </w:rPr>
        </w:r>
        <w:r>
          <w:rPr>
            <w:webHidden/>
          </w:rPr>
          <w:fldChar w:fldCharType="separate"/>
        </w:r>
        <w:r w:rsidR="0097684C">
          <w:rPr>
            <w:webHidden/>
          </w:rPr>
          <w:t>31</w:t>
        </w:r>
        <w:r>
          <w:rPr>
            <w:webHidden/>
          </w:rPr>
          <w:fldChar w:fldCharType="end"/>
        </w:r>
      </w:hyperlink>
    </w:p>
    <w:p w:rsidR="000D259F" w:rsidRDefault="00F671D2">
      <w:pPr>
        <w:pStyle w:val="TOC1"/>
        <w:rPr>
          <w:rFonts w:asciiTheme="minorHAnsi" w:eastAsiaTheme="minorEastAsia" w:hAnsiTheme="minorHAnsi" w:cstheme="minorBidi"/>
          <w:b w:val="0"/>
          <w:szCs w:val="22"/>
          <w:lang w:eastAsia="en-AU"/>
        </w:rPr>
      </w:pPr>
      <w:hyperlink w:anchor="_Toc450199549" w:history="1">
        <w:r w:rsidR="000D259F" w:rsidRPr="001F208E">
          <w:rPr>
            <w:rStyle w:val="Hyperlink"/>
          </w:rPr>
          <w:t>4. Hydrological responses to Commonwealth environmental watering</w:t>
        </w:r>
        <w:r w:rsidR="000D259F">
          <w:rPr>
            <w:webHidden/>
          </w:rPr>
          <w:tab/>
        </w:r>
        <w:r>
          <w:rPr>
            <w:webHidden/>
          </w:rPr>
          <w:fldChar w:fldCharType="begin"/>
        </w:r>
        <w:r w:rsidR="000D259F">
          <w:rPr>
            <w:webHidden/>
          </w:rPr>
          <w:instrText xml:space="preserve"> PAGEREF _Toc450199549 \h </w:instrText>
        </w:r>
        <w:r>
          <w:rPr>
            <w:webHidden/>
          </w:rPr>
        </w:r>
        <w:r>
          <w:rPr>
            <w:webHidden/>
          </w:rPr>
          <w:fldChar w:fldCharType="separate"/>
        </w:r>
        <w:r w:rsidR="0097684C">
          <w:rPr>
            <w:webHidden/>
          </w:rPr>
          <w:t>37</w:t>
        </w:r>
        <w:r>
          <w:rPr>
            <w:webHidden/>
          </w:rPr>
          <w:fldChar w:fldCharType="end"/>
        </w:r>
      </w:hyperlink>
    </w:p>
    <w:p w:rsidR="000D259F" w:rsidRDefault="00F671D2">
      <w:pPr>
        <w:pStyle w:val="TOC1"/>
        <w:rPr>
          <w:rFonts w:asciiTheme="minorHAnsi" w:eastAsiaTheme="minorEastAsia" w:hAnsiTheme="minorHAnsi" w:cstheme="minorBidi"/>
          <w:b w:val="0"/>
          <w:szCs w:val="22"/>
          <w:lang w:eastAsia="en-AU"/>
        </w:rPr>
      </w:pPr>
      <w:hyperlink w:anchor="_Toc450199550" w:history="1">
        <w:r w:rsidR="000D259F" w:rsidRPr="001F208E">
          <w:rPr>
            <w:rStyle w:val="Hyperlink"/>
          </w:rPr>
          <w:t>5. Changes in hydraulic habitat in response to Commonwealth environmental watering</w:t>
        </w:r>
        <w:r w:rsidR="000D259F">
          <w:rPr>
            <w:webHidden/>
          </w:rPr>
          <w:tab/>
        </w:r>
        <w:r>
          <w:rPr>
            <w:webHidden/>
          </w:rPr>
          <w:fldChar w:fldCharType="begin"/>
        </w:r>
        <w:r w:rsidR="000D259F">
          <w:rPr>
            <w:webHidden/>
          </w:rPr>
          <w:instrText xml:space="preserve"> PAGEREF _Toc450199550 \h </w:instrText>
        </w:r>
        <w:r>
          <w:rPr>
            <w:webHidden/>
          </w:rPr>
        </w:r>
        <w:r>
          <w:rPr>
            <w:webHidden/>
          </w:rPr>
          <w:fldChar w:fldCharType="separate"/>
        </w:r>
        <w:r w:rsidR="0097684C">
          <w:rPr>
            <w:webHidden/>
          </w:rPr>
          <w:t>46</w:t>
        </w:r>
        <w:r>
          <w:rPr>
            <w:webHidden/>
          </w:rPr>
          <w:fldChar w:fldCharType="end"/>
        </w:r>
      </w:hyperlink>
    </w:p>
    <w:p w:rsidR="000D259F" w:rsidRDefault="00F671D2">
      <w:pPr>
        <w:pStyle w:val="TOC1"/>
        <w:rPr>
          <w:rFonts w:asciiTheme="minorHAnsi" w:eastAsiaTheme="minorEastAsia" w:hAnsiTheme="minorHAnsi" w:cstheme="minorBidi"/>
          <w:b w:val="0"/>
          <w:szCs w:val="22"/>
          <w:lang w:eastAsia="en-AU"/>
        </w:rPr>
      </w:pPr>
      <w:hyperlink w:anchor="_Toc450199551" w:history="1">
        <w:r w:rsidR="000D259F" w:rsidRPr="001F208E">
          <w:rPr>
            <w:rStyle w:val="Hyperlink"/>
          </w:rPr>
          <w:t>6. Response of water quality and carbon to Commonwealth environmental watering</w:t>
        </w:r>
        <w:r w:rsidR="000D259F">
          <w:rPr>
            <w:webHidden/>
          </w:rPr>
          <w:tab/>
        </w:r>
        <w:r>
          <w:rPr>
            <w:webHidden/>
          </w:rPr>
          <w:fldChar w:fldCharType="begin"/>
        </w:r>
        <w:r w:rsidR="000D259F">
          <w:rPr>
            <w:webHidden/>
          </w:rPr>
          <w:instrText xml:space="preserve"> PAGEREF _Toc450199551 \h </w:instrText>
        </w:r>
        <w:r>
          <w:rPr>
            <w:webHidden/>
          </w:rPr>
        </w:r>
        <w:r>
          <w:rPr>
            <w:webHidden/>
          </w:rPr>
          <w:fldChar w:fldCharType="separate"/>
        </w:r>
        <w:r w:rsidR="0097684C">
          <w:rPr>
            <w:webHidden/>
          </w:rPr>
          <w:t>63</w:t>
        </w:r>
        <w:r>
          <w:rPr>
            <w:webHidden/>
          </w:rPr>
          <w:fldChar w:fldCharType="end"/>
        </w:r>
      </w:hyperlink>
    </w:p>
    <w:p w:rsidR="000D259F" w:rsidRDefault="00F671D2">
      <w:pPr>
        <w:pStyle w:val="TOC1"/>
        <w:rPr>
          <w:rFonts w:asciiTheme="minorHAnsi" w:eastAsiaTheme="minorEastAsia" w:hAnsiTheme="minorHAnsi" w:cstheme="minorBidi"/>
          <w:b w:val="0"/>
          <w:szCs w:val="22"/>
          <w:lang w:eastAsia="en-AU"/>
        </w:rPr>
      </w:pPr>
      <w:hyperlink w:anchor="_Toc450199552" w:history="1">
        <w:r w:rsidR="000D259F" w:rsidRPr="001F208E">
          <w:rPr>
            <w:rStyle w:val="Hyperlink"/>
          </w:rPr>
          <w:t>7. Effect of Commonwealth environmental water on stream metabolism</w:t>
        </w:r>
        <w:r w:rsidR="000D259F">
          <w:rPr>
            <w:webHidden/>
          </w:rPr>
          <w:tab/>
        </w:r>
        <w:r>
          <w:rPr>
            <w:webHidden/>
          </w:rPr>
          <w:fldChar w:fldCharType="begin"/>
        </w:r>
        <w:r w:rsidR="000D259F">
          <w:rPr>
            <w:webHidden/>
          </w:rPr>
          <w:instrText xml:space="preserve"> PAGEREF _Toc450199552 \h </w:instrText>
        </w:r>
        <w:r>
          <w:rPr>
            <w:webHidden/>
          </w:rPr>
        </w:r>
        <w:r>
          <w:rPr>
            <w:webHidden/>
          </w:rPr>
          <w:fldChar w:fldCharType="separate"/>
        </w:r>
        <w:r w:rsidR="0097684C">
          <w:rPr>
            <w:webHidden/>
          </w:rPr>
          <w:t>84</w:t>
        </w:r>
        <w:r>
          <w:rPr>
            <w:webHidden/>
          </w:rPr>
          <w:fldChar w:fldCharType="end"/>
        </w:r>
      </w:hyperlink>
    </w:p>
    <w:p w:rsidR="000D259F" w:rsidRDefault="00F671D2">
      <w:pPr>
        <w:pStyle w:val="TOC1"/>
        <w:rPr>
          <w:rFonts w:asciiTheme="minorHAnsi" w:eastAsiaTheme="minorEastAsia" w:hAnsiTheme="minorHAnsi" w:cstheme="minorBidi"/>
          <w:b w:val="0"/>
          <w:szCs w:val="22"/>
          <w:lang w:eastAsia="en-AU"/>
        </w:rPr>
      </w:pPr>
      <w:hyperlink w:anchor="_Toc450199553" w:history="1">
        <w:r w:rsidR="000D259F" w:rsidRPr="001F208E">
          <w:rPr>
            <w:rStyle w:val="Hyperlink"/>
          </w:rPr>
          <w:t>8. Response of riverbank and aquatic vegetation to Commonwealth environmental watering</w:t>
        </w:r>
        <w:r w:rsidR="000D259F">
          <w:rPr>
            <w:webHidden/>
          </w:rPr>
          <w:tab/>
        </w:r>
        <w:r>
          <w:rPr>
            <w:webHidden/>
          </w:rPr>
          <w:fldChar w:fldCharType="begin"/>
        </w:r>
        <w:r w:rsidR="000D259F">
          <w:rPr>
            <w:webHidden/>
          </w:rPr>
          <w:instrText xml:space="preserve"> PAGEREF _Toc450199553 \h </w:instrText>
        </w:r>
        <w:r>
          <w:rPr>
            <w:webHidden/>
          </w:rPr>
        </w:r>
        <w:r>
          <w:rPr>
            <w:webHidden/>
          </w:rPr>
          <w:fldChar w:fldCharType="separate"/>
        </w:r>
        <w:r w:rsidR="0097684C">
          <w:rPr>
            <w:webHidden/>
          </w:rPr>
          <w:t>100</w:t>
        </w:r>
        <w:r>
          <w:rPr>
            <w:webHidden/>
          </w:rPr>
          <w:fldChar w:fldCharType="end"/>
        </w:r>
      </w:hyperlink>
    </w:p>
    <w:p w:rsidR="000D259F" w:rsidRDefault="00F671D2">
      <w:pPr>
        <w:pStyle w:val="TOC1"/>
        <w:rPr>
          <w:rFonts w:asciiTheme="minorHAnsi" w:eastAsiaTheme="minorEastAsia" w:hAnsiTheme="minorHAnsi" w:cstheme="minorBidi"/>
          <w:b w:val="0"/>
          <w:szCs w:val="22"/>
          <w:lang w:eastAsia="en-AU"/>
        </w:rPr>
      </w:pPr>
      <w:hyperlink w:anchor="_Toc450199554" w:history="1">
        <w:r w:rsidR="000D259F" w:rsidRPr="001F208E">
          <w:rPr>
            <w:rStyle w:val="Hyperlink"/>
          </w:rPr>
          <w:t>9. Response of fish community to Commonwealth environmental watering</w:t>
        </w:r>
        <w:r w:rsidR="000D259F">
          <w:rPr>
            <w:webHidden/>
          </w:rPr>
          <w:tab/>
        </w:r>
        <w:r>
          <w:rPr>
            <w:webHidden/>
          </w:rPr>
          <w:fldChar w:fldCharType="begin"/>
        </w:r>
        <w:r w:rsidR="000D259F">
          <w:rPr>
            <w:webHidden/>
          </w:rPr>
          <w:instrText xml:space="preserve"> PAGEREF _Toc450199554 \h </w:instrText>
        </w:r>
        <w:r>
          <w:rPr>
            <w:webHidden/>
          </w:rPr>
        </w:r>
        <w:r>
          <w:rPr>
            <w:webHidden/>
          </w:rPr>
          <w:fldChar w:fldCharType="separate"/>
        </w:r>
        <w:r w:rsidR="0097684C">
          <w:rPr>
            <w:webHidden/>
          </w:rPr>
          <w:t>117</w:t>
        </w:r>
        <w:r>
          <w:rPr>
            <w:webHidden/>
          </w:rPr>
          <w:fldChar w:fldCharType="end"/>
        </w:r>
      </w:hyperlink>
    </w:p>
    <w:p w:rsidR="000D259F" w:rsidRDefault="00F671D2">
      <w:pPr>
        <w:pStyle w:val="TOC1"/>
        <w:rPr>
          <w:rFonts w:asciiTheme="minorHAnsi" w:eastAsiaTheme="minorEastAsia" w:hAnsiTheme="minorHAnsi" w:cstheme="minorBidi"/>
          <w:b w:val="0"/>
          <w:szCs w:val="22"/>
          <w:lang w:eastAsia="en-AU"/>
        </w:rPr>
      </w:pPr>
      <w:hyperlink w:anchor="_Toc450199555" w:history="1">
        <w:r w:rsidR="000D259F" w:rsidRPr="001F208E">
          <w:rPr>
            <w:rStyle w:val="Hyperlink"/>
          </w:rPr>
          <w:t>10. Fish spawning and reproduction responses to Commonwealth environmental watering</w:t>
        </w:r>
        <w:r w:rsidR="000D259F">
          <w:rPr>
            <w:webHidden/>
          </w:rPr>
          <w:tab/>
        </w:r>
        <w:r>
          <w:rPr>
            <w:webHidden/>
          </w:rPr>
          <w:fldChar w:fldCharType="begin"/>
        </w:r>
        <w:r w:rsidR="000D259F">
          <w:rPr>
            <w:webHidden/>
          </w:rPr>
          <w:instrText xml:space="preserve"> PAGEREF _Toc450199555 \h </w:instrText>
        </w:r>
        <w:r>
          <w:rPr>
            <w:webHidden/>
          </w:rPr>
        </w:r>
        <w:r>
          <w:rPr>
            <w:webHidden/>
          </w:rPr>
          <w:fldChar w:fldCharType="separate"/>
        </w:r>
        <w:r w:rsidR="0097684C">
          <w:rPr>
            <w:webHidden/>
          </w:rPr>
          <w:t>138</w:t>
        </w:r>
        <w:r>
          <w:rPr>
            <w:webHidden/>
          </w:rPr>
          <w:fldChar w:fldCharType="end"/>
        </w:r>
      </w:hyperlink>
    </w:p>
    <w:p w:rsidR="000D259F" w:rsidRDefault="00F671D2">
      <w:pPr>
        <w:pStyle w:val="TOC1"/>
        <w:rPr>
          <w:rFonts w:asciiTheme="minorHAnsi" w:eastAsiaTheme="minorEastAsia" w:hAnsiTheme="minorHAnsi" w:cstheme="minorBidi"/>
          <w:b w:val="0"/>
          <w:szCs w:val="22"/>
          <w:lang w:eastAsia="en-AU"/>
        </w:rPr>
      </w:pPr>
      <w:hyperlink w:anchor="_Toc450199556" w:history="1">
        <w:r w:rsidR="000D259F" w:rsidRPr="001F208E">
          <w:rPr>
            <w:rStyle w:val="Hyperlink"/>
          </w:rPr>
          <w:t>11. Murray cod, golden perch and silver perch recruitment and growth responses to Commonwealth environmental watering</w:t>
        </w:r>
        <w:r w:rsidR="000D259F">
          <w:rPr>
            <w:webHidden/>
          </w:rPr>
          <w:tab/>
        </w:r>
        <w:r>
          <w:rPr>
            <w:webHidden/>
          </w:rPr>
          <w:fldChar w:fldCharType="begin"/>
        </w:r>
        <w:r w:rsidR="000D259F">
          <w:rPr>
            <w:webHidden/>
          </w:rPr>
          <w:instrText xml:space="preserve"> PAGEREF _Toc450199556 \h </w:instrText>
        </w:r>
        <w:r>
          <w:rPr>
            <w:webHidden/>
          </w:rPr>
        </w:r>
        <w:r>
          <w:rPr>
            <w:webHidden/>
          </w:rPr>
          <w:fldChar w:fldCharType="separate"/>
        </w:r>
        <w:r w:rsidR="0097684C">
          <w:rPr>
            <w:webHidden/>
          </w:rPr>
          <w:t>152</w:t>
        </w:r>
        <w:r>
          <w:rPr>
            <w:webHidden/>
          </w:rPr>
          <w:fldChar w:fldCharType="end"/>
        </w:r>
      </w:hyperlink>
    </w:p>
    <w:p w:rsidR="000D259F" w:rsidRDefault="00F671D2">
      <w:pPr>
        <w:pStyle w:val="TOC1"/>
        <w:rPr>
          <w:rFonts w:asciiTheme="minorHAnsi" w:eastAsiaTheme="minorEastAsia" w:hAnsiTheme="minorHAnsi" w:cstheme="minorBidi"/>
          <w:b w:val="0"/>
          <w:szCs w:val="22"/>
          <w:lang w:eastAsia="en-AU"/>
        </w:rPr>
      </w:pPr>
      <w:hyperlink w:anchor="_Toc450199557" w:history="1">
        <w:r w:rsidR="000D259F" w:rsidRPr="001F208E">
          <w:rPr>
            <w:rStyle w:val="Hyperlink"/>
          </w:rPr>
          <w:t>12. Summary and synthesis</w:t>
        </w:r>
        <w:r w:rsidR="000D259F">
          <w:rPr>
            <w:webHidden/>
          </w:rPr>
          <w:tab/>
        </w:r>
        <w:r>
          <w:rPr>
            <w:webHidden/>
          </w:rPr>
          <w:fldChar w:fldCharType="begin"/>
        </w:r>
        <w:r w:rsidR="000D259F">
          <w:rPr>
            <w:webHidden/>
          </w:rPr>
          <w:instrText xml:space="preserve"> PAGEREF _Toc450199557 \h </w:instrText>
        </w:r>
        <w:r>
          <w:rPr>
            <w:webHidden/>
          </w:rPr>
        </w:r>
        <w:r>
          <w:rPr>
            <w:webHidden/>
          </w:rPr>
          <w:fldChar w:fldCharType="separate"/>
        </w:r>
        <w:r w:rsidR="0097684C">
          <w:rPr>
            <w:webHidden/>
          </w:rPr>
          <w:t>168</w:t>
        </w:r>
        <w:r>
          <w:rPr>
            <w:webHidden/>
          </w:rPr>
          <w:fldChar w:fldCharType="end"/>
        </w:r>
      </w:hyperlink>
    </w:p>
    <w:p w:rsidR="000D259F" w:rsidRDefault="00F671D2">
      <w:pPr>
        <w:pStyle w:val="TOC1"/>
        <w:rPr>
          <w:rFonts w:asciiTheme="minorHAnsi" w:eastAsiaTheme="minorEastAsia" w:hAnsiTheme="minorHAnsi" w:cstheme="minorBidi"/>
          <w:b w:val="0"/>
          <w:szCs w:val="22"/>
          <w:lang w:eastAsia="en-AU"/>
        </w:rPr>
      </w:pPr>
      <w:hyperlink w:anchor="_Toc450199558" w:history="1">
        <w:r w:rsidR="000D259F" w:rsidRPr="001F208E">
          <w:rPr>
            <w:rStyle w:val="Hyperlink"/>
          </w:rPr>
          <w:t>13. Recommendations and application through adaptive management into 2015-16 use of Commonwealth environmental water</w:t>
        </w:r>
        <w:r w:rsidR="000D259F">
          <w:rPr>
            <w:webHidden/>
          </w:rPr>
          <w:tab/>
        </w:r>
        <w:r>
          <w:rPr>
            <w:webHidden/>
          </w:rPr>
          <w:fldChar w:fldCharType="begin"/>
        </w:r>
        <w:r w:rsidR="000D259F">
          <w:rPr>
            <w:webHidden/>
          </w:rPr>
          <w:instrText xml:space="preserve"> PAGEREF _Toc450199558 \h </w:instrText>
        </w:r>
        <w:r>
          <w:rPr>
            <w:webHidden/>
          </w:rPr>
        </w:r>
        <w:r>
          <w:rPr>
            <w:webHidden/>
          </w:rPr>
          <w:fldChar w:fldCharType="separate"/>
        </w:r>
        <w:r w:rsidR="0097684C">
          <w:rPr>
            <w:webHidden/>
          </w:rPr>
          <w:t>173</w:t>
        </w:r>
        <w:r>
          <w:rPr>
            <w:webHidden/>
          </w:rPr>
          <w:fldChar w:fldCharType="end"/>
        </w:r>
      </w:hyperlink>
    </w:p>
    <w:p w:rsidR="000D259F" w:rsidRDefault="00F671D2">
      <w:pPr>
        <w:pStyle w:val="TOC1"/>
        <w:rPr>
          <w:rFonts w:asciiTheme="minorHAnsi" w:eastAsiaTheme="minorEastAsia" w:hAnsiTheme="minorHAnsi" w:cstheme="minorBidi"/>
          <w:b w:val="0"/>
          <w:szCs w:val="22"/>
          <w:lang w:eastAsia="en-AU"/>
        </w:rPr>
      </w:pPr>
      <w:hyperlink w:anchor="_Toc450199559" w:history="1">
        <w:r w:rsidR="000D259F" w:rsidRPr="001F208E">
          <w:rPr>
            <w:rStyle w:val="Hyperlink"/>
          </w:rPr>
          <w:t>14. Acknowledgements</w:t>
        </w:r>
        <w:r w:rsidR="000D259F">
          <w:rPr>
            <w:webHidden/>
          </w:rPr>
          <w:tab/>
        </w:r>
        <w:r>
          <w:rPr>
            <w:webHidden/>
          </w:rPr>
          <w:fldChar w:fldCharType="begin"/>
        </w:r>
        <w:r w:rsidR="000D259F">
          <w:rPr>
            <w:webHidden/>
          </w:rPr>
          <w:instrText xml:space="preserve"> PAGEREF _Toc450199559 \h </w:instrText>
        </w:r>
        <w:r>
          <w:rPr>
            <w:webHidden/>
          </w:rPr>
        </w:r>
        <w:r>
          <w:rPr>
            <w:webHidden/>
          </w:rPr>
          <w:fldChar w:fldCharType="separate"/>
        </w:r>
        <w:r w:rsidR="0097684C">
          <w:rPr>
            <w:webHidden/>
          </w:rPr>
          <w:t>184</w:t>
        </w:r>
        <w:r>
          <w:rPr>
            <w:webHidden/>
          </w:rPr>
          <w:fldChar w:fldCharType="end"/>
        </w:r>
      </w:hyperlink>
    </w:p>
    <w:p w:rsidR="00835426" w:rsidRDefault="00F671D2" w:rsidP="001D220A">
      <w:pPr>
        <w:spacing w:after="240" w:line="240" w:lineRule="auto"/>
        <w:jc w:val="left"/>
        <w:rPr>
          <w:b/>
          <w:color w:val="4F6228" w:themeColor="accent3" w:themeShade="80"/>
          <w:sz w:val="32"/>
          <w:szCs w:val="32"/>
        </w:rPr>
      </w:pPr>
      <w:r w:rsidRPr="000D13BE">
        <w:rPr>
          <w:rFonts w:asciiTheme="minorHAnsi" w:hAnsiTheme="minorHAnsi" w:cstheme="minorHAnsi"/>
          <w:sz w:val="20"/>
        </w:rPr>
        <w:fldChar w:fldCharType="end"/>
      </w:r>
      <w:r w:rsidR="00CA50DD">
        <w:rPr>
          <w:highlight w:val="yellow"/>
        </w:rPr>
        <w:br w:type="page"/>
      </w:r>
      <w:r w:rsidR="00835426">
        <w:rPr>
          <w:b/>
          <w:color w:val="4F6228" w:themeColor="accent3" w:themeShade="80"/>
          <w:sz w:val="32"/>
          <w:szCs w:val="32"/>
        </w:rPr>
        <w:t>List of Figures</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 xml:space="preserve">Figure </w:t>
      </w:r>
      <w:r w:rsidR="00F671D2" w:rsidRPr="008B4A19">
        <w:rPr>
          <w:rFonts w:asciiTheme="minorHAnsi" w:hAnsiTheme="minorHAnsi"/>
          <w:b/>
          <w:szCs w:val="22"/>
        </w:rPr>
        <w:fldChar w:fldCharType="begin"/>
      </w:r>
      <w:r w:rsidRPr="008B4A19">
        <w:rPr>
          <w:rFonts w:asciiTheme="minorHAnsi" w:hAnsiTheme="minorHAnsi"/>
          <w:b/>
          <w:szCs w:val="22"/>
        </w:rPr>
        <w:instrText xml:space="preserve"> SEQ Figure \* ARABIC </w:instrText>
      </w:r>
      <w:r w:rsidR="00F671D2" w:rsidRPr="008B4A19">
        <w:rPr>
          <w:rFonts w:asciiTheme="minorHAnsi" w:hAnsiTheme="minorHAnsi"/>
          <w:b/>
          <w:szCs w:val="22"/>
        </w:rPr>
        <w:fldChar w:fldCharType="separate"/>
      </w:r>
      <w:r w:rsidR="0097684C">
        <w:rPr>
          <w:rFonts w:asciiTheme="minorHAnsi" w:hAnsiTheme="minorHAnsi"/>
          <w:b/>
          <w:noProof/>
          <w:szCs w:val="22"/>
        </w:rPr>
        <w:t>1</w:t>
      </w:r>
      <w:r w:rsidR="00F671D2" w:rsidRPr="008B4A19">
        <w:rPr>
          <w:rFonts w:asciiTheme="minorHAnsi" w:hAnsiTheme="minorHAnsi"/>
          <w:b/>
          <w:szCs w:val="22"/>
        </w:rPr>
        <w:fldChar w:fldCharType="end"/>
      </w:r>
      <w:r w:rsidRPr="008B4A19">
        <w:rPr>
          <w:rFonts w:asciiTheme="minorHAnsi" w:hAnsiTheme="minorHAnsi"/>
          <w:b/>
          <w:szCs w:val="22"/>
        </w:rPr>
        <w:t>.1.</w:t>
      </w:r>
      <w:r w:rsidRPr="008B4A19">
        <w:rPr>
          <w:rFonts w:asciiTheme="minorHAnsi" w:hAnsiTheme="minorHAnsi"/>
          <w:szCs w:val="22"/>
        </w:rPr>
        <w:t xml:space="preserve"> </w:t>
      </w:r>
      <w:r>
        <w:tab/>
      </w:r>
      <w:r w:rsidRPr="008B4A19">
        <w:rPr>
          <w:rFonts w:asciiTheme="minorHAnsi" w:hAnsiTheme="minorHAnsi"/>
          <w:szCs w:val="22"/>
        </w:rPr>
        <w:t>Map showing the main rivers in the Edward-Wakool system. (Source: Watts et al. 2013)</w:t>
      </w:r>
    </w:p>
    <w:p w:rsidR="00871D36" w:rsidRPr="008B4A19" w:rsidRDefault="00871D36" w:rsidP="00871D36">
      <w:pPr>
        <w:pStyle w:val="FigureCaption0"/>
        <w:spacing w:after="0"/>
        <w:ind w:left="1134" w:hanging="1134"/>
        <w:mirrorIndents/>
        <w:rPr>
          <w:b w:val="0"/>
          <w:sz w:val="22"/>
          <w:szCs w:val="22"/>
          <w:highlight w:val="yellow"/>
        </w:rPr>
      </w:pPr>
      <w:r w:rsidRPr="008B4A19">
        <w:rPr>
          <w:sz w:val="22"/>
          <w:szCs w:val="22"/>
        </w:rPr>
        <w:t>Figure 1.2.</w:t>
      </w:r>
      <w:r w:rsidRPr="008B4A19">
        <w:rPr>
          <w:b w:val="0"/>
          <w:sz w:val="22"/>
          <w:szCs w:val="22"/>
        </w:rPr>
        <w:t xml:space="preserve"> </w:t>
      </w:r>
      <w:r>
        <w:rPr>
          <w:b w:val="0"/>
          <w:sz w:val="22"/>
          <w:szCs w:val="22"/>
        </w:rPr>
        <w:tab/>
      </w:r>
      <w:r w:rsidRPr="008B4A19">
        <w:rPr>
          <w:b w:val="0"/>
          <w:sz w:val="22"/>
          <w:szCs w:val="22"/>
        </w:rPr>
        <w:t xml:space="preserve">Daily discharge (ML/day) between 01/01/05 and 31/06/15 in the Wakool River at the Wakool-Barham Road (Gauge 409045 – see Figure 3.1). </w:t>
      </w:r>
    </w:p>
    <w:p w:rsidR="00871D36" w:rsidRPr="008B4A19" w:rsidRDefault="00871D36" w:rsidP="00871D36">
      <w:pPr>
        <w:pStyle w:val="FigureCaption0"/>
        <w:spacing w:after="0"/>
        <w:ind w:left="1134" w:hanging="1134"/>
        <w:mirrorIndents/>
        <w:rPr>
          <w:b w:val="0"/>
          <w:sz w:val="22"/>
          <w:szCs w:val="22"/>
        </w:rPr>
      </w:pPr>
      <w:r w:rsidRPr="008B4A19">
        <w:rPr>
          <w:sz w:val="22"/>
          <w:szCs w:val="22"/>
        </w:rPr>
        <w:t>Figure 1.3.</w:t>
      </w:r>
      <w:r w:rsidRPr="008B4A19">
        <w:rPr>
          <w:b w:val="0"/>
          <w:sz w:val="22"/>
          <w:szCs w:val="22"/>
        </w:rPr>
        <w:t xml:space="preserve"> </w:t>
      </w:r>
      <w:r>
        <w:rPr>
          <w:b w:val="0"/>
          <w:sz w:val="22"/>
          <w:szCs w:val="22"/>
        </w:rPr>
        <w:tab/>
      </w:r>
      <w:r w:rsidRPr="008B4A19">
        <w:rPr>
          <w:b w:val="0"/>
          <w:sz w:val="22"/>
          <w:szCs w:val="22"/>
        </w:rPr>
        <w:t>Time series plot of flows at Deniliquin.</w:t>
      </w:r>
    </w:p>
    <w:p w:rsidR="00871D36" w:rsidRPr="008B4A19" w:rsidRDefault="00871D36" w:rsidP="00871D36">
      <w:pPr>
        <w:pStyle w:val="FigureCaption0"/>
        <w:spacing w:after="0"/>
        <w:ind w:left="1134" w:hanging="1134"/>
        <w:mirrorIndents/>
        <w:rPr>
          <w:b w:val="0"/>
          <w:sz w:val="22"/>
          <w:szCs w:val="22"/>
        </w:rPr>
      </w:pPr>
      <w:r w:rsidRPr="008B4A19">
        <w:rPr>
          <w:sz w:val="22"/>
          <w:szCs w:val="22"/>
        </w:rPr>
        <w:t xml:space="preserve">Figure 1.4. </w:t>
      </w:r>
      <w:r>
        <w:rPr>
          <w:sz w:val="22"/>
          <w:szCs w:val="22"/>
        </w:rPr>
        <w:tab/>
      </w:r>
      <w:r w:rsidRPr="008B4A19">
        <w:rPr>
          <w:b w:val="0"/>
          <w:sz w:val="22"/>
          <w:szCs w:val="22"/>
        </w:rPr>
        <w:t>Time series plot of flow at Stevens Weir.</w:t>
      </w:r>
    </w:p>
    <w:p w:rsidR="00871D36" w:rsidRPr="008B4A19" w:rsidRDefault="00871D36" w:rsidP="00871D36">
      <w:pPr>
        <w:pStyle w:val="TableofFigures"/>
        <w:spacing w:after="0"/>
        <w:ind w:left="1134" w:hanging="1134"/>
        <w:mirrorIndents/>
        <w:rPr>
          <w:sz w:val="22"/>
          <w:szCs w:val="22"/>
        </w:rPr>
      </w:pPr>
      <w:r w:rsidRPr="008B4A19">
        <w:rPr>
          <w:sz w:val="22"/>
          <w:szCs w:val="22"/>
        </w:rPr>
        <w:t xml:space="preserve">Figure 1.5. </w:t>
      </w:r>
      <w:r>
        <w:rPr>
          <w:sz w:val="22"/>
          <w:szCs w:val="22"/>
        </w:rPr>
        <w:tab/>
      </w:r>
      <w:r w:rsidRPr="008B4A19">
        <w:rPr>
          <w:b w:val="0"/>
          <w:sz w:val="22"/>
          <w:szCs w:val="22"/>
        </w:rPr>
        <w:t>Boxplots of mean daily flow by month for the Edward River at Deniliquin.</w:t>
      </w:r>
    </w:p>
    <w:p w:rsidR="00871D36" w:rsidRPr="008B4A19" w:rsidRDefault="00871D36" w:rsidP="00871D36">
      <w:pPr>
        <w:pStyle w:val="TableofFigures"/>
        <w:spacing w:after="0"/>
        <w:ind w:left="1134" w:hanging="1134"/>
        <w:mirrorIndents/>
        <w:rPr>
          <w:sz w:val="22"/>
          <w:szCs w:val="22"/>
        </w:rPr>
      </w:pPr>
      <w:r w:rsidRPr="008B4A19">
        <w:rPr>
          <w:sz w:val="22"/>
          <w:szCs w:val="22"/>
        </w:rPr>
        <w:t xml:space="preserve">Figure 1.6. </w:t>
      </w:r>
      <w:r>
        <w:rPr>
          <w:sz w:val="22"/>
          <w:szCs w:val="22"/>
        </w:rPr>
        <w:tab/>
      </w:r>
      <w:r w:rsidRPr="008B4A19">
        <w:rPr>
          <w:b w:val="0"/>
          <w:sz w:val="22"/>
          <w:szCs w:val="22"/>
        </w:rPr>
        <w:t>Boxplots of mean daily flows by month for the Edward River at Stevens Weir.</w:t>
      </w:r>
    </w:p>
    <w:p w:rsidR="00871D36" w:rsidRPr="008B4A19" w:rsidRDefault="00871D36" w:rsidP="00871D36">
      <w:pPr>
        <w:pStyle w:val="FigureCaption0"/>
        <w:spacing w:after="0"/>
        <w:ind w:left="1134" w:hanging="1134"/>
        <w:mirrorIndents/>
        <w:rPr>
          <w:b w:val="0"/>
          <w:sz w:val="22"/>
          <w:szCs w:val="22"/>
        </w:rPr>
      </w:pPr>
      <w:r w:rsidRPr="008B4A19">
        <w:rPr>
          <w:sz w:val="22"/>
          <w:szCs w:val="22"/>
        </w:rPr>
        <w:t xml:space="preserve">Figure 1.7. </w:t>
      </w:r>
      <w:r>
        <w:rPr>
          <w:sz w:val="22"/>
          <w:szCs w:val="22"/>
        </w:rPr>
        <w:tab/>
      </w:r>
      <w:r w:rsidRPr="008B4A19">
        <w:rPr>
          <w:b w:val="0"/>
          <w:sz w:val="22"/>
          <w:szCs w:val="22"/>
        </w:rPr>
        <w:t>Annual flow duration curve for the Edward River at Deniliquin.</w:t>
      </w:r>
    </w:p>
    <w:p w:rsidR="00871D36" w:rsidRPr="008B4A19" w:rsidRDefault="00871D36" w:rsidP="00871D36">
      <w:pPr>
        <w:pStyle w:val="FigureCaption0"/>
        <w:spacing w:after="0"/>
        <w:ind w:left="1134" w:hanging="1134"/>
        <w:mirrorIndents/>
        <w:rPr>
          <w:sz w:val="22"/>
          <w:szCs w:val="22"/>
        </w:rPr>
      </w:pPr>
      <w:r w:rsidRPr="008B4A19">
        <w:rPr>
          <w:sz w:val="22"/>
          <w:szCs w:val="22"/>
        </w:rPr>
        <w:t xml:space="preserve">Figure 1.8. </w:t>
      </w:r>
      <w:r>
        <w:rPr>
          <w:sz w:val="22"/>
          <w:szCs w:val="22"/>
        </w:rPr>
        <w:tab/>
      </w:r>
      <w:r w:rsidRPr="008B4A19">
        <w:rPr>
          <w:b w:val="0"/>
          <w:sz w:val="22"/>
          <w:szCs w:val="22"/>
        </w:rPr>
        <w:t>Annual flow duration curve for the Edward River at Stevens Weir.</w:t>
      </w:r>
    </w:p>
    <w:p w:rsidR="00871D36" w:rsidRPr="008B4A19" w:rsidRDefault="00871D36" w:rsidP="00871D36">
      <w:pPr>
        <w:pStyle w:val="FigureCaption0"/>
        <w:spacing w:after="0"/>
        <w:ind w:left="1134" w:hanging="1134"/>
        <w:mirrorIndents/>
        <w:rPr>
          <w:rFonts w:cs="Calibri"/>
          <w:b w:val="0"/>
          <w:sz w:val="22"/>
          <w:szCs w:val="22"/>
        </w:rPr>
      </w:pPr>
      <w:r w:rsidRPr="008B4A19">
        <w:rPr>
          <w:sz w:val="22"/>
          <w:szCs w:val="22"/>
        </w:rPr>
        <w:t xml:space="preserve">Figure 3.1. </w:t>
      </w:r>
      <w:r>
        <w:rPr>
          <w:sz w:val="22"/>
          <w:szCs w:val="22"/>
        </w:rPr>
        <w:tab/>
      </w:r>
      <w:r w:rsidRPr="008B4A19">
        <w:rPr>
          <w:b w:val="0"/>
          <w:sz w:val="22"/>
          <w:szCs w:val="22"/>
        </w:rPr>
        <w:t>Location of monitoring sites for the Edward-Wakool Selected Area for the Long-Term Intervention Monitoring (LTIM) Project</w:t>
      </w:r>
      <w:r w:rsidRPr="008B4A19">
        <w:rPr>
          <w:rFonts w:cs="Calibri"/>
          <w:b w:val="0"/>
          <w:sz w:val="22"/>
          <w:szCs w:val="22"/>
        </w:rPr>
        <w:t>.</w:t>
      </w:r>
    </w:p>
    <w:p w:rsidR="00871D36" w:rsidRPr="008B4A19" w:rsidRDefault="00871D36" w:rsidP="00871D36">
      <w:pPr>
        <w:pStyle w:val="FigureCaption0"/>
        <w:spacing w:after="0"/>
        <w:ind w:left="1134" w:hanging="1134"/>
        <w:mirrorIndents/>
        <w:rPr>
          <w:b w:val="0"/>
          <w:sz w:val="22"/>
          <w:szCs w:val="22"/>
        </w:rPr>
      </w:pPr>
      <w:r w:rsidRPr="008B4A19">
        <w:rPr>
          <w:sz w:val="22"/>
          <w:szCs w:val="22"/>
        </w:rPr>
        <w:t xml:space="preserve">Figure 3.2. </w:t>
      </w:r>
      <w:r>
        <w:rPr>
          <w:sz w:val="22"/>
          <w:szCs w:val="22"/>
        </w:rPr>
        <w:tab/>
      </w:r>
      <w:r w:rsidRPr="008B4A19">
        <w:rPr>
          <w:b w:val="0"/>
          <w:sz w:val="22"/>
          <w:szCs w:val="22"/>
        </w:rPr>
        <w:t>Photos of study sites in the four hydrological zones in November 2014 during the environmental watering (zones 1, 3 and 4) and in March 2015 during operational flows.</w:t>
      </w:r>
    </w:p>
    <w:p w:rsidR="00871D36" w:rsidRPr="008B4A19" w:rsidRDefault="00871D36" w:rsidP="00871D36">
      <w:pPr>
        <w:pStyle w:val="FigureCaption0"/>
        <w:spacing w:after="0"/>
        <w:ind w:left="1134" w:hanging="1134"/>
        <w:mirrorIndents/>
        <w:rPr>
          <w:sz w:val="22"/>
          <w:szCs w:val="22"/>
        </w:rPr>
      </w:pPr>
      <w:r w:rsidRPr="008B4A19">
        <w:rPr>
          <w:sz w:val="22"/>
          <w:szCs w:val="22"/>
        </w:rPr>
        <w:t>Figure 3.3</w:t>
      </w:r>
      <w:r>
        <w:rPr>
          <w:sz w:val="22"/>
          <w:szCs w:val="22"/>
        </w:rPr>
        <w:t xml:space="preserve">. </w:t>
      </w:r>
      <w:r>
        <w:rPr>
          <w:sz w:val="22"/>
          <w:szCs w:val="22"/>
        </w:rPr>
        <w:tab/>
      </w:r>
      <w:r w:rsidRPr="008B4A19">
        <w:rPr>
          <w:b w:val="0"/>
          <w:sz w:val="22"/>
          <w:szCs w:val="22"/>
        </w:rPr>
        <w:t xml:space="preserve">Conceptual diagram illustrating the linkages among indicators and links different types of environmental watering (freshes, overbank flows, low flows) to fish populations. </w:t>
      </w:r>
    </w:p>
    <w:p w:rsidR="00871D36" w:rsidRPr="008B4A19" w:rsidRDefault="00871D36" w:rsidP="00871D36">
      <w:pPr>
        <w:pStyle w:val="FigureCaption0"/>
        <w:spacing w:after="0"/>
        <w:ind w:left="1134" w:hanging="1134"/>
        <w:mirrorIndents/>
        <w:rPr>
          <w:rFonts w:cs="Calibri"/>
          <w:b w:val="0"/>
          <w:sz w:val="22"/>
          <w:szCs w:val="22"/>
          <w:lang w:val="en-GB"/>
        </w:rPr>
      </w:pPr>
      <w:r w:rsidRPr="008B4A19">
        <w:rPr>
          <w:rFonts w:cs="Calibri"/>
          <w:sz w:val="22"/>
          <w:szCs w:val="22"/>
          <w:lang w:val="en-GB"/>
        </w:rPr>
        <w:t xml:space="preserve">Figure 4.1. </w:t>
      </w:r>
      <w:r>
        <w:rPr>
          <w:rFonts w:cs="Calibri"/>
          <w:sz w:val="22"/>
          <w:szCs w:val="22"/>
          <w:lang w:val="en-GB"/>
        </w:rPr>
        <w:tab/>
      </w:r>
      <w:r w:rsidRPr="008B4A19">
        <w:rPr>
          <w:rFonts w:cs="Calibri"/>
          <w:b w:val="0"/>
          <w:sz w:val="22"/>
          <w:szCs w:val="22"/>
          <w:lang w:val="en-GB"/>
        </w:rPr>
        <w:t>Hydrographs of zones 1 Yallakool Creek, and zones 2, 3 and 4 in the Wakool River for the period from 1 July 2014 to 30 June 2015.</w:t>
      </w:r>
    </w:p>
    <w:p w:rsidR="00871D36" w:rsidRPr="008B4A19" w:rsidRDefault="00871D36" w:rsidP="00871D36">
      <w:pPr>
        <w:pStyle w:val="FigureCaption0"/>
        <w:spacing w:after="0"/>
        <w:ind w:left="1134" w:hanging="1134"/>
        <w:mirrorIndents/>
        <w:rPr>
          <w:sz w:val="22"/>
          <w:szCs w:val="22"/>
        </w:rPr>
      </w:pPr>
      <w:r w:rsidRPr="008B4A19">
        <w:rPr>
          <w:rFonts w:cs="Calibri"/>
          <w:sz w:val="22"/>
          <w:szCs w:val="22"/>
          <w:lang w:val="en-GB"/>
        </w:rPr>
        <w:t>Figure 4.2.</w:t>
      </w:r>
      <w:r w:rsidRPr="008B4A19">
        <w:rPr>
          <w:rFonts w:cs="Calibri"/>
          <w:b w:val="0"/>
          <w:sz w:val="22"/>
          <w:szCs w:val="22"/>
          <w:lang w:val="en-GB"/>
        </w:rPr>
        <w:t xml:space="preserve"> </w:t>
      </w:r>
      <w:r>
        <w:rPr>
          <w:rFonts w:cs="Calibri"/>
          <w:b w:val="0"/>
          <w:sz w:val="22"/>
          <w:szCs w:val="22"/>
          <w:lang w:val="en-GB"/>
        </w:rPr>
        <w:tab/>
      </w:r>
      <w:r w:rsidRPr="008B4A19">
        <w:rPr>
          <w:rFonts w:cs="Calibri"/>
          <w:b w:val="0"/>
          <w:sz w:val="22"/>
          <w:szCs w:val="22"/>
          <w:lang w:val="en-GB"/>
        </w:rPr>
        <w:t>Hydrographs for the Wakool River at Gee Gee Bridge (gauge 409062), Coonamit (gauge 409061) and Stoney Crossing (gauge 409013) for the period from 1 July 2014 to 30 June 2015.</w:t>
      </w:r>
    </w:p>
    <w:p w:rsidR="00871D36" w:rsidRPr="008B4A19" w:rsidRDefault="00871D36" w:rsidP="00871D36">
      <w:pPr>
        <w:pStyle w:val="FigureCaption0"/>
        <w:spacing w:after="0"/>
        <w:ind w:left="1134" w:hanging="1134"/>
        <w:mirrorIndents/>
        <w:rPr>
          <w:sz w:val="22"/>
          <w:szCs w:val="22"/>
        </w:rPr>
      </w:pPr>
      <w:r w:rsidRPr="008B4A19">
        <w:rPr>
          <w:sz w:val="22"/>
          <w:szCs w:val="22"/>
        </w:rPr>
        <w:t>Figure 5.1.</w:t>
      </w:r>
      <w:r w:rsidRPr="008B4A19">
        <w:rPr>
          <w:b w:val="0"/>
          <w:sz w:val="22"/>
          <w:szCs w:val="22"/>
        </w:rPr>
        <w:t xml:space="preserve"> </w:t>
      </w:r>
      <w:r>
        <w:rPr>
          <w:b w:val="0"/>
          <w:sz w:val="22"/>
          <w:szCs w:val="22"/>
        </w:rPr>
        <w:tab/>
      </w:r>
      <w:r w:rsidRPr="008B4A19">
        <w:rPr>
          <w:b w:val="0"/>
          <w:sz w:val="22"/>
          <w:szCs w:val="22"/>
        </w:rPr>
        <w:t>Wetted benthic area (m</w:t>
      </w:r>
      <w:r w:rsidRPr="008B4A19">
        <w:rPr>
          <w:b w:val="0"/>
          <w:sz w:val="22"/>
          <w:szCs w:val="22"/>
          <w:vertAlign w:val="superscript"/>
        </w:rPr>
        <w:t>2</w:t>
      </w:r>
      <w:r w:rsidRPr="008B4A19">
        <w:rPr>
          <w:b w:val="0"/>
          <w:sz w:val="22"/>
          <w:szCs w:val="22"/>
        </w:rPr>
        <w:t>) modelled for 19 reaches in the Edward-Wakool Selected Area under a) operational base flow and b) Commonwealth environmental watering in Yallakool Creek where discharge was increased to approximately 500 ML/d between August 2014 and January 2015</w:t>
      </w:r>
    </w:p>
    <w:p w:rsidR="00871D36" w:rsidRPr="008B4A19" w:rsidRDefault="00871D36" w:rsidP="00871D36">
      <w:pPr>
        <w:pStyle w:val="FigureCaption0"/>
        <w:spacing w:after="0"/>
        <w:ind w:left="1134" w:hanging="1134"/>
        <w:mirrorIndents/>
        <w:rPr>
          <w:b w:val="0"/>
          <w:sz w:val="22"/>
          <w:szCs w:val="22"/>
        </w:rPr>
      </w:pPr>
      <w:r w:rsidRPr="008B4A19">
        <w:rPr>
          <w:sz w:val="22"/>
          <w:szCs w:val="22"/>
        </w:rPr>
        <w:t xml:space="preserve">Figure 5.2. </w:t>
      </w:r>
      <w:r>
        <w:rPr>
          <w:sz w:val="22"/>
          <w:szCs w:val="22"/>
        </w:rPr>
        <w:tab/>
      </w:r>
      <w:r w:rsidRPr="008B4A19">
        <w:rPr>
          <w:b w:val="0"/>
          <w:sz w:val="22"/>
          <w:szCs w:val="22"/>
        </w:rPr>
        <w:t>Positive or negative change in wetted surface area (m</w:t>
      </w:r>
      <w:r w:rsidRPr="008B4A19">
        <w:rPr>
          <w:b w:val="0"/>
          <w:sz w:val="22"/>
          <w:szCs w:val="22"/>
          <w:vertAlign w:val="superscript"/>
        </w:rPr>
        <w:t>2</w:t>
      </w:r>
      <w:r w:rsidRPr="008B4A19">
        <w:rPr>
          <w:b w:val="0"/>
          <w:sz w:val="22"/>
          <w:szCs w:val="22"/>
        </w:rPr>
        <w:t>) of slackwater, slow water and fast water for nineteen reaches in the Edward-Wakool Selected Area under environmental watering in Yallakool Creek between August 2014 and January 2015 relative to operational base flow.</w:t>
      </w:r>
    </w:p>
    <w:p w:rsidR="00871D36" w:rsidRPr="008B4A19" w:rsidRDefault="00871D36" w:rsidP="00871D36">
      <w:pPr>
        <w:spacing w:after="0" w:line="240" w:lineRule="auto"/>
        <w:ind w:left="1134" w:hanging="1134"/>
        <w:mirrorIndents/>
        <w:jc w:val="left"/>
        <w:rPr>
          <w:rFonts w:asciiTheme="minorHAnsi" w:eastAsia="Times New Roman" w:hAnsiTheme="minorHAnsi"/>
          <w:color w:val="000000"/>
          <w:kern w:val="28"/>
          <w:szCs w:val="22"/>
        </w:rPr>
      </w:pPr>
      <w:r w:rsidRPr="008B4A19">
        <w:rPr>
          <w:rFonts w:asciiTheme="minorHAnsi" w:eastAsia="Times New Roman" w:hAnsiTheme="minorHAnsi"/>
          <w:b/>
          <w:color w:val="000000"/>
          <w:kern w:val="28"/>
          <w:szCs w:val="22"/>
        </w:rPr>
        <w:t xml:space="preserve">Figure 5.3. </w:t>
      </w:r>
      <w:r>
        <w:rPr>
          <w:rFonts w:eastAsia="Times New Roman"/>
          <w:b/>
          <w:color w:val="000000"/>
          <w:kern w:val="28"/>
        </w:rPr>
        <w:tab/>
      </w:r>
      <w:r w:rsidRPr="008B4A19">
        <w:rPr>
          <w:rFonts w:asciiTheme="minorHAnsi" w:eastAsia="Times New Roman" w:hAnsiTheme="minorHAnsi"/>
          <w:color w:val="000000"/>
          <w:kern w:val="28"/>
          <w:szCs w:val="22"/>
        </w:rPr>
        <w:t xml:space="preserve">Maps showing representation the spatial coverage of the water surface extent for slackwater (green), slow water (blue) and fast water (red) at ‘Windra Vale’ zone 1, Barham Rd bridge’ zone 3, and Noorong 2 in zone 4 under operational flow and Yallakool Creek environmental flow scenarios. </w:t>
      </w:r>
    </w:p>
    <w:p w:rsidR="00871D36" w:rsidRPr="008B4A19" w:rsidRDefault="00871D36" w:rsidP="00871D36">
      <w:pPr>
        <w:pStyle w:val="FigureCaption0"/>
        <w:spacing w:after="0"/>
        <w:ind w:left="1134" w:hanging="1134"/>
        <w:mirrorIndents/>
        <w:rPr>
          <w:sz w:val="22"/>
          <w:szCs w:val="22"/>
        </w:rPr>
      </w:pPr>
      <w:r w:rsidRPr="008B4A19">
        <w:rPr>
          <w:sz w:val="22"/>
          <w:szCs w:val="22"/>
        </w:rPr>
        <w:t>Figure 5.5.</w:t>
      </w:r>
      <w:r w:rsidRPr="008B4A19">
        <w:rPr>
          <w:b w:val="0"/>
          <w:sz w:val="22"/>
          <w:szCs w:val="22"/>
        </w:rPr>
        <w:t xml:space="preserve"> </w:t>
      </w:r>
      <w:r>
        <w:rPr>
          <w:b w:val="0"/>
          <w:sz w:val="22"/>
          <w:szCs w:val="22"/>
        </w:rPr>
        <w:tab/>
      </w:r>
      <w:r w:rsidRPr="008B4A19">
        <w:rPr>
          <w:b w:val="0"/>
          <w:sz w:val="22"/>
          <w:szCs w:val="22"/>
        </w:rPr>
        <w:t>Maps showing representation the spatial coverage of the water surface extent for slackwater (green), slow water (blue) and fast water (red) at ‘Barham Rd Bridge’ zone 4 site 1 under different discharge scenarios.</w:t>
      </w:r>
    </w:p>
    <w:p w:rsidR="00871D36" w:rsidRPr="008B4A19" w:rsidRDefault="00871D36" w:rsidP="00871D36">
      <w:pPr>
        <w:pStyle w:val="FigureCaption0"/>
        <w:spacing w:after="0"/>
        <w:ind w:left="1134" w:hanging="1134"/>
        <w:mirrorIndents/>
        <w:rPr>
          <w:sz w:val="22"/>
          <w:szCs w:val="22"/>
        </w:rPr>
      </w:pPr>
      <w:r w:rsidRPr="008B4A19">
        <w:rPr>
          <w:sz w:val="22"/>
          <w:szCs w:val="22"/>
        </w:rPr>
        <w:t xml:space="preserve">Figure 5.6. </w:t>
      </w:r>
      <w:r>
        <w:rPr>
          <w:sz w:val="22"/>
          <w:szCs w:val="22"/>
        </w:rPr>
        <w:tab/>
      </w:r>
      <w:r w:rsidRPr="008B4A19">
        <w:rPr>
          <w:b w:val="0"/>
          <w:sz w:val="22"/>
          <w:szCs w:val="22"/>
        </w:rPr>
        <w:t>Maps showing representation the spatial coverage of the water surface extent for slackwater (green), slow water (blue) and fast water (red) at ‘Cumnock Park’ zone 1 under different discharge scenarios.</w:t>
      </w:r>
    </w:p>
    <w:p w:rsidR="00871D36" w:rsidRPr="008B4A19" w:rsidRDefault="00871D36" w:rsidP="00871D36">
      <w:pPr>
        <w:pStyle w:val="FigureCaption0"/>
        <w:spacing w:after="0"/>
        <w:ind w:left="1134" w:hanging="1134"/>
        <w:mirrorIndents/>
        <w:rPr>
          <w:sz w:val="22"/>
          <w:szCs w:val="22"/>
        </w:rPr>
      </w:pPr>
      <w:r w:rsidRPr="008B4A19">
        <w:rPr>
          <w:sz w:val="22"/>
          <w:szCs w:val="22"/>
        </w:rPr>
        <w:t>Figure 5.7.</w:t>
      </w:r>
      <w:r w:rsidRPr="008B4A19">
        <w:rPr>
          <w:b w:val="0"/>
          <w:sz w:val="22"/>
          <w:szCs w:val="22"/>
        </w:rPr>
        <w:t xml:space="preserve"> </w:t>
      </w:r>
      <w:r>
        <w:rPr>
          <w:b w:val="0"/>
          <w:sz w:val="22"/>
          <w:szCs w:val="22"/>
        </w:rPr>
        <w:tab/>
      </w:r>
      <w:r w:rsidRPr="008B4A19">
        <w:rPr>
          <w:b w:val="0"/>
          <w:sz w:val="22"/>
          <w:szCs w:val="22"/>
        </w:rPr>
        <w:t>Maps showing representation the spatial coverage of the water surface extent for slackwater (green), slow water (blue) and fast water (red) at ‘Noorong2’ under different discharge scenarios.</w:t>
      </w:r>
    </w:p>
    <w:p w:rsidR="00871D36" w:rsidRPr="008B4A19" w:rsidRDefault="00871D36" w:rsidP="00871D36">
      <w:pPr>
        <w:pStyle w:val="Style2"/>
        <w:tabs>
          <w:tab w:val="left" w:pos="6096"/>
        </w:tabs>
        <w:ind w:left="1134" w:right="0" w:hanging="1134"/>
        <w:mirrorIndents/>
        <w:jc w:val="left"/>
        <w:rPr>
          <w:rFonts w:asciiTheme="minorHAnsi" w:hAnsiTheme="minorHAnsi"/>
          <w:sz w:val="22"/>
          <w:szCs w:val="22"/>
        </w:rPr>
      </w:pPr>
      <w:r w:rsidRPr="008B4A19">
        <w:rPr>
          <w:rFonts w:asciiTheme="minorHAnsi" w:hAnsiTheme="minorHAnsi"/>
          <w:b/>
          <w:sz w:val="22"/>
          <w:szCs w:val="22"/>
        </w:rPr>
        <w:t>Figure 6.1</w:t>
      </w:r>
      <w:r w:rsidRPr="008B4A19">
        <w:rPr>
          <w:rFonts w:asciiTheme="minorHAnsi" w:hAnsiTheme="minorHAnsi"/>
          <w:sz w:val="22"/>
          <w:szCs w:val="22"/>
        </w:rPr>
        <w:t xml:space="preserve"> </w:t>
      </w:r>
      <w:r>
        <w:rPr>
          <w:rFonts w:asciiTheme="minorHAnsi" w:hAnsiTheme="minorHAnsi"/>
          <w:sz w:val="22"/>
          <w:szCs w:val="22"/>
        </w:rPr>
        <w:tab/>
      </w:r>
      <w:r w:rsidRPr="008B4A19">
        <w:rPr>
          <w:rFonts w:asciiTheme="minorHAnsi" w:hAnsiTheme="minorHAnsi"/>
          <w:sz w:val="22"/>
          <w:szCs w:val="22"/>
        </w:rPr>
        <w:t>Analysis of water samples by fluorescence spectroscopy</w:t>
      </w:r>
    </w:p>
    <w:p w:rsidR="00871D36" w:rsidRPr="008B4A19" w:rsidRDefault="00871D36" w:rsidP="00871D36">
      <w:pPr>
        <w:spacing w:after="0" w:line="240" w:lineRule="auto"/>
        <w:ind w:left="1134" w:hanging="1134"/>
        <w:mirrorIndents/>
        <w:jc w:val="left"/>
        <w:rPr>
          <w:rFonts w:asciiTheme="minorHAnsi" w:hAnsiTheme="minorHAnsi"/>
          <w:color w:val="1F497D"/>
          <w:szCs w:val="22"/>
        </w:rPr>
      </w:pPr>
      <w:r w:rsidRPr="008B4A19">
        <w:rPr>
          <w:rFonts w:asciiTheme="minorHAnsi" w:hAnsiTheme="minorHAnsi"/>
          <w:b/>
          <w:color w:val="000000"/>
          <w:szCs w:val="22"/>
        </w:rPr>
        <w:t>Figure 6.2</w:t>
      </w:r>
      <w:r w:rsidRPr="008B4A19">
        <w:rPr>
          <w:rFonts w:asciiTheme="minorHAnsi" w:hAnsiTheme="minorHAnsi"/>
          <w:color w:val="000000"/>
          <w:szCs w:val="22"/>
        </w:rPr>
        <w:t>.</w:t>
      </w:r>
      <w:r w:rsidRPr="008B4A19">
        <w:rPr>
          <w:rFonts w:asciiTheme="minorHAnsi" w:hAnsiTheme="minorHAnsi"/>
          <w:color w:val="1F497D"/>
          <w:szCs w:val="22"/>
        </w:rPr>
        <w:t xml:space="preserve"> </w:t>
      </w:r>
      <w:r>
        <w:rPr>
          <w:color w:val="1F497D"/>
        </w:rPr>
        <w:tab/>
      </w:r>
      <w:r w:rsidRPr="008B4A19">
        <w:rPr>
          <w:rFonts w:asciiTheme="minorHAnsi" w:hAnsiTheme="minorHAnsi"/>
          <w:color w:val="000000"/>
          <w:szCs w:val="22"/>
        </w:rPr>
        <w:t>Sample excitation emission contour plot indicating key features of the data. (Watts et al. 2013</w:t>
      </w:r>
      <w:r w:rsidRPr="008B4A19">
        <w:rPr>
          <w:rFonts w:asciiTheme="minorHAnsi" w:hAnsiTheme="minorHAnsi"/>
          <w:color w:val="1F497D"/>
          <w:szCs w:val="22"/>
        </w:rPr>
        <w:t>)</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6.3</w:t>
      </w:r>
      <w:r w:rsidRPr="008B4A19">
        <w:rPr>
          <w:rFonts w:asciiTheme="minorHAnsi" w:hAnsiTheme="minorHAnsi"/>
          <w:szCs w:val="22"/>
        </w:rPr>
        <w:t xml:space="preserve"> </w:t>
      </w:r>
      <w:r>
        <w:tab/>
      </w:r>
      <w:r w:rsidRPr="008B4A19">
        <w:rPr>
          <w:rFonts w:asciiTheme="minorHAnsi" w:hAnsiTheme="minorHAnsi"/>
          <w:szCs w:val="22"/>
        </w:rPr>
        <w:t>Daily average temperature results for six sample sites across four river zones.</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6.4</w:t>
      </w:r>
      <w:r w:rsidRPr="008B4A19">
        <w:rPr>
          <w:rFonts w:asciiTheme="minorHAnsi" w:hAnsiTheme="minorHAnsi"/>
          <w:szCs w:val="22"/>
        </w:rPr>
        <w:t xml:space="preserve"> </w:t>
      </w:r>
      <w:r>
        <w:tab/>
      </w:r>
      <w:r w:rsidRPr="008B4A19">
        <w:rPr>
          <w:rFonts w:asciiTheme="minorHAnsi" w:hAnsiTheme="minorHAnsi"/>
          <w:szCs w:val="22"/>
        </w:rPr>
        <w:t xml:space="preserve">Daily average dissolved oxygen concentration in the four zones. </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6.5</w:t>
      </w:r>
      <w:r w:rsidRPr="008B4A19">
        <w:rPr>
          <w:rFonts w:asciiTheme="minorHAnsi" w:hAnsiTheme="minorHAnsi"/>
          <w:szCs w:val="22"/>
        </w:rPr>
        <w:t xml:space="preserve"> </w:t>
      </w:r>
      <w:r>
        <w:tab/>
      </w:r>
      <w:r w:rsidRPr="008B4A19">
        <w:rPr>
          <w:rFonts w:asciiTheme="minorHAnsi" w:hAnsiTheme="minorHAnsi"/>
          <w:szCs w:val="22"/>
        </w:rPr>
        <w:t>Dissolved organic carbon concentrations at study sites and water sources.</w:t>
      </w:r>
    </w:p>
    <w:p w:rsidR="00871D36" w:rsidRPr="008B4A19" w:rsidRDefault="00871D36" w:rsidP="00871D36">
      <w:pPr>
        <w:pStyle w:val="Style2"/>
        <w:tabs>
          <w:tab w:val="left" w:pos="6096"/>
        </w:tabs>
        <w:ind w:left="1134" w:right="0" w:hanging="1134"/>
        <w:mirrorIndents/>
        <w:jc w:val="left"/>
        <w:rPr>
          <w:rFonts w:asciiTheme="minorHAnsi" w:hAnsiTheme="minorHAnsi"/>
          <w:sz w:val="22"/>
          <w:szCs w:val="22"/>
        </w:rPr>
      </w:pPr>
      <w:r w:rsidRPr="008B4A19">
        <w:rPr>
          <w:rFonts w:asciiTheme="minorHAnsi" w:hAnsiTheme="minorHAnsi"/>
          <w:b/>
          <w:sz w:val="22"/>
          <w:szCs w:val="22"/>
        </w:rPr>
        <w:t>Figure 6.6</w:t>
      </w:r>
      <w:r w:rsidRPr="008B4A19">
        <w:rPr>
          <w:rFonts w:asciiTheme="minorHAnsi" w:hAnsiTheme="minorHAnsi"/>
          <w:sz w:val="22"/>
          <w:szCs w:val="22"/>
        </w:rPr>
        <w:t xml:space="preserve"> </w:t>
      </w:r>
      <w:r>
        <w:rPr>
          <w:rFonts w:asciiTheme="minorHAnsi" w:hAnsiTheme="minorHAnsi"/>
          <w:sz w:val="22"/>
          <w:szCs w:val="22"/>
        </w:rPr>
        <w:tab/>
      </w:r>
      <w:r w:rsidRPr="008B4A19">
        <w:rPr>
          <w:rFonts w:asciiTheme="minorHAnsi" w:hAnsiTheme="minorHAnsi"/>
          <w:sz w:val="22"/>
          <w:szCs w:val="22"/>
        </w:rPr>
        <w:t>Total nitrogen, nitrate + nitrite and ammonia at study sites. ANZECC (2000) guidelines for each parameter are marked as a dotted line</w:t>
      </w:r>
    </w:p>
    <w:p w:rsidR="00871D36" w:rsidRPr="008B4A19" w:rsidRDefault="00871D36" w:rsidP="00871D36">
      <w:pPr>
        <w:pStyle w:val="Style2"/>
        <w:tabs>
          <w:tab w:val="left" w:pos="6096"/>
        </w:tabs>
        <w:ind w:left="1134" w:right="0" w:hanging="1134"/>
        <w:mirrorIndents/>
        <w:jc w:val="left"/>
        <w:rPr>
          <w:rFonts w:asciiTheme="minorHAnsi" w:hAnsiTheme="minorHAnsi"/>
          <w:sz w:val="22"/>
          <w:szCs w:val="22"/>
        </w:rPr>
      </w:pPr>
      <w:r w:rsidRPr="008B4A19">
        <w:rPr>
          <w:rFonts w:asciiTheme="minorHAnsi" w:hAnsiTheme="minorHAnsi"/>
          <w:b/>
          <w:sz w:val="22"/>
          <w:szCs w:val="22"/>
        </w:rPr>
        <w:t>Figure 6.7</w:t>
      </w:r>
      <w:r w:rsidRPr="008B4A19">
        <w:rPr>
          <w:rFonts w:asciiTheme="minorHAnsi" w:hAnsiTheme="minorHAnsi"/>
          <w:sz w:val="22"/>
          <w:szCs w:val="22"/>
        </w:rPr>
        <w:t xml:space="preserve"> </w:t>
      </w:r>
      <w:r>
        <w:rPr>
          <w:rFonts w:asciiTheme="minorHAnsi" w:hAnsiTheme="minorHAnsi"/>
          <w:sz w:val="22"/>
          <w:szCs w:val="22"/>
        </w:rPr>
        <w:tab/>
      </w:r>
      <w:r w:rsidRPr="008B4A19">
        <w:rPr>
          <w:rFonts w:asciiTheme="minorHAnsi" w:hAnsiTheme="minorHAnsi"/>
          <w:sz w:val="22"/>
          <w:szCs w:val="22"/>
        </w:rPr>
        <w:t>Total and filterable reactive phosphorus in the four study zones. ANZECC (2000) trigger values are marked with dotted lines.</w:t>
      </w:r>
    </w:p>
    <w:p w:rsidR="00871D36" w:rsidRPr="008B4A19" w:rsidRDefault="00871D36" w:rsidP="00871D36">
      <w:pPr>
        <w:pStyle w:val="Style2"/>
        <w:tabs>
          <w:tab w:val="left" w:pos="6096"/>
        </w:tabs>
        <w:ind w:left="1134" w:right="0" w:hanging="1134"/>
        <w:mirrorIndents/>
        <w:jc w:val="left"/>
        <w:rPr>
          <w:rFonts w:asciiTheme="minorHAnsi" w:hAnsiTheme="minorHAnsi"/>
          <w:sz w:val="22"/>
          <w:szCs w:val="22"/>
        </w:rPr>
      </w:pPr>
      <w:r w:rsidRPr="008B4A19">
        <w:rPr>
          <w:rFonts w:asciiTheme="minorHAnsi" w:hAnsiTheme="minorHAnsi"/>
          <w:b/>
          <w:sz w:val="22"/>
          <w:szCs w:val="22"/>
        </w:rPr>
        <w:t>Figure 6.8</w:t>
      </w:r>
      <w:r w:rsidRPr="008B4A19">
        <w:rPr>
          <w:rFonts w:asciiTheme="minorHAnsi" w:hAnsiTheme="minorHAnsi"/>
          <w:sz w:val="22"/>
          <w:szCs w:val="22"/>
        </w:rPr>
        <w:t xml:space="preserve"> </w:t>
      </w:r>
      <w:r>
        <w:rPr>
          <w:rFonts w:asciiTheme="minorHAnsi" w:hAnsiTheme="minorHAnsi"/>
          <w:sz w:val="22"/>
          <w:szCs w:val="22"/>
        </w:rPr>
        <w:tab/>
      </w:r>
      <w:r w:rsidRPr="008B4A19">
        <w:rPr>
          <w:rFonts w:asciiTheme="minorHAnsi" w:hAnsiTheme="minorHAnsi"/>
          <w:sz w:val="22"/>
          <w:szCs w:val="22"/>
        </w:rPr>
        <w:t>Absorbance scans representing two study sites in each zone, plus source waters from August to December 2014</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6.9</w:t>
      </w:r>
      <w:r w:rsidRPr="008B4A19">
        <w:rPr>
          <w:rFonts w:asciiTheme="minorHAnsi" w:hAnsiTheme="minorHAnsi"/>
          <w:szCs w:val="22"/>
        </w:rPr>
        <w:t xml:space="preserve"> </w:t>
      </w:r>
      <w:r>
        <w:tab/>
      </w:r>
      <w:r w:rsidRPr="008B4A19">
        <w:rPr>
          <w:rFonts w:asciiTheme="minorHAnsi" w:hAnsiTheme="minorHAnsi"/>
          <w:szCs w:val="22"/>
        </w:rPr>
        <w:t>Absorbance scans for four study zones and two water sources from January to March 2015.</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6.10</w:t>
      </w:r>
      <w:r>
        <w:t>.</w:t>
      </w:r>
      <w:r w:rsidRPr="008B4A19">
        <w:rPr>
          <w:rFonts w:asciiTheme="minorHAnsi" w:hAnsiTheme="minorHAnsi"/>
          <w:szCs w:val="22"/>
        </w:rPr>
        <w:t xml:space="preserve"> </w:t>
      </w:r>
      <w:r>
        <w:tab/>
      </w:r>
      <w:r w:rsidRPr="008B4A19">
        <w:rPr>
          <w:rFonts w:asciiTheme="minorHAnsi" w:hAnsiTheme="minorHAnsi"/>
          <w:szCs w:val="22"/>
        </w:rPr>
        <w:t>Fluorescence scans of water samples collected 06/08/14 showing decreasing organic matter as samples are taken further from the source water.</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6.11</w:t>
      </w:r>
      <w:r w:rsidRPr="008B4A19">
        <w:rPr>
          <w:rFonts w:asciiTheme="minorHAnsi" w:hAnsiTheme="minorHAnsi"/>
          <w:szCs w:val="22"/>
        </w:rPr>
        <w:t xml:space="preserve"> </w:t>
      </w:r>
      <w:r>
        <w:tab/>
      </w:r>
      <w:r w:rsidRPr="008B4A19">
        <w:rPr>
          <w:rFonts w:asciiTheme="minorHAnsi" w:hAnsiTheme="minorHAnsi"/>
          <w:szCs w:val="22"/>
        </w:rPr>
        <w:t xml:space="preserve">Fluorescence spectra for water samples collected 01/09/14 showing higher concentrations of fluorescent organic matter in downstream sites, with upstream sites more closely matching the source water. </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6.12</w:t>
      </w:r>
      <w:r w:rsidRPr="008B4A19">
        <w:rPr>
          <w:rFonts w:asciiTheme="minorHAnsi" w:hAnsiTheme="minorHAnsi"/>
          <w:szCs w:val="22"/>
        </w:rPr>
        <w:t xml:space="preserve"> Fluorescence Scans for water samples collected 29/09/14 indicating fairly consistent organic matter across sites but slightly higher concentrations of fluorescent organic matter in zone 2.</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6.13</w:t>
      </w:r>
      <w:r w:rsidRPr="008B4A19">
        <w:rPr>
          <w:rFonts w:asciiTheme="minorHAnsi" w:hAnsiTheme="minorHAnsi"/>
          <w:szCs w:val="22"/>
        </w:rPr>
        <w:t xml:space="preserve"> Fluorescence scans for water samples collected 27/10/14 indicate decreased concentrations of fluorescent organic matter compared to the previous month, but with similar patterns among sites.</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6.14</w:t>
      </w:r>
      <w:r w:rsidRPr="008B4A19">
        <w:rPr>
          <w:rFonts w:asciiTheme="minorHAnsi" w:hAnsiTheme="minorHAnsi"/>
          <w:szCs w:val="22"/>
        </w:rPr>
        <w:t xml:space="preserve"> </w:t>
      </w:r>
      <w:r>
        <w:tab/>
      </w:r>
      <w:r w:rsidRPr="008B4A19">
        <w:rPr>
          <w:rFonts w:asciiTheme="minorHAnsi" w:hAnsiTheme="minorHAnsi"/>
          <w:szCs w:val="22"/>
        </w:rPr>
        <w:t>Fluorescence scans for samples collected 24/11/14.</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6.15</w:t>
      </w:r>
      <w:r w:rsidRPr="008B4A19">
        <w:rPr>
          <w:rFonts w:asciiTheme="minorHAnsi" w:hAnsiTheme="minorHAnsi"/>
          <w:szCs w:val="22"/>
        </w:rPr>
        <w:t xml:space="preserve"> </w:t>
      </w:r>
      <w:r>
        <w:tab/>
      </w:r>
      <w:r w:rsidRPr="008B4A19">
        <w:rPr>
          <w:rFonts w:asciiTheme="minorHAnsi" w:hAnsiTheme="minorHAnsi"/>
          <w:szCs w:val="22"/>
        </w:rPr>
        <w:t>Fluorescence Scans for samples collected 21/12/14</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6.16</w:t>
      </w:r>
      <w:r w:rsidRPr="008B4A19">
        <w:rPr>
          <w:rFonts w:asciiTheme="minorHAnsi" w:hAnsiTheme="minorHAnsi"/>
          <w:szCs w:val="22"/>
        </w:rPr>
        <w:t xml:space="preserve"> </w:t>
      </w:r>
      <w:r>
        <w:tab/>
      </w:r>
      <w:r w:rsidRPr="008B4A19">
        <w:rPr>
          <w:rFonts w:asciiTheme="minorHAnsi" w:hAnsiTheme="minorHAnsi"/>
          <w:szCs w:val="22"/>
        </w:rPr>
        <w:t>Fluorescence scans for samples collected 19/01/15</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6.17</w:t>
      </w:r>
      <w:r w:rsidRPr="008B4A19">
        <w:rPr>
          <w:rFonts w:asciiTheme="minorHAnsi" w:hAnsiTheme="minorHAnsi"/>
          <w:szCs w:val="22"/>
        </w:rPr>
        <w:t xml:space="preserve"> </w:t>
      </w:r>
      <w:r>
        <w:tab/>
      </w:r>
      <w:r w:rsidRPr="008B4A19">
        <w:rPr>
          <w:rFonts w:asciiTheme="minorHAnsi" w:hAnsiTheme="minorHAnsi"/>
          <w:szCs w:val="22"/>
        </w:rPr>
        <w:t>Fluorescence scans for water samples collected 16/02/15 indicating very consistent concentrations of fluorescent organic matter across sites and very low fluorescence overall.</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6.18</w:t>
      </w:r>
      <w:r w:rsidRPr="008B4A19">
        <w:rPr>
          <w:rFonts w:asciiTheme="minorHAnsi" w:hAnsiTheme="minorHAnsi"/>
          <w:szCs w:val="22"/>
        </w:rPr>
        <w:t xml:space="preserve"> </w:t>
      </w:r>
      <w:r>
        <w:tab/>
      </w:r>
      <w:r w:rsidRPr="008B4A19">
        <w:rPr>
          <w:rFonts w:asciiTheme="minorHAnsi" w:hAnsiTheme="minorHAnsi"/>
          <w:szCs w:val="22"/>
        </w:rPr>
        <w:t>Fluorescence scans of samples collected 17/03.15.</w:t>
      </w:r>
    </w:p>
    <w:p w:rsidR="00871D36" w:rsidRPr="008B4A19" w:rsidRDefault="00871D36" w:rsidP="00871D36">
      <w:pPr>
        <w:spacing w:after="0" w:line="240" w:lineRule="auto"/>
        <w:ind w:left="1134" w:hanging="1134"/>
        <w:mirrorIndents/>
        <w:jc w:val="left"/>
        <w:rPr>
          <w:rFonts w:asciiTheme="minorHAnsi" w:hAnsiTheme="minorHAnsi"/>
          <w:szCs w:val="22"/>
          <w:lang w:val="en-US"/>
        </w:rPr>
      </w:pPr>
      <w:r w:rsidRPr="008B4A19">
        <w:rPr>
          <w:rFonts w:asciiTheme="minorHAnsi" w:hAnsiTheme="minorHAnsi"/>
          <w:b/>
          <w:szCs w:val="22"/>
          <w:lang w:val="en-US"/>
        </w:rPr>
        <w:t>Figure 7.1.</w:t>
      </w:r>
      <w:r w:rsidRPr="008B4A19">
        <w:rPr>
          <w:rFonts w:asciiTheme="minorHAnsi" w:hAnsiTheme="minorHAnsi"/>
          <w:szCs w:val="22"/>
          <w:lang w:val="en-US"/>
        </w:rPr>
        <w:t xml:space="preserve"> </w:t>
      </w:r>
      <w:r>
        <w:rPr>
          <w:lang w:val="en-US"/>
        </w:rPr>
        <w:tab/>
      </w:r>
      <w:r w:rsidRPr="008B4A19">
        <w:rPr>
          <w:rFonts w:asciiTheme="minorHAnsi" w:hAnsiTheme="minorHAnsi"/>
          <w:szCs w:val="22"/>
          <w:lang w:val="en-US"/>
        </w:rPr>
        <w:t>Relationships between photosynthesis, respiration, organic matter, dissolved gases and nutrients</w:t>
      </w:r>
    </w:p>
    <w:p w:rsidR="00871D36" w:rsidRPr="008B4A19" w:rsidRDefault="00871D36" w:rsidP="00871D36">
      <w:pPr>
        <w:spacing w:after="0" w:line="240" w:lineRule="auto"/>
        <w:ind w:left="1134" w:hanging="1134"/>
        <w:mirrorIndents/>
        <w:jc w:val="left"/>
        <w:rPr>
          <w:rFonts w:asciiTheme="minorHAnsi" w:hAnsiTheme="minorHAnsi"/>
          <w:bCs/>
          <w:szCs w:val="22"/>
        </w:rPr>
      </w:pPr>
      <w:r w:rsidRPr="008B4A19">
        <w:rPr>
          <w:rFonts w:asciiTheme="minorHAnsi" w:hAnsiTheme="minorHAnsi"/>
          <w:b/>
          <w:bCs/>
          <w:szCs w:val="22"/>
        </w:rPr>
        <w:t>Figure 7.2</w:t>
      </w:r>
      <w:r w:rsidRPr="008B4A19">
        <w:rPr>
          <w:rFonts w:asciiTheme="minorHAnsi" w:hAnsiTheme="minorHAnsi"/>
          <w:bCs/>
          <w:szCs w:val="22"/>
        </w:rPr>
        <w:t xml:space="preserve"> </w:t>
      </w:r>
      <w:r>
        <w:rPr>
          <w:bCs/>
        </w:rPr>
        <w:tab/>
      </w:r>
      <w:r w:rsidRPr="008B4A19">
        <w:rPr>
          <w:rFonts w:asciiTheme="minorHAnsi" w:hAnsiTheme="minorHAnsi"/>
          <w:bCs/>
          <w:szCs w:val="22"/>
        </w:rPr>
        <w:t>Relationships between flow and gross primary production (GPP) for Yallakool Creek (zone 1) and Wakool River (zones 2, 3 and 4) from August 2014 to March 2015</w:t>
      </w:r>
    </w:p>
    <w:p w:rsidR="00871D36" w:rsidRPr="008B4A19" w:rsidRDefault="00871D36" w:rsidP="00871D36">
      <w:pPr>
        <w:spacing w:after="0" w:line="240" w:lineRule="auto"/>
        <w:ind w:left="1134" w:hanging="1134"/>
        <w:mirrorIndents/>
        <w:jc w:val="left"/>
        <w:rPr>
          <w:rFonts w:asciiTheme="minorHAnsi" w:hAnsiTheme="minorHAnsi"/>
          <w:bCs/>
          <w:szCs w:val="22"/>
        </w:rPr>
      </w:pPr>
      <w:r w:rsidRPr="008B4A19">
        <w:rPr>
          <w:rFonts w:asciiTheme="minorHAnsi" w:hAnsiTheme="minorHAnsi"/>
          <w:b/>
          <w:bCs/>
          <w:szCs w:val="22"/>
        </w:rPr>
        <w:t>Figure 7.3</w:t>
      </w:r>
      <w:r w:rsidRPr="008B4A19">
        <w:rPr>
          <w:rFonts w:asciiTheme="minorHAnsi" w:hAnsiTheme="minorHAnsi"/>
          <w:bCs/>
          <w:szCs w:val="22"/>
        </w:rPr>
        <w:t xml:space="preserve">. </w:t>
      </w:r>
      <w:r>
        <w:rPr>
          <w:bCs/>
        </w:rPr>
        <w:tab/>
      </w:r>
      <w:r w:rsidRPr="008B4A19">
        <w:rPr>
          <w:rFonts w:asciiTheme="minorHAnsi" w:hAnsiTheme="minorHAnsi"/>
          <w:bCs/>
          <w:szCs w:val="22"/>
        </w:rPr>
        <w:t>Relationships between Flow and Ecosystem Respiration (ER) for Yallakool Creek (zone 1) and Wakool River (zones 2, 3 and 4) from August 2014 to March 2015.</w:t>
      </w:r>
    </w:p>
    <w:p w:rsidR="00871D36" w:rsidRPr="008B4A19" w:rsidRDefault="00871D36" w:rsidP="00871D36">
      <w:pPr>
        <w:pStyle w:val="Style2"/>
        <w:tabs>
          <w:tab w:val="left" w:pos="6855"/>
        </w:tabs>
        <w:ind w:left="1134" w:right="0" w:hanging="1134"/>
        <w:mirrorIndents/>
        <w:jc w:val="left"/>
        <w:rPr>
          <w:rFonts w:asciiTheme="minorHAnsi" w:hAnsiTheme="minorHAnsi"/>
          <w:bCs/>
          <w:sz w:val="22"/>
          <w:szCs w:val="22"/>
        </w:rPr>
      </w:pPr>
      <w:r w:rsidRPr="008B4A19">
        <w:rPr>
          <w:rFonts w:asciiTheme="minorHAnsi" w:hAnsiTheme="minorHAnsi"/>
          <w:b/>
          <w:bCs/>
          <w:sz w:val="22"/>
          <w:szCs w:val="22"/>
        </w:rPr>
        <w:t>Figure 7.4.</w:t>
      </w:r>
      <w:r w:rsidRPr="008B4A19">
        <w:rPr>
          <w:rFonts w:asciiTheme="minorHAnsi" w:hAnsiTheme="minorHAnsi"/>
          <w:bCs/>
          <w:sz w:val="22"/>
          <w:szCs w:val="22"/>
        </w:rPr>
        <w:t xml:space="preserve"> </w:t>
      </w:r>
      <w:r>
        <w:rPr>
          <w:rFonts w:asciiTheme="minorHAnsi" w:hAnsiTheme="minorHAnsi"/>
          <w:bCs/>
          <w:sz w:val="22"/>
          <w:szCs w:val="22"/>
        </w:rPr>
        <w:tab/>
      </w:r>
      <w:r w:rsidRPr="008B4A19">
        <w:rPr>
          <w:rFonts w:asciiTheme="minorHAnsi" w:hAnsiTheme="minorHAnsi"/>
          <w:bCs/>
          <w:sz w:val="22"/>
          <w:szCs w:val="22"/>
        </w:rPr>
        <w:t>Relationships between flow and the primary production to respiration (P/R) ratio for Yallakool Creek (zone 1) and Wakool River (zones 2, 3 and 4) from August 2014 to March 2015</w:t>
      </w:r>
    </w:p>
    <w:p w:rsidR="00871D36" w:rsidRPr="008B4A19" w:rsidRDefault="00871D36" w:rsidP="00871D36">
      <w:pPr>
        <w:pStyle w:val="Style2"/>
        <w:tabs>
          <w:tab w:val="left" w:pos="6855"/>
        </w:tabs>
        <w:ind w:left="1134" w:right="0" w:hanging="1134"/>
        <w:mirrorIndents/>
        <w:jc w:val="left"/>
        <w:rPr>
          <w:rFonts w:asciiTheme="minorHAnsi" w:hAnsiTheme="minorHAnsi" w:cs="Calibri"/>
          <w:sz w:val="22"/>
          <w:szCs w:val="22"/>
        </w:rPr>
      </w:pPr>
      <w:r w:rsidRPr="008B4A19">
        <w:rPr>
          <w:rFonts w:asciiTheme="minorHAnsi" w:hAnsiTheme="minorHAnsi" w:cs="Calibri"/>
          <w:b/>
          <w:sz w:val="22"/>
          <w:szCs w:val="22"/>
        </w:rPr>
        <w:t>Figure 8.1</w:t>
      </w:r>
      <w:r w:rsidRPr="008B4A19">
        <w:rPr>
          <w:rFonts w:asciiTheme="minorHAnsi" w:hAnsiTheme="minorHAnsi" w:cs="Calibri"/>
          <w:sz w:val="22"/>
          <w:szCs w:val="22"/>
        </w:rPr>
        <w:t xml:space="preserve">. </w:t>
      </w:r>
      <w:r>
        <w:rPr>
          <w:rFonts w:asciiTheme="minorHAnsi" w:hAnsiTheme="minorHAnsi" w:cs="Calibri"/>
          <w:sz w:val="22"/>
          <w:szCs w:val="22"/>
        </w:rPr>
        <w:tab/>
      </w:r>
      <w:r w:rsidRPr="008B4A19">
        <w:rPr>
          <w:rFonts w:asciiTheme="minorHAnsi" w:hAnsiTheme="minorHAnsi" w:cs="Calibri"/>
          <w:sz w:val="22"/>
          <w:szCs w:val="22"/>
        </w:rPr>
        <w:t>Line diagram showing spatial arrangement of transects on the river bank at each site</w:t>
      </w:r>
    </w:p>
    <w:p w:rsidR="00871D36" w:rsidRPr="008B4A19" w:rsidRDefault="00871D36" w:rsidP="00871D36">
      <w:pPr>
        <w:pStyle w:val="Style2"/>
        <w:tabs>
          <w:tab w:val="left" w:pos="6855"/>
        </w:tabs>
        <w:ind w:left="1134" w:right="0" w:hanging="1134"/>
        <w:mirrorIndents/>
        <w:jc w:val="left"/>
        <w:rPr>
          <w:rFonts w:asciiTheme="minorHAnsi" w:hAnsiTheme="minorHAnsi"/>
          <w:sz w:val="22"/>
          <w:szCs w:val="22"/>
        </w:rPr>
      </w:pPr>
      <w:r w:rsidRPr="008B4A19">
        <w:rPr>
          <w:rFonts w:asciiTheme="minorHAnsi" w:hAnsiTheme="minorHAnsi"/>
          <w:b/>
          <w:sz w:val="22"/>
          <w:szCs w:val="22"/>
        </w:rPr>
        <w:t>Figure 8.2.</w:t>
      </w:r>
      <w:r w:rsidRPr="008B4A19">
        <w:rPr>
          <w:rFonts w:asciiTheme="minorHAnsi" w:hAnsiTheme="minorHAnsi"/>
          <w:sz w:val="22"/>
          <w:szCs w:val="22"/>
        </w:rPr>
        <w:t xml:space="preserve"> </w:t>
      </w:r>
      <w:r>
        <w:rPr>
          <w:rFonts w:asciiTheme="minorHAnsi" w:hAnsiTheme="minorHAnsi"/>
          <w:sz w:val="22"/>
          <w:szCs w:val="22"/>
        </w:rPr>
        <w:tab/>
      </w:r>
      <w:r w:rsidRPr="008B4A19">
        <w:rPr>
          <w:rFonts w:asciiTheme="minorHAnsi" w:hAnsiTheme="minorHAnsi"/>
          <w:sz w:val="22"/>
          <w:szCs w:val="22"/>
        </w:rPr>
        <w:t>Mean percent cover (±SE) of ten most abundant riverbank and aquatic vegetation taxa monitored monthly at 16 sites across 4 hydrological zones in the Edward-Wakool system between October 2014 and June 2015. Transect 1 was lowest on the river bank</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8.3.</w:t>
      </w:r>
      <w:r w:rsidRPr="008B4A19">
        <w:rPr>
          <w:rFonts w:asciiTheme="minorHAnsi" w:hAnsiTheme="minorHAnsi"/>
          <w:szCs w:val="22"/>
        </w:rPr>
        <w:t xml:space="preserve"> </w:t>
      </w:r>
      <w:r>
        <w:tab/>
      </w:r>
      <w:r w:rsidRPr="008B4A19">
        <w:rPr>
          <w:rFonts w:asciiTheme="minorHAnsi" w:hAnsiTheme="minorHAnsi"/>
          <w:szCs w:val="22"/>
        </w:rPr>
        <w:t xml:space="preserve">Photos of aquatic and riverbank vegetation in the Edward-Wakool system in 2014-15. </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8.4</w:t>
      </w:r>
      <w:r>
        <w:rPr>
          <w:b/>
        </w:rPr>
        <w:t>.</w:t>
      </w:r>
      <w:r w:rsidRPr="008B4A19">
        <w:rPr>
          <w:rFonts w:asciiTheme="minorHAnsi" w:hAnsiTheme="minorHAnsi"/>
          <w:b/>
          <w:szCs w:val="22"/>
        </w:rPr>
        <w:t xml:space="preserve"> </w:t>
      </w:r>
      <w:r>
        <w:rPr>
          <w:b/>
        </w:rPr>
        <w:tab/>
      </w:r>
      <w:r w:rsidRPr="008B4A19">
        <w:rPr>
          <w:rFonts w:asciiTheme="minorHAnsi" w:hAnsiTheme="minorHAnsi"/>
          <w:szCs w:val="22"/>
        </w:rPr>
        <w:t xml:space="preserve">Mean percent cover (±SE) of riverbank and aquatic vegetation sampled in 2014-2-15 in the Edward-Wakool Selected Area. </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8.5</w:t>
      </w:r>
      <w:r>
        <w:rPr>
          <w:b/>
        </w:rPr>
        <w:t>.</w:t>
      </w:r>
      <w:r w:rsidRPr="008B4A19">
        <w:rPr>
          <w:rFonts w:asciiTheme="minorHAnsi" w:hAnsiTheme="minorHAnsi"/>
          <w:b/>
          <w:szCs w:val="22"/>
        </w:rPr>
        <w:t xml:space="preserve"> </w:t>
      </w:r>
      <w:r>
        <w:rPr>
          <w:b/>
        </w:rPr>
        <w:tab/>
      </w:r>
      <w:r w:rsidRPr="008B4A19">
        <w:rPr>
          <w:rFonts w:asciiTheme="minorHAnsi" w:hAnsiTheme="minorHAnsi"/>
          <w:szCs w:val="22"/>
        </w:rPr>
        <w:t>Relationship between mean wetted benthic area (m</w:t>
      </w:r>
      <w:r w:rsidRPr="008B4A19">
        <w:rPr>
          <w:rFonts w:asciiTheme="minorHAnsi" w:hAnsiTheme="minorHAnsi"/>
          <w:szCs w:val="22"/>
          <w:vertAlign w:val="superscript"/>
        </w:rPr>
        <w:t>2</w:t>
      </w:r>
      <w:r w:rsidRPr="008B4A19">
        <w:rPr>
          <w:rFonts w:asciiTheme="minorHAnsi" w:hAnsiTheme="minorHAnsi"/>
          <w:szCs w:val="22"/>
        </w:rPr>
        <w:t>) for each hydrological zone and average percent cover (±SE) of riverbank and aquatic vegetation sampled in 2014-2-15 in the Edward-Wakool Selected Area.</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 xml:space="preserve">Figure 8.6. </w:t>
      </w:r>
      <w:r>
        <w:rPr>
          <w:b/>
        </w:rPr>
        <w:tab/>
      </w:r>
      <w:r w:rsidRPr="008B4A19">
        <w:rPr>
          <w:rFonts w:asciiTheme="minorHAnsi" w:hAnsiTheme="minorHAnsi"/>
          <w:szCs w:val="22"/>
        </w:rPr>
        <w:t xml:space="preserve">Mean cover (±SE) of eight most abundant riverbank and aquatic vegetation sampled in 2014-2-15 in the Edward-Wakool Selected Area. </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8.7</w:t>
      </w:r>
      <w:r w:rsidRPr="008B4A19">
        <w:rPr>
          <w:rFonts w:asciiTheme="minorHAnsi" w:hAnsiTheme="minorHAnsi"/>
          <w:szCs w:val="22"/>
        </w:rPr>
        <w:t xml:space="preserve">. </w:t>
      </w:r>
      <w:r>
        <w:tab/>
      </w:r>
      <w:r w:rsidRPr="008B4A19">
        <w:rPr>
          <w:rFonts w:asciiTheme="minorHAnsi" w:hAnsiTheme="minorHAnsi"/>
          <w:szCs w:val="22"/>
        </w:rPr>
        <w:t xml:space="preserve">Multi-dimensional scaling ordination plot based on riverbank and aquatic vegetation assemblages from four hydrological zones in the Edward-Wakool system. </w:t>
      </w:r>
    </w:p>
    <w:p w:rsidR="00871D36" w:rsidRPr="008B4A19" w:rsidRDefault="00871D36" w:rsidP="00871D36">
      <w:pPr>
        <w:pStyle w:val="ListBullet"/>
        <w:tabs>
          <w:tab w:val="left" w:pos="7088"/>
          <w:tab w:val="left" w:pos="7655"/>
        </w:tabs>
        <w:spacing w:after="0"/>
        <w:ind w:left="1134" w:hanging="1134"/>
        <w:contextualSpacing w:val="0"/>
        <w:mirrorIndents/>
        <w:jc w:val="left"/>
        <w:rPr>
          <w:rFonts w:asciiTheme="minorHAnsi" w:hAnsiTheme="minorHAnsi"/>
          <w:sz w:val="22"/>
          <w:szCs w:val="22"/>
        </w:rPr>
      </w:pPr>
      <w:r w:rsidRPr="008B4A19">
        <w:rPr>
          <w:rFonts w:asciiTheme="minorHAnsi" w:hAnsiTheme="minorHAnsi"/>
          <w:b/>
          <w:sz w:val="22"/>
          <w:szCs w:val="22"/>
        </w:rPr>
        <w:t>Figure 8.8</w:t>
      </w:r>
      <w:r>
        <w:rPr>
          <w:rFonts w:asciiTheme="minorHAnsi" w:hAnsiTheme="minorHAnsi"/>
          <w:b/>
          <w:sz w:val="22"/>
          <w:szCs w:val="22"/>
        </w:rPr>
        <w:t>.</w:t>
      </w:r>
      <w:r w:rsidRPr="008B4A19">
        <w:rPr>
          <w:rFonts w:asciiTheme="minorHAnsi" w:hAnsiTheme="minorHAnsi"/>
          <w:sz w:val="22"/>
          <w:szCs w:val="22"/>
        </w:rPr>
        <w:t xml:space="preserve"> </w:t>
      </w:r>
      <w:r>
        <w:rPr>
          <w:rFonts w:asciiTheme="minorHAnsi" w:hAnsiTheme="minorHAnsi"/>
          <w:sz w:val="22"/>
          <w:szCs w:val="22"/>
        </w:rPr>
        <w:tab/>
      </w:r>
      <w:r w:rsidRPr="008B4A19">
        <w:rPr>
          <w:rFonts w:asciiTheme="minorHAnsi" w:hAnsiTheme="minorHAnsi"/>
          <w:sz w:val="22"/>
          <w:szCs w:val="22"/>
        </w:rPr>
        <w:t xml:space="preserve">Mudwort </w:t>
      </w:r>
      <w:r w:rsidRPr="008B4A19">
        <w:rPr>
          <w:rFonts w:asciiTheme="minorHAnsi" w:hAnsiTheme="minorHAnsi"/>
          <w:i/>
          <w:sz w:val="22"/>
          <w:szCs w:val="22"/>
        </w:rPr>
        <w:t>Limosella</w:t>
      </w:r>
      <w:r w:rsidRPr="008B4A19">
        <w:rPr>
          <w:rFonts w:asciiTheme="minorHAnsi" w:hAnsiTheme="minorHAnsi"/>
          <w:sz w:val="22"/>
          <w:szCs w:val="22"/>
        </w:rPr>
        <w:t xml:space="preserve"> spp. in zone 4 Wakool River, January 2015 during the e-watering recession. (Photo: S. Healy)</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8.9.</w:t>
      </w:r>
      <w:r w:rsidRPr="008B4A19">
        <w:rPr>
          <w:rFonts w:asciiTheme="minorHAnsi" w:hAnsiTheme="minorHAnsi"/>
          <w:szCs w:val="22"/>
        </w:rPr>
        <w:t xml:space="preserve"> </w:t>
      </w:r>
      <w:r>
        <w:tab/>
      </w:r>
      <w:r w:rsidRPr="008B4A19">
        <w:rPr>
          <w:rFonts w:asciiTheme="minorHAnsi" w:hAnsiTheme="minorHAnsi"/>
          <w:i/>
          <w:szCs w:val="22"/>
        </w:rPr>
        <w:t>Juncus</w:t>
      </w:r>
      <w:r w:rsidRPr="008B4A19">
        <w:rPr>
          <w:rFonts w:asciiTheme="minorHAnsi" w:hAnsiTheme="minorHAnsi"/>
          <w:szCs w:val="22"/>
        </w:rPr>
        <w:t xml:space="preserve"> spp. occurring in a narrow band in the Wakool River zone 2 that did not receive Commonwealth environmental water. (Photo: R. Watts)</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9.1.</w:t>
      </w:r>
      <w:r w:rsidRPr="008B4A19">
        <w:rPr>
          <w:rFonts w:asciiTheme="minorHAnsi" w:hAnsiTheme="minorHAnsi"/>
          <w:szCs w:val="22"/>
        </w:rPr>
        <w:t xml:space="preserve"> </w:t>
      </w:r>
      <w:r>
        <w:tab/>
      </w:r>
      <w:r w:rsidRPr="008B4A19">
        <w:rPr>
          <w:rFonts w:asciiTheme="minorHAnsi" w:hAnsiTheme="minorHAnsi"/>
          <w:szCs w:val="22"/>
        </w:rPr>
        <w:t xml:space="preserve">Locations of fish community sampling sites in the Edward-Wakool river system 2010 to 2014. </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9.2</w:t>
      </w:r>
      <w:r w:rsidRPr="008B4A19">
        <w:rPr>
          <w:rFonts w:asciiTheme="minorHAnsi" w:hAnsiTheme="minorHAnsi"/>
          <w:szCs w:val="22"/>
        </w:rPr>
        <w:t xml:space="preserve">. </w:t>
      </w:r>
      <w:r>
        <w:tab/>
      </w:r>
      <w:r w:rsidRPr="008B4A19">
        <w:rPr>
          <w:rFonts w:asciiTheme="minorHAnsi" w:hAnsiTheme="minorHAnsi"/>
          <w:szCs w:val="22"/>
        </w:rPr>
        <w:t xml:space="preserve">Catch per site (mean ± SE) of fish sampled in the Edward-Wakool river system from 19 in-channel sites that were sampled in 2015. </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9.3.</w:t>
      </w:r>
      <w:r w:rsidRPr="008B4A19">
        <w:rPr>
          <w:rFonts w:asciiTheme="minorHAnsi" w:hAnsiTheme="minorHAnsi"/>
          <w:szCs w:val="22"/>
        </w:rPr>
        <w:t xml:space="preserve"> </w:t>
      </w:r>
      <w:r>
        <w:tab/>
      </w:r>
      <w:r w:rsidRPr="008B4A19">
        <w:rPr>
          <w:rFonts w:asciiTheme="minorHAnsi" w:hAnsiTheme="minorHAnsi"/>
          <w:szCs w:val="22"/>
        </w:rPr>
        <w:t>Biomass per site (g; mean ± SE) of fish sampled in the Edward-Wakool river system from 19 in-channel sites that were sampled in 2015.</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9.4</w:t>
      </w:r>
      <w:r w:rsidRPr="008B4A19">
        <w:rPr>
          <w:rFonts w:asciiTheme="minorHAnsi" w:hAnsiTheme="minorHAnsi"/>
          <w:szCs w:val="22"/>
        </w:rPr>
        <w:t xml:space="preserve">. </w:t>
      </w:r>
      <w:r>
        <w:tab/>
      </w:r>
      <w:r w:rsidRPr="008B4A19">
        <w:rPr>
          <w:rFonts w:asciiTheme="minorHAnsi" w:hAnsiTheme="minorHAnsi"/>
          <w:szCs w:val="22"/>
        </w:rPr>
        <w:t xml:space="preserve">Average (±SE) catch per unit effort (CPUE) per site of fish sampled in the Edward-Wakool river system from 19 in-channel sites that were sampled once each year from 2010–2015. </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9.5</w:t>
      </w:r>
      <w:r w:rsidRPr="008B4A19">
        <w:rPr>
          <w:rFonts w:asciiTheme="minorHAnsi" w:hAnsiTheme="minorHAnsi"/>
          <w:szCs w:val="22"/>
        </w:rPr>
        <w:t xml:space="preserve">. </w:t>
      </w:r>
      <w:r>
        <w:tab/>
      </w:r>
      <w:r w:rsidRPr="008B4A19">
        <w:rPr>
          <w:rFonts w:asciiTheme="minorHAnsi" w:hAnsiTheme="minorHAnsi"/>
          <w:szCs w:val="22"/>
        </w:rPr>
        <w:t xml:space="preserve">Average (±SE) biomass (g) per site of fish sampled in the Edward-Wakool river system from 19 in-channel sites that were sampled once each year from 2010–2015. </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9.6.</w:t>
      </w:r>
      <w:r w:rsidRPr="008B4A19">
        <w:rPr>
          <w:rFonts w:asciiTheme="minorHAnsi" w:hAnsiTheme="minorHAnsi"/>
          <w:szCs w:val="22"/>
        </w:rPr>
        <w:t xml:space="preserve"> </w:t>
      </w:r>
      <w:r>
        <w:tab/>
      </w:r>
      <w:r w:rsidRPr="008B4A19">
        <w:rPr>
          <w:rFonts w:asciiTheme="minorHAnsi" w:hAnsiTheme="minorHAnsi"/>
          <w:szCs w:val="22"/>
        </w:rPr>
        <w:t xml:space="preserve">Sustainable Rivers Audit (SRA) indices from 2010 to 2015 in the Edward-Wakool river system based on surveys undertaken at 19 in-channel sites. </w:t>
      </w:r>
    </w:p>
    <w:p w:rsidR="00871D36" w:rsidRPr="008B4A19" w:rsidRDefault="00871D36" w:rsidP="00871D36">
      <w:pPr>
        <w:tabs>
          <w:tab w:val="left" w:pos="8789"/>
        </w:tabs>
        <w:spacing w:after="0" w:line="240" w:lineRule="auto"/>
        <w:ind w:left="1134" w:hanging="1134"/>
        <w:mirrorIndents/>
        <w:jc w:val="left"/>
        <w:rPr>
          <w:rFonts w:asciiTheme="minorHAnsi" w:hAnsiTheme="minorHAnsi"/>
          <w:color w:val="000000"/>
          <w:szCs w:val="22"/>
        </w:rPr>
      </w:pPr>
      <w:r w:rsidRPr="008B4A19">
        <w:rPr>
          <w:rFonts w:asciiTheme="minorHAnsi" w:hAnsiTheme="minorHAnsi"/>
          <w:b/>
          <w:szCs w:val="22"/>
        </w:rPr>
        <w:t>Figure 10.1</w:t>
      </w:r>
      <w:r>
        <w:t>.</w:t>
      </w:r>
      <w:r w:rsidRPr="008B4A19">
        <w:rPr>
          <w:rFonts w:asciiTheme="minorHAnsi" w:hAnsiTheme="minorHAnsi"/>
          <w:szCs w:val="22"/>
        </w:rPr>
        <w:t xml:space="preserve"> Juvenile obscure galaxias (</w:t>
      </w:r>
      <w:r w:rsidRPr="008B4A19">
        <w:rPr>
          <w:rFonts w:asciiTheme="minorHAnsi" w:hAnsiTheme="minorHAnsi"/>
          <w:i/>
          <w:szCs w:val="22"/>
        </w:rPr>
        <w:t>Galaxias oliros</w:t>
      </w:r>
      <w:r w:rsidRPr="008B4A19">
        <w:rPr>
          <w:rFonts w:asciiTheme="minorHAnsi" w:hAnsiTheme="minorHAnsi"/>
          <w:szCs w:val="22"/>
        </w:rPr>
        <w:t xml:space="preserve">) collected from Yallakool Creek </w:t>
      </w:r>
      <w:r w:rsidRPr="008B4A19">
        <w:rPr>
          <w:rFonts w:asciiTheme="minorHAnsi" w:hAnsiTheme="minorHAnsi"/>
          <w:color w:val="000000"/>
          <w:szCs w:val="22"/>
        </w:rPr>
        <w:t xml:space="preserve">(Photo: N. McCasker) </w:t>
      </w:r>
    </w:p>
    <w:p w:rsidR="00871D36" w:rsidRPr="008B4A19" w:rsidRDefault="00871D36" w:rsidP="00871D36">
      <w:pPr>
        <w:tabs>
          <w:tab w:val="left" w:pos="8789"/>
        </w:tabs>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10.2</w:t>
      </w:r>
      <w:r>
        <w:rPr>
          <w:b/>
        </w:rPr>
        <w:t>.</w:t>
      </w:r>
      <w:r w:rsidRPr="008B4A19">
        <w:rPr>
          <w:rFonts w:asciiTheme="minorHAnsi" w:hAnsiTheme="minorHAnsi"/>
          <w:b/>
          <w:szCs w:val="22"/>
        </w:rPr>
        <w:t xml:space="preserve"> </w:t>
      </w:r>
      <w:r w:rsidRPr="008B4A19">
        <w:rPr>
          <w:rFonts w:asciiTheme="minorHAnsi" w:hAnsiTheme="minorHAnsi"/>
          <w:szCs w:val="22"/>
        </w:rPr>
        <w:t>Bubble plots representing relative abundance of larval fish collected in light traps from each site across the 2014-15 sampling period.</w:t>
      </w:r>
      <w:r w:rsidRPr="008B4A19">
        <w:rPr>
          <w:rFonts w:asciiTheme="minorHAnsi" w:hAnsiTheme="minorHAnsi"/>
          <w:i/>
          <w:szCs w:val="22"/>
        </w:rPr>
        <w:t xml:space="preserve"> </w:t>
      </w:r>
    </w:p>
    <w:p w:rsidR="00871D36" w:rsidRPr="008B4A19" w:rsidRDefault="00871D36" w:rsidP="00871D36">
      <w:pPr>
        <w:spacing w:after="0" w:line="240" w:lineRule="auto"/>
        <w:ind w:left="1134" w:hanging="1134"/>
        <w:mirrorIndents/>
        <w:jc w:val="left"/>
        <w:rPr>
          <w:rFonts w:asciiTheme="minorHAnsi" w:hAnsiTheme="minorHAnsi"/>
          <w:szCs w:val="22"/>
        </w:rPr>
      </w:pPr>
      <w:r w:rsidRPr="008B4A19">
        <w:rPr>
          <w:rFonts w:asciiTheme="minorHAnsi" w:hAnsiTheme="minorHAnsi"/>
          <w:b/>
          <w:szCs w:val="22"/>
        </w:rPr>
        <w:t>Figure 10.3</w:t>
      </w:r>
      <w:r>
        <w:rPr>
          <w:b/>
        </w:rPr>
        <w:t>.</w:t>
      </w:r>
      <w:r w:rsidRPr="008B4A19">
        <w:rPr>
          <w:rFonts w:asciiTheme="minorHAnsi" w:hAnsiTheme="minorHAnsi"/>
          <w:b/>
          <w:szCs w:val="22"/>
        </w:rPr>
        <w:t xml:space="preserve"> </w:t>
      </w:r>
      <w:r>
        <w:rPr>
          <w:b/>
        </w:rPr>
        <w:tab/>
      </w:r>
      <w:r w:rsidRPr="008B4A19">
        <w:rPr>
          <w:rFonts w:asciiTheme="minorHAnsi" w:hAnsiTheme="minorHAnsi"/>
          <w:szCs w:val="22"/>
        </w:rPr>
        <w:t xml:space="preserve">Mean total abundance (±SE) of larval sampled in the 2014-2-15 spawning season in the Edward-Wakool Selected Area, for </w:t>
      </w:r>
      <w:r w:rsidRPr="008B4A19">
        <w:rPr>
          <w:rFonts w:asciiTheme="minorHAnsi" w:hAnsiTheme="minorHAnsi"/>
          <w:i/>
          <w:szCs w:val="22"/>
        </w:rPr>
        <w:t>i)</w:t>
      </w:r>
      <w:r w:rsidRPr="008B4A19">
        <w:rPr>
          <w:rFonts w:asciiTheme="minorHAnsi" w:hAnsiTheme="minorHAnsi"/>
          <w:szCs w:val="22"/>
        </w:rPr>
        <w:t xml:space="preserve"> carp gudgeon,</w:t>
      </w:r>
      <w:r w:rsidRPr="008B4A19">
        <w:rPr>
          <w:rFonts w:asciiTheme="minorHAnsi" w:hAnsiTheme="minorHAnsi"/>
          <w:i/>
          <w:szCs w:val="22"/>
        </w:rPr>
        <w:t xml:space="preserve"> ii)</w:t>
      </w:r>
      <w:r w:rsidRPr="008B4A19">
        <w:rPr>
          <w:rFonts w:asciiTheme="minorHAnsi" w:hAnsiTheme="minorHAnsi"/>
          <w:szCs w:val="22"/>
        </w:rPr>
        <w:t xml:space="preserve"> Australian smelt and </w:t>
      </w:r>
      <w:r w:rsidRPr="008B4A19">
        <w:rPr>
          <w:rFonts w:asciiTheme="minorHAnsi" w:hAnsiTheme="minorHAnsi"/>
          <w:i/>
          <w:szCs w:val="22"/>
        </w:rPr>
        <w:t>iii)</w:t>
      </w:r>
      <w:r w:rsidRPr="008B4A19">
        <w:rPr>
          <w:rFonts w:asciiTheme="minorHAnsi" w:hAnsiTheme="minorHAnsi"/>
          <w:szCs w:val="22"/>
        </w:rPr>
        <w:t xml:space="preserve"> Murray cod. </w:t>
      </w:r>
    </w:p>
    <w:p w:rsidR="00871D36" w:rsidRPr="008B4A19" w:rsidRDefault="00871D36" w:rsidP="00871D36">
      <w:pPr>
        <w:pStyle w:val="ListParagraph"/>
        <w:shd w:val="clear" w:color="auto" w:fill="FFFFFF"/>
        <w:spacing w:after="0" w:line="240" w:lineRule="auto"/>
        <w:ind w:left="1134" w:hanging="1134"/>
        <w:mirrorIndents/>
        <w:jc w:val="left"/>
        <w:rPr>
          <w:rFonts w:asciiTheme="minorHAnsi" w:hAnsiTheme="minorHAnsi" w:cs="Arial"/>
          <w:color w:val="000000"/>
          <w:szCs w:val="22"/>
        </w:rPr>
      </w:pPr>
      <w:r w:rsidRPr="008B4A19">
        <w:rPr>
          <w:rFonts w:asciiTheme="minorHAnsi" w:hAnsiTheme="minorHAnsi" w:cs="Arial"/>
          <w:b/>
          <w:color w:val="000000"/>
          <w:szCs w:val="22"/>
        </w:rPr>
        <w:t>Figure 11.</w:t>
      </w:r>
      <w:r>
        <w:rPr>
          <w:rFonts w:asciiTheme="minorHAnsi" w:hAnsiTheme="minorHAnsi" w:cs="Arial"/>
          <w:b/>
          <w:color w:val="000000"/>
          <w:szCs w:val="22"/>
        </w:rPr>
        <w:t xml:space="preserve">1. </w:t>
      </w:r>
      <w:r>
        <w:rPr>
          <w:rFonts w:asciiTheme="minorHAnsi" w:hAnsiTheme="minorHAnsi" w:cs="Arial"/>
          <w:b/>
          <w:color w:val="000000"/>
          <w:szCs w:val="22"/>
        </w:rPr>
        <w:tab/>
      </w:r>
      <w:r w:rsidRPr="008B4A19">
        <w:rPr>
          <w:rFonts w:asciiTheme="minorHAnsi" w:hAnsiTheme="minorHAnsi" w:cs="Arial"/>
          <w:color w:val="000000"/>
          <w:szCs w:val="22"/>
        </w:rPr>
        <w:t>Assumed annual</w:t>
      </w:r>
      <w:r w:rsidRPr="008B4A19">
        <w:rPr>
          <w:rFonts w:asciiTheme="minorHAnsi" w:hAnsiTheme="minorHAnsi" w:cs="Arial"/>
          <w:b/>
          <w:color w:val="000000"/>
          <w:szCs w:val="22"/>
        </w:rPr>
        <w:t xml:space="preserve"> </w:t>
      </w:r>
      <w:r w:rsidRPr="008B4A19">
        <w:rPr>
          <w:rFonts w:asciiTheme="minorHAnsi" w:hAnsiTheme="minorHAnsi" w:cs="Arial"/>
          <w:color w:val="000000"/>
          <w:szCs w:val="22"/>
        </w:rPr>
        <w:t>opaque and translucent</w:t>
      </w:r>
      <w:r w:rsidRPr="008B4A19">
        <w:rPr>
          <w:rFonts w:asciiTheme="minorHAnsi" w:hAnsiTheme="minorHAnsi" w:cs="Arial"/>
          <w:b/>
          <w:color w:val="000000"/>
          <w:szCs w:val="22"/>
        </w:rPr>
        <w:t xml:space="preserve"> </w:t>
      </w:r>
      <w:r w:rsidRPr="008B4A19">
        <w:rPr>
          <w:rFonts w:asciiTheme="minorHAnsi" w:hAnsiTheme="minorHAnsi" w:cs="Arial"/>
          <w:color w:val="000000"/>
          <w:szCs w:val="22"/>
        </w:rPr>
        <w:t>growth zones</w:t>
      </w:r>
      <w:r w:rsidRPr="008B4A19">
        <w:rPr>
          <w:rFonts w:asciiTheme="minorHAnsi" w:hAnsiTheme="minorHAnsi" w:cs="Arial"/>
          <w:b/>
          <w:color w:val="000000"/>
          <w:szCs w:val="22"/>
        </w:rPr>
        <w:t xml:space="preserve"> </w:t>
      </w:r>
      <w:r w:rsidRPr="008B4A19">
        <w:rPr>
          <w:rFonts w:asciiTheme="minorHAnsi" w:hAnsiTheme="minorHAnsi" w:cs="Arial"/>
          <w:color w:val="000000"/>
          <w:szCs w:val="22"/>
        </w:rPr>
        <w:t>in sections of Murray cod otoliths aged for fish recruitment sampling.</w:t>
      </w:r>
    </w:p>
    <w:p w:rsidR="00871D36" w:rsidRPr="008B4A19" w:rsidRDefault="00871D36" w:rsidP="00871D36">
      <w:pPr>
        <w:pStyle w:val="ListParagraph"/>
        <w:shd w:val="clear" w:color="auto" w:fill="FFFFFF"/>
        <w:spacing w:after="0" w:line="240" w:lineRule="auto"/>
        <w:ind w:left="1134" w:hanging="1134"/>
        <w:mirrorIndents/>
        <w:jc w:val="left"/>
        <w:rPr>
          <w:rFonts w:asciiTheme="minorHAnsi" w:hAnsiTheme="minorHAnsi" w:cs="Arial"/>
          <w:color w:val="000000"/>
          <w:szCs w:val="22"/>
        </w:rPr>
      </w:pPr>
      <w:r w:rsidRPr="008B4A19">
        <w:rPr>
          <w:rFonts w:asciiTheme="minorHAnsi" w:hAnsiTheme="minorHAnsi" w:cs="Arial"/>
          <w:b/>
          <w:color w:val="000000"/>
          <w:szCs w:val="22"/>
        </w:rPr>
        <w:t>Figure 11.2</w:t>
      </w:r>
      <w:r>
        <w:rPr>
          <w:rFonts w:asciiTheme="minorHAnsi" w:hAnsiTheme="minorHAnsi" w:cs="Arial"/>
          <w:b/>
          <w:color w:val="000000"/>
          <w:szCs w:val="22"/>
        </w:rPr>
        <w:t>.</w:t>
      </w:r>
      <w:r w:rsidRPr="008B4A19">
        <w:rPr>
          <w:rFonts w:asciiTheme="minorHAnsi" w:hAnsiTheme="minorHAnsi" w:cs="Arial"/>
          <w:b/>
          <w:color w:val="000000"/>
          <w:szCs w:val="22"/>
        </w:rPr>
        <w:t xml:space="preserve"> </w:t>
      </w:r>
      <w:r>
        <w:rPr>
          <w:rFonts w:asciiTheme="minorHAnsi" w:hAnsiTheme="minorHAnsi" w:cs="Arial"/>
          <w:b/>
          <w:color w:val="000000"/>
          <w:szCs w:val="22"/>
        </w:rPr>
        <w:tab/>
      </w:r>
      <w:r w:rsidRPr="008B4A19">
        <w:rPr>
          <w:rFonts w:asciiTheme="minorHAnsi" w:hAnsiTheme="minorHAnsi" w:cs="Arial"/>
          <w:color w:val="000000"/>
          <w:szCs w:val="22"/>
        </w:rPr>
        <w:t>Length modes of Murray cod recruits sampled in the Edward-Wakool system 2014-15.</w:t>
      </w:r>
    </w:p>
    <w:p w:rsidR="00871D36" w:rsidRPr="008B4A19" w:rsidRDefault="00871D36" w:rsidP="00871D36">
      <w:pPr>
        <w:pStyle w:val="ListParagraph"/>
        <w:shd w:val="clear" w:color="auto" w:fill="FFFFFF"/>
        <w:spacing w:after="0" w:line="240" w:lineRule="auto"/>
        <w:ind w:left="1134" w:hanging="1134"/>
        <w:mirrorIndents/>
        <w:jc w:val="left"/>
        <w:rPr>
          <w:rFonts w:asciiTheme="minorHAnsi" w:hAnsiTheme="minorHAnsi" w:cs="Arial"/>
          <w:color w:val="000000"/>
          <w:szCs w:val="22"/>
        </w:rPr>
      </w:pPr>
      <w:r w:rsidRPr="008B4A19">
        <w:rPr>
          <w:rFonts w:asciiTheme="minorHAnsi" w:hAnsiTheme="minorHAnsi" w:cs="Arial"/>
          <w:b/>
          <w:color w:val="000000"/>
          <w:szCs w:val="22"/>
        </w:rPr>
        <w:t>Figure 11.</w:t>
      </w:r>
      <w:r>
        <w:rPr>
          <w:rFonts w:asciiTheme="minorHAnsi" w:hAnsiTheme="minorHAnsi" w:cs="Arial"/>
          <w:b/>
          <w:color w:val="000000"/>
          <w:szCs w:val="22"/>
        </w:rPr>
        <w:t xml:space="preserve">3. </w:t>
      </w:r>
      <w:r>
        <w:rPr>
          <w:rFonts w:asciiTheme="minorHAnsi" w:hAnsiTheme="minorHAnsi" w:cs="Arial"/>
          <w:b/>
          <w:color w:val="000000"/>
          <w:szCs w:val="22"/>
        </w:rPr>
        <w:tab/>
      </w:r>
      <w:r w:rsidRPr="008B4A19">
        <w:rPr>
          <w:rFonts w:asciiTheme="minorHAnsi" w:hAnsiTheme="minorHAnsi" w:cs="Arial"/>
          <w:color w:val="000000"/>
          <w:szCs w:val="22"/>
        </w:rPr>
        <w:t>Growth curves of Murray cod recruits sampled in the Edward-Wakool system 2014-15.</w:t>
      </w:r>
    </w:p>
    <w:p w:rsidR="00871D36" w:rsidRPr="008B4A19" w:rsidRDefault="00871D36" w:rsidP="00871D36">
      <w:pPr>
        <w:pStyle w:val="ListParagraph"/>
        <w:shd w:val="clear" w:color="auto" w:fill="FFFFFF"/>
        <w:spacing w:after="0" w:line="240" w:lineRule="auto"/>
        <w:ind w:left="1134" w:hanging="1134"/>
        <w:mirrorIndents/>
        <w:jc w:val="left"/>
        <w:rPr>
          <w:rFonts w:asciiTheme="minorHAnsi" w:hAnsiTheme="minorHAnsi" w:cs="Arial"/>
          <w:color w:val="000000"/>
          <w:szCs w:val="22"/>
        </w:rPr>
      </w:pPr>
      <w:r w:rsidRPr="008B4A19">
        <w:rPr>
          <w:rFonts w:asciiTheme="minorHAnsi" w:hAnsiTheme="minorHAnsi" w:cs="Arial"/>
          <w:b/>
          <w:color w:val="000000"/>
          <w:szCs w:val="22"/>
        </w:rPr>
        <w:t>Figure 11.</w:t>
      </w:r>
      <w:r>
        <w:rPr>
          <w:rFonts w:asciiTheme="minorHAnsi" w:hAnsiTheme="minorHAnsi" w:cs="Arial"/>
          <w:b/>
          <w:color w:val="000000"/>
          <w:szCs w:val="22"/>
        </w:rPr>
        <w:t>4.</w:t>
      </w:r>
      <w:r>
        <w:rPr>
          <w:rFonts w:asciiTheme="minorHAnsi" w:hAnsiTheme="minorHAnsi" w:cs="Arial"/>
          <w:b/>
          <w:color w:val="000000"/>
          <w:szCs w:val="22"/>
        </w:rPr>
        <w:tab/>
      </w:r>
      <w:r w:rsidRPr="008B4A19">
        <w:rPr>
          <w:rFonts w:asciiTheme="minorHAnsi" w:hAnsiTheme="minorHAnsi" w:cs="Arial"/>
          <w:color w:val="000000"/>
          <w:szCs w:val="22"/>
        </w:rPr>
        <w:t>Variation in length-at-age of Murray cod recruits sampled in the Edward-Wakool system 2014-15.</w:t>
      </w:r>
    </w:p>
    <w:p w:rsidR="00871D36" w:rsidRPr="008B4A19" w:rsidRDefault="00871D36" w:rsidP="00871D36">
      <w:pPr>
        <w:pStyle w:val="ListParagraph"/>
        <w:shd w:val="clear" w:color="auto" w:fill="FFFFFF"/>
        <w:spacing w:after="0" w:line="240" w:lineRule="auto"/>
        <w:ind w:left="1134" w:hanging="1134"/>
        <w:mirrorIndents/>
        <w:jc w:val="left"/>
        <w:rPr>
          <w:rFonts w:asciiTheme="minorHAnsi" w:hAnsiTheme="minorHAnsi" w:cs="Arial"/>
          <w:color w:val="000000"/>
          <w:szCs w:val="22"/>
        </w:rPr>
      </w:pPr>
      <w:r w:rsidRPr="008B4A19">
        <w:rPr>
          <w:rFonts w:asciiTheme="minorHAnsi" w:hAnsiTheme="minorHAnsi" w:cs="Arial"/>
          <w:b/>
          <w:color w:val="000000"/>
          <w:szCs w:val="22"/>
        </w:rPr>
        <w:t>Figure 11.</w:t>
      </w:r>
      <w:r>
        <w:rPr>
          <w:rFonts w:asciiTheme="minorHAnsi" w:hAnsiTheme="minorHAnsi" w:cs="Arial"/>
          <w:b/>
          <w:color w:val="000000"/>
          <w:szCs w:val="22"/>
        </w:rPr>
        <w:t xml:space="preserve">5. </w:t>
      </w:r>
      <w:r>
        <w:rPr>
          <w:rFonts w:asciiTheme="minorHAnsi" w:hAnsiTheme="minorHAnsi" w:cs="Arial"/>
          <w:b/>
          <w:color w:val="000000"/>
          <w:szCs w:val="22"/>
        </w:rPr>
        <w:tab/>
      </w:r>
      <w:r w:rsidRPr="008B4A19">
        <w:rPr>
          <w:rFonts w:asciiTheme="minorHAnsi" w:hAnsiTheme="minorHAnsi" w:cs="Arial"/>
          <w:color w:val="000000"/>
          <w:szCs w:val="22"/>
        </w:rPr>
        <w:t xml:space="preserve">Mean (+/- SE) length of Murray cod recruits including age-class 1 (1+) and Young-of-Year (YOY) fish sampled in the Edward-Wakool system in 2014-15. </w:t>
      </w:r>
    </w:p>
    <w:p w:rsidR="00871D36" w:rsidRPr="008B4A19" w:rsidRDefault="00871D36" w:rsidP="00871D36">
      <w:pPr>
        <w:pStyle w:val="ListParagraph"/>
        <w:shd w:val="clear" w:color="auto" w:fill="FFFFFF"/>
        <w:spacing w:after="0" w:line="240" w:lineRule="auto"/>
        <w:ind w:left="1134" w:hanging="1134"/>
        <w:mirrorIndents/>
        <w:jc w:val="left"/>
        <w:rPr>
          <w:rFonts w:asciiTheme="minorHAnsi" w:eastAsia="Times New Roman" w:hAnsiTheme="minorHAnsi"/>
          <w:b/>
          <w:color w:val="000000"/>
          <w:szCs w:val="22"/>
          <w:lang w:eastAsia="en-AU"/>
        </w:rPr>
      </w:pPr>
      <w:r w:rsidRPr="008B4A19">
        <w:rPr>
          <w:rFonts w:asciiTheme="minorHAnsi" w:hAnsiTheme="minorHAnsi" w:cs="Arial"/>
          <w:b/>
          <w:color w:val="000000"/>
          <w:szCs w:val="22"/>
        </w:rPr>
        <w:t>Figure 11.</w:t>
      </w:r>
      <w:r>
        <w:rPr>
          <w:rFonts w:asciiTheme="minorHAnsi" w:hAnsiTheme="minorHAnsi" w:cs="Arial"/>
          <w:b/>
          <w:color w:val="000000"/>
          <w:szCs w:val="22"/>
        </w:rPr>
        <w:t>6.</w:t>
      </w:r>
      <w:r w:rsidRPr="008B4A19">
        <w:rPr>
          <w:rFonts w:asciiTheme="minorHAnsi" w:hAnsiTheme="minorHAnsi" w:cs="Arial"/>
          <w:b/>
          <w:color w:val="000000"/>
          <w:szCs w:val="22"/>
        </w:rPr>
        <w:t xml:space="preserve"> </w:t>
      </w:r>
      <w:r>
        <w:rPr>
          <w:rFonts w:asciiTheme="minorHAnsi" w:hAnsiTheme="minorHAnsi" w:cs="Arial"/>
          <w:b/>
          <w:color w:val="000000"/>
          <w:szCs w:val="22"/>
        </w:rPr>
        <w:tab/>
      </w:r>
      <w:r w:rsidRPr="008B4A19">
        <w:rPr>
          <w:rFonts w:asciiTheme="minorHAnsi" w:hAnsiTheme="minorHAnsi" w:cs="Arial"/>
          <w:color w:val="000000"/>
          <w:szCs w:val="22"/>
        </w:rPr>
        <w:t xml:space="preserve">Catch per unit effort (1000 seconds) for age-class 1 (1+) and Young-of-Year (YOY) Murray cod recruits sampled in the Edward-Wakool system in 2014-15 using different sampling methods. </w:t>
      </w:r>
    </w:p>
    <w:p w:rsidR="00835426" w:rsidRDefault="00835426">
      <w:pPr>
        <w:spacing w:after="0" w:line="240" w:lineRule="auto"/>
        <w:jc w:val="left"/>
        <w:rPr>
          <w:b/>
          <w:color w:val="4F6228" w:themeColor="accent3" w:themeShade="80"/>
          <w:sz w:val="32"/>
          <w:szCs w:val="32"/>
        </w:rPr>
      </w:pPr>
      <w:r>
        <w:rPr>
          <w:b/>
          <w:color w:val="4F6228" w:themeColor="accent3" w:themeShade="80"/>
          <w:sz w:val="32"/>
          <w:szCs w:val="32"/>
        </w:rPr>
        <w:br w:type="page"/>
      </w:r>
    </w:p>
    <w:p w:rsidR="00835426" w:rsidRPr="00FA512A" w:rsidRDefault="00835426" w:rsidP="00871D36">
      <w:pPr>
        <w:spacing w:after="240" w:line="240" w:lineRule="auto"/>
        <w:jc w:val="left"/>
        <w:rPr>
          <w:b/>
          <w:color w:val="4F6228" w:themeColor="accent3" w:themeShade="80"/>
          <w:szCs w:val="22"/>
        </w:rPr>
      </w:pPr>
      <w:r>
        <w:rPr>
          <w:b/>
          <w:color w:val="4F6228" w:themeColor="accent3" w:themeShade="80"/>
          <w:sz w:val="32"/>
          <w:szCs w:val="32"/>
        </w:rPr>
        <w:t>List of Tables</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Table 1.</w:t>
      </w:r>
      <w:r w:rsidR="00F671D2" w:rsidRPr="00FF650A">
        <w:rPr>
          <w:rFonts w:asciiTheme="minorHAnsi" w:hAnsiTheme="minorHAnsi" w:cs="Arial"/>
          <w:b/>
          <w:color w:val="000000"/>
          <w:szCs w:val="22"/>
        </w:rPr>
        <w:fldChar w:fldCharType="begin"/>
      </w:r>
      <w:r w:rsidRPr="00FF650A">
        <w:rPr>
          <w:rFonts w:asciiTheme="minorHAnsi" w:hAnsiTheme="minorHAnsi" w:cs="Arial"/>
          <w:b/>
          <w:color w:val="000000"/>
          <w:szCs w:val="22"/>
        </w:rPr>
        <w:instrText xml:space="preserve"> SEQ Table \* ARABIC </w:instrText>
      </w:r>
      <w:r w:rsidR="00F671D2" w:rsidRPr="00FF650A">
        <w:rPr>
          <w:rFonts w:asciiTheme="minorHAnsi" w:hAnsiTheme="minorHAnsi" w:cs="Arial"/>
          <w:b/>
          <w:color w:val="000000"/>
          <w:szCs w:val="22"/>
        </w:rPr>
        <w:fldChar w:fldCharType="separate"/>
      </w:r>
      <w:r w:rsidR="0097684C">
        <w:rPr>
          <w:rFonts w:asciiTheme="minorHAnsi" w:hAnsiTheme="minorHAnsi" w:cs="Arial"/>
          <w:b/>
          <w:noProof/>
          <w:color w:val="000000"/>
          <w:szCs w:val="22"/>
        </w:rPr>
        <w:t>1</w:t>
      </w:r>
      <w:r w:rsidR="00F671D2" w:rsidRPr="00FF650A">
        <w:rPr>
          <w:rFonts w:asciiTheme="minorHAnsi" w:hAnsiTheme="minorHAnsi" w:cs="Arial"/>
          <w:b/>
          <w:color w:val="000000"/>
          <w:szCs w:val="22"/>
        </w:rPr>
        <w:fldChar w:fldCharType="end"/>
      </w:r>
      <w:r w:rsidRPr="00FF650A">
        <w:rPr>
          <w:rFonts w:asciiTheme="minorHAnsi" w:hAnsiTheme="minorHAnsi" w:cs="Arial"/>
          <w:b/>
          <w:color w:val="000000"/>
          <w:szCs w:val="22"/>
        </w:rPr>
        <w:t xml:space="preserve">. </w:t>
      </w:r>
      <w:r>
        <w:rPr>
          <w:rFonts w:asciiTheme="minorHAnsi" w:hAnsiTheme="minorHAnsi" w:cs="Arial"/>
          <w:b/>
          <w:color w:val="000000"/>
          <w:szCs w:val="22"/>
        </w:rPr>
        <w:tab/>
      </w:r>
      <w:r w:rsidRPr="00FF650A">
        <w:rPr>
          <w:rFonts w:asciiTheme="minorHAnsi" w:hAnsiTheme="minorHAnsi" w:cs="Arial"/>
          <w:color w:val="000000"/>
          <w:szCs w:val="22"/>
        </w:rPr>
        <w:t xml:space="preserve">Indices describing the flow regime of the Edward River at Deniliquin and Stevens Weir. </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Table 2.</w:t>
      </w:r>
      <w:r w:rsidR="00F671D2" w:rsidRPr="00FF650A">
        <w:rPr>
          <w:rFonts w:asciiTheme="minorHAnsi" w:hAnsiTheme="minorHAnsi" w:cs="Arial"/>
          <w:b/>
          <w:color w:val="000000"/>
          <w:szCs w:val="22"/>
        </w:rPr>
        <w:fldChar w:fldCharType="begin"/>
      </w:r>
      <w:r w:rsidRPr="00FF650A">
        <w:rPr>
          <w:rFonts w:asciiTheme="minorHAnsi" w:hAnsiTheme="minorHAnsi" w:cs="Arial"/>
          <w:b/>
          <w:color w:val="000000"/>
          <w:szCs w:val="22"/>
        </w:rPr>
        <w:instrText xml:space="preserve"> SEQ Table \* ARABIC </w:instrText>
      </w:r>
      <w:r w:rsidR="00F671D2" w:rsidRPr="00FF650A">
        <w:rPr>
          <w:rFonts w:asciiTheme="minorHAnsi" w:hAnsiTheme="minorHAnsi" w:cs="Arial"/>
          <w:b/>
          <w:color w:val="000000"/>
          <w:szCs w:val="22"/>
        </w:rPr>
        <w:fldChar w:fldCharType="separate"/>
      </w:r>
      <w:r w:rsidR="0097684C">
        <w:rPr>
          <w:rFonts w:asciiTheme="minorHAnsi" w:hAnsiTheme="minorHAnsi" w:cs="Arial"/>
          <w:b/>
          <w:noProof/>
          <w:color w:val="000000"/>
          <w:szCs w:val="22"/>
        </w:rPr>
        <w:t>2</w:t>
      </w:r>
      <w:r w:rsidR="00F671D2" w:rsidRPr="00FF650A">
        <w:rPr>
          <w:rFonts w:asciiTheme="minorHAnsi" w:hAnsiTheme="minorHAnsi" w:cs="Arial"/>
          <w:b/>
          <w:color w:val="000000"/>
          <w:szCs w:val="22"/>
        </w:rPr>
        <w:fldChar w:fldCharType="end"/>
      </w:r>
      <w:r w:rsidRPr="00FF650A">
        <w:rPr>
          <w:rFonts w:asciiTheme="minorHAnsi" w:hAnsiTheme="minorHAnsi" w:cs="Arial"/>
          <w:b/>
          <w:color w:val="000000"/>
          <w:szCs w:val="22"/>
        </w:rPr>
        <w:t xml:space="preserve">. </w:t>
      </w:r>
      <w:r>
        <w:rPr>
          <w:rFonts w:asciiTheme="minorHAnsi" w:hAnsiTheme="minorHAnsi" w:cs="Arial"/>
          <w:b/>
          <w:color w:val="000000"/>
          <w:szCs w:val="22"/>
        </w:rPr>
        <w:tab/>
      </w:r>
      <w:r w:rsidRPr="00FF650A">
        <w:rPr>
          <w:rFonts w:asciiTheme="minorHAnsi" w:hAnsiTheme="minorHAnsi" w:cs="Arial"/>
          <w:color w:val="000000"/>
          <w:szCs w:val="22"/>
        </w:rPr>
        <w:t>Table linking expected outcomes for the Edward-Wakool system, as outlined in the Water Use Minute 10008, with the objectives of the Basin Plan’s environmental watering Plan.</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color w:val="000000"/>
          <w:szCs w:val="22"/>
        </w:rPr>
      </w:pPr>
      <w:r w:rsidRPr="00FF650A">
        <w:rPr>
          <w:rFonts w:asciiTheme="minorHAnsi" w:hAnsiTheme="minorHAnsi" w:cs="Arial"/>
          <w:b/>
          <w:color w:val="000000"/>
          <w:szCs w:val="22"/>
        </w:rPr>
        <w:t xml:space="preserve">Table 3.1. </w:t>
      </w:r>
      <w:r>
        <w:rPr>
          <w:rFonts w:asciiTheme="minorHAnsi" w:hAnsiTheme="minorHAnsi" w:cs="Arial"/>
          <w:b/>
          <w:color w:val="000000"/>
          <w:szCs w:val="22"/>
        </w:rPr>
        <w:tab/>
      </w:r>
      <w:r w:rsidRPr="00FF650A">
        <w:rPr>
          <w:rFonts w:asciiTheme="minorHAnsi" w:hAnsiTheme="minorHAnsi" w:cs="Arial"/>
          <w:color w:val="000000"/>
          <w:szCs w:val="22"/>
        </w:rPr>
        <w:t xml:space="preserve">List of site codes and site names for sites monitored for the Long term Intervention Monitoring (LTIM) Project in the Edward-Wakool Selected Area. </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 xml:space="preserve">Table 3.2. </w:t>
      </w:r>
      <w:r>
        <w:rPr>
          <w:rFonts w:asciiTheme="minorHAnsi" w:hAnsiTheme="minorHAnsi" w:cs="Arial"/>
          <w:b/>
          <w:color w:val="000000"/>
          <w:szCs w:val="22"/>
        </w:rPr>
        <w:tab/>
      </w:r>
      <w:r w:rsidRPr="00FF650A">
        <w:rPr>
          <w:rFonts w:asciiTheme="minorHAnsi" w:hAnsiTheme="minorHAnsi" w:cs="Arial"/>
          <w:color w:val="000000"/>
          <w:szCs w:val="22"/>
        </w:rPr>
        <w:t>Summary of monitoring to be undertaken in the Edward-Wakool system for the Long Term Intervention Monitoring Project from 2014-2019</w:t>
      </w:r>
      <w:r w:rsidRPr="00FF650A">
        <w:rPr>
          <w:rFonts w:asciiTheme="minorHAnsi" w:hAnsiTheme="minorHAnsi" w:cs="Arial"/>
          <w:b/>
          <w:color w:val="000000"/>
          <w:szCs w:val="22"/>
        </w:rPr>
        <w:t xml:space="preserve"> </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 xml:space="preserve">Table 4.1. </w:t>
      </w:r>
      <w:r>
        <w:rPr>
          <w:rFonts w:asciiTheme="minorHAnsi" w:hAnsiTheme="minorHAnsi" w:cs="Arial"/>
          <w:b/>
          <w:color w:val="000000"/>
          <w:szCs w:val="22"/>
        </w:rPr>
        <w:tab/>
      </w:r>
      <w:r w:rsidRPr="00FF650A">
        <w:rPr>
          <w:rFonts w:asciiTheme="minorHAnsi" w:hAnsiTheme="minorHAnsi" w:cs="Arial"/>
          <w:color w:val="000000"/>
          <w:szCs w:val="22"/>
        </w:rPr>
        <w:t xml:space="preserve">Summary hydrological statistics (ML/day) for four hydrological zones in the Edward-Wakool system for the 2014-15 water year (1/7/14 to 30/6/2015). </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 xml:space="preserve">Table 5.1. </w:t>
      </w:r>
      <w:r>
        <w:rPr>
          <w:rFonts w:asciiTheme="minorHAnsi" w:hAnsiTheme="minorHAnsi" w:cs="Arial"/>
          <w:b/>
          <w:color w:val="000000"/>
          <w:szCs w:val="22"/>
        </w:rPr>
        <w:tab/>
      </w:r>
      <w:r w:rsidRPr="00FF650A">
        <w:rPr>
          <w:rFonts w:asciiTheme="minorHAnsi" w:hAnsiTheme="minorHAnsi" w:cs="Arial"/>
          <w:color w:val="000000"/>
          <w:szCs w:val="22"/>
        </w:rPr>
        <w:t>Summary of discharge scenarios (MLd-1) modelled for 19 reaches across four hydrological zones in the Edward-Wakool LTIM Selected Area; Yallakool Creek (zone 1), the Wakool River (zone 2), the Wakool River upstream of Thule Creek zone 3) and the Wakool River downstream of Thule Creek (zone 4).</w:t>
      </w:r>
      <w:r w:rsidRPr="00FF650A">
        <w:rPr>
          <w:rFonts w:asciiTheme="minorHAnsi" w:hAnsiTheme="minorHAnsi" w:cs="Arial"/>
          <w:b/>
          <w:color w:val="000000"/>
          <w:szCs w:val="22"/>
        </w:rPr>
        <w:t xml:space="preserve"> </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Table 5.2.</w:t>
      </w:r>
      <w:r>
        <w:rPr>
          <w:rFonts w:asciiTheme="minorHAnsi" w:hAnsiTheme="minorHAnsi" w:cs="Arial"/>
          <w:b/>
          <w:color w:val="000000"/>
          <w:szCs w:val="22"/>
        </w:rPr>
        <w:tab/>
      </w:r>
      <w:r w:rsidRPr="00FF650A">
        <w:rPr>
          <w:rFonts w:asciiTheme="minorHAnsi" w:hAnsiTheme="minorHAnsi" w:cs="Arial"/>
          <w:color w:val="000000"/>
          <w:szCs w:val="22"/>
        </w:rPr>
        <w:t xml:space="preserve">Estimates of wetted benthic area (m2) for nineteen reaches in the Edward-Wakool Selected Area under the operational base flow and environmental flow in Yallakool Creek where discharge increased to 500 ML/d. </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 xml:space="preserve">Table 5.3. </w:t>
      </w:r>
      <w:r>
        <w:rPr>
          <w:rFonts w:asciiTheme="minorHAnsi" w:hAnsiTheme="minorHAnsi" w:cs="Arial"/>
          <w:b/>
          <w:color w:val="000000"/>
          <w:szCs w:val="22"/>
        </w:rPr>
        <w:tab/>
      </w:r>
      <w:r w:rsidRPr="00FF650A">
        <w:rPr>
          <w:rFonts w:asciiTheme="minorHAnsi" w:hAnsiTheme="minorHAnsi" w:cs="Arial"/>
          <w:color w:val="000000"/>
          <w:szCs w:val="22"/>
        </w:rPr>
        <w:t>Area of wetted benthic area (m2) of slackwater, slow water and fast water for nineteen reaches in the Edward-Wakool selected area under operational base flow and environmental flow Yallakool Creek</w:t>
      </w:r>
      <w:r>
        <w:rPr>
          <w:rFonts w:asciiTheme="minorHAnsi" w:hAnsiTheme="minorHAnsi" w:cs="Arial"/>
          <w:color w:val="000000"/>
          <w:szCs w:val="22"/>
        </w:rPr>
        <w:t>.</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 xml:space="preserve">Table 7.1. </w:t>
      </w:r>
      <w:r>
        <w:rPr>
          <w:rFonts w:asciiTheme="minorHAnsi" w:hAnsiTheme="minorHAnsi" w:cs="Arial"/>
          <w:b/>
          <w:color w:val="000000"/>
          <w:szCs w:val="22"/>
        </w:rPr>
        <w:tab/>
      </w:r>
      <w:r w:rsidRPr="00FF650A">
        <w:rPr>
          <w:rFonts w:asciiTheme="minorHAnsi" w:hAnsiTheme="minorHAnsi" w:cs="Arial"/>
          <w:color w:val="000000"/>
          <w:szCs w:val="22"/>
        </w:rPr>
        <w:t>Summary of gross primary production (GPP) and ecosystem respiration (ER) rates and production/respiration (P/R) ratios for six sites in the four hydrological zones, August 2014 to March 2015.</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 xml:space="preserve">Table 7.2. </w:t>
      </w:r>
      <w:r>
        <w:rPr>
          <w:rFonts w:asciiTheme="minorHAnsi" w:hAnsiTheme="minorHAnsi" w:cs="Arial"/>
          <w:b/>
          <w:color w:val="000000"/>
          <w:szCs w:val="22"/>
        </w:rPr>
        <w:tab/>
      </w:r>
      <w:r w:rsidRPr="00FF650A">
        <w:rPr>
          <w:rFonts w:asciiTheme="minorHAnsi" w:hAnsiTheme="minorHAnsi" w:cs="Arial"/>
          <w:color w:val="000000"/>
          <w:szCs w:val="22"/>
        </w:rPr>
        <w:t>Summary of primary production (GPP) and ecosystem respiration (ER) rates and P/R ratios for the six study sites, August 2014 to March 2015.</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 xml:space="preserve">Table 7.3. </w:t>
      </w:r>
      <w:r>
        <w:rPr>
          <w:rFonts w:asciiTheme="minorHAnsi" w:hAnsiTheme="minorHAnsi" w:cs="Arial"/>
          <w:b/>
          <w:color w:val="000000"/>
          <w:szCs w:val="22"/>
        </w:rPr>
        <w:tab/>
      </w:r>
      <w:r w:rsidRPr="00FF650A">
        <w:rPr>
          <w:rFonts w:asciiTheme="minorHAnsi" w:hAnsiTheme="minorHAnsi" w:cs="Arial"/>
          <w:color w:val="000000"/>
          <w:szCs w:val="22"/>
        </w:rPr>
        <w:t>Mean daily oxygen loads created by photosynthesis (GPP) and consumed by respiration (ER).</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 xml:space="preserve">Table 7.4. </w:t>
      </w:r>
      <w:r>
        <w:rPr>
          <w:rFonts w:asciiTheme="minorHAnsi" w:hAnsiTheme="minorHAnsi" w:cs="Arial"/>
          <w:b/>
          <w:color w:val="000000"/>
          <w:szCs w:val="22"/>
        </w:rPr>
        <w:tab/>
      </w:r>
      <w:r w:rsidRPr="00FF650A">
        <w:rPr>
          <w:rFonts w:asciiTheme="minorHAnsi" w:hAnsiTheme="minorHAnsi" w:cs="Arial"/>
          <w:color w:val="000000"/>
          <w:szCs w:val="22"/>
        </w:rPr>
        <w:t>Exploration of linear relationships between the metabolic parameters (GPP and ER) and flow, light and temperature for the six study sites, August 2014 to March 2014.</w:t>
      </w:r>
      <w:r w:rsidRPr="00FF650A">
        <w:rPr>
          <w:rFonts w:asciiTheme="minorHAnsi" w:hAnsiTheme="minorHAnsi" w:cs="Arial"/>
          <w:b/>
          <w:color w:val="000000"/>
          <w:szCs w:val="22"/>
        </w:rPr>
        <w:t xml:space="preserve"> </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Table 8.1</w:t>
      </w:r>
      <w:r>
        <w:rPr>
          <w:rFonts w:asciiTheme="minorHAnsi" w:hAnsiTheme="minorHAnsi" w:cs="Arial"/>
          <w:b/>
          <w:color w:val="000000"/>
          <w:szCs w:val="22"/>
        </w:rPr>
        <w:t>.</w:t>
      </w:r>
      <w:r w:rsidRPr="00FF650A">
        <w:rPr>
          <w:rFonts w:asciiTheme="minorHAnsi" w:hAnsiTheme="minorHAnsi" w:cs="Arial"/>
          <w:b/>
          <w:color w:val="000000"/>
          <w:szCs w:val="22"/>
        </w:rPr>
        <w:t xml:space="preserve"> </w:t>
      </w:r>
      <w:r>
        <w:rPr>
          <w:rFonts w:asciiTheme="minorHAnsi" w:hAnsiTheme="minorHAnsi" w:cs="Arial"/>
          <w:b/>
          <w:color w:val="000000"/>
          <w:szCs w:val="22"/>
        </w:rPr>
        <w:tab/>
      </w:r>
      <w:r w:rsidRPr="00FF650A">
        <w:rPr>
          <w:rFonts w:asciiTheme="minorHAnsi" w:hAnsiTheme="minorHAnsi" w:cs="Arial"/>
          <w:color w:val="000000"/>
          <w:szCs w:val="22"/>
        </w:rPr>
        <w:t>List of riverbank and aquatic vegetation taxa recorded at Long term Intervention Monitoring sites in the Edward-Wakool system in 2014-15.</w:t>
      </w:r>
      <w:r w:rsidRPr="00FF650A">
        <w:rPr>
          <w:rFonts w:asciiTheme="minorHAnsi" w:hAnsiTheme="minorHAnsi" w:cs="Arial"/>
          <w:b/>
          <w:color w:val="000000"/>
          <w:szCs w:val="22"/>
        </w:rPr>
        <w:t xml:space="preserve"> </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 xml:space="preserve">Table 8.2.  </w:t>
      </w:r>
      <w:r>
        <w:rPr>
          <w:rFonts w:asciiTheme="minorHAnsi" w:hAnsiTheme="minorHAnsi" w:cs="Arial"/>
          <w:b/>
          <w:color w:val="000000"/>
          <w:szCs w:val="22"/>
        </w:rPr>
        <w:tab/>
      </w:r>
      <w:r w:rsidRPr="00FF650A">
        <w:rPr>
          <w:rFonts w:asciiTheme="minorHAnsi" w:hAnsiTheme="minorHAnsi" w:cs="Arial"/>
          <w:color w:val="000000"/>
          <w:szCs w:val="22"/>
        </w:rPr>
        <w:t>Results of one-way ANOVAs comparing mean percent cover of aquatic and riverbank vegetation cover of all taxa and assessed individually for the eight most common taxa across river zones for the sampling period October 2014 to June 2015.</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Table 8.3</w:t>
      </w:r>
      <w:r>
        <w:rPr>
          <w:rFonts w:asciiTheme="minorHAnsi" w:hAnsiTheme="minorHAnsi" w:cs="Arial"/>
          <w:b/>
          <w:color w:val="000000"/>
          <w:szCs w:val="22"/>
        </w:rPr>
        <w:t>.</w:t>
      </w:r>
      <w:r w:rsidRPr="00FF650A">
        <w:rPr>
          <w:rFonts w:asciiTheme="minorHAnsi" w:hAnsiTheme="minorHAnsi" w:cs="Arial"/>
          <w:b/>
          <w:color w:val="000000"/>
          <w:szCs w:val="22"/>
        </w:rPr>
        <w:t xml:space="preserve"> </w:t>
      </w:r>
      <w:r>
        <w:rPr>
          <w:rFonts w:asciiTheme="minorHAnsi" w:hAnsiTheme="minorHAnsi" w:cs="Arial"/>
          <w:b/>
          <w:color w:val="000000"/>
          <w:szCs w:val="22"/>
        </w:rPr>
        <w:tab/>
      </w:r>
      <w:r w:rsidRPr="00FF650A">
        <w:rPr>
          <w:rFonts w:asciiTheme="minorHAnsi" w:hAnsiTheme="minorHAnsi" w:cs="Arial"/>
          <w:color w:val="000000"/>
          <w:szCs w:val="22"/>
        </w:rPr>
        <w:t>Results of SIMPER analysis showing the abundance of taxa that contributed most to the difference between zone 2 (no environmental water) and zones 1, 3 and 4 (received Commonwealth environmental water)</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 xml:space="preserve">Table 9.1 </w:t>
      </w:r>
      <w:r>
        <w:rPr>
          <w:rFonts w:asciiTheme="minorHAnsi" w:hAnsiTheme="minorHAnsi" w:cs="Arial"/>
          <w:b/>
          <w:color w:val="000000"/>
          <w:szCs w:val="22"/>
        </w:rPr>
        <w:tab/>
      </w:r>
      <w:r w:rsidRPr="00FF650A">
        <w:rPr>
          <w:rFonts w:asciiTheme="minorHAnsi" w:hAnsiTheme="minorHAnsi" w:cs="Arial"/>
          <w:color w:val="000000"/>
          <w:szCs w:val="22"/>
        </w:rPr>
        <w:t>List of i) pre-European expected native fish species present in the central Murray region of the Murray-Darling Basin, and ii) known alien species, recorded as adults or larvae/early juveniles in the Edward-Wakool system between 2010 and 2015.</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 xml:space="preserve">Table 9.2. </w:t>
      </w:r>
      <w:r>
        <w:rPr>
          <w:rFonts w:asciiTheme="minorHAnsi" w:hAnsiTheme="minorHAnsi" w:cs="Arial"/>
          <w:b/>
          <w:color w:val="000000"/>
          <w:szCs w:val="22"/>
        </w:rPr>
        <w:tab/>
      </w:r>
      <w:r w:rsidRPr="00FF650A">
        <w:rPr>
          <w:rFonts w:asciiTheme="minorHAnsi" w:hAnsiTheme="minorHAnsi" w:cs="Arial"/>
          <w:color w:val="000000"/>
          <w:szCs w:val="22"/>
        </w:rPr>
        <w:t>Size limits used to distinguish new recruits for each species recorded in the Edward-Wakool system using standardised Sustainable Rivers Audit (SRA) protocol.</w:t>
      </w:r>
      <w:r w:rsidRPr="00FF650A">
        <w:rPr>
          <w:rFonts w:asciiTheme="minorHAnsi" w:hAnsiTheme="minorHAnsi" w:cs="Arial"/>
          <w:b/>
          <w:color w:val="000000"/>
          <w:szCs w:val="22"/>
        </w:rPr>
        <w:t xml:space="preserve"> </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 xml:space="preserve">Table 9.3. </w:t>
      </w:r>
      <w:r>
        <w:rPr>
          <w:rFonts w:asciiTheme="minorHAnsi" w:hAnsiTheme="minorHAnsi" w:cs="Arial"/>
          <w:b/>
          <w:color w:val="000000"/>
          <w:szCs w:val="22"/>
        </w:rPr>
        <w:tab/>
      </w:r>
      <w:r w:rsidRPr="00FF650A">
        <w:rPr>
          <w:rFonts w:asciiTheme="minorHAnsi" w:hAnsiTheme="minorHAnsi" w:cs="Arial"/>
          <w:color w:val="000000"/>
          <w:szCs w:val="22"/>
        </w:rPr>
        <w:t>List of Pre-European (PERCH) expected native species present in the central Murray region of the Murray-Darling Basin.</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 xml:space="preserve">Table 9.4. </w:t>
      </w:r>
      <w:r>
        <w:rPr>
          <w:rFonts w:asciiTheme="minorHAnsi" w:hAnsiTheme="minorHAnsi" w:cs="Arial"/>
          <w:b/>
          <w:color w:val="000000"/>
          <w:szCs w:val="22"/>
        </w:rPr>
        <w:tab/>
      </w:r>
      <w:r w:rsidRPr="00FF650A">
        <w:rPr>
          <w:rFonts w:asciiTheme="minorHAnsi" w:hAnsiTheme="minorHAnsi" w:cs="Arial"/>
          <w:color w:val="000000"/>
          <w:szCs w:val="22"/>
        </w:rPr>
        <w:t>The contribution of fish species biomass to variability between 2014 and 2015 in the Edward-Wakool river system, determined through SIMPER analysis.</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 xml:space="preserve">Table 9.5. </w:t>
      </w:r>
      <w:r>
        <w:rPr>
          <w:rFonts w:asciiTheme="minorHAnsi" w:hAnsiTheme="minorHAnsi" w:cs="Arial"/>
          <w:b/>
          <w:color w:val="000000"/>
          <w:szCs w:val="22"/>
        </w:rPr>
        <w:tab/>
      </w:r>
      <w:r w:rsidRPr="00FF650A">
        <w:rPr>
          <w:rFonts w:asciiTheme="minorHAnsi" w:hAnsiTheme="minorHAnsi" w:cs="Arial"/>
          <w:color w:val="000000"/>
          <w:szCs w:val="22"/>
        </w:rPr>
        <w:t>Sustainable Rivers Audit indices, reported by sampling year, in the Edward-Wakool river system.</w:t>
      </w:r>
      <w:r w:rsidRPr="00FF650A">
        <w:rPr>
          <w:rFonts w:asciiTheme="minorHAnsi" w:hAnsiTheme="minorHAnsi" w:cs="Arial"/>
          <w:b/>
          <w:color w:val="000000"/>
          <w:szCs w:val="22"/>
        </w:rPr>
        <w:t xml:space="preserve"> </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Table 10.</w:t>
      </w:r>
      <w:r>
        <w:rPr>
          <w:rFonts w:asciiTheme="minorHAnsi" w:hAnsiTheme="minorHAnsi" w:cs="Arial"/>
          <w:b/>
          <w:color w:val="000000"/>
          <w:szCs w:val="22"/>
        </w:rPr>
        <w:t>1.</w:t>
      </w:r>
      <w:r>
        <w:rPr>
          <w:rFonts w:asciiTheme="minorHAnsi" w:hAnsiTheme="minorHAnsi" w:cs="Arial"/>
          <w:b/>
          <w:color w:val="000000"/>
          <w:szCs w:val="22"/>
        </w:rPr>
        <w:tab/>
      </w:r>
      <w:r w:rsidRPr="00FF650A">
        <w:rPr>
          <w:rFonts w:asciiTheme="minorHAnsi" w:hAnsiTheme="minorHAnsi" w:cs="Arial"/>
          <w:color w:val="000000"/>
          <w:szCs w:val="22"/>
        </w:rPr>
        <w:t>Light trap total abundance of fish larvae (L) and juveniles/small adults (JA) sampled in the four study zones of the Edward-Wakool River system in Spring/Summer 2014.</w:t>
      </w:r>
      <w:r w:rsidRPr="00FF650A">
        <w:rPr>
          <w:rFonts w:asciiTheme="minorHAnsi" w:hAnsiTheme="minorHAnsi" w:cs="Arial"/>
          <w:b/>
          <w:color w:val="000000"/>
          <w:szCs w:val="22"/>
        </w:rPr>
        <w:t xml:space="preserve"> </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Table 10.</w:t>
      </w:r>
      <w:r>
        <w:rPr>
          <w:rFonts w:asciiTheme="minorHAnsi" w:hAnsiTheme="minorHAnsi" w:cs="Arial"/>
          <w:b/>
          <w:color w:val="000000"/>
          <w:szCs w:val="22"/>
        </w:rPr>
        <w:t>2.</w:t>
      </w:r>
      <w:r>
        <w:rPr>
          <w:rFonts w:asciiTheme="minorHAnsi" w:hAnsiTheme="minorHAnsi" w:cs="Arial"/>
          <w:b/>
          <w:color w:val="000000"/>
          <w:szCs w:val="22"/>
        </w:rPr>
        <w:tab/>
      </w:r>
      <w:r w:rsidRPr="00FF650A">
        <w:rPr>
          <w:rFonts w:asciiTheme="minorHAnsi" w:hAnsiTheme="minorHAnsi" w:cs="Arial"/>
          <w:color w:val="000000"/>
          <w:szCs w:val="22"/>
        </w:rPr>
        <w:t>Drift net abundance and CPUE of fish and crustacea larvae sampled from the four study zones in the Edward-Wakool River system in Spring/Summer 2014.</w:t>
      </w:r>
      <w:r>
        <w:rPr>
          <w:rFonts w:asciiTheme="minorHAnsi" w:hAnsiTheme="minorHAnsi" w:cs="Arial"/>
          <w:b/>
          <w:color w:val="000000"/>
          <w:szCs w:val="22"/>
        </w:rPr>
        <w:t xml:space="preserve"> </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Table 10</w:t>
      </w:r>
      <w:r>
        <w:rPr>
          <w:rFonts w:asciiTheme="minorHAnsi" w:hAnsiTheme="minorHAnsi" w:cs="Arial"/>
          <w:b/>
          <w:color w:val="000000"/>
          <w:szCs w:val="22"/>
        </w:rPr>
        <w:t>.3.</w:t>
      </w:r>
      <w:r>
        <w:rPr>
          <w:rFonts w:asciiTheme="minorHAnsi" w:hAnsiTheme="minorHAnsi" w:cs="Arial"/>
          <w:b/>
          <w:color w:val="000000"/>
          <w:szCs w:val="22"/>
        </w:rPr>
        <w:tab/>
      </w:r>
      <w:r w:rsidRPr="00FF650A">
        <w:rPr>
          <w:rFonts w:asciiTheme="minorHAnsi" w:hAnsiTheme="minorHAnsi" w:cs="Arial"/>
          <w:color w:val="000000"/>
          <w:szCs w:val="22"/>
        </w:rPr>
        <w:t>Results of multiple one-way ANOVAS comparing total mean larvae abundance for i) Australian smelt, ii) carp gudgeon and iii) Murray cod, across river zones for the entire sampling period.</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Table 11.1</w:t>
      </w:r>
      <w:r>
        <w:rPr>
          <w:rFonts w:asciiTheme="minorHAnsi" w:hAnsiTheme="minorHAnsi" w:cs="Arial"/>
          <w:b/>
          <w:color w:val="000000"/>
          <w:szCs w:val="22"/>
        </w:rPr>
        <w:t>.</w:t>
      </w:r>
      <w:r w:rsidRPr="00FF650A">
        <w:rPr>
          <w:rFonts w:asciiTheme="minorHAnsi" w:hAnsiTheme="minorHAnsi" w:cs="Arial"/>
          <w:b/>
          <w:color w:val="000000"/>
          <w:szCs w:val="22"/>
        </w:rPr>
        <w:t xml:space="preserve"> </w:t>
      </w:r>
      <w:r>
        <w:rPr>
          <w:rFonts w:asciiTheme="minorHAnsi" w:hAnsiTheme="minorHAnsi" w:cs="Arial"/>
          <w:b/>
          <w:color w:val="000000"/>
          <w:szCs w:val="22"/>
        </w:rPr>
        <w:tab/>
      </w:r>
      <w:r w:rsidRPr="00FF650A">
        <w:rPr>
          <w:rFonts w:asciiTheme="minorHAnsi" w:hAnsiTheme="minorHAnsi" w:cs="Arial"/>
          <w:color w:val="000000"/>
          <w:szCs w:val="22"/>
        </w:rPr>
        <w:t>Logistic model growth index for Murray cod recruits sampled in the Edward-Wakool system in 2014-15.</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Table 11.2</w:t>
      </w:r>
      <w:r>
        <w:rPr>
          <w:rFonts w:asciiTheme="minorHAnsi" w:hAnsiTheme="minorHAnsi" w:cs="Arial"/>
          <w:b/>
          <w:color w:val="000000"/>
          <w:szCs w:val="22"/>
        </w:rPr>
        <w:t>.</w:t>
      </w:r>
      <w:r>
        <w:rPr>
          <w:rFonts w:asciiTheme="minorHAnsi" w:hAnsiTheme="minorHAnsi" w:cs="Arial"/>
          <w:b/>
          <w:color w:val="000000"/>
          <w:szCs w:val="22"/>
        </w:rPr>
        <w:tab/>
      </w:r>
      <w:r w:rsidRPr="00FF650A">
        <w:rPr>
          <w:rFonts w:asciiTheme="minorHAnsi" w:hAnsiTheme="minorHAnsi" w:cs="Arial"/>
          <w:color w:val="000000"/>
          <w:szCs w:val="22"/>
        </w:rPr>
        <w:t>Number of Young-of-Year (YOY), age-class 1 (1+) recruits and older juvenile and adults of the three target species sampled in recruitment and growth monitoring in the Edward-Wakool system in 2014-15.</w:t>
      </w:r>
      <w:r w:rsidRPr="00FF650A">
        <w:rPr>
          <w:rFonts w:asciiTheme="minorHAnsi" w:hAnsiTheme="minorHAnsi" w:cs="Arial"/>
          <w:b/>
          <w:color w:val="000000"/>
          <w:szCs w:val="22"/>
        </w:rPr>
        <w:t xml:space="preserve"> </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Table 11.3</w:t>
      </w:r>
      <w:r>
        <w:rPr>
          <w:rFonts w:asciiTheme="minorHAnsi" w:hAnsiTheme="minorHAnsi" w:cs="Arial"/>
          <w:b/>
          <w:color w:val="000000"/>
          <w:szCs w:val="22"/>
        </w:rPr>
        <w:t>.</w:t>
      </w:r>
      <w:r w:rsidRPr="00FF650A">
        <w:rPr>
          <w:rFonts w:asciiTheme="minorHAnsi" w:hAnsiTheme="minorHAnsi" w:cs="Arial"/>
          <w:b/>
          <w:color w:val="000000"/>
          <w:szCs w:val="22"/>
        </w:rPr>
        <w:t xml:space="preserve"> </w:t>
      </w:r>
      <w:r>
        <w:rPr>
          <w:rFonts w:asciiTheme="minorHAnsi" w:hAnsiTheme="minorHAnsi" w:cs="Arial"/>
          <w:b/>
          <w:color w:val="000000"/>
          <w:szCs w:val="22"/>
        </w:rPr>
        <w:tab/>
      </w:r>
      <w:r w:rsidRPr="00FF650A">
        <w:rPr>
          <w:rFonts w:asciiTheme="minorHAnsi" w:hAnsiTheme="minorHAnsi" w:cs="Arial"/>
          <w:color w:val="000000"/>
          <w:szCs w:val="22"/>
        </w:rPr>
        <w:t>Recruitment indices for Young-of-Year (YOY) and age-class 1 (1+) Murray cod for the Edward-Wakool system in 2014-15</w:t>
      </w:r>
      <w:r w:rsidRPr="00FF650A">
        <w:rPr>
          <w:rFonts w:asciiTheme="minorHAnsi" w:hAnsiTheme="minorHAnsi" w:cs="Arial"/>
          <w:b/>
          <w:color w:val="000000"/>
          <w:szCs w:val="22"/>
        </w:rPr>
        <w:t>.</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 xml:space="preserve">Table 12.1. </w:t>
      </w:r>
      <w:r>
        <w:rPr>
          <w:rFonts w:asciiTheme="minorHAnsi" w:hAnsiTheme="minorHAnsi" w:cs="Arial"/>
          <w:b/>
          <w:color w:val="000000"/>
          <w:szCs w:val="22"/>
        </w:rPr>
        <w:tab/>
      </w:r>
      <w:r w:rsidRPr="00FF650A">
        <w:rPr>
          <w:rFonts w:asciiTheme="minorHAnsi" w:hAnsiTheme="minorHAnsi" w:cs="Arial"/>
          <w:color w:val="000000"/>
          <w:szCs w:val="22"/>
        </w:rPr>
        <w:t>Summary of ecosystem responses to Commonwealth environmental watering in the Edward-Wakool system in 2014-15.</w:t>
      </w:r>
      <w:r w:rsidRPr="00FF650A">
        <w:rPr>
          <w:rFonts w:asciiTheme="minorHAnsi" w:hAnsiTheme="minorHAnsi" w:cs="Arial"/>
          <w:b/>
          <w:color w:val="000000"/>
          <w:szCs w:val="22"/>
        </w:rPr>
        <w:t xml:space="preserve"> </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 xml:space="preserve">Table 12.2. </w:t>
      </w:r>
      <w:r>
        <w:rPr>
          <w:rFonts w:asciiTheme="minorHAnsi" w:hAnsiTheme="minorHAnsi" w:cs="Arial"/>
          <w:b/>
          <w:color w:val="000000"/>
          <w:szCs w:val="22"/>
        </w:rPr>
        <w:tab/>
      </w:r>
      <w:r w:rsidRPr="00FF650A">
        <w:rPr>
          <w:rFonts w:asciiTheme="minorHAnsi" w:hAnsiTheme="minorHAnsi" w:cs="Arial"/>
          <w:color w:val="000000"/>
          <w:szCs w:val="22"/>
        </w:rPr>
        <w:t xml:space="preserve">Assessment of outcomes of Commonwealth environmental watering in the Edward-Wakool system in 2014-15 against the broad environmental watering objectives outlined in water use Minute 10008. </w:t>
      </w:r>
    </w:p>
    <w:p w:rsidR="00871D36" w:rsidRPr="00FF650A" w:rsidRDefault="00871D36" w:rsidP="00871D36">
      <w:pPr>
        <w:pStyle w:val="ListParagraph"/>
        <w:shd w:val="clear" w:color="auto" w:fill="FFFFFF"/>
        <w:spacing w:after="0" w:line="240" w:lineRule="auto"/>
        <w:ind w:left="1134" w:hanging="1134"/>
        <w:mirrorIndents/>
        <w:jc w:val="left"/>
        <w:rPr>
          <w:rFonts w:asciiTheme="minorHAnsi" w:hAnsiTheme="minorHAnsi" w:cs="Arial"/>
          <w:b/>
          <w:color w:val="000000"/>
          <w:szCs w:val="22"/>
        </w:rPr>
      </w:pPr>
      <w:r w:rsidRPr="00FF650A">
        <w:rPr>
          <w:rFonts w:asciiTheme="minorHAnsi" w:hAnsiTheme="minorHAnsi" w:cs="Arial"/>
          <w:b/>
          <w:color w:val="000000"/>
          <w:szCs w:val="22"/>
        </w:rPr>
        <w:t>Table 12.3.</w:t>
      </w:r>
      <w:r>
        <w:rPr>
          <w:rFonts w:asciiTheme="minorHAnsi" w:hAnsiTheme="minorHAnsi" w:cs="Arial"/>
          <w:b/>
          <w:color w:val="000000"/>
          <w:szCs w:val="22"/>
        </w:rPr>
        <w:tab/>
      </w:r>
      <w:r w:rsidRPr="00FF650A">
        <w:rPr>
          <w:rFonts w:asciiTheme="minorHAnsi" w:hAnsiTheme="minorHAnsi" w:cs="Arial"/>
          <w:color w:val="000000"/>
          <w:szCs w:val="22"/>
        </w:rPr>
        <w:t>Assessment of outcomes of Commonwealth environmental watering against the environmental watering objectives defined for the Yallakool Creek environmental watering action in 2014-15.</w:t>
      </w:r>
      <w:r w:rsidRPr="00FF650A">
        <w:rPr>
          <w:rFonts w:asciiTheme="minorHAnsi" w:hAnsiTheme="minorHAnsi" w:cs="Arial"/>
          <w:b/>
          <w:color w:val="000000"/>
          <w:szCs w:val="22"/>
        </w:rPr>
        <w:t xml:space="preserve"> </w:t>
      </w:r>
    </w:p>
    <w:p w:rsidR="00835426" w:rsidRPr="00FA512A" w:rsidRDefault="00835426" w:rsidP="00835426">
      <w:pPr>
        <w:spacing w:after="0" w:line="240" w:lineRule="auto"/>
        <w:jc w:val="left"/>
        <w:rPr>
          <w:b/>
          <w:color w:val="4F6228" w:themeColor="accent3" w:themeShade="80"/>
          <w:szCs w:val="22"/>
        </w:rPr>
      </w:pPr>
    </w:p>
    <w:p w:rsidR="00835426" w:rsidRDefault="00835426">
      <w:pPr>
        <w:spacing w:after="0" w:line="240" w:lineRule="auto"/>
        <w:jc w:val="left"/>
        <w:rPr>
          <w:highlight w:val="yellow"/>
        </w:rPr>
      </w:pPr>
      <w:r>
        <w:rPr>
          <w:highlight w:val="yellow"/>
        </w:rPr>
        <w:br w:type="page"/>
      </w:r>
    </w:p>
    <w:p w:rsidR="004C5452" w:rsidRPr="00C65FA8" w:rsidRDefault="004C5452" w:rsidP="00ED6D80">
      <w:pPr>
        <w:pStyle w:val="MurrumH1"/>
        <w:numPr>
          <w:ilvl w:val="0"/>
          <w:numId w:val="0"/>
        </w:numPr>
        <w:rPr>
          <w:highlight w:val="yellow"/>
        </w:rPr>
        <w:sectPr w:rsidR="004C5452" w:rsidRPr="00C65FA8" w:rsidSect="00A80A70">
          <w:pgSz w:w="11906" w:h="16838"/>
          <w:pgMar w:top="284" w:right="1134" w:bottom="1701" w:left="1701" w:header="794" w:footer="709" w:gutter="0"/>
          <w:pgNumType w:fmt="lowerRoman" w:start="1"/>
          <w:cols w:space="708"/>
          <w:titlePg/>
          <w:docGrid w:linePitch="360"/>
        </w:sectPr>
      </w:pPr>
    </w:p>
    <w:p w:rsidR="0069616B" w:rsidRDefault="006A3128" w:rsidP="00ED6D80">
      <w:pPr>
        <w:pStyle w:val="MurrumH1"/>
      </w:pPr>
      <w:bookmarkStart w:id="5" w:name="_Toc450199546"/>
      <w:r>
        <w:t>B</w:t>
      </w:r>
      <w:r w:rsidR="0007224D">
        <w:t>ackground</w:t>
      </w:r>
      <w:bookmarkEnd w:id="5"/>
    </w:p>
    <w:p w:rsidR="006927D3" w:rsidRPr="00621DEE" w:rsidRDefault="0007224D" w:rsidP="00853906">
      <w:pPr>
        <w:tabs>
          <w:tab w:val="left" w:pos="9071"/>
        </w:tabs>
        <w:spacing w:after="120"/>
        <w:rPr>
          <w:b/>
          <w:color w:val="4F6228" w:themeColor="accent3" w:themeShade="80"/>
          <w:sz w:val="24"/>
          <w:szCs w:val="24"/>
        </w:rPr>
      </w:pPr>
      <w:r w:rsidRPr="00621DEE">
        <w:rPr>
          <w:b/>
          <w:color w:val="4F6228" w:themeColor="accent3" w:themeShade="80"/>
          <w:sz w:val="24"/>
          <w:szCs w:val="24"/>
        </w:rPr>
        <w:t xml:space="preserve">1.1 </w:t>
      </w:r>
      <w:r w:rsidR="006927D3" w:rsidRPr="00621DEE">
        <w:rPr>
          <w:b/>
          <w:color w:val="4F6228" w:themeColor="accent3" w:themeShade="80"/>
          <w:sz w:val="24"/>
          <w:szCs w:val="24"/>
        </w:rPr>
        <w:t>Purpose of this report</w:t>
      </w:r>
    </w:p>
    <w:p w:rsidR="003F618D" w:rsidRDefault="003F618D" w:rsidP="00853906">
      <w:pPr>
        <w:spacing w:after="120"/>
        <w:jc w:val="left"/>
      </w:pPr>
      <w:r w:rsidRPr="00D40BC7">
        <w:t xml:space="preserve">This report documents the monitoring and evaluation of ecosystem responses to Commonwealth environmental watering in the Edward-Wakool system in 2014-15. It is the first annual report of </w:t>
      </w:r>
      <w:r>
        <w:t xml:space="preserve">the Long </w:t>
      </w:r>
      <w:r w:rsidRPr="00D40BC7">
        <w:t xml:space="preserve">Term Intervention Monitoring </w:t>
      </w:r>
      <w:r>
        <w:t>(LTIM) Project</w:t>
      </w:r>
      <w:r w:rsidRPr="00D40BC7">
        <w:t xml:space="preserve"> </w:t>
      </w:r>
      <w:r>
        <w:t>funded by</w:t>
      </w:r>
      <w:r w:rsidRPr="00D40BC7">
        <w:t xml:space="preserve"> the Commonwealth Environmental Watering Office</w:t>
      </w:r>
      <w:r>
        <w:t>. The 5-year project commenced in 2014 and continues until 2019</w:t>
      </w:r>
      <w:r w:rsidRPr="00D40BC7">
        <w:t xml:space="preserve">. </w:t>
      </w:r>
      <w:r w:rsidRPr="009E7419">
        <w:t xml:space="preserve">This project was undertaken as a collaboration among Charles Sturt University, NSW DPI (Fisheries), Monash University, NSW Office of Environment and Heritage, Griffith University and Murray Local Land Services. </w:t>
      </w:r>
      <w:r>
        <w:t xml:space="preserve">Field sampling for this project was undertaken by staff from Charles Sturt University, </w:t>
      </w:r>
      <w:r w:rsidRPr="009E7419">
        <w:t>NSW DPI (Fisheries), NSW Office of Environment and Heritage</w:t>
      </w:r>
      <w:r>
        <w:t xml:space="preserve">, and Murray Local Land Services. </w:t>
      </w:r>
      <w:r w:rsidRPr="009E7419">
        <w:t>Murray Local Land Services</w:t>
      </w:r>
      <w:r>
        <w:t xml:space="preserve"> coordinated several community activities so community members were informed about this project and had the opportunity to provide input to the project.</w:t>
      </w:r>
    </w:p>
    <w:p w:rsidR="003F618D" w:rsidRDefault="003F618D" w:rsidP="003F618D">
      <w:pPr>
        <w:tabs>
          <w:tab w:val="left" w:pos="9071"/>
        </w:tabs>
        <w:spacing w:after="240"/>
        <w:jc w:val="left"/>
      </w:pPr>
      <w:r w:rsidRPr="00D40BC7">
        <w:t xml:space="preserve">This report provides details of the watering actions, indicators, methodology, and an assessment of </w:t>
      </w:r>
      <w:r>
        <w:t xml:space="preserve">short-term </w:t>
      </w:r>
      <w:r w:rsidRPr="00D40BC7">
        <w:t xml:space="preserve">ecosystem responses to environmental watering </w:t>
      </w:r>
      <w:r>
        <w:t xml:space="preserve">in 2014-15 </w:t>
      </w:r>
      <w:r w:rsidRPr="00D40BC7">
        <w:t>with respect to the objectives set by the Commonwealth Environmental Water Offic</w:t>
      </w:r>
      <w:r>
        <w:t xml:space="preserve">e. Evaluation of responses across multiple years will be undertaken in subsequent reports. The findings </w:t>
      </w:r>
      <w:r w:rsidRPr="003B2E69">
        <w:t>underpin recommendations on</w:t>
      </w:r>
      <w:r w:rsidRPr="003B2E69">
        <w:rPr>
          <w:szCs w:val="22"/>
        </w:rPr>
        <w:t xml:space="preserve"> the timing, duration and magnitude of flow to help inform the adaptive management of future </w:t>
      </w:r>
      <w:r>
        <w:rPr>
          <w:szCs w:val="22"/>
        </w:rPr>
        <w:t xml:space="preserve">environmental </w:t>
      </w:r>
      <w:r w:rsidRPr="003B2E69">
        <w:rPr>
          <w:szCs w:val="22"/>
        </w:rPr>
        <w:t>flows</w:t>
      </w:r>
      <w:r>
        <w:rPr>
          <w:szCs w:val="22"/>
        </w:rPr>
        <w:t xml:space="preserve"> in this system</w:t>
      </w:r>
      <w:r w:rsidRPr="003B2E69">
        <w:t>.</w:t>
      </w:r>
    </w:p>
    <w:p w:rsidR="003F618D" w:rsidRDefault="003F618D" w:rsidP="003F618D">
      <w:pPr>
        <w:spacing w:after="240"/>
        <w:jc w:val="left"/>
        <w:rPr>
          <w:szCs w:val="22"/>
        </w:rPr>
      </w:pPr>
      <w:r w:rsidRPr="00521E67">
        <w:t xml:space="preserve">This report builds on previous monitoring and evaluation </w:t>
      </w:r>
      <w:r>
        <w:t>projects</w:t>
      </w:r>
      <w:r w:rsidRPr="00521E67">
        <w:t xml:space="preserve"> undertaken in the Edward-Wakool system since 2010 when a fish monitoring program was established by NSW Department of Primary Industries and the former Murray Catchment Management Authority (</w:t>
      </w:r>
      <w:r>
        <w:t>Murray CMA, now Murray Local Land Services). Fish m</w:t>
      </w:r>
      <w:r w:rsidRPr="00521E67">
        <w:t xml:space="preserve">onitoring sites </w:t>
      </w:r>
      <w:r>
        <w:t xml:space="preserve">were </w:t>
      </w:r>
      <w:r w:rsidRPr="00521E67">
        <w:t xml:space="preserve">established throughout the Edward-Wakool system and an array of acoustic receivers was </w:t>
      </w:r>
      <w:r>
        <w:t>installed</w:t>
      </w:r>
      <w:r w:rsidRPr="00521E67">
        <w:t xml:space="preserve"> to monitor behavioural responses</w:t>
      </w:r>
      <w:r>
        <w:t xml:space="preserve"> of fish</w:t>
      </w:r>
      <w:r w:rsidRPr="00521E67">
        <w:t xml:space="preserve"> to environmental watering. In </w:t>
      </w:r>
      <w:r>
        <w:t xml:space="preserve">2010 Charles Sturt University (CSU) monitored water quality responses to Commonwealth environmental watering and this expanded in </w:t>
      </w:r>
      <w:r w:rsidRPr="00521E67">
        <w:t xml:space="preserve">2011-12, </w:t>
      </w:r>
      <w:r>
        <w:t xml:space="preserve">when CSU collaborated with </w:t>
      </w:r>
      <w:r w:rsidRPr="00521E67">
        <w:t>Monash University and the</w:t>
      </w:r>
      <w:r>
        <w:t xml:space="preserve"> </w:t>
      </w:r>
      <w:r w:rsidRPr="00521E67">
        <w:t>Murray CMA</w:t>
      </w:r>
      <w:r>
        <w:t xml:space="preserve"> to monitor</w:t>
      </w:r>
      <w:r w:rsidRPr="00521E67">
        <w:t xml:space="preserve"> ecosystem </w:t>
      </w:r>
      <w:r w:rsidRPr="00521E67">
        <w:rPr>
          <w:szCs w:val="22"/>
        </w:rPr>
        <w:t xml:space="preserve">responses to environmental watering in the </w:t>
      </w:r>
      <w:r>
        <w:rPr>
          <w:szCs w:val="22"/>
        </w:rPr>
        <w:t>system (Watts et al. 2013a</w:t>
      </w:r>
      <w:r w:rsidRPr="00521E67">
        <w:rPr>
          <w:szCs w:val="22"/>
        </w:rPr>
        <w:t>) focussing on Colligen Creek, Yallakool Creek, Wakool</w:t>
      </w:r>
      <w:r>
        <w:rPr>
          <w:szCs w:val="22"/>
        </w:rPr>
        <w:t xml:space="preserve"> River and Little Merran Creek</w:t>
      </w:r>
      <w:r w:rsidRPr="00521E67">
        <w:rPr>
          <w:szCs w:val="22"/>
        </w:rPr>
        <w:t xml:space="preserve">. In 2012-13 the fish </w:t>
      </w:r>
      <w:r>
        <w:rPr>
          <w:szCs w:val="22"/>
        </w:rPr>
        <w:t xml:space="preserve">community </w:t>
      </w:r>
      <w:r w:rsidRPr="00521E67">
        <w:rPr>
          <w:szCs w:val="22"/>
        </w:rPr>
        <w:t xml:space="preserve">monitoring, fish movement and ecosystem monitoring were </w:t>
      </w:r>
      <w:r>
        <w:rPr>
          <w:szCs w:val="22"/>
        </w:rPr>
        <w:t>combined</w:t>
      </w:r>
      <w:r w:rsidRPr="00521E67">
        <w:rPr>
          <w:szCs w:val="22"/>
        </w:rPr>
        <w:t xml:space="preserve"> into a single project (Watts et al</w:t>
      </w:r>
      <w:r>
        <w:rPr>
          <w:szCs w:val="22"/>
        </w:rPr>
        <w:t>.</w:t>
      </w:r>
      <w:r w:rsidRPr="00521E67">
        <w:rPr>
          <w:szCs w:val="22"/>
        </w:rPr>
        <w:t xml:space="preserve"> 2013b)</w:t>
      </w:r>
      <w:r>
        <w:rPr>
          <w:szCs w:val="22"/>
        </w:rPr>
        <w:t>. Mo</w:t>
      </w:r>
      <w:r w:rsidRPr="00521E67">
        <w:rPr>
          <w:szCs w:val="22"/>
        </w:rPr>
        <w:t xml:space="preserve">nitoring undertaken in 2013-14 </w:t>
      </w:r>
      <w:r>
        <w:rPr>
          <w:szCs w:val="22"/>
        </w:rPr>
        <w:t>continued</w:t>
      </w:r>
      <w:r w:rsidRPr="00521E67">
        <w:rPr>
          <w:szCs w:val="22"/>
        </w:rPr>
        <w:t xml:space="preserve"> on from these previous projects</w:t>
      </w:r>
      <w:r>
        <w:rPr>
          <w:szCs w:val="22"/>
        </w:rPr>
        <w:t xml:space="preserve"> (Watts et al. 2014)</w:t>
      </w:r>
      <w:r w:rsidRPr="00521E67">
        <w:rPr>
          <w:szCs w:val="22"/>
        </w:rPr>
        <w:t xml:space="preserve">. </w:t>
      </w:r>
    </w:p>
    <w:p w:rsidR="005C2E3C" w:rsidRPr="00621DEE" w:rsidRDefault="005C2E3C" w:rsidP="005C2E3C">
      <w:pPr>
        <w:spacing w:after="240"/>
        <w:rPr>
          <w:b/>
          <w:color w:val="4F6228" w:themeColor="accent3" w:themeShade="80"/>
          <w:sz w:val="24"/>
          <w:szCs w:val="24"/>
        </w:rPr>
      </w:pPr>
      <w:r w:rsidRPr="00621DEE">
        <w:rPr>
          <w:b/>
          <w:color w:val="4F6228" w:themeColor="accent3" w:themeShade="80"/>
          <w:sz w:val="24"/>
          <w:szCs w:val="24"/>
        </w:rPr>
        <w:t xml:space="preserve">1.2 The </w:t>
      </w:r>
      <w:r>
        <w:rPr>
          <w:b/>
          <w:color w:val="4F6228" w:themeColor="accent3" w:themeShade="80"/>
          <w:sz w:val="24"/>
          <w:szCs w:val="24"/>
        </w:rPr>
        <w:t>Structure of this report</w:t>
      </w:r>
    </w:p>
    <w:p w:rsidR="006E2A98" w:rsidRDefault="00A00070" w:rsidP="00355A20">
      <w:pPr>
        <w:spacing w:after="240"/>
        <w:jc w:val="left"/>
        <w:rPr>
          <w:szCs w:val="22"/>
        </w:rPr>
      </w:pPr>
      <w:r>
        <w:rPr>
          <w:szCs w:val="22"/>
        </w:rPr>
        <w:t>This report starts with a b</w:t>
      </w:r>
      <w:r w:rsidR="008D6A2C">
        <w:rPr>
          <w:szCs w:val="22"/>
        </w:rPr>
        <w:t xml:space="preserve">ackground to the </w:t>
      </w:r>
      <w:r>
        <w:rPr>
          <w:szCs w:val="22"/>
        </w:rPr>
        <w:t xml:space="preserve">hydrology and ecosystem of the </w:t>
      </w:r>
      <w:r w:rsidR="008D6A2C">
        <w:rPr>
          <w:szCs w:val="22"/>
        </w:rPr>
        <w:t xml:space="preserve">Edward-Wakool system </w:t>
      </w:r>
      <w:r>
        <w:rPr>
          <w:szCs w:val="22"/>
        </w:rPr>
        <w:t>(</w:t>
      </w:r>
      <w:r w:rsidR="008D6A2C">
        <w:rPr>
          <w:szCs w:val="22"/>
        </w:rPr>
        <w:t>section 1</w:t>
      </w:r>
      <w:r>
        <w:rPr>
          <w:szCs w:val="22"/>
        </w:rPr>
        <w:t>)</w:t>
      </w:r>
      <w:r w:rsidR="008D6A2C">
        <w:rPr>
          <w:szCs w:val="22"/>
        </w:rPr>
        <w:t xml:space="preserve"> </w:t>
      </w:r>
      <w:r>
        <w:rPr>
          <w:szCs w:val="22"/>
        </w:rPr>
        <w:t>followed by</w:t>
      </w:r>
      <w:r w:rsidR="008D6A2C">
        <w:rPr>
          <w:szCs w:val="22"/>
        </w:rPr>
        <w:t xml:space="preserve"> </w:t>
      </w:r>
      <w:r>
        <w:rPr>
          <w:szCs w:val="22"/>
        </w:rPr>
        <w:t>a description of</w:t>
      </w:r>
      <w:r w:rsidR="008D6A2C">
        <w:rPr>
          <w:szCs w:val="22"/>
        </w:rPr>
        <w:t xml:space="preserve"> the Commonwealth environmental </w:t>
      </w:r>
      <w:r w:rsidR="00353715">
        <w:rPr>
          <w:szCs w:val="22"/>
        </w:rPr>
        <w:t xml:space="preserve">water use objectives and </w:t>
      </w:r>
      <w:r w:rsidR="008D6A2C">
        <w:rPr>
          <w:szCs w:val="22"/>
        </w:rPr>
        <w:t xml:space="preserve">watering actions for this system </w:t>
      </w:r>
      <w:r>
        <w:rPr>
          <w:szCs w:val="22"/>
        </w:rPr>
        <w:t>for</w:t>
      </w:r>
      <w:r w:rsidR="008D6A2C">
        <w:rPr>
          <w:szCs w:val="22"/>
        </w:rPr>
        <w:t xml:space="preserve"> 2014-15</w:t>
      </w:r>
      <w:r>
        <w:rPr>
          <w:szCs w:val="22"/>
        </w:rPr>
        <w:t xml:space="preserve"> (section 2)</w:t>
      </w:r>
      <w:r w:rsidR="008D6A2C">
        <w:rPr>
          <w:szCs w:val="22"/>
        </w:rPr>
        <w:t xml:space="preserve">. </w:t>
      </w:r>
      <w:r>
        <w:rPr>
          <w:szCs w:val="22"/>
        </w:rPr>
        <w:t>A</w:t>
      </w:r>
      <w:r w:rsidR="008D6A2C">
        <w:rPr>
          <w:szCs w:val="22"/>
        </w:rPr>
        <w:t xml:space="preserve">n overview of the monitoring and evaluation undertaken </w:t>
      </w:r>
      <w:r>
        <w:rPr>
          <w:szCs w:val="22"/>
        </w:rPr>
        <w:t xml:space="preserve">in this system </w:t>
      </w:r>
      <w:r w:rsidR="008D6A2C">
        <w:rPr>
          <w:szCs w:val="22"/>
        </w:rPr>
        <w:t xml:space="preserve">for the </w:t>
      </w:r>
      <w:r>
        <w:rPr>
          <w:szCs w:val="22"/>
        </w:rPr>
        <w:t>LTIM project is included in section 3</w:t>
      </w:r>
      <w:r w:rsidR="008D6A2C">
        <w:rPr>
          <w:szCs w:val="22"/>
        </w:rPr>
        <w:t xml:space="preserve">, </w:t>
      </w:r>
      <w:r>
        <w:rPr>
          <w:szCs w:val="22"/>
        </w:rPr>
        <w:t>including a</w:t>
      </w:r>
      <w:r w:rsidR="008D6A2C">
        <w:rPr>
          <w:szCs w:val="22"/>
        </w:rPr>
        <w:t xml:space="preserve"> map of study sites</w:t>
      </w:r>
      <w:r>
        <w:rPr>
          <w:szCs w:val="22"/>
        </w:rPr>
        <w:t>, summary table of indicators</w:t>
      </w:r>
      <w:r w:rsidR="008D6A2C">
        <w:rPr>
          <w:szCs w:val="22"/>
        </w:rPr>
        <w:t xml:space="preserve"> and a conceptual diagram showing the interconnectedness of </w:t>
      </w:r>
      <w:r>
        <w:rPr>
          <w:szCs w:val="22"/>
        </w:rPr>
        <w:t>the</w:t>
      </w:r>
      <w:r w:rsidR="008D6A2C">
        <w:rPr>
          <w:szCs w:val="22"/>
        </w:rPr>
        <w:t xml:space="preserve"> indicators. </w:t>
      </w:r>
      <w:r>
        <w:rPr>
          <w:szCs w:val="22"/>
        </w:rPr>
        <w:t>The responses</w:t>
      </w:r>
      <w:r w:rsidR="008D6A2C">
        <w:rPr>
          <w:szCs w:val="22"/>
        </w:rPr>
        <w:t xml:space="preserve"> of </w:t>
      </w:r>
      <w:r>
        <w:rPr>
          <w:szCs w:val="22"/>
        </w:rPr>
        <w:t xml:space="preserve">each indicator to </w:t>
      </w:r>
      <w:r w:rsidR="008D6A2C">
        <w:rPr>
          <w:szCs w:val="22"/>
        </w:rPr>
        <w:t>Commonwealth environmental water</w:t>
      </w:r>
      <w:r>
        <w:rPr>
          <w:szCs w:val="22"/>
        </w:rPr>
        <w:t>ing in 2014-15</w:t>
      </w:r>
      <w:r w:rsidR="008D6A2C">
        <w:rPr>
          <w:szCs w:val="22"/>
        </w:rPr>
        <w:t xml:space="preserve"> are presented in </w:t>
      </w:r>
      <w:r>
        <w:rPr>
          <w:szCs w:val="22"/>
        </w:rPr>
        <w:t>in sections four to eleven</w:t>
      </w:r>
      <w:r w:rsidR="007560E6">
        <w:rPr>
          <w:szCs w:val="22"/>
        </w:rPr>
        <w:t xml:space="preserve">, commencing with hydrology (section 4), hydraulic modelling (section 5), water quality </w:t>
      </w:r>
      <w:r w:rsidR="00353715">
        <w:rPr>
          <w:szCs w:val="22"/>
        </w:rPr>
        <w:t xml:space="preserve">and carbon </w:t>
      </w:r>
      <w:r w:rsidR="007560E6">
        <w:rPr>
          <w:szCs w:val="22"/>
        </w:rPr>
        <w:t xml:space="preserve">(section 6) and stream metabolism (section 7) that underpin responses of biota. This is followed by sections on responses of riverbank and aquatic vegetation (section 8), fish community (section 9), fish </w:t>
      </w:r>
      <w:r w:rsidR="00353715">
        <w:rPr>
          <w:szCs w:val="22"/>
        </w:rPr>
        <w:t xml:space="preserve">spawning and </w:t>
      </w:r>
      <w:r w:rsidR="007560E6">
        <w:rPr>
          <w:szCs w:val="22"/>
        </w:rPr>
        <w:t xml:space="preserve">reproduction (section 10) and fish recruitment </w:t>
      </w:r>
      <w:r w:rsidR="00353715">
        <w:rPr>
          <w:szCs w:val="22"/>
        </w:rPr>
        <w:t xml:space="preserve">and growth </w:t>
      </w:r>
      <w:r w:rsidR="007560E6">
        <w:rPr>
          <w:szCs w:val="22"/>
        </w:rPr>
        <w:t xml:space="preserve">(section 11). </w:t>
      </w:r>
      <w:r>
        <w:rPr>
          <w:szCs w:val="22"/>
        </w:rPr>
        <w:t>A summary and synthesis of the results (section 12) underpins recommendations and application through adaptive management for the use of Commonwealth environmental water into 2015-16 (section 13).</w:t>
      </w:r>
    </w:p>
    <w:p w:rsidR="00157897" w:rsidRPr="00621DEE" w:rsidRDefault="005C2E3C" w:rsidP="00355A20">
      <w:pPr>
        <w:spacing w:after="240"/>
        <w:rPr>
          <w:b/>
          <w:color w:val="4F6228" w:themeColor="accent3" w:themeShade="80"/>
          <w:sz w:val="24"/>
          <w:szCs w:val="24"/>
        </w:rPr>
      </w:pPr>
      <w:r>
        <w:rPr>
          <w:b/>
          <w:color w:val="4F6228" w:themeColor="accent3" w:themeShade="80"/>
          <w:sz w:val="24"/>
          <w:szCs w:val="24"/>
        </w:rPr>
        <w:t>1.3</w:t>
      </w:r>
      <w:r w:rsidR="0007224D" w:rsidRPr="00621DEE">
        <w:rPr>
          <w:b/>
          <w:color w:val="4F6228" w:themeColor="accent3" w:themeShade="80"/>
          <w:sz w:val="24"/>
          <w:szCs w:val="24"/>
        </w:rPr>
        <w:t xml:space="preserve"> </w:t>
      </w:r>
      <w:r w:rsidR="00277074" w:rsidRPr="00621DEE">
        <w:rPr>
          <w:b/>
          <w:color w:val="4F6228" w:themeColor="accent3" w:themeShade="80"/>
          <w:sz w:val="24"/>
          <w:szCs w:val="24"/>
        </w:rPr>
        <w:t>The E</w:t>
      </w:r>
      <w:r w:rsidR="00B31566" w:rsidRPr="00621DEE">
        <w:rPr>
          <w:b/>
          <w:color w:val="4F6228" w:themeColor="accent3" w:themeShade="80"/>
          <w:sz w:val="24"/>
          <w:szCs w:val="24"/>
        </w:rPr>
        <w:t>dward-Wakool system</w:t>
      </w:r>
    </w:p>
    <w:p w:rsidR="003D4F18" w:rsidRDefault="003D4F18" w:rsidP="00355A20">
      <w:pPr>
        <w:tabs>
          <w:tab w:val="left" w:pos="9071"/>
        </w:tabs>
        <w:spacing w:after="240"/>
        <w:ind w:right="-1"/>
        <w:jc w:val="left"/>
      </w:pPr>
      <w:bookmarkStart w:id="6" w:name="_Ref320613878"/>
      <w:bookmarkStart w:id="7" w:name="_Ref320613830"/>
      <w:bookmarkStart w:id="8" w:name="_Toc324953402"/>
      <w:r w:rsidRPr="00DB354E">
        <w:t xml:space="preserve">The Edward-Wakool system is a large anabranch system of the </w:t>
      </w:r>
      <w:r w:rsidR="003462D6" w:rsidRPr="00DB354E">
        <w:t xml:space="preserve">River </w:t>
      </w:r>
      <w:r w:rsidRPr="00DB354E">
        <w:t>Murray main channel</w:t>
      </w:r>
      <w:r w:rsidR="00355A20">
        <w:t xml:space="preserve"> in the southern Murray-Darling Basin, Australia</w:t>
      </w:r>
      <w:r w:rsidRPr="00DB354E">
        <w:t xml:space="preserve">. The system begins upstream of the Barmah choke, and travels northwest through a series of river red gum forests before discharging back into the </w:t>
      </w:r>
      <w:r w:rsidR="003462D6" w:rsidRPr="00DB354E">
        <w:t xml:space="preserve">River </w:t>
      </w:r>
      <w:r w:rsidRPr="00DB354E">
        <w:t xml:space="preserve">Murray downstream of Kyalite (Figure </w:t>
      </w:r>
      <w:r w:rsidR="005C540E">
        <w:t>1.</w:t>
      </w:r>
      <w:r w:rsidRPr="00DB354E">
        <w:t>1). It is a complex network of interconnected s</w:t>
      </w:r>
      <w:r w:rsidR="001E225E" w:rsidRPr="00DB354E">
        <w:t>treams, ephemeral creeks, flood-</w:t>
      </w:r>
      <w:r w:rsidRPr="00DB354E">
        <w:t xml:space="preserve">runners and wetlands including the </w:t>
      </w:r>
      <w:r w:rsidR="00355A20">
        <w:t xml:space="preserve">Edward River, </w:t>
      </w:r>
      <w:r w:rsidRPr="00DB354E">
        <w:t>Wakool River, Yallakool Creek, Colligen-Niemur</w:t>
      </w:r>
      <w:r w:rsidR="0053339D" w:rsidRPr="00DB354E">
        <w:t xml:space="preserve"> Creek </w:t>
      </w:r>
      <w:r w:rsidRPr="00DB354E">
        <w:t xml:space="preserve">and Merran Creek. </w:t>
      </w:r>
    </w:p>
    <w:p w:rsidR="001C7328" w:rsidRDefault="001C7328" w:rsidP="005310AA">
      <w:pPr>
        <w:tabs>
          <w:tab w:val="left" w:pos="9071"/>
        </w:tabs>
        <w:spacing w:after="120"/>
        <w:jc w:val="left"/>
        <w:rPr>
          <w:szCs w:val="22"/>
        </w:rPr>
      </w:pPr>
      <w:r w:rsidRPr="00D40BC7">
        <w:rPr>
          <w:rFonts w:cs="Arial"/>
          <w:szCs w:val="22"/>
        </w:rPr>
        <w:t>The Edward-Wakool system is listed as an endangered ecosystem, as part of the ‘aquatic ecological community in the natural drainage system of the lower Murray River catchment’ in New South Wales (</w:t>
      </w:r>
      <w:r w:rsidRPr="00D40BC7">
        <w:rPr>
          <w:rFonts w:cs="Arial"/>
          <w:i/>
          <w:szCs w:val="22"/>
        </w:rPr>
        <w:t>NSW Fisheries Management Act 1994</w:t>
      </w:r>
      <w:r w:rsidRPr="00D40BC7">
        <w:rPr>
          <w:rFonts w:cs="Arial"/>
          <w:szCs w:val="22"/>
        </w:rPr>
        <w:t xml:space="preserve">). </w:t>
      </w:r>
      <w:r w:rsidRPr="00D40BC7">
        <w:rPr>
          <w:szCs w:val="22"/>
        </w:rPr>
        <w:t xml:space="preserve">This system has abundant areas of </w:t>
      </w:r>
      <w:r>
        <w:rPr>
          <w:szCs w:val="22"/>
        </w:rPr>
        <w:t>fish habitat</w:t>
      </w:r>
      <w:r w:rsidRPr="00D40BC7">
        <w:rPr>
          <w:szCs w:val="22"/>
        </w:rPr>
        <w:t xml:space="preserve"> and historically had diverse fish communities which supported both commercial and recreational fisheries</w:t>
      </w:r>
      <w:r>
        <w:rPr>
          <w:szCs w:val="22"/>
        </w:rPr>
        <w:t xml:space="preserve"> (Rowland 2004)</w:t>
      </w:r>
      <w:r w:rsidRPr="00D40BC7">
        <w:rPr>
          <w:szCs w:val="22"/>
        </w:rPr>
        <w:t>.</w:t>
      </w:r>
    </w:p>
    <w:p w:rsidR="003F618D" w:rsidRDefault="003F618D" w:rsidP="003F618D">
      <w:pPr>
        <w:tabs>
          <w:tab w:val="left" w:pos="9071"/>
        </w:tabs>
        <w:spacing w:after="0"/>
        <w:jc w:val="left"/>
        <w:rPr>
          <w:szCs w:val="22"/>
        </w:rPr>
      </w:pPr>
      <w:r w:rsidRPr="0042507D">
        <w:rPr>
          <w:szCs w:val="22"/>
        </w:rPr>
        <w:t xml:space="preserve">The Edward-Wakool river </w:t>
      </w:r>
      <w:r>
        <w:rPr>
          <w:szCs w:val="22"/>
        </w:rPr>
        <w:t>eco</w:t>
      </w:r>
      <w:r w:rsidRPr="0042507D">
        <w:rPr>
          <w:szCs w:val="22"/>
        </w:rPr>
        <w:t xml:space="preserve">system is recovering from the impact of the Millenium drought </w:t>
      </w:r>
      <w:r>
        <w:rPr>
          <w:szCs w:val="22"/>
        </w:rPr>
        <w:t xml:space="preserve">in south-eastern Australia when flows in the Murray-Darling Basin were at record low levels and the regulators controlling flows from the Edward River into tributary rivers such as Yallakool Creek and the Wakool River were closed. </w:t>
      </w:r>
      <w:r w:rsidRPr="00BF669A">
        <w:rPr>
          <w:szCs w:val="22"/>
        </w:rPr>
        <w:t xml:space="preserve">Between February 2006 and September 2010 there were periods of minimal or no flow in </w:t>
      </w:r>
      <w:r>
        <w:rPr>
          <w:szCs w:val="22"/>
        </w:rPr>
        <w:t>the Wakool River</w:t>
      </w:r>
      <w:r w:rsidRPr="00BF669A">
        <w:rPr>
          <w:szCs w:val="22"/>
        </w:rPr>
        <w:t xml:space="preserve"> (Figure 2). In 2007-08 there was a blackwater event that resulted in the loss of many thousands of native fish, including large individuals of Murray cod. At the break of the drought a number of unregulated flow events occurred in the Edward-Wakool system between Septemb</w:t>
      </w:r>
      <w:r>
        <w:rPr>
          <w:szCs w:val="22"/>
        </w:rPr>
        <w:t>er 2010 and March 2011 (Figure 1.2</w:t>
      </w:r>
      <w:r w:rsidRPr="00BF669A">
        <w:rPr>
          <w:szCs w:val="22"/>
        </w:rPr>
        <w:t>)</w:t>
      </w:r>
      <w:r>
        <w:rPr>
          <w:szCs w:val="22"/>
        </w:rPr>
        <w:t xml:space="preserve"> resulting in another blackwater event</w:t>
      </w:r>
      <w:r w:rsidRPr="00BF669A">
        <w:rPr>
          <w:szCs w:val="22"/>
        </w:rPr>
        <w:t>.</w:t>
      </w:r>
      <w:r w:rsidRPr="00BF669A">
        <w:rPr>
          <w:sz w:val="23"/>
          <w:szCs w:val="23"/>
        </w:rPr>
        <w:t xml:space="preserve"> </w:t>
      </w:r>
      <w:r w:rsidRPr="00BF669A">
        <w:rPr>
          <w:szCs w:val="22"/>
        </w:rPr>
        <w:t xml:space="preserve">Ecosystem responses to </w:t>
      </w:r>
      <w:r>
        <w:rPr>
          <w:szCs w:val="22"/>
        </w:rPr>
        <w:t xml:space="preserve">Commonwealth </w:t>
      </w:r>
      <w:r w:rsidRPr="00BF669A">
        <w:rPr>
          <w:szCs w:val="22"/>
        </w:rPr>
        <w:t>environmental watering in 2014-15 will be influenced by the history of flows in this system.</w:t>
      </w:r>
    </w:p>
    <w:p w:rsidR="003F618D" w:rsidRDefault="003F618D" w:rsidP="005310AA">
      <w:pPr>
        <w:tabs>
          <w:tab w:val="left" w:pos="9071"/>
        </w:tabs>
        <w:spacing w:after="120"/>
        <w:jc w:val="left"/>
        <w:rPr>
          <w:szCs w:val="22"/>
        </w:rPr>
      </w:pPr>
    </w:p>
    <w:p w:rsidR="003D4F18" w:rsidRPr="00DB354E" w:rsidRDefault="007553B5" w:rsidP="003D4F18">
      <w:pPr>
        <w:tabs>
          <w:tab w:val="left" w:pos="9071"/>
        </w:tabs>
        <w:spacing w:after="120" w:line="240" w:lineRule="auto"/>
        <w:ind w:right="-1"/>
        <w:rPr>
          <w:noProof/>
          <w:lang w:eastAsia="en-AU"/>
        </w:rPr>
      </w:pPr>
      <w:r>
        <w:rPr>
          <w:noProof/>
          <w:lang w:eastAsia="en-AU"/>
        </w:rPr>
        <w:drawing>
          <wp:inline distT="0" distB="0" distL="0" distR="0">
            <wp:extent cx="5191125" cy="2776003"/>
            <wp:effectExtent l="0" t="0" r="0" b="5715"/>
            <wp:docPr id="188" name="Picture 5" descr="edwardWakoolRiverMa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wardWakoolRiverMaps.png"/>
                    <pic:cNvPicPr>
                      <a:picLocks noChangeAspect="1" noChangeArrowheads="1"/>
                    </pic:cNvPicPr>
                  </pic:nvPicPr>
                  <pic:blipFill>
                    <a:blip r:embed="rId22" cstate="screen"/>
                    <a:srcRect/>
                    <a:stretch>
                      <a:fillRect/>
                    </a:stretch>
                  </pic:blipFill>
                  <pic:spPr bwMode="auto">
                    <a:xfrm>
                      <a:off x="0" y="0"/>
                      <a:ext cx="5197776" cy="2779560"/>
                    </a:xfrm>
                    <a:prstGeom prst="rect">
                      <a:avLst/>
                    </a:prstGeom>
                    <a:noFill/>
                    <a:ln w="9525">
                      <a:noFill/>
                      <a:miter lim="800000"/>
                      <a:headEnd/>
                      <a:tailEnd/>
                    </a:ln>
                  </pic:spPr>
                </pic:pic>
              </a:graphicData>
            </a:graphic>
          </wp:inline>
        </w:drawing>
      </w:r>
    </w:p>
    <w:p w:rsidR="003D4F18" w:rsidRPr="00AC61FE" w:rsidRDefault="003D4F18" w:rsidP="00EA207A">
      <w:pPr>
        <w:pStyle w:val="TableofFigures"/>
        <w:spacing w:after="240"/>
        <w:ind w:left="442" w:hanging="442"/>
        <w:rPr>
          <w:b w:val="0"/>
        </w:rPr>
      </w:pPr>
      <w:bookmarkStart w:id="9" w:name="_Toc450162978"/>
      <w:bookmarkStart w:id="10" w:name="_Toc450164281"/>
      <w:bookmarkStart w:id="11" w:name="_Toc450165275"/>
      <w:bookmarkStart w:id="12" w:name="_Toc450165506"/>
      <w:bookmarkStart w:id="13" w:name="_Toc450165926"/>
      <w:r w:rsidRPr="00EA207A">
        <w:t xml:space="preserve">Figure </w:t>
      </w:r>
      <w:r w:rsidR="00F671D2" w:rsidRPr="00EA207A">
        <w:fldChar w:fldCharType="begin"/>
      </w:r>
      <w:r w:rsidRPr="00EA207A">
        <w:instrText xml:space="preserve"> SEQ Figure \* ARABIC </w:instrText>
      </w:r>
      <w:r w:rsidR="00F671D2" w:rsidRPr="00EA207A">
        <w:fldChar w:fldCharType="separate"/>
      </w:r>
      <w:r w:rsidR="0097684C">
        <w:rPr>
          <w:noProof/>
        </w:rPr>
        <w:t>2</w:t>
      </w:r>
      <w:r w:rsidR="00F671D2" w:rsidRPr="00EA207A">
        <w:fldChar w:fldCharType="end"/>
      </w:r>
      <w:r w:rsidR="007553B5" w:rsidRPr="00EA207A">
        <w:t>.1</w:t>
      </w:r>
      <w:r w:rsidRPr="00EA207A">
        <w:t xml:space="preserve">. </w:t>
      </w:r>
      <w:r w:rsidRPr="00AC61FE">
        <w:rPr>
          <w:b w:val="0"/>
        </w:rPr>
        <w:t xml:space="preserve">Map </w:t>
      </w:r>
      <w:r w:rsidR="007553B5" w:rsidRPr="00AC61FE">
        <w:rPr>
          <w:b w:val="0"/>
        </w:rPr>
        <w:t>showing the main rivers in</w:t>
      </w:r>
      <w:r w:rsidRPr="00AC61FE">
        <w:rPr>
          <w:b w:val="0"/>
        </w:rPr>
        <w:t xml:space="preserve"> the Edward-Wakool system.</w:t>
      </w:r>
      <w:r w:rsidR="005C687E" w:rsidRPr="00AC61FE">
        <w:rPr>
          <w:b w:val="0"/>
        </w:rPr>
        <w:t xml:space="preserve"> </w:t>
      </w:r>
      <w:r w:rsidR="00DB354E" w:rsidRPr="00AC61FE">
        <w:rPr>
          <w:b w:val="0"/>
        </w:rPr>
        <w:t>(Source: Watts et al</w:t>
      </w:r>
      <w:r w:rsidR="0007224D" w:rsidRPr="00AC61FE">
        <w:rPr>
          <w:b w:val="0"/>
        </w:rPr>
        <w:t>.</w:t>
      </w:r>
      <w:r w:rsidR="007553B5" w:rsidRPr="00AC61FE">
        <w:rPr>
          <w:b w:val="0"/>
        </w:rPr>
        <w:t xml:space="preserve"> 2013</w:t>
      </w:r>
      <w:r w:rsidR="00DB354E" w:rsidRPr="00AC61FE">
        <w:rPr>
          <w:b w:val="0"/>
        </w:rPr>
        <w:t>)</w:t>
      </w:r>
      <w:bookmarkEnd w:id="9"/>
      <w:bookmarkEnd w:id="10"/>
      <w:bookmarkEnd w:id="11"/>
      <w:bookmarkEnd w:id="12"/>
      <w:bookmarkEnd w:id="13"/>
    </w:p>
    <w:p w:rsidR="0053151A" w:rsidRPr="00355A20" w:rsidRDefault="00F16223" w:rsidP="00FB7D57">
      <w:pPr>
        <w:spacing w:after="0" w:line="240" w:lineRule="auto"/>
      </w:pPr>
      <w:bookmarkStart w:id="14" w:name="_Ref320614796"/>
      <w:r>
        <w:rPr>
          <w:noProof/>
          <w:lang w:eastAsia="en-AU"/>
        </w:rPr>
        <w:drawing>
          <wp:inline distT="0" distB="0" distL="0" distR="0">
            <wp:extent cx="5219309" cy="262890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55" t="2509" r="3033" b="3683"/>
                    <a:stretch/>
                  </pic:blipFill>
                  <pic:spPr bwMode="auto">
                    <a:xfrm>
                      <a:off x="0" y="0"/>
                      <a:ext cx="5261902" cy="265035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3151A" w:rsidRPr="00AC61FE" w:rsidRDefault="0053151A" w:rsidP="00AC61FE">
      <w:pPr>
        <w:pStyle w:val="TableofFigures"/>
        <w:rPr>
          <w:highlight w:val="yellow"/>
        </w:rPr>
      </w:pPr>
      <w:bookmarkStart w:id="15" w:name="_Ref324953812"/>
      <w:bookmarkStart w:id="16" w:name="_Toc324953403"/>
      <w:bookmarkStart w:id="17" w:name="_Ref324953806"/>
      <w:bookmarkStart w:id="18" w:name="_Toc398112756"/>
      <w:bookmarkStart w:id="19" w:name="_Toc450164282"/>
      <w:r w:rsidRPr="00AC61FE">
        <w:t xml:space="preserve">Figure </w:t>
      </w:r>
      <w:bookmarkEnd w:id="14"/>
      <w:bookmarkEnd w:id="15"/>
      <w:r w:rsidR="005C540E" w:rsidRPr="00AC61FE">
        <w:t>1.</w:t>
      </w:r>
      <w:r w:rsidRPr="00AC61FE">
        <w:t xml:space="preserve">2. </w:t>
      </w:r>
      <w:r w:rsidR="003166B6" w:rsidRPr="00AC61FE">
        <w:rPr>
          <w:b w:val="0"/>
        </w:rPr>
        <w:t xml:space="preserve">Daily discharge </w:t>
      </w:r>
      <w:r w:rsidR="00701A3E" w:rsidRPr="00AC61FE">
        <w:rPr>
          <w:b w:val="0"/>
        </w:rPr>
        <w:t>(M</w:t>
      </w:r>
      <w:r w:rsidR="003B08A5" w:rsidRPr="00AC61FE">
        <w:rPr>
          <w:b w:val="0"/>
        </w:rPr>
        <w:t>L</w:t>
      </w:r>
      <w:r w:rsidR="00701A3E" w:rsidRPr="00AC61FE">
        <w:rPr>
          <w:b w:val="0"/>
        </w:rPr>
        <w:t xml:space="preserve">/day) </w:t>
      </w:r>
      <w:r w:rsidR="003166B6" w:rsidRPr="00AC61FE">
        <w:rPr>
          <w:b w:val="0"/>
        </w:rPr>
        <w:t>between 01/01/05 and 31</w:t>
      </w:r>
      <w:r w:rsidR="00701A3E" w:rsidRPr="00AC61FE">
        <w:rPr>
          <w:b w:val="0"/>
        </w:rPr>
        <w:t>/06</w:t>
      </w:r>
      <w:r w:rsidR="003166B6" w:rsidRPr="00AC61FE">
        <w:rPr>
          <w:b w:val="0"/>
        </w:rPr>
        <w:t xml:space="preserve">/15 in the </w:t>
      </w:r>
      <w:r w:rsidRPr="00AC61FE">
        <w:rPr>
          <w:b w:val="0"/>
        </w:rPr>
        <w:t xml:space="preserve">Wakool </w:t>
      </w:r>
      <w:r w:rsidR="003166B6" w:rsidRPr="00AC61FE">
        <w:rPr>
          <w:b w:val="0"/>
        </w:rPr>
        <w:t>River at the Wakool-Barham Road (Gauge 409045</w:t>
      </w:r>
      <w:r w:rsidR="004826F1" w:rsidRPr="00AC61FE">
        <w:rPr>
          <w:b w:val="0"/>
        </w:rPr>
        <w:t xml:space="preserve"> – see Figure 3.1</w:t>
      </w:r>
      <w:r w:rsidR="003166B6" w:rsidRPr="00AC61FE">
        <w:rPr>
          <w:b w:val="0"/>
        </w:rPr>
        <w:t>).</w:t>
      </w:r>
      <w:r w:rsidRPr="00AC61FE">
        <w:rPr>
          <w:b w:val="0"/>
        </w:rPr>
        <w:t xml:space="preserve"> </w:t>
      </w:r>
      <w:bookmarkEnd w:id="16"/>
      <w:bookmarkEnd w:id="17"/>
      <w:r w:rsidRPr="00AC61FE">
        <w:rPr>
          <w:b w:val="0"/>
        </w:rPr>
        <w:t>Daily discharge data was obtained from NSW Government water information we</w:t>
      </w:r>
      <w:r w:rsidR="00701A3E" w:rsidRPr="00AC61FE">
        <w:rPr>
          <w:b w:val="0"/>
        </w:rPr>
        <w:t>bsite</w:t>
      </w:r>
      <w:bookmarkEnd w:id="18"/>
      <w:r w:rsidR="00701A3E" w:rsidRPr="00AC61FE">
        <w:rPr>
          <w:b w:val="0"/>
        </w:rPr>
        <w:t>.</w:t>
      </w:r>
      <w:bookmarkEnd w:id="19"/>
    </w:p>
    <w:p w:rsidR="0053151A" w:rsidRPr="00DB354E" w:rsidRDefault="0053151A" w:rsidP="0042507D">
      <w:pPr>
        <w:tabs>
          <w:tab w:val="left" w:pos="9071"/>
        </w:tabs>
        <w:spacing w:after="0"/>
        <w:ind w:right="-1"/>
      </w:pPr>
    </w:p>
    <w:p w:rsidR="00133CFD" w:rsidRPr="00621DEE" w:rsidRDefault="0007224D" w:rsidP="008B63FC">
      <w:pPr>
        <w:spacing w:after="240"/>
        <w:rPr>
          <w:b/>
          <w:color w:val="4F6228" w:themeColor="accent3" w:themeShade="80"/>
          <w:sz w:val="24"/>
          <w:szCs w:val="24"/>
        </w:rPr>
      </w:pPr>
      <w:r w:rsidRPr="00621DEE">
        <w:rPr>
          <w:b/>
          <w:color w:val="4F6228" w:themeColor="accent3" w:themeShade="80"/>
          <w:sz w:val="24"/>
          <w:szCs w:val="24"/>
        </w:rPr>
        <w:t xml:space="preserve">1.3. </w:t>
      </w:r>
      <w:r w:rsidR="00DB354E" w:rsidRPr="00621DEE">
        <w:rPr>
          <w:b/>
          <w:color w:val="4F6228" w:themeColor="accent3" w:themeShade="80"/>
          <w:sz w:val="24"/>
          <w:szCs w:val="24"/>
        </w:rPr>
        <w:t>H</w:t>
      </w:r>
      <w:r w:rsidR="00C909E6">
        <w:rPr>
          <w:b/>
          <w:color w:val="4F6228" w:themeColor="accent3" w:themeShade="80"/>
          <w:sz w:val="24"/>
          <w:szCs w:val="24"/>
        </w:rPr>
        <w:t>ydrological regime</w:t>
      </w:r>
      <w:r w:rsidR="002918AB">
        <w:rPr>
          <w:b/>
          <w:color w:val="4F6228" w:themeColor="accent3" w:themeShade="80"/>
          <w:sz w:val="24"/>
          <w:szCs w:val="24"/>
        </w:rPr>
        <w:t xml:space="preserve"> of the Edward-Wakool system</w:t>
      </w:r>
    </w:p>
    <w:p w:rsidR="00DB354E" w:rsidRPr="00DA633B" w:rsidRDefault="00806B23" w:rsidP="0049154A">
      <w:pPr>
        <w:tabs>
          <w:tab w:val="left" w:pos="9071"/>
        </w:tabs>
        <w:spacing w:after="0"/>
        <w:jc w:val="left"/>
        <w:rPr>
          <w:szCs w:val="22"/>
        </w:rPr>
      </w:pPr>
      <w:r w:rsidRPr="00CE463D">
        <w:rPr>
          <w:szCs w:val="22"/>
        </w:rPr>
        <w:t xml:space="preserve">Like many </w:t>
      </w:r>
      <w:r w:rsidR="008B63FC">
        <w:rPr>
          <w:szCs w:val="22"/>
        </w:rPr>
        <w:t>rivers</w:t>
      </w:r>
      <w:r w:rsidRPr="00CE463D">
        <w:rPr>
          <w:szCs w:val="22"/>
        </w:rPr>
        <w:t xml:space="preserve"> of the Murray-Darling Basin, the </w:t>
      </w:r>
      <w:r>
        <w:rPr>
          <w:szCs w:val="22"/>
        </w:rPr>
        <w:t>flow</w:t>
      </w:r>
      <w:r w:rsidRPr="00CE463D">
        <w:rPr>
          <w:szCs w:val="22"/>
        </w:rPr>
        <w:t xml:space="preserve"> regime</w:t>
      </w:r>
      <w:r>
        <w:rPr>
          <w:szCs w:val="22"/>
        </w:rPr>
        <w:t>s</w:t>
      </w:r>
      <w:r w:rsidRPr="00CE463D">
        <w:rPr>
          <w:szCs w:val="22"/>
        </w:rPr>
        <w:t xml:space="preserve"> </w:t>
      </w:r>
      <w:r w:rsidR="008B63FC">
        <w:rPr>
          <w:szCs w:val="22"/>
        </w:rPr>
        <w:t>of</w:t>
      </w:r>
      <w:r w:rsidR="00DA633B">
        <w:rPr>
          <w:szCs w:val="22"/>
        </w:rPr>
        <w:t xml:space="preserve"> </w:t>
      </w:r>
      <w:r w:rsidR="003B08A5">
        <w:rPr>
          <w:szCs w:val="22"/>
        </w:rPr>
        <w:t xml:space="preserve">rivers in </w:t>
      </w:r>
      <w:r w:rsidRPr="00CE463D">
        <w:rPr>
          <w:szCs w:val="22"/>
        </w:rPr>
        <w:t xml:space="preserve">the Edward-Wakool system </w:t>
      </w:r>
      <w:r w:rsidR="003B08A5">
        <w:rPr>
          <w:szCs w:val="22"/>
        </w:rPr>
        <w:t>have</w:t>
      </w:r>
      <w:r w:rsidRPr="00CE463D">
        <w:rPr>
          <w:szCs w:val="22"/>
        </w:rPr>
        <w:t xml:space="preserve"> been significantly altered by river</w:t>
      </w:r>
      <w:r>
        <w:rPr>
          <w:szCs w:val="22"/>
        </w:rPr>
        <w:t xml:space="preserve"> regulation (Green 2001</w:t>
      </w:r>
      <w:r w:rsidRPr="00CE463D">
        <w:rPr>
          <w:szCs w:val="22"/>
        </w:rPr>
        <w:t>; Hale and SKM 2011)</w:t>
      </w:r>
      <w:r>
        <w:rPr>
          <w:szCs w:val="22"/>
        </w:rPr>
        <w:t xml:space="preserve">. </w:t>
      </w:r>
      <w:r w:rsidR="00DB354E" w:rsidRPr="00DA633B">
        <w:rPr>
          <w:szCs w:val="22"/>
        </w:rPr>
        <w:t xml:space="preserve">The hydrology of the Edward-Wakool system is tightly linked with the hydrology of the River Murray </w:t>
      </w:r>
      <w:r w:rsidR="00B66188" w:rsidRPr="00DA633B">
        <w:rPr>
          <w:szCs w:val="22"/>
        </w:rPr>
        <w:t>and</w:t>
      </w:r>
      <w:r w:rsidR="00DB354E" w:rsidRPr="00DA633B">
        <w:rPr>
          <w:szCs w:val="22"/>
        </w:rPr>
        <w:t xml:space="preserve"> the management of flows </w:t>
      </w:r>
      <w:r w:rsidR="00DA633B" w:rsidRPr="00DA633B">
        <w:rPr>
          <w:szCs w:val="22"/>
        </w:rPr>
        <w:t>at Yarrawonga Weir.</w:t>
      </w:r>
      <w:r w:rsidRPr="00DA633B">
        <w:rPr>
          <w:szCs w:val="22"/>
        </w:rPr>
        <w:t xml:space="preserve"> Thoms et al. (2000) </w:t>
      </w:r>
      <w:r w:rsidR="0053151A">
        <w:rPr>
          <w:szCs w:val="22"/>
        </w:rPr>
        <w:t>mad</w:t>
      </w:r>
      <w:r w:rsidR="00DA633B" w:rsidRPr="00DA633B">
        <w:rPr>
          <w:szCs w:val="22"/>
        </w:rPr>
        <w:t xml:space="preserve">e the following observations about </w:t>
      </w:r>
      <w:r w:rsidRPr="00DA633B">
        <w:rPr>
          <w:szCs w:val="22"/>
        </w:rPr>
        <w:t>the mid-Murray River downstream of Yarrawonga Weir</w:t>
      </w:r>
      <w:r w:rsidR="00DA633B" w:rsidRPr="00DA633B">
        <w:rPr>
          <w:szCs w:val="22"/>
        </w:rPr>
        <w:t xml:space="preserve"> when compared with the natural condition</w:t>
      </w:r>
      <w:r w:rsidRPr="00DA633B">
        <w:rPr>
          <w:szCs w:val="22"/>
        </w:rPr>
        <w:t>;</w:t>
      </w:r>
    </w:p>
    <w:p w:rsidR="00DB354E" w:rsidRPr="00DA633B" w:rsidRDefault="00DB354E" w:rsidP="00A00070">
      <w:pPr>
        <w:pStyle w:val="ListParagraph"/>
        <w:numPr>
          <w:ilvl w:val="0"/>
          <w:numId w:val="31"/>
        </w:numPr>
        <w:autoSpaceDE w:val="0"/>
        <w:autoSpaceDN w:val="0"/>
        <w:adjustRightInd w:val="0"/>
        <w:spacing w:after="0"/>
        <w:ind w:left="567" w:right="-205" w:hanging="283"/>
        <w:jc w:val="left"/>
        <w:rPr>
          <w:szCs w:val="22"/>
        </w:rPr>
      </w:pPr>
      <w:r w:rsidRPr="00DA633B">
        <w:rPr>
          <w:szCs w:val="22"/>
        </w:rPr>
        <w:t>flows are much less variable, particularly in winter and spring</w:t>
      </w:r>
      <w:r w:rsidR="00F3077C">
        <w:rPr>
          <w:szCs w:val="22"/>
        </w:rPr>
        <w:t>,</w:t>
      </w:r>
      <w:r w:rsidRPr="00DA633B">
        <w:rPr>
          <w:szCs w:val="22"/>
        </w:rPr>
        <w:t xml:space="preserve"> because the smaller floods are now stored in Hume Dam;</w:t>
      </w:r>
    </w:p>
    <w:p w:rsidR="00DB354E" w:rsidRPr="00DA633B" w:rsidRDefault="00806B23" w:rsidP="00A00070">
      <w:pPr>
        <w:pStyle w:val="ListParagraph"/>
        <w:numPr>
          <w:ilvl w:val="0"/>
          <w:numId w:val="31"/>
        </w:numPr>
        <w:autoSpaceDE w:val="0"/>
        <w:autoSpaceDN w:val="0"/>
        <w:adjustRightInd w:val="0"/>
        <w:spacing w:after="0"/>
        <w:ind w:left="567" w:right="-205" w:hanging="283"/>
        <w:jc w:val="left"/>
        <w:rPr>
          <w:szCs w:val="22"/>
        </w:rPr>
      </w:pPr>
      <w:r w:rsidRPr="00DA633B">
        <w:rPr>
          <w:szCs w:val="22"/>
        </w:rPr>
        <w:t>flows are</w:t>
      </w:r>
      <w:r w:rsidR="00DB354E" w:rsidRPr="00DA633B">
        <w:rPr>
          <w:szCs w:val="22"/>
        </w:rPr>
        <w:t xml:space="preserve"> held constant, at or near channel capacity, for much of the year;</w:t>
      </w:r>
    </w:p>
    <w:p w:rsidR="00DB354E" w:rsidRPr="00DA633B" w:rsidRDefault="00806B23" w:rsidP="00A00070">
      <w:pPr>
        <w:pStyle w:val="ListParagraph"/>
        <w:numPr>
          <w:ilvl w:val="0"/>
          <w:numId w:val="31"/>
        </w:numPr>
        <w:autoSpaceDE w:val="0"/>
        <w:autoSpaceDN w:val="0"/>
        <w:adjustRightInd w:val="0"/>
        <w:spacing w:after="0"/>
        <w:ind w:left="567" w:right="-205" w:hanging="283"/>
        <w:jc w:val="left"/>
        <w:rPr>
          <w:szCs w:val="22"/>
        </w:rPr>
      </w:pPr>
      <w:r w:rsidRPr="00DA633B">
        <w:rPr>
          <w:szCs w:val="22"/>
        </w:rPr>
        <w:t xml:space="preserve">the </w:t>
      </w:r>
      <w:r w:rsidR="00DB354E" w:rsidRPr="00DA633B">
        <w:rPr>
          <w:szCs w:val="22"/>
        </w:rPr>
        <w:t>average flow at Yarrawonga has decreased because of water diverted for irrigation;</w:t>
      </w:r>
    </w:p>
    <w:p w:rsidR="00DB354E" w:rsidRPr="00DA633B" w:rsidRDefault="00806B23" w:rsidP="00A00070">
      <w:pPr>
        <w:pStyle w:val="ListParagraph"/>
        <w:numPr>
          <w:ilvl w:val="0"/>
          <w:numId w:val="31"/>
        </w:numPr>
        <w:autoSpaceDE w:val="0"/>
        <w:autoSpaceDN w:val="0"/>
        <w:adjustRightInd w:val="0"/>
        <w:spacing w:after="0"/>
        <w:ind w:left="567" w:right="-205" w:hanging="283"/>
        <w:jc w:val="left"/>
        <w:rPr>
          <w:szCs w:val="22"/>
        </w:rPr>
      </w:pPr>
      <w:r w:rsidRPr="00DA633B">
        <w:rPr>
          <w:szCs w:val="22"/>
        </w:rPr>
        <w:t xml:space="preserve">the </w:t>
      </w:r>
      <w:r w:rsidR="00DB354E" w:rsidRPr="00DA633B">
        <w:rPr>
          <w:szCs w:val="22"/>
        </w:rPr>
        <w:t>frequency and duration of flooding in winter and spring has been greatly decreased;</w:t>
      </w:r>
    </w:p>
    <w:p w:rsidR="00DB354E" w:rsidRPr="00DA633B" w:rsidRDefault="00806B23" w:rsidP="00F3077C">
      <w:pPr>
        <w:pStyle w:val="ListParagraph"/>
        <w:numPr>
          <w:ilvl w:val="0"/>
          <w:numId w:val="31"/>
        </w:numPr>
        <w:autoSpaceDE w:val="0"/>
        <w:autoSpaceDN w:val="0"/>
        <w:adjustRightInd w:val="0"/>
        <w:spacing w:after="0"/>
        <w:ind w:left="567" w:right="-631" w:hanging="283"/>
        <w:jc w:val="left"/>
        <w:rPr>
          <w:szCs w:val="22"/>
        </w:rPr>
      </w:pPr>
      <w:r w:rsidRPr="00DA633B">
        <w:rPr>
          <w:szCs w:val="22"/>
        </w:rPr>
        <w:t xml:space="preserve">the </w:t>
      </w:r>
      <w:r w:rsidR="00DB354E" w:rsidRPr="00DA633B">
        <w:rPr>
          <w:szCs w:val="22"/>
        </w:rPr>
        <w:t>opportunity for</w:t>
      </w:r>
      <w:r w:rsidR="00F3077C">
        <w:rPr>
          <w:szCs w:val="22"/>
        </w:rPr>
        <w:t xml:space="preserve"> low lying wetlands to dry out </w:t>
      </w:r>
      <w:r w:rsidR="00DB354E" w:rsidRPr="00DA633B">
        <w:rPr>
          <w:szCs w:val="22"/>
        </w:rPr>
        <w:t>in autumn has been greatly decreased; and</w:t>
      </w:r>
    </w:p>
    <w:p w:rsidR="00A00070" w:rsidRDefault="00DB354E" w:rsidP="00BA1332">
      <w:pPr>
        <w:pStyle w:val="ListParagraph"/>
        <w:numPr>
          <w:ilvl w:val="0"/>
          <w:numId w:val="31"/>
        </w:numPr>
        <w:autoSpaceDE w:val="0"/>
        <w:autoSpaceDN w:val="0"/>
        <w:adjustRightInd w:val="0"/>
        <w:spacing w:after="240"/>
        <w:ind w:left="567" w:right="-205" w:hanging="283"/>
        <w:jc w:val="left"/>
      </w:pPr>
      <w:proofErr w:type="gramStart"/>
      <w:r w:rsidRPr="00F3077C">
        <w:rPr>
          <w:szCs w:val="22"/>
        </w:rPr>
        <w:t>rain</w:t>
      </w:r>
      <w:proofErr w:type="gramEnd"/>
      <w:r w:rsidRPr="00F3077C">
        <w:rPr>
          <w:szCs w:val="22"/>
        </w:rPr>
        <w:t xml:space="preserve"> rejection events sometimes cause unseasonal flooding in summer and autumn.</w:t>
      </w:r>
    </w:p>
    <w:p w:rsidR="00133CFD" w:rsidRDefault="00133CFD" w:rsidP="0049154A">
      <w:pPr>
        <w:spacing w:after="240"/>
        <w:jc w:val="left"/>
      </w:pPr>
      <w:r>
        <w:t>Long-term modelled flow data are available from two sites on the Edward River, at Deniliquin and downstream of Stevens Weir. Modelled time-series include both pre-development and post-development scenarios. The lat</w:t>
      </w:r>
      <w:r w:rsidR="00F3077C">
        <w:t>t</w:t>
      </w:r>
      <w:r>
        <w:t>er assumes that all current licensed extractions have been in place for the entire record, and that all licenses are active. In addition to the modelled data, measured flow information was available from Stevens Weir. The hydrostats package (Bond, 2014) within the R statistical environment (R Core Team, 2015) was used to calculate a suite of flow statistics describing various aspects of the flow regime (</w:t>
      </w:r>
      <w:fldSimple w:instr=" REF _Ref303449822 \h  \* MERGEFORMAT ">
        <w:r w:rsidR="0097684C" w:rsidRPr="005F0447">
          <w:t>Table 1.</w:t>
        </w:r>
        <w:r w:rsidR="0097684C">
          <w:t>3</w:t>
        </w:r>
      </w:fldSimple>
      <w:r>
        <w:t>). In addition, box plots of monthly flow and seasonal flow-duration curves were plotted to illustrate differences between the various scenarios.</w:t>
      </w:r>
    </w:p>
    <w:p w:rsidR="00EF2A11" w:rsidRDefault="0007224D" w:rsidP="0049154A">
      <w:pPr>
        <w:spacing w:after="240"/>
        <w:jc w:val="left"/>
        <w:sectPr w:rsidR="00EF2A11" w:rsidSect="00B66188">
          <w:pgSz w:w="11900" w:h="16840"/>
          <w:pgMar w:top="1440" w:right="1800" w:bottom="1440" w:left="1800" w:header="708" w:footer="708" w:gutter="0"/>
          <w:cols w:space="708"/>
          <w:docGrid w:linePitch="360"/>
        </w:sectPr>
      </w:pPr>
      <w:r>
        <w:t>Average annual flows, including the mean and median discharge, are similar under the two scenarios, and the post-development scenario closely matches the observed flows. Overall flows at Deniliquin are higher than at Stevens Weir, particularly for high-discharge events (</w:t>
      </w:r>
      <w:r w:rsidR="00355A20">
        <w:t xml:space="preserve">Figure </w:t>
      </w:r>
      <w:r w:rsidR="005C540E">
        <w:t>1.</w:t>
      </w:r>
      <w:r w:rsidR="00355A20">
        <w:t>3</w:t>
      </w:r>
      <w:r>
        <w:t xml:space="preserve">, Figure </w:t>
      </w:r>
      <w:r w:rsidR="005C540E">
        <w:t>1.</w:t>
      </w:r>
      <w:r w:rsidR="00355A20">
        <w:t>4</w:t>
      </w:r>
      <w:r w:rsidR="000D0669">
        <w:t xml:space="preserve">). This is </w:t>
      </w:r>
      <w:r w:rsidR="0067649B">
        <w:t xml:space="preserve">expected </w:t>
      </w:r>
      <w:r w:rsidR="007F6C28">
        <w:t xml:space="preserve">given the </w:t>
      </w:r>
      <w:r w:rsidR="00F3077C">
        <w:t>location of anabranch offtakes</w:t>
      </w:r>
      <w:r w:rsidR="007F6C28">
        <w:t xml:space="preserve"> and the </w:t>
      </w:r>
      <w:r w:rsidR="000D0669">
        <w:t>Wakool Canal, a major irrigat</w:t>
      </w:r>
      <w:r w:rsidR="007F6C28">
        <w:t xml:space="preserve">ion supply </w:t>
      </w:r>
      <w:r w:rsidR="001E2A6C">
        <w:t>channel</w:t>
      </w:r>
      <w:r w:rsidR="00F3077C">
        <w:t>, between Deniliquin and Steven’s Weir</w:t>
      </w:r>
      <w:r w:rsidR="007F6C28">
        <w:t>.</w:t>
      </w:r>
    </w:p>
    <w:p w:rsidR="00133CFD" w:rsidRPr="005F0447" w:rsidRDefault="00133CFD" w:rsidP="001D220A">
      <w:pPr>
        <w:pStyle w:val="TableCaption"/>
        <w:spacing w:after="0"/>
        <w:rPr>
          <w:b w:val="0"/>
        </w:rPr>
      </w:pPr>
      <w:bookmarkStart w:id="20" w:name="_Ref303449822"/>
      <w:r w:rsidRPr="005F0447">
        <w:t xml:space="preserve">Table </w:t>
      </w:r>
      <w:r w:rsidR="005C540E" w:rsidRPr="005F0447">
        <w:t>1.</w:t>
      </w:r>
      <w:r w:rsidR="00F671D2" w:rsidRPr="005F0447">
        <w:fldChar w:fldCharType="begin"/>
      </w:r>
      <w:r w:rsidRPr="005F0447">
        <w:instrText xml:space="preserve"> SEQ Table \* ARABIC </w:instrText>
      </w:r>
      <w:r w:rsidR="00F671D2" w:rsidRPr="005F0447">
        <w:fldChar w:fldCharType="separate"/>
      </w:r>
      <w:r w:rsidR="0097684C">
        <w:rPr>
          <w:noProof/>
        </w:rPr>
        <w:t>3</w:t>
      </w:r>
      <w:r w:rsidR="00F671D2" w:rsidRPr="005F0447">
        <w:fldChar w:fldCharType="end"/>
      </w:r>
      <w:bookmarkEnd w:id="20"/>
      <w:r w:rsidRPr="005F0447">
        <w:rPr>
          <w:b w:val="0"/>
        </w:rPr>
        <w:t>. Indices describing the flow regime of the Edward River at Deniliquin and Stevens Weir. Flow series include modelled pre- and post-development scenarios at each site and observed data at Stevens Weir.</w:t>
      </w:r>
    </w:p>
    <w:tbl>
      <w:tblPr>
        <w:tblStyle w:val="LightShading"/>
        <w:tblW w:w="5000" w:type="pct"/>
        <w:tblLook w:val="06A0"/>
      </w:tblPr>
      <w:tblGrid>
        <w:gridCol w:w="3644"/>
        <w:gridCol w:w="1908"/>
        <w:gridCol w:w="1990"/>
        <w:gridCol w:w="513"/>
        <w:gridCol w:w="1817"/>
        <w:gridCol w:w="2129"/>
        <w:gridCol w:w="2175"/>
      </w:tblGrid>
      <w:tr w:rsidR="00E328BA" w:rsidRPr="0032141C" w:rsidTr="00E328BA">
        <w:trPr>
          <w:cnfStyle w:val="100000000000"/>
          <w:trHeight w:val="300"/>
        </w:trPr>
        <w:tc>
          <w:tcPr>
            <w:cnfStyle w:val="001000000000"/>
            <w:tcW w:w="1285" w:type="pct"/>
            <w:tcBorders>
              <w:bottom w:val="nil"/>
            </w:tcBorders>
            <w:shd w:val="clear" w:color="auto" w:fill="D6E3BC" w:themeFill="accent3" w:themeFillTint="66"/>
            <w:noWrap/>
            <w:hideMark/>
          </w:tcPr>
          <w:p w:rsidR="00E328BA" w:rsidRPr="0032141C" w:rsidRDefault="00E328BA" w:rsidP="00E328BA">
            <w:pPr>
              <w:spacing w:after="0" w:line="220" w:lineRule="exact"/>
              <w:rPr>
                <w:rFonts w:ascii="Calibri" w:eastAsia="Times New Roman" w:hAnsi="Calibri" w:cs="Times New Roman"/>
                <w:color w:val="000000"/>
                <w:sz w:val="20"/>
                <w:szCs w:val="20"/>
              </w:rPr>
            </w:pPr>
          </w:p>
        </w:tc>
        <w:tc>
          <w:tcPr>
            <w:tcW w:w="1375" w:type="pct"/>
            <w:gridSpan w:val="2"/>
            <w:tcBorders>
              <w:bottom w:val="single" w:sz="4" w:space="0" w:color="auto"/>
            </w:tcBorders>
            <w:shd w:val="clear" w:color="auto" w:fill="D6E3BC" w:themeFill="accent3" w:themeFillTint="66"/>
            <w:noWrap/>
            <w:hideMark/>
          </w:tcPr>
          <w:p w:rsidR="00E328BA" w:rsidRPr="0032141C" w:rsidRDefault="00E328BA" w:rsidP="00E328BA">
            <w:pPr>
              <w:spacing w:after="0" w:line="220" w:lineRule="exact"/>
              <w:jc w:val="center"/>
              <w:cnfStyle w:val="1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Deniliquin</w:t>
            </w:r>
          </w:p>
        </w:tc>
        <w:tc>
          <w:tcPr>
            <w:tcW w:w="181" w:type="pct"/>
            <w:tcBorders>
              <w:bottom w:val="nil"/>
            </w:tcBorders>
            <w:shd w:val="clear" w:color="auto" w:fill="D6E3BC" w:themeFill="accent3" w:themeFillTint="66"/>
          </w:tcPr>
          <w:p w:rsidR="00E328BA" w:rsidRDefault="00E328BA" w:rsidP="00E328BA">
            <w:pPr>
              <w:spacing w:after="0" w:line="220" w:lineRule="exact"/>
              <w:jc w:val="center"/>
              <w:cnfStyle w:val="100000000000"/>
              <w:rPr>
                <w:rFonts w:eastAsia="Times New Roman"/>
                <w:color w:val="000000"/>
                <w:sz w:val="20"/>
              </w:rPr>
            </w:pPr>
          </w:p>
        </w:tc>
        <w:tc>
          <w:tcPr>
            <w:tcW w:w="2159" w:type="pct"/>
            <w:gridSpan w:val="3"/>
            <w:tcBorders>
              <w:bottom w:val="single" w:sz="4" w:space="0" w:color="auto"/>
            </w:tcBorders>
            <w:shd w:val="clear" w:color="auto" w:fill="D6E3BC" w:themeFill="accent3" w:themeFillTint="66"/>
            <w:noWrap/>
            <w:hideMark/>
          </w:tcPr>
          <w:p w:rsidR="00E328BA" w:rsidRPr="0032141C" w:rsidRDefault="00E328BA" w:rsidP="00E328BA">
            <w:pPr>
              <w:spacing w:after="0" w:line="220" w:lineRule="exact"/>
              <w:jc w:val="center"/>
              <w:cnfStyle w:val="100000000000"/>
              <w:rPr>
                <w:rFonts w:ascii="Calibri" w:eastAsia="Times New Roman" w:hAnsi="Calibri" w:cs="Times New Roman"/>
                <w:color w:val="000000"/>
                <w:sz w:val="20"/>
                <w:szCs w:val="20"/>
              </w:rPr>
            </w:pPr>
            <w:r>
              <w:rPr>
                <w:rFonts w:ascii="Calibri" w:eastAsia="Times New Roman" w:hAnsi="Calibri" w:cs="Times New Roman"/>
                <w:color w:val="000000"/>
                <w:sz w:val="20"/>
                <w:szCs w:val="20"/>
              </w:rPr>
              <w:t>Stevens</w:t>
            </w:r>
            <w:r w:rsidRPr="0032141C">
              <w:rPr>
                <w:rFonts w:ascii="Calibri" w:eastAsia="Times New Roman" w:hAnsi="Calibri" w:cs="Times New Roman"/>
                <w:color w:val="000000"/>
                <w:sz w:val="20"/>
                <w:szCs w:val="20"/>
              </w:rPr>
              <w:t xml:space="preserve"> Weir</w:t>
            </w:r>
          </w:p>
        </w:tc>
      </w:tr>
      <w:tr w:rsidR="00E328BA" w:rsidRPr="0032141C" w:rsidTr="00E328BA">
        <w:trPr>
          <w:trHeight w:val="300"/>
        </w:trPr>
        <w:tc>
          <w:tcPr>
            <w:cnfStyle w:val="001000000000"/>
            <w:tcW w:w="1285" w:type="pct"/>
            <w:tcBorders>
              <w:top w:val="nil"/>
              <w:bottom w:val="single" w:sz="4" w:space="0" w:color="auto"/>
            </w:tcBorders>
            <w:shd w:val="clear" w:color="auto" w:fill="D6E3BC" w:themeFill="accent3" w:themeFillTint="66"/>
            <w:noWrap/>
            <w:hideMark/>
          </w:tcPr>
          <w:p w:rsidR="00E328BA" w:rsidRPr="0032141C" w:rsidRDefault="00E328BA" w:rsidP="00E328BA">
            <w:pPr>
              <w:spacing w:after="0" w:line="220" w:lineRule="exact"/>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statistic</w:t>
            </w:r>
          </w:p>
        </w:tc>
        <w:tc>
          <w:tcPr>
            <w:tcW w:w="673" w:type="pct"/>
            <w:tcBorders>
              <w:top w:val="single" w:sz="4" w:space="0" w:color="auto"/>
              <w:bottom w:val="single" w:sz="4" w:space="0" w:color="auto"/>
            </w:tcBorders>
            <w:shd w:val="clear" w:color="auto" w:fill="D6E3BC" w:themeFill="accent3" w:themeFillTint="66"/>
            <w:noWrap/>
            <w:hideMark/>
          </w:tcPr>
          <w:p w:rsidR="00E328BA" w:rsidRPr="0032141C" w:rsidRDefault="00E328BA" w:rsidP="00E328BA">
            <w:pPr>
              <w:spacing w:after="0" w:line="220" w:lineRule="exact"/>
              <w:cnfStyle w:val="000000000000"/>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    P</w:t>
            </w:r>
            <w:r w:rsidRPr="0032141C">
              <w:rPr>
                <w:rFonts w:ascii="Calibri" w:eastAsia="Times New Roman" w:hAnsi="Calibri" w:cs="Times New Roman"/>
                <w:color w:val="000000"/>
                <w:sz w:val="20"/>
                <w:szCs w:val="20"/>
              </w:rPr>
              <w:t>re-development</w:t>
            </w:r>
            <w:r w:rsidRPr="00E328BA">
              <w:rPr>
                <w:rFonts w:ascii="Calibri" w:eastAsia="Times New Roman" w:hAnsi="Calibri" w:cs="Times New Roman"/>
                <w:color w:val="000000"/>
                <w:sz w:val="20"/>
                <w:szCs w:val="20"/>
                <w:vertAlign w:val="superscript"/>
              </w:rPr>
              <w:t>1</w:t>
            </w:r>
          </w:p>
        </w:tc>
        <w:tc>
          <w:tcPr>
            <w:tcW w:w="702" w:type="pct"/>
            <w:tcBorders>
              <w:top w:val="single" w:sz="4" w:space="0" w:color="auto"/>
              <w:bottom w:val="single" w:sz="4" w:space="0" w:color="auto"/>
            </w:tcBorders>
            <w:shd w:val="clear" w:color="auto" w:fill="D6E3BC" w:themeFill="accent3" w:themeFillTint="66"/>
            <w:noWrap/>
            <w:hideMark/>
          </w:tcPr>
          <w:p w:rsidR="00E328BA" w:rsidRPr="0032141C" w:rsidRDefault="00E328BA" w:rsidP="009D20FA">
            <w:pPr>
              <w:spacing w:after="0" w:line="220" w:lineRule="exact"/>
              <w:cnfStyle w:val="000000000000"/>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    P</w:t>
            </w:r>
            <w:r w:rsidRPr="0032141C">
              <w:rPr>
                <w:rFonts w:ascii="Calibri" w:eastAsia="Times New Roman" w:hAnsi="Calibri" w:cs="Times New Roman"/>
                <w:color w:val="000000"/>
                <w:sz w:val="20"/>
                <w:szCs w:val="20"/>
              </w:rPr>
              <w:t>ost-development</w:t>
            </w:r>
            <w:r w:rsidR="009D20FA">
              <w:rPr>
                <w:rFonts w:ascii="Calibri" w:eastAsia="Times New Roman" w:hAnsi="Calibri" w:cs="Times New Roman"/>
                <w:color w:val="000000"/>
                <w:sz w:val="20"/>
                <w:szCs w:val="20"/>
                <w:vertAlign w:val="superscript"/>
              </w:rPr>
              <w:t>1</w:t>
            </w:r>
          </w:p>
        </w:tc>
        <w:tc>
          <w:tcPr>
            <w:tcW w:w="181" w:type="pct"/>
            <w:tcBorders>
              <w:top w:val="nil"/>
              <w:bottom w:val="single" w:sz="4" w:space="0" w:color="auto"/>
            </w:tcBorders>
            <w:shd w:val="clear" w:color="auto" w:fill="D6E3BC" w:themeFill="accent3" w:themeFillTint="66"/>
          </w:tcPr>
          <w:p w:rsidR="00E328BA" w:rsidRDefault="00E328BA" w:rsidP="00E328BA">
            <w:pPr>
              <w:spacing w:after="0" w:line="220" w:lineRule="exact"/>
              <w:cnfStyle w:val="000000000000"/>
              <w:rPr>
                <w:rFonts w:eastAsia="Times New Roman"/>
                <w:color w:val="000000"/>
                <w:sz w:val="20"/>
              </w:rPr>
            </w:pPr>
          </w:p>
        </w:tc>
        <w:tc>
          <w:tcPr>
            <w:tcW w:w="641" w:type="pct"/>
            <w:tcBorders>
              <w:top w:val="single" w:sz="4" w:space="0" w:color="auto"/>
              <w:bottom w:val="single" w:sz="4" w:space="0" w:color="auto"/>
            </w:tcBorders>
            <w:shd w:val="clear" w:color="auto" w:fill="D6E3BC" w:themeFill="accent3" w:themeFillTint="66"/>
            <w:noWrap/>
            <w:hideMark/>
          </w:tcPr>
          <w:p w:rsidR="00E328BA" w:rsidRPr="0032141C" w:rsidRDefault="00E328BA" w:rsidP="009D20FA">
            <w:pPr>
              <w:spacing w:after="0" w:line="220" w:lineRule="exact"/>
              <w:cnfStyle w:val="000000000000"/>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  P</w:t>
            </w:r>
            <w:r w:rsidRPr="0032141C">
              <w:rPr>
                <w:rFonts w:ascii="Calibri" w:eastAsia="Times New Roman" w:hAnsi="Calibri" w:cs="Times New Roman"/>
                <w:color w:val="000000"/>
                <w:sz w:val="20"/>
                <w:szCs w:val="20"/>
              </w:rPr>
              <w:t>re-development</w:t>
            </w:r>
            <w:r w:rsidR="009D20FA">
              <w:rPr>
                <w:rFonts w:ascii="Calibri" w:eastAsia="Times New Roman" w:hAnsi="Calibri" w:cs="Times New Roman"/>
                <w:color w:val="000000"/>
                <w:sz w:val="20"/>
                <w:szCs w:val="20"/>
                <w:vertAlign w:val="superscript"/>
              </w:rPr>
              <w:t>1</w:t>
            </w:r>
          </w:p>
        </w:tc>
        <w:tc>
          <w:tcPr>
            <w:tcW w:w="751" w:type="pct"/>
            <w:tcBorders>
              <w:top w:val="single" w:sz="4" w:space="0" w:color="auto"/>
              <w:bottom w:val="single" w:sz="4" w:space="0" w:color="auto"/>
            </w:tcBorders>
            <w:shd w:val="clear" w:color="auto" w:fill="D6E3BC" w:themeFill="accent3" w:themeFillTint="66"/>
            <w:noWrap/>
            <w:hideMark/>
          </w:tcPr>
          <w:p w:rsidR="00E328BA" w:rsidRPr="0032141C" w:rsidRDefault="00E328BA" w:rsidP="009D20FA">
            <w:pPr>
              <w:spacing w:after="0" w:line="220" w:lineRule="exact"/>
              <w:cnfStyle w:val="000000000000"/>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       P</w:t>
            </w:r>
            <w:r w:rsidRPr="0032141C">
              <w:rPr>
                <w:rFonts w:ascii="Calibri" w:eastAsia="Times New Roman" w:hAnsi="Calibri" w:cs="Times New Roman"/>
                <w:color w:val="000000"/>
                <w:sz w:val="20"/>
                <w:szCs w:val="20"/>
              </w:rPr>
              <w:t>ost-development</w:t>
            </w:r>
            <w:r w:rsidR="009D20FA">
              <w:rPr>
                <w:rFonts w:ascii="Calibri" w:eastAsia="Times New Roman" w:hAnsi="Calibri" w:cs="Times New Roman"/>
                <w:color w:val="000000"/>
                <w:sz w:val="20"/>
                <w:szCs w:val="20"/>
                <w:vertAlign w:val="superscript"/>
              </w:rPr>
              <w:t>1</w:t>
            </w:r>
          </w:p>
        </w:tc>
        <w:tc>
          <w:tcPr>
            <w:tcW w:w="767" w:type="pct"/>
            <w:tcBorders>
              <w:top w:val="single" w:sz="4" w:space="0" w:color="auto"/>
              <w:bottom w:val="single" w:sz="4" w:space="0" w:color="auto"/>
            </w:tcBorders>
            <w:shd w:val="clear" w:color="auto" w:fill="D6E3BC" w:themeFill="accent3" w:themeFillTint="66"/>
            <w:noWrap/>
            <w:hideMark/>
          </w:tcPr>
          <w:p w:rsidR="00E328BA" w:rsidRPr="0032141C" w:rsidRDefault="00E328BA" w:rsidP="009D20FA">
            <w:pPr>
              <w:tabs>
                <w:tab w:val="left" w:pos="1170"/>
              </w:tabs>
              <w:spacing w:after="0" w:line="220" w:lineRule="exact"/>
              <w:cnfStyle w:val="000000000000"/>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                       Observed</w:t>
            </w:r>
            <w:r w:rsidR="009D20FA">
              <w:rPr>
                <w:rFonts w:ascii="Calibri" w:eastAsia="Times New Roman" w:hAnsi="Calibri" w:cs="Times New Roman"/>
                <w:color w:val="000000"/>
                <w:sz w:val="20"/>
                <w:szCs w:val="20"/>
                <w:vertAlign w:val="superscript"/>
              </w:rPr>
              <w:t>2</w:t>
            </w:r>
          </w:p>
        </w:tc>
      </w:tr>
      <w:tr w:rsidR="00E328BA" w:rsidRPr="0032141C" w:rsidTr="00E328BA">
        <w:trPr>
          <w:trHeight w:val="300"/>
        </w:trPr>
        <w:tc>
          <w:tcPr>
            <w:cnfStyle w:val="001000000000"/>
            <w:tcW w:w="1285" w:type="pct"/>
            <w:tcBorders>
              <w:top w:val="single" w:sz="4" w:space="0" w:color="auto"/>
            </w:tcBorders>
            <w:noWrap/>
            <w:hideMark/>
          </w:tcPr>
          <w:p w:rsidR="00E328BA" w:rsidRPr="0032141C" w:rsidRDefault="00E328BA" w:rsidP="00E328BA">
            <w:pPr>
              <w:spacing w:after="0" w:line="220" w:lineRule="exact"/>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Years of data</w:t>
            </w:r>
          </w:p>
        </w:tc>
        <w:tc>
          <w:tcPr>
            <w:tcW w:w="673" w:type="pct"/>
            <w:tcBorders>
              <w:top w:val="single" w:sz="4" w:space="0" w:color="auto"/>
            </w:tcBorders>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113</w:t>
            </w:r>
          </w:p>
        </w:tc>
        <w:tc>
          <w:tcPr>
            <w:tcW w:w="702" w:type="pct"/>
            <w:tcBorders>
              <w:top w:val="single" w:sz="4" w:space="0" w:color="auto"/>
            </w:tcBorders>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113</w:t>
            </w:r>
          </w:p>
        </w:tc>
        <w:tc>
          <w:tcPr>
            <w:tcW w:w="181" w:type="pct"/>
            <w:tcBorders>
              <w:top w:val="single" w:sz="4" w:space="0" w:color="auto"/>
            </w:tcBorders>
          </w:tcPr>
          <w:p w:rsidR="00E328BA" w:rsidRPr="0032141C" w:rsidRDefault="00E328BA" w:rsidP="00E328BA">
            <w:pPr>
              <w:spacing w:after="0" w:line="220" w:lineRule="exact"/>
              <w:jc w:val="right"/>
              <w:cnfStyle w:val="000000000000"/>
              <w:rPr>
                <w:rFonts w:eastAsia="Times New Roman"/>
                <w:color w:val="000000"/>
                <w:sz w:val="20"/>
              </w:rPr>
            </w:pPr>
          </w:p>
        </w:tc>
        <w:tc>
          <w:tcPr>
            <w:tcW w:w="641" w:type="pct"/>
            <w:tcBorders>
              <w:top w:val="single" w:sz="4" w:space="0" w:color="auto"/>
            </w:tcBorders>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113</w:t>
            </w:r>
          </w:p>
        </w:tc>
        <w:tc>
          <w:tcPr>
            <w:tcW w:w="751" w:type="pct"/>
            <w:tcBorders>
              <w:top w:val="single" w:sz="4" w:space="0" w:color="auto"/>
            </w:tcBorders>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113</w:t>
            </w:r>
          </w:p>
        </w:tc>
        <w:tc>
          <w:tcPr>
            <w:tcW w:w="767" w:type="pct"/>
            <w:tcBorders>
              <w:top w:val="single" w:sz="4" w:space="0" w:color="auto"/>
            </w:tcBorders>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78</w:t>
            </w:r>
          </w:p>
        </w:tc>
      </w:tr>
      <w:tr w:rsidR="00E328BA" w:rsidRPr="0032141C" w:rsidTr="00E328BA">
        <w:trPr>
          <w:trHeight w:val="300"/>
        </w:trPr>
        <w:tc>
          <w:tcPr>
            <w:cnfStyle w:val="001000000000"/>
            <w:tcW w:w="1285" w:type="pct"/>
            <w:noWrap/>
            <w:hideMark/>
          </w:tcPr>
          <w:p w:rsidR="00E328BA" w:rsidRPr="0032141C" w:rsidRDefault="00E328BA" w:rsidP="00E328BA">
            <w:pPr>
              <w:spacing w:after="0" w:line="220" w:lineRule="exact"/>
              <w:rPr>
                <w:rFonts w:ascii="Calibri" w:eastAsia="Times New Roman" w:hAnsi="Calibri" w:cs="Times New Roman"/>
                <w:color w:val="000000"/>
                <w:sz w:val="20"/>
                <w:szCs w:val="20"/>
              </w:rPr>
            </w:pPr>
            <w:r>
              <w:rPr>
                <w:rFonts w:ascii="Calibri" w:eastAsia="Times New Roman" w:hAnsi="Calibri" w:cs="Times New Roman"/>
                <w:color w:val="000000"/>
                <w:sz w:val="20"/>
                <w:szCs w:val="20"/>
              </w:rPr>
              <w:t>Mean Daily Flow (ML</w:t>
            </w:r>
            <w:r w:rsidRPr="0032141C">
              <w:rPr>
                <w:rFonts w:ascii="Calibri" w:eastAsia="Times New Roman" w:hAnsi="Calibri" w:cs="Times New Roman"/>
                <w:color w:val="000000"/>
                <w:sz w:val="20"/>
                <w:szCs w:val="20"/>
              </w:rPr>
              <w:t>/day)</w:t>
            </w:r>
          </w:p>
        </w:tc>
        <w:tc>
          <w:tcPr>
            <w:tcW w:w="673"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6453</w:t>
            </w:r>
          </w:p>
        </w:tc>
        <w:tc>
          <w:tcPr>
            <w:tcW w:w="702"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4605</w:t>
            </w:r>
          </w:p>
        </w:tc>
        <w:tc>
          <w:tcPr>
            <w:tcW w:w="181" w:type="pct"/>
          </w:tcPr>
          <w:p w:rsidR="00E328BA" w:rsidRPr="0032141C" w:rsidRDefault="00E328BA" w:rsidP="00E328BA">
            <w:pPr>
              <w:spacing w:after="0" w:line="220" w:lineRule="exact"/>
              <w:jc w:val="right"/>
              <w:cnfStyle w:val="000000000000"/>
              <w:rPr>
                <w:rFonts w:eastAsia="Times New Roman"/>
                <w:color w:val="000000"/>
                <w:sz w:val="20"/>
              </w:rPr>
            </w:pPr>
          </w:p>
        </w:tc>
        <w:tc>
          <w:tcPr>
            <w:tcW w:w="64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5111</w:t>
            </w:r>
          </w:p>
        </w:tc>
        <w:tc>
          <w:tcPr>
            <w:tcW w:w="75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2824</w:t>
            </w:r>
          </w:p>
        </w:tc>
        <w:tc>
          <w:tcPr>
            <w:tcW w:w="767"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3031</w:t>
            </w:r>
          </w:p>
        </w:tc>
      </w:tr>
      <w:tr w:rsidR="00E328BA" w:rsidRPr="0032141C" w:rsidTr="00E328BA">
        <w:trPr>
          <w:trHeight w:val="300"/>
        </w:trPr>
        <w:tc>
          <w:tcPr>
            <w:cnfStyle w:val="001000000000"/>
            <w:tcW w:w="1285" w:type="pct"/>
            <w:noWrap/>
            <w:hideMark/>
          </w:tcPr>
          <w:p w:rsidR="00E328BA" w:rsidRPr="0032141C" w:rsidRDefault="00E328BA" w:rsidP="00E328BA">
            <w:pPr>
              <w:spacing w:after="0" w:line="220" w:lineRule="exact"/>
              <w:rPr>
                <w:rFonts w:ascii="Calibri" w:eastAsia="Times New Roman" w:hAnsi="Calibri" w:cs="Times New Roman"/>
                <w:color w:val="000000"/>
                <w:sz w:val="20"/>
                <w:szCs w:val="20"/>
              </w:rPr>
            </w:pPr>
            <w:r>
              <w:rPr>
                <w:rFonts w:ascii="Calibri" w:eastAsia="Times New Roman" w:hAnsi="Calibri" w:cs="Times New Roman"/>
                <w:color w:val="000000"/>
                <w:sz w:val="20"/>
                <w:szCs w:val="20"/>
              </w:rPr>
              <w:t>Median Daily Flow (ML</w:t>
            </w:r>
            <w:r w:rsidRPr="0032141C">
              <w:rPr>
                <w:rFonts w:ascii="Calibri" w:eastAsia="Times New Roman" w:hAnsi="Calibri" w:cs="Times New Roman"/>
                <w:color w:val="000000"/>
                <w:sz w:val="20"/>
                <w:szCs w:val="20"/>
              </w:rPr>
              <w:t>/day)</w:t>
            </w:r>
          </w:p>
        </w:tc>
        <w:tc>
          <w:tcPr>
            <w:tcW w:w="673"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2329</w:t>
            </w:r>
          </w:p>
        </w:tc>
        <w:tc>
          <w:tcPr>
            <w:tcW w:w="702"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2462</w:t>
            </w:r>
          </w:p>
        </w:tc>
        <w:tc>
          <w:tcPr>
            <w:tcW w:w="181" w:type="pct"/>
          </w:tcPr>
          <w:p w:rsidR="00E328BA" w:rsidRPr="0032141C" w:rsidRDefault="00E328BA" w:rsidP="00E328BA">
            <w:pPr>
              <w:spacing w:after="0" w:line="220" w:lineRule="exact"/>
              <w:jc w:val="right"/>
              <w:cnfStyle w:val="000000000000"/>
              <w:rPr>
                <w:rFonts w:eastAsia="Times New Roman"/>
                <w:color w:val="000000"/>
                <w:sz w:val="20"/>
              </w:rPr>
            </w:pPr>
          </w:p>
        </w:tc>
        <w:tc>
          <w:tcPr>
            <w:tcW w:w="64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2311</w:t>
            </w:r>
          </w:p>
        </w:tc>
        <w:tc>
          <w:tcPr>
            <w:tcW w:w="75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1100</w:t>
            </w:r>
          </w:p>
        </w:tc>
        <w:tc>
          <w:tcPr>
            <w:tcW w:w="767"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1010</w:t>
            </w:r>
          </w:p>
        </w:tc>
      </w:tr>
      <w:tr w:rsidR="00E328BA" w:rsidRPr="0032141C" w:rsidTr="00E328BA">
        <w:trPr>
          <w:trHeight w:val="300"/>
        </w:trPr>
        <w:tc>
          <w:tcPr>
            <w:cnfStyle w:val="001000000000"/>
            <w:tcW w:w="1285" w:type="pct"/>
            <w:noWrap/>
            <w:hideMark/>
          </w:tcPr>
          <w:p w:rsidR="00E328BA" w:rsidRPr="0032141C" w:rsidRDefault="00E328BA" w:rsidP="00E328BA">
            <w:pPr>
              <w:spacing w:after="0" w:line="220" w:lineRule="exact"/>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Mean baseflow index</w:t>
            </w:r>
          </w:p>
        </w:tc>
        <w:tc>
          <w:tcPr>
            <w:tcW w:w="673"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0.40</w:t>
            </w:r>
          </w:p>
        </w:tc>
        <w:tc>
          <w:tcPr>
            <w:tcW w:w="702"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0.52</w:t>
            </w:r>
          </w:p>
        </w:tc>
        <w:tc>
          <w:tcPr>
            <w:tcW w:w="181" w:type="pct"/>
          </w:tcPr>
          <w:p w:rsidR="00E328BA" w:rsidRPr="0032141C" w:rsidRDefault="00E328BA" w:rsidP="00E328BA">
            <w:pPr>
              <w:spacing w:after="0" w:line="220" w:lineRule="exact"/>
              <w:jc w:val="right"/>
              <w:cnfStyle w:val="000000000000"/>
              <w:rPr>
                <w:rFonts w:eastAsia="Times New Roman"/>
                <w:color w:val="000000"/>
                <w:sz w:val="20"/>
              </w:rPr>
            </w:pPr>
          </w:p>
        </w:tc>
        <w:tc>
          <w:tcPr>
            <w:tcW w:w="64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0.43</w:t>
            </w:r>
          </w:p>
        </w:tc>
        <w:tc>
          <w:tcPr>
            <w:tcW w:w="75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0.42</w:t>
            </w:r>
          </w:p>
        </w:tc>
        <w:tc>
          <w:tcPr>
            <w:tcW w:w="767"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0.41</w:t>
            </w:r>
          </w:p>
        </w:tc>
      </w:tr>
      <w:tr w:rsidR="00E328BA" w:rsidRPr="0032141C" w:rsidTr="00E328BA">
        <w:trPr>
          <w:trHeight w:val="300"/>
        </w:trPr>
        <w:tc>
          <w:tcPr>
            <w:cnfStyle w:val="001000000000"/>
            <w:tcW w:w="1285" w:type="pct"/>
            <w:noWrap/>
            <w:hideMark/>
          </w:tcPr>
          <w:p w:rsidR="00E328BA" w:rsidRPr="0032141C" w:rsidRDefault="00E328BA" w:rsidP="00E328BA">
            <w:pPr>
              <w:spacing w:after="0" w:line="220" w:lineRule="exact"/>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 days zero flow</w:t>
            </w:r>
          </w:p>
        </w:tc>
        <w:tc>
          <w:tcPr>
            <w:tcW w:w="673"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0</w:t>
            </w:r>
          </w:p>
        </w:tc>
        <w:tc>
          <w:tcPr>
            <w:tcW w:w="702"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0</w:t>
            </w:r>
          </w:p>
        </w:tc>
        <w:tc>
          <w:tcPr>
            <w:tcW w:w="181" w:type="pct"/>
          </w:tcPr>
          <w:p w:rsidR="00E328BA" w:rsidRPr="0032141C" w:rsidRDefault="00E328BA" w:rsidP="00E328BA">
            <w:pPr>
              <w:spacing w:after="0" w:line="220" w:lineRule="exact"/>
              <w:jc w:val="right"/>
              <w:cnfStyle w:val="000000000000"/>
              <w:rPr>
                <w:rFonts w:eastAsia="Times New Roman"/>
                <w:color w:val="000000"/>
                <w:sz w:val="20"/>
              </w:rPr>
            </w:pPr>
          </w:p>
        </w:tc>
        <w:tc>
          <w:tcPr>
            <w:tcW w:w="64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0</w:t>
            </w:r>
          </w:p>
        </w:tc>
        <w:tc>
          <w:tcPr>
            <w:tcW w:w="75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0</w:t>
            </w:r>
          </w:p>
        </w:tc>
        <w:tc>
          <w:tcPr>
            <w:tcW w:w="767"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0</w:t>
            </w:r>
          </w:p>
        </w:tc>
      </w:tr>
      <w:tr w:rsidR="00E328BA" w:rsidRPr="0032141C" w:rsidTr="00E328BA">
        <w:trPr>
          <w:trHeight w:val="300"/>
        </w:trPr>
        <w:tc>
          <w:tcPr>
            <w:cnfStyle w:val="001000000000"/>
            <w:tcW w:w="1285" w:type="pct"/>
            <w:noWrap/>
            <w:hideMark/>
          </w:tcPr>
          <w:p w:rsidR="00E328BA" w:rsidRPr="0032141C" w:rsidRDefault="00647BB6" w:rsidP="00E328BA">
            <w:pPr>
              <w:spacing w:after="0" w:line="220" w:lineRule="exact"/>
              <w:rPr>
                <w:rFonts w:ascii="Calibri" w:eastAsia="Times New Roman" w:hAnsi="Calibri" w:cs="Times New Roman"/>
                <w:color w:val="000000"/>
                <w:sz w:val="20"/>
                <w:szCs w:val="20"/>
              </w:rPr>
            </w:pPr>
            <w:r>
              <w:rPr>
                <w:rFonts w:ascii="Calibri" w:eastAsia="Times New Roman" w:hAnsi="Calibri" w:cs="Times New Roman"/>
                <w:color w:val="000000"/>
                <w:sz w:val="20"/>
                <w:szCs w:val="20"/>
              </w:rPr>
              <w:t xml:space="preserve">High spell </w:t>
            </w:r>
            <w:r w:rsidR="00E328BA" w:rsidRPr="0032141C">
              <w:rPr>
                <w:rFonts w:ascii="Calibri" w:eastAsia="Times New Roman" w:hAnsi="Calibri" w:cs="Times New Roman"/>
                <w:color w:val="000000"/>
                <w:sz w:val="20"/>
                <w:szCs w:val="20"/>
              </w:rPr>
              <w:t>threshol</w:t>
            </w:r>
            <w:r w:rsidR="00E328BA">
              <w:rPr>
                <w:rFonts w:ascii="Calibri" w:eastAsia="Times New Roman" w:hAnsi="Calibri" w:cs="Times New Roman"/>
                <w:color w:val="000000"/>
                <w:sz w:val="20"/>
                <w:szCs w:val="20"/>
              </w:rPr>
              <w:t>d (Q10, ML</w:t>
            </w:r>
            <w:r w:rsidR="00E328BA" w:rsidRPr="0032141C">
              <w:rPr>
                <w:rFonts w:ascii="Calibri" w:eastAsia="Times New Roman" w:hAnsi="Calibri" w:cs="Times New Roman"/>
                <w:color w:val="000000"/>
                <w:sz w:val="20"/>
                <w:szCs w:val="20"/>
              </w:rPr>
              <w:t>/day)</w:t>
            </w:r>
          </w:p>
        </w:tc>
        <w:tc>
          <w:tcPr>
            <w:tcW w:w="673"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15796</w:t>
            </w:r>
          </w:p>
        </w:tc>
        <w:tc>
          <w:tcPr>
            <w:tcW w:w="702"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7757</w:t>
            </w:r>
          </w:p>
        </w:tc>
        <w:tc>
          <w:tcPr>
            <w:tcW w:w="181" w:type="pct"/>
          </w:tcPr>
          <w:p w:rsidR="00E328BA" w:rsidRPr="0032141C" w:rsidRDefault="00E328BA" w:rsidP="00E328BA">
            <w:pPr>
              <w:spacing w:after="0" w:line="220" w:lineRule="exact"/>
              <w:jc w:val="right"/>
              <w:cnfStyle w:val="000000000000"/>
              <w:rPr>
                <w:rFonts w:eastAsia="Times New Roman"/>
                <w:color w:val="000000"/>
                <w:sz w:val="20"/>
              </w:rPr>
            </w:pPr>
          </w:p>
        </w:tc>
        <w:tc>
          <w:tcPr>
            <w:tcW w:w="64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11515</w:t>
            </w:r>
          </w:p>
        </w:tc>
        <w:tc>
          <w:tcPr>
            <w:tcW w:w="75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6202</w:t>
            </w:r>
          </w:p>
        </w:tc>
        <w:tc>
          <w:tcPr>
            <w:tcW w:w="767"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8327</w:t>
            </w:r>
          </w:p>
        </w:tc>
      </w:tr>
      <w:tr w:rsidR="00E328BA" w:rsidRPr="0032141C" w:rsidTr="00E328BA">
        <w:trPr>
          <w:trHeight w:val="300"/>
        </w:trPr>
        <w:tc>
          <w:tcPr>
            <w:cnfStyle w:val="001000000000"/>
            <w:tcW w:w="1285" w:type="pct"/>
            <w:noWrap/>
            <w:hideMark/>
          </w:tcPr>
          <w:p w:rsidR="00E328BA" w:rsidRPr="0032141C" w:rsidRDefault="00E328BA" w:rsidP="00E328BA">
            <w:pPr>
              <w:spacing w:after="0" w:line="220" w:lineRule="exact"/>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Number of events (Q10)</w:t>
            </w:r>
          </w:p>
        </w:tc>
        <w:tc>
          <w:tcPr>
            <w:tcW w:w="673"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134</w:t>
            </w:r>
          </w:p>
        </w:tc>
        <w:tc>
          <w:tcPr>
            <w:tcW w:w="702"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113</w:t>
            </w:r>
          </w:p>
        </w:tc>
        <w:tc>
          <w:tcPr>
            <w:tcW w:w="181" w:type="pct"/>
          </w:tcPr>
          <w:p w:rsidR="00E328BA" w:rsidRPr="0032141C" w:rsidRDefault="00E328BA" w:rsidP="00E328BA">
            <w:pPr>
              <w:spacing w:after="0" w:line="220" w:lineRule="exact"/>
              <w:jc w:val="right"/>
              <w:cnfStyle w:val="000000000000"/>
              <w:rPr>
                <w:rFonts w:eastAsia="Times New Roman"/>
                <w:color w:val="000000"/>
                <w:sz w:val="20"/>
              </w:rPr>
            </w:pPr>
          </w:p>
        </w:tc>
        <w:tc>
          <w:tcPr>
            <w:tcW w:w="64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130</w:t>
            </w:r>
          </w:p>
        </w:tc>
        <w:tc>
          <w:tcPr>
            <w:tcW w:w="75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119</w:t>
            </w:r>
          </w:p>
        </w:tc>
        <w:tc>
          <w:tcPr>
            <w:tcW w:w="767"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63</w:t>
            </w:r>
          </w:p>
        </w:tc>
      </w:tr>
      <w:tr w:rsidR="00E328BA" w:rsidRPr="0032141C" w:rsidTr="00E328BA">
        <w:trPr>
          <w:trHeight w:val="300"/>
        </w:trPr>
        <w:tc>
          <w:tcPr>
            <w:cnfStyle w:val="001000000000"/>
            <w:tcW w:w="1285" w:type="pct"/>
            <w:noWrap/>
            <w:hideMark/>
          </w:tcPr>
          <w:p w:rsidR="00E328BA" w:rsidRPr="0032141C" w:rsidRDefault="00E328BA" w:rsidP="00E328BA">
            <w:pPr>
              <w:spacing w:after="0" w:line="220" w:lineRule="exact"/>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High spell Frequency (events/year)</w:t>
            </w:r>
          </w:p>
        </w:tc>
        <w:tc>
          <w:tcPr>
            <w:tcW w:w="673"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1.2</w:t>
            </w:r>
          </w:p>
        </w:tc>
        <w:tc>
          <w:tcPr>
            <w:tcW w:w="702"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1.0</w:t>
            </w:r>
          </w:p>
        </w:tc>
        <w:tc>
          <w:tcPr>
            <w:tcW w:w="181" w:type="pct"/>
          </w:tcPr>
          <w:p w:rsidR="00E328BA" w:rsidRPr="0032141C" w:rsidRDefault="00E328BA" w:rsidP="00E328BA">
            <w:pPr>
              <w:spacing w:after="0" w:line="220" w:lineRule="exact"/>
              <w:jc w:val="right"/>
              <w:cnfStyle w:val="000000000000"/>
              <w:rPr>
                <w:rFonts w:eastAsia="Times New Roman"/>
                <w:color w:val="000000"/>
                <w:sz w:val="20"/>
              </w:rPr>
            </w:pPr>
          </w:p>
        </w:tc>
        <w:tc>
          <w:tcPr>
            <w:tcW w:w="64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1.2</w:t>
            </w:r>
          </w:p>
        </w:tc>
        <w:tc>
          <w:tcPr>
            <w:tcW w:w="75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1.1</w:t>
            </w:r>
          </w:p>
        </w:tc>
        <w:tc>
          <w:tcPr>
            <w:tcW w:w="767"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0.8</w:t>
            </w:r>
          </w:p>
        </w:tc>
      </w:tr>
      <w:tr w:rsidR="00E328BA" w:rsidRPr="0032141C" w:rsidTr="00E328BA">
        <w:trPr>
          <w:trHeight w:val="300"/>
        </w:trPr>
        <w:tc>
          <w:tcPr>
            <w:cnfStyle w:val="001000000000"/>
            <w:tcW w:w="1285" w:type="pct"/>
            <w:noWrap/>
            <w:hideMark/>
          </w:tcPr>
          <w:p w:rsidR="00E328BA" w:rsidRPr="0032141C" w:rsidRDefault="00E328BA" w:rsidP="00E328BA">
            <w:pPr>
              <w:spacing w:after="0" w:line="220" w:lineRule="exact"/>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median high spell duration (days)</w:t>
            </w:r>
          </w:p>
        </w:tc>
        <w:tc>
          <w:tcPr>
            <w:tcW w:w="673"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21</w:t>
            </w:r>
          </w:p>
        </w:tc>
        <w:tc>
          <w:tcPr>
            <w:tcW w:w="702"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15</w:t>
            </w:r>
          </w:p>
        </w:tc>
        <w:tc>
          <w:tcPr>
            <w:tcW w:w="181" w:type="pct"/>
          </w:tcPr>
          <w:p w:rsidR="00E328BA" w:rsidRPr="0032141C" w:rsidRDefault="00E328BA" w:rsidP="00E328BA">
            <w:pPr>
              <w:spacing w:after="0" w:line="220" w:lineRule="exact"/>
              <w:jc w:val="right"/>
              <w:cnfStyle w:val="000000000000"/>
              <w:rPr>
                <w:rFonts w:eastAsia="Times New Roman"/>
                <w:color w:val="000000"/>
                <w:sz w:val="20"/>
              </w:rPr>
            </w:pPr>
          </w:p>
        </w:tc>
        <w:tc>
          <w:tcPr>
            <w:tcW w:w="64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21</w:t>
            </w:r>
          </w:p>
        </w:tc>
        <w:tc>
          <w:tcPr>
            <w:tcW w:w="75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14</w:t>
            </w:r>
          </w:p>
        </w:tc>
        <w:tc>
          <w:tcPr>
            <w:tcW w:w="767"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28</w:t>
            </w:r>
          </w:p>
        </w:tc>
      </w:tr>
      <w:tr w:rsidR="00E328BA" w:rsidRPr="0032141C" w:rsidTr="00E328BA">
        <w:trPr>
          <w:trHeight w:val="300"/>
        </w:trPr>
        <w:tc>
          <w:tcPr>
            <w:cnfStyle w:val="001000000000"/>
            <w:tcW w:w="1285" w:type="pct"/>
            <w:noWrap/>
            <w:hideMark/>
          </w:tcPr>
          <w:p w:rsidR="00E328BA" w:rsidRPr="0032141C" w:rsidRDefault="00E328BA" w:rsidP="00E328BA">
            <w:pPr>
              <w:spacing w:after="0" w:line="220" w:lineRule="exact"/>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Mean return interval (years)</w:t>
            </w:r>
          </w:p>
        </w:tc>
        <w:tc>
          <w:tcPr>
            <w:tcW w:w="673"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0.8</w:t>
            </w:r>
          </w:p>
        </w:tc>
        <w:tc>
          <w:tcPr>
            <w:tcW w:w="702"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1.0</w:t>
            </w:r>
          </w:p>
        </w:tc>
        <w:tc>
          <w:tcPr>
            <w:tcW w:w="181" w:type="pct"/>
          </w:tcPr>
          <w:p w:rsidR="00E328BA" w:rsidRPr="0032141C" w:rsidRDefault="00E328BA" w:rsidP="00E328BA">
            <w:pPr>
              <w:spacing w:after="0" w:line="220" w:lineRule="exact"/>
              <w:jc w:val="right"/>
              <w:cnfStyle w:val="000000000000"/>
              <w:rPr>
                <w:rFonts w:eastAsia="Times New Roman"/>
                <w:color w:val="000000"/>
                <w:sz w:val="20"/>
              </w:rPr>
            </w:pPr>
          </w:p>
        </w:tc>
        <w:tc>
          <w:tcPr>
            <w:tcW w:w="64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0.9</w:t>
            </w:r>
          </w:p>
        </w:tc>
        <w:tc>
          <w:tcPr>
            <w:tcW w:w="75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0.9</w:t>
            </w:r>
          </w:p>
        </w:tc>
        <w:tc>
          <w:tcPr>
            <w:tcW w:w="767"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1.2</w:t>
            </w:r>
          </w:p>
        </w:tc>
      </w:tr>
      <w:tr w:rsidR="00E328BA" w:rsidRPr="0032141C" w:rsidTr="00E328BA">
        <w:trPr>
          <w:trHeight w:val="300"/>
        </w:trPr>
        <w:tc>
          <w:tcPr>
            <w:cnfStyle w:val="001000000000"/>
            <w:tcW w:w="1285" w:type="pct"/>
            <w:noWrap/>
            <w:hideMark/>
          </w:tcPr>
          <w:p w:rsidR="00E328BA" w:rsidRPr="0032141C" w:rsidRDefault="00E328BA" w:rsidP="00E328BA">
            <w:pPr>
              <w:spacing w:after="0" w:line="220" w:lineRule="exact"/>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Mean Rise rat</w:t>
            </w:r>
            <w:r>
              <w:rPr>
                <w:rFonts w:ascii="Calibri" w:eastAsia="Times New Roman" w:hAnsi="Calibri" w:cs="Times New Roman"/>
                <w:color w:val="000000"/>
                <w:sz w:val="20"/>
                <w:szCs w:val="20"/>
              </w:rPr>
              <w:t>e (ML</w:t>
            </w:r>
            <w:r w:rsidRPr="0032141C">
              <w:rPr>
                <w:rFonts w:ascii="Calibri" w:eastAsia="Times New Roman" w:hAnsi="Calibri" w:cs="Times New Roman"/>
                <w:color w:val="000000"/>
                <w:sz w:val="20"/>
                <w:szCs w:val="20"/>
              </w:rPr>
              <w:t>/day)</w:t>
            </w:r>
          </w:p>
        </w:tc>
        <w:tc>
          <w:tcPr>
            <w:tcW w:w="673"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2158</w:t>
            </w:r>
          </w:p>
        </w:tc>
        <w:tc>
          <w:tcPr>
            <w:tcW w:w="702"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1463</w:t>
            </w:r>
          </w:p>
        </w:tc>
        <w:tc>
          <w:tcPr>
            <w:tcW w:w="181" w:type="pct"/>
          </w:tcPr>
          <w:p w:rsidR="00E328BA" w:rsidRPr="0032141C" w:rsidRDefault="00E328BA" w:rsidP="00E328BA">
            <w:pPr>
              <w:spacing w:after="0" w:line="220" w:lineRule="exact"/>
              <w:jc w:val="right"/>
              <w:cnfStyle w:val="000000000000"/>
              <w:rPr>
                <w:rFonts w:eastAsia="Times New Roman"/>
                <w:color w:val="000000"/>
                <w:sz w:val="20"/>
              </w:rPr>
            </w:pPr>
          </w:p>
        </w:tc>
        <w:tc>
          <w:tcPr>
            <w:tcW w:w="64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1399</w:t>
            </w:r>
          </w:p>
        </w:tc>
        <w:tc>
          <w:tcPr>
            <w:tcW w:w="75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897</w:t>
            </w:r>
          </w:p>
        </w:tc>
        <w:tc>
          <w:tcPr>
            <w:tcW w:w="767"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924</w:t>
            </w:r>
          </w:p>
        </w:tc>
      </w:tr>
      <w:tr w:rsidR="00E328BA" w:rsidRPr="0032141C" w:rsidTr="00E328BA">
        <w:trPr>
          <w:trHeight w:val="300"/>
        </w:trPr>
        <w:tc>
          <w:tcPr>
            <w:cnfStyle w:val="001000000000"/>
            <w:tcW w:w="1285" w:type="pct"/>
            <w:noWrap/>
            <w:hideMark/>
          </w:tcPr>
          <w:p w:rsidR="00E328BA" w:rsidRPr="0032141C" w:rsidRDefault="00E328BA" w:rsidP="00E328BA">
            <w:pPr>
              <w:spacing w:after="0" w:line="220" w:lineRule="exact"/>
              <w:rPr>
                <w:rFonts w:ascii="Calibri" w:eastAsia="Times New Roman" w:hAnsi="Calibri" w:cs="Times New Roman"/>
                <w:color w:val="000000"/>
                <w:sz w:val="20"/>
                <w:szCs w:val="20"/>
              </w:rPr>
            </w:pPr>
            <w:r>
              <w:rPr>
                <w:rFonts w:ascii="Calibri" w:eastAsia="Times New Roman" w:hAnsi="Calibri" w:cs="Times New Roman"/>
                <w:color w:val="000000"/>
                <w:sz w:val="20"/>
                <w:szCs w:val="20"/>
              </w:rPr>
              <w:t>Mean Fall rate (ML</w:t>
            </w:r>
            <w:r w:rsidRPr="0032141C">
              <w:rPr>
                <w:rFonts w:ascii="Calibri" w:eastAsia="Times New Roman" w:hAnsi="Calibri" w:cs="Times New Roman"/>
                <w:color w:val="000000"/>
                <w:sz w:val="20"/>
                <w:szCs w:val="20"/>
              </w:rPr>
              <w:t>/day)</w:t>
            </w:r>
          </w:p>
        </w:tc>
        <w:tc>
          <w:tcPr>
            <w:tcW w:w="673"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1806</w:t>
            </w:r>
          </w:p>
        </w:tc>
        <w:tc>
          <w:tcPr>
            <w:tcW w:w="702"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1092</w:t>
            </w:r>
          </w:p>
        </w:tc>
        <w:tc>
          <w:tcPr>
            <w:tcW w:w="181" w:type="pct"/>
          </w:tcPr>
          <w:p w:rsidR="00E328BA" w:rsidRPr="0032141C" w:rsidRDefault="00E328BA" w:rsidP="00E328BA">
            <w:pPr>
              <w:spacing w:after="0" w:line="220" w:lineRule="exact"/>
              <w:jc w:val="right"/>
              <w:cnfStyle w:val="000000000000"/>
              <w:rPr>
                <w:rFonts w:eastAsia="Times New Roman"/>
                <w:color w:val="000000"/>
                <w:sz w:val="20"/>
              </w:rPr>
            </w:pPr>
          </w:p>
        </w:tc>
        <w:tc>
          <w:tcPr>
            <w:tcW w:w="64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1240</w:t>
            </w:r>
          </w:p>
        </w:tc>
        <w:tc>
          <w:tcPr>
            <w:tcW w:w="75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757</w:t>
            </w:r>
          </w:p>
        </w:tc>
        <w:tc>
          <w:tcPr>
            <w:tcW w:w="767"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713</w:t>
            </w:r>
          </w:p>
        </w:tc>
      </w:tr>
      <w:tr w:rsidR="00E328BA" w:rsidRPr="0032141C" w:rsidTr="00E328BA">
        <w:trPr>
          <w:trHeight w:val="300"/>
        </w:trPr>
        <w:tc>
          <w:tcPr>
            <w:cnfStyle w:val="001000000000"/>
            <w:tcW w:w="1285" w:type="pct"/>
            <w:noWrap/>
            <w:hideMark/>
          </w:tcPr>
          <w:p w:rsidR="00E328BA" w:rsidRPr="0032141C" w:rsidRDefault="00647BB6" w:rsidP="00E328BA">
            <w:pPr>
              <w:spacing w:after="0" w:line="220" w:lineRule="exact"/>
              <w:rPr>
                <w:rFonts w:ascii="Calibri" w:eastAsia="Times New Roman" w:hAnsi="Calibri" w:cs="Times New Roman"/>
                <w:color w:val="000000"/>
                <w:sz w:val="20"/>
                <w:szCs w:val="20"/>
              </w:rPr>
            </w:pPr>
            <w:r>
              <w:rPr>
                <w:rFonts w:ascii="Calibri" w:eastAsia="Times New Roman" w:hAnsi="Calibri" w:cs="Times New Roman"/>
                <w:color w:val="000000"/>
                <w:sz w:val="20"/>
                <w:szCs w:val="20"/>
              </w:rPr>
              <w:t>Mean annua</w:t>
            </w:r>
            <w:r w:rsidR="00E328BA" w:rsidRPr="0032141C">
              <w:rPr>
                <w:rFonts w:ascii="Calibri" w:eastAsia="Times New Roman" w:hAnsi="Calibri" w:cs="Times New Roman"/>
                <w:color w:val="000000"/>
                <w:sz w:val="20"/>
                <w:szCs w:val="20"/>
              </w:rPr>
              <w:t>l maximum flow</w:t>
            </w:r>
          </w:p>
        </w:tc>
        <w:tc>
          <w:tcPr>
            <w:tcW w:w="673"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35544</w:t>
            </w:r>
          </w:p>
        </w:tc>
        <w:tc>
          <w:tcPr>
            <w:tcW w:w="702"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21606</w:t>
            </w:r>
          </w:p>
        </w:tc>
        <w:tc>
          <w:tcPr>
            <w:tcW w:w="181" w:type="pct"/>
          </w:tcPr>
          <w:p w:rsidR="00E328BA" w:rsidRPr="0032141C" w:rsidRDefault="00E328BA" w:rsidP="00E328BA">
            <w:pPr>
              <w:spacing w:after="0" w:line="220" w:lineRule="exact"/>
              <w:jc w:val="right"/>
              <w:cnfStyle w:val="000000000000"/>
              <w:rPr>
                <w:rFonts w:eastAsia="Times New Roman"/>
                <w:color w:val="000000"/>
                <w:sz w:val="20"/>
              </w:rPr>
            </w:pPr>
          </w:p>
        </w:tc>
        <w:tc>
          <w:tcPr>
            <w:tcW w:w="64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25380</w:t>
            </w:r>
          </w:p>
        </w:tc>
        <w:tc>
          <w:tcPr>
            <w:tcW w:w="75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15133</w:t>
            </w:r>
          </w:p>
        </w:tc>
        <w:tc>
          <w:tcPr>
            <w:tcW w:w="767"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14697</w:t>
            </w:r>
          </w:p>
        </w:tc>
      </w:tr>
      <w:tr w:rsidR="00E328BA" w:rsidRPr="0032141C" w:rsidTr="00E328BA">
        <w:trPr>
          <w:trHeight w:val="300"/>
        </w:trPr>
        <w:tc>
          <w:tcPr>
            <w:cnfStyle w:val="001000000000"/>
            <w:tcW w:w="1285" w:type="pct"/>
            <w:noWrap/>
            <w:hideMark/>
          </w:tcPr>
          <w:p w:rsidR="00E328BA" w:rsidRPr="0032141C" w:rsidRDefault="00E328BA" w:rsidP="00E328BA">
            <w:pPr>
              <w:spacing w:after="0" w:line="220" w:lineRule="exact"/>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CV annual maximum flow</w:t>
            </w:r>
          </w:p>
        </w:tc>
        <w:tc>
          <w:tcPr>
            <w:tcW w:w="673"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87</w:t>
            </w:r>
          </w:p>
        </w:tc>
        <w:tc>
          <w:tcPr>
            <w:tcW w:w="702"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122</w:t>
            </w:r>
          </w:p>
        </w:tc>
        <w:tc>
          <w:tcPr>
            <w:tcW w:w="181" w:type="pct"/>
          </w:tcPr>
          <w:p w:rsidR="00E328BA" w:rsidRPr="0032141C" w:rsidRDefault="00E328BA" w:rsidP="00E328BA">
            <w:pPr>
              <w:spacing w:after="0" w:line="220" w:lineRule="exact"/>
              <w:jc w:val="right"/>
              <w:cnfStyle w:val="000000000000"/>
              <w:rPr>
                <w:rFonts w:eastAsia="Times New Roman"/>
                <w:color w:val="000000"/>
                <w:sz w:val="20"/>
              </w:rPr>
            </w:pPr>
          </w:p>
        </w:tc>
        <w:tc>
          <w:tcPr>
            <w:tcW w:w="64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89</w:t>
            </w:r>
          </w:p>
        </w:tc>
        <w:tc>
          <w:tcPr>
            <w:tcW w:w="75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123</w:t>
            </w:r>
          </w:p>
        </w:tc>
        <w:tc>
          <w:tcPr>
            <w:tcW w:w="767"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107</w:t>
            </w:r>
          </w:p>
        </w:tc>
      </w:tr>
      <w:tr w:rsidR="00E328BA" w:rsidRPr="0032141C" w:rsidTr="00E328BA">
        <w:trPr>
          <w:trHeight w:val="300"/>
        </w:trPr>
        <w:tc>
          <w:tcPr>
            <w:cnfStyle w:val="001000000000"/>
            <w:tcW w:w="1285" w:type="pct"/>
            <w:noWrap/>
            <w:hideMark/>
          </w:tcPr>
          <w:p w:rsidR="00E328BA" w:rsidRPr="0032141C" w:rsidRDefault="00E328BA" w:rsidP="00E328BA">
            <w:pPr>
              <w:spacing w:after="0" w:line="220" w:lineRule="exact"/>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Annual Maximum Timing (day of year)</w:t>
            </w:r>
          </w:p>
        </w:tc>
        <w:tc>
          <w:tcPr>
            <w:tcW w:w="673"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279</w:t>
            </w:r>
          </w:p>
        </w:tc>
        <w:tc>
          <w:tcPr>
            <w:tcW w:w="702"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332</w:t>
            </w:r>
          </w:p>
        </w:tc>
        <w:tc>
          <w:tcPr>
            <w:tcW w:w="181" w:type="pct"/>
          </w:tcPr>
          <w:p w:rsidR="00E328BA" w:rsidRPr="0032141C" w:rsidRDefault="00E328BA" w:rsidP="00E328BA">
            <w:pPr>
              <w:spacing w:after="0" w:line="220" w:lineRule="exact"/>
              <w:jc w:val="right"/>
              <w:cnfStyle w:val="000000000000"/>
              <w:rPr>
                <w:rFonts w:eastAsia="Times New Roman"/>
                <w:color w:val="000000"/>
                <w:sz w:val="20"/>
              </w:rPr>
            </w:pPr>
          </w:p>
        </w:tc>
        <w:tc>
          <w:tcPr>
            <w:tcW w:w="64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280</w:t>
            </w:r>
          </w:p>
        </w:tc>
        <w:tc>
          <w:tcPr>
            <w:tcW w:w="75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332</w:t>
            </w:r>
          </w:p>
        </w:tc>
        <w:tc>
          <w:tcPr>
            <w:tcW w:w="767"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5</w:t>
            </w:r>
          </w:p>
        </w:tc>
      </w:tr>
      <w:tr w:rsidR="00E328BA" w:rsidRPr="0032141C" w:rsidTr="00E328BA">
        <w:trPr>
          <w:trHeight w:val="300"/>
        </w:trPr>
        <w:tc>
          <w:tcPr>
            <w:cnfStyle w:val="001000000000"/>
            <w:tcW w:w="1285" w:type="pct"/>
            <w:noWrap/>
            <w:hideMark/>
          </w:tcPr>
          <w:p w:rsidR="00E328BA" w:rsidRPr="0032141C" w:rsidRDefault="00E328BA" w:rsidP="00E328BA">
            <w:pPr>
              <w:spacing w:after="0" w:line="220" w:lineRule="exact"/>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low spell threshold (Q90, ML/day)</w:t>
            </w:r>
          </w:p>
        </w:tc>
        <w:tc>
          <w:tcPr>
            <w:tcW w:w="673"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193</w:t>
            </w:r>
          </w:p>
        </w:tc>
        <w:tc>
          <w:tcPr>
            <w:tcW w:w="702"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783</w:t>
            </w:r>
          </w:p>
        </w:tc>
        <w:tc>
          <w:tcPr>
            <w:tcW w:w="181" w:type="pct"/>
          </w:tcPr>
          <w:p w:rsidR="00E328BA" w:rsidRPr="0032141C" w:rsidRDefault="00E328BA" w:rsidP="00E328BA">
            <w:pPr>
              <w:spacing w:after="0" w:line="220" w:lineRule="exact"/>
              <w:jc w:val="right"/>
              <w:cnfStyle w:val="000000000000"/>
              <w:rPr>
                <w:rFonts w:eastAsia="Times New Roman"/>
                <w:color w:val="000000"/>
                <w:sz w:val="20"/>
              </w:rPr>
            </w:pPr>
          </w:p>
        </w:tc>
        <w:tc>
          <w:tcPr>
            <w:tcW w:w="64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194</w:t>
            </w:r>
          </w:p>
        </w:tc>
        <w:tc>
          <w:tcPr>
            <w:tcW w:w="75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130</w:t>
            </w:r>
          </w:p>
        </w:tc>
        <w:tc>
          <w:tcPr>
            <w:tcW w:w="767"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161</w:t>
            </w:r>
          </w:p>
        </w:tc>
      </w:tr>
      <w:tr w:rsidR="00E328BA" w:rsidRPr="0032141C" w:rsidTr="00E328BA">
        <w:trPr>
          <w:trHeight w:val="300"/>
        </w:trPr>
        <w:tc>
          <w:tcPr>
            <w:cnfStyle w:val="001000000000"/>
            <w:tcW w:w="1285" w:type="pct"/>
            <w:noWrap/>
            <w:hideMark/>
          </w:tcPr>
          <w:p w:rsidR="00E328BA" w:rsidRPr="0032141C" w:rsidRDefault="00E328BA" w:rsidP="00E328BA">
            <w:pPr>
              <w:spacing w:after="0" w:line="220" w:lineRule="exact"/>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median low spell duration (days)</w:t>
            </w:r>
          </w:p>
        </w:tc>
        <w:tc>
          <w:tcPr>
            <w:tcW w:w="673"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24</w:t>
            </w:r>
          </w:p>
        </w:tc>
        <w:tc>
          <w:tcPr>
            <w:tcW w:w="702"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16</w:t>
            </w:r>
          </w:p>
        </w:tc>
        <w:tc>
          <w:tcPr>
            <w:tcW w:w="181" w:type="pct"/>
          </w:tcPr>
          <w:p w:rsidR="00E328BA" w:rsidRPr="0032141C" w:rsidRDefault="00E328BA" w:rsidP="00E328BA">
            <w:pPr>
              <w:spacing w:after="0" w:line="220" w:lineRule="exact"/>
              <w:jc w:val="right"/>
              <w:cnfStyle w:val="000000000000"/>
              <w:rPr>
                <w:rFonts w:eastAsia="Times New Roman"/>
                <w:color w:val="000000"/>
                <w:sz w:val="20"/>
              </w:rPr>
            </w:pPr>
          </w:p>
        </w:tc>
        <w:tc>
          <w:tcPr>
            <w:tcW w:w="64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28</w:t>
            </w:r>
          </w:p>
        </w:tc>
        <w:tc>
          <w:tcPr>
            <w:tcW w:w="75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7</w:t>
            </w:r>
          </w:p>
        </w:tc>
        <w:tc>
          <w:tcPr>
            <w:tcW w:w="767"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5</w:t>
            </w:r>
          </w:p>
        </w:tc>
      </w:tr>
      <w:tr w:rsidR="00E328BA" w:rsidRPr="0032141C" w:rsidTr="00E328BA">
        <w:trPr>
          <w:trHeight w:val="300"/>
        </w:trPr>
        <w:tc>
          <w:tcPr>
            <w:cnfStyle w:val="001000000000"/>
            <w:tcW w:w="1285" w:type="pct"/>
            <w:noWrap/>
            <w:hideMark/>
          </w:tcPr>
          <w:p w:rsidR="00E328BA" w:rsidRPr="0032141C" w:rsidRDefault="00E328BA" w:rsidP="00E328BA">
            <w:pPr>
              <w:spacing w:after="0" w:line="220" w:lineRule="exact"/>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Low spell Frequency (events/year)</w:t>
            </w:r>
          </w:p>
        </w:tc>
        <w:tc>
          <w:tcPr>
            <w:tcW w:w="673"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0.9</w:t>
            </w:r>
          </w:p>
        </w:tc>
        <w:tc>
          <w:tcPr>
            <w:tcW w:w="702"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1.3</w:t>
            </w:r>
          </w:p>
        </w:tc>
        <w:tc>
          <w:tcPr>
            <w:tcW w:w="181" w:type="pct"/>
          </w:tcPr>
          <w:p w:rsidR="00E328BA" w:rsidRPr="0032141C" w:rsidRDefault="00E328BA" w:rsidP="00E328BA">
            <w:pPr>
              <w:spacing w:after="0" w:line="220" w:lineRule="exact"/>
              <w:jc w:val="right"/>
              <w:cnfStyle w:val="000000000000"/>
              <w:rPr>
                <w:rFonts w:eastAsia="Times New Roman"/>
                <w:color w:val="000000"/>
                <w:sz w:val="20"/>
              </w:rPr>
            </w:pPr>
          </w:p>
        </w:tc>
        <w:tc>
          <w:tcPr>
            <w:tcW w:w="64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0.8</w:t>
            </w:r>
          </w:p>
        </w:tc>
        <w:tc>
          <w:tcPr>
            <w:tcW w:w="75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4.2</w:t>
            </w:r>
          </w:p>
        </w:tc>
        <w:tc>
          <w:tcPr>
            <w:tcW w:w="767"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3.8</w:t>
            </w:r>
          </w:p>
        </w:tc>
      </w:tr>
      <w:tr w:rsidR="00E328BA" w:rsidRPr="0032141C" w:rsidTr="00E328BA">
        <w:trPr>
          <w:trHeight w:val="300"/>
        </w:trPr>
        <w:tc>
          <w:tcPr>
            <w:cnfStyle w:val="001000000000"/>
            <w:tcW w:w="1285" w:type="pct"/>
            <w:noWrap/>
            <w:hideMark/>
          </w:tcPr>
          <w:p w:rsidR="00E328BA" w:rsidRPr="0032141C" w:rsidRDefault="00E328BA" w:rsidP="00E328BA">
            <w:pPr>
              <w:spacing w:after="0" w:line="220" w:lineRule="exact"/>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Low spell Average return interval (years)</w:t>
            </w:r>
          </w:p>
        </w:tc>
        <w:tc>
          <w:tcPr>
            <w:tcW w:w="673"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w:t>
            </w:r>
          </w:p>
        </w:tc>
        <w:tc>
          <w:tcPr>
            <w:tcW w:w="702"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w:t>
            </w:r>
          </w:p>
        </w:tc>
        <w:tc>
          <w:tcPr>
            <w:tcW w:w="181" w:type="pct"/>
          </w:tcPr>
          <w:p w:rsidR="00E328BA" w:rsidRPr="0032141C" w:rsidRDefault="00E328BA" w:rsidP="00E328BA">
            <w:pPr>
              <w:spacing w:after="0" w:line="220" w:lineRule="exact"/>
              <w:jc w:val="right"/>
              <w:cnfStyle w:val="000000000000"/>
              <w:rPr>
                <w:rFonts w:eastAsia="Times New Roman"/>
                <w:color w:val="000000"/>
                <w:sz w:val="20"/>
              </w:rPr>
            </w:pPr>
          </w:p>
        </w:tc>
        <w:tc>
          <w:tcPr>
            <w:tcW w:w="64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w:t>
            </w:r>
          </w:p>
        </w:tc>
        <w:tc>
          <w:tcPr>
            <w:tcW w:w="75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w:t>
            </w:r>
          </w:p>
        </w:tc>
        <w:tc>
          <w:tcPr>
            <w:tcW w:w="767"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w:t>
            </w:r>
          </w:p>
        </w:tc>
      </w:tr>
      <w:tr w:rsidR="00E328BA" w:rsidRPr="0032141C" w:rsidTr="00E328BA">
        <w:trPr>
          <w:trHeight w:val="300"/>
        </w:trPr>
        <w:tc>
          <w:tcPr>
            <w:cnfStyle w:val="001000000000"/>
            <w:tcW w:w="1285" w:type="pct"/>
            <w:noWrap/>
            <w:hideMark/>
          </w:tcPr>
          <w:p w:rsidR="00E328BA" w:rsidRPr="0032141C" w:rsidRDefault="00E328BA" w:rsidP="00E328BA">
            <w:pPr>
              <w:spacing w:after="0" w:line="220" w:lineRule="exact"/>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Number of events (Q90)</w:t>
            </w:r>
          </w:p>
        </w:tc>
        <w:tc>
          <w:tcPr>
            <w:tcW w:w="673"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57</w:t>
            </w:r>
          </w:p>
        </w:tc>
        <w:tc>
          <w:tcPr>
            <w:tcW w:w="702"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57</w:t>
            </w:r>
          </w:p>
        </w:tc>
        <w:tc>
          <w:tcPr>
            <w:tcW w:w="181" w:type="pct"/>
          </w:tcPr>
          <w:p w:rsidR="00E328BA" w:rsidRPr="0032141C" w:rsidRDefault="00E328BA" w:rsidP="00E328BA">
            <w:pPr>
              <w:spacing w:after="0" w:line="220" w:lineRule="exact"/>
              <w:jc w:val="right"/>
              <w:cnfStyle w:val="000000000000"/>
              <w:rPr>
                <w:rFonts w:eastAsia="Times New Roman"/>
                <w:color w:val="000000"/>
                <w:sz w:val="20"/>
              </w:rPr>
            </w:pPr>
          </w:p>
        </w:tc>
        <w:tc>
          <w:tcPr>
            <w:tcW w:w="64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57</w:t>
            </w:r>
          </w:p>
        </w:tc>
        <w:tc>
          <w:tcPr>
            <w:tcW w:w="75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57</w:t>
            </w:r>
          </w:p>
        </w:tc>
        <w:tc>
          <w:tcPr>
            <w:tcW w:w="767"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39</w:t>
            </w:r>
          </w:p>
        </w:tc>
      </w:tr>
      <w:tr w:rsidR="00E328BA" w:rsidRPr="0032141C" w:rsidTr="00E328BA">
        <w:trPr>
          <w:trHeight w:val="300"/>
        </w:trPr>
        <w:tc>
          <w:tcPr>
            <w:cnfStyle w:val="001000000000"/>
            <w:tcW w:w="1285" w:type="pct"/>
            <w:noWrap/>
            <w:hideMark/>
          </w:tcPr>
          <w:p w:rsidR="00E328BA" w:rsidRPr="0032141C" w:rsidRDefault="00E328BA" w:rsidP="00E328BA">
            <w:pPr>
              <w:spacing w:after="0" w:line="220" w:lineRule="exact"/>
              <w:rPr>
                <w:rFonts w:ascii="Calibri" w:eastAsia="Times New Roman" w:hAnsi="Calibri" w:cs="Times New Roman"/>
                <w:color w:val="000000"/>
                <w:sz w:val="20"/>
                <w:szCs w:val="20"/>
              </w:rPr>
            </w:pPr>
            <w:r>
              <w:rPr>
                <w:rFonts w:ascii="Calibri" w:eastAsia="Times New Roman" w:hAnsi="Calibri" w:cs="Times New Roman"/>
                <w:color w:val="000000"/>
                <w:sz w:val="20"/>
                <w:szCs w:val="20"/>
              </w:rPr>
              <w:t>2-year ARI flow (ML</w:t>
            </w:r>
            <w:r w:rsidRPr="0032141C">
              <w:rPr>
                <w:rFonts w:ascii="Calibri" w:eastAsia="Times New Roman" w:hAnsi="Calibri" w:cs="Times New Roman"/>
                <w:color w:val="000000"/>
                <w:sz w:val="20"/>
                <w:szCs w:val="20"/>
              </w:rPr>
              <w:t>/day)</w:t>
            </w:r>
          </w:p>
        </w:tc>
        <w:tc>
          <w:tcPr>
            <w:tcW w:w="673"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52008</w:t>
            </w:r>
          </w:p>
        </w:tc>
        <w:tc>
          <w:tcPr>
            <w:tcW w:w="702"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28071</w:t>
            </w:r>
          </w:p>
        </w:tc>
        <w:tc>
          <w:tcPr>
            <w:tcW w:w="181" w:type="pct"/>
          </w:tcPr>
          <w:p w:rsidR="00E328BA" w:rsidRPr="0032141C" w:rsidRDefault="00E328BA" w:rsidP="00E328BA">
            <w:pPr>
              <w:spacing w:after="0" w:line="220" w:lineRule="exact"/>
              <w:jc w:val="right"/>
              <w:cnfStyle w:val="000000000000"/>
              <w:rPr>
                <w:rFonts w:eastAsia="Times New Roman"/>
                <w:color w:val="000000"/>
                <w:sz w:val="20"/>
              </w:rPr>
            </w:pPr>
          </w:p>
        </w:tc>
        <w:tc>
          <w:tcPr>
            <w:tcW w:w="64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35109</w:t>
            </w:r>
          </w:p>
        </w:tc>
        <w:tc>
          <w:tcPr>
            <w:tcW w:w="75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18306</w:t>
            </w:r>
          </w:p>
        </w:tc>
        <w:tc>
          <w:tcPr>
            <w:tcW w:w="767"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Pr>
                <w:rFonts w:ascii="Calibri" w:eastAsia="Times New Roman" w:hAnsi="Calibri" w:cs="Times New Roman"/>
                <w:color w:val="000000"/>
                <w:sz w:val="20"/>
                <w:szCs w:val="20"/>
              </w:rPr>
              <w:t>18833</w:t>
            </w:r>
          </w:p>
        </w:tc>
      </w:tr>
      <w:tr w:rsidR="00E328BA" w:rsidRPr="0032141C" w:rsidTr="00E328BA">
        <w:trPr>
          <w:trHeight w:val="300"/>
        </w:trPr>
        <w:tc>
          <w:tcPr>
            <w:cnfStyle w:val="001000000000"/>
            <w:tcW w:w="1285" w:type="pct"/>
            <w:noWrap/>
            <w:hideMark/>
          </w:tcPr>
          <w:p w:rsidR="00E328BA" w:rsidRPr="0032141C" w:rsidRDefault="00E328BA" w:rsidP="00E328BA">
            <w:pPr>
              <w:spacing w:after="0" w:line="220" w:lineRule="exact"/>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2year ARI flood average duration (days)</w:t>
            </w:r>
          </w:p>
        </w:tc>
        <w:tc>
          <w:tcPr>
            <w:tcW w:w="673"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14</w:t>
            </w:r>
          </w:p>
        </w:tc>
        <w:tc>
          <w:tcPr>
            <w:tcW w:w="702"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29</w:t>
            </w:r>
          </w:p>
        </w:tc>
        <w:tc>
          <w:tcPr>
            <w:tcW w:w="181" w:type="pct"/>
          </w:tcPr>
          <w:p w:rsidR="00E328BA" w:rsidRPr="0032141C" w:rsidRDefault="00E328BA" w:rsidP="00E328BA">
            <w:pPr>
              <w:spacing w:after="0" w:line="220" w:lineRule="exact"/>
              <w:jc w:val="right"/>
              <w:cnfStyle w:val="000000000000"/>
              <w:rPr>
                <w:rFonts w:eastAsia="Times New Roman"/>
                <w:color w:val="000000"/>
                <w:sz w:val="20"/>
              </w:rPr>
            </w:pPr>
          </w:p>
        </w:tc>
        <w:tc>
          <w:tcPr>
            <w:tcW w:w="64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14</w:t>
            </w:r>
          </w:p>
        </w:tc>
        <w:tc>
          <w:tcPr>
            <w:tcW w:w="751"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28</w:t>
            </w:r>
          </w:p>
        </w:tc>
        <w:tc>
          <w:tcPr>
            <w:tcW w:w="767" w:type="pct"/>
            <w:noWrap/>
            <w:hideMark/>
          </w:tcPr>
          <w:p w:rsidR="00E328BA" w:rsidRPr="0032141C" w:rsidRDefault="00E328BA" w:rsidP="00E328BA">
            <w:pPr>
              <w:spacing w:after="0" w:line="220" w:lineRule="exact"/>
              <w:jc w:val="right"/>
              <w:cnfStyle w:val="000000000000"/>
              <w:rPr>
                <w:rFonts w:ascii="Calibri" w:eastAsia="Times New Roman" w:hAnsi="Calibri" w:cs="Times New Roman"/>
                <w:color w:val="000000"/>
                <w:sz w:val="20"/>
                <w:szCs w:val="20"/>
              </w:rPr>
            </w:pPr>
            <w:r w:rsidRPr="0032141C">
              <w:rPr>
                <w:rFonts w:ascii="Calibri" w:eastAsia="Times New Roman" w:hAnsi="Calibri" w:cs="Times New Roman"/>
                <w:color w:val="000000"/>
                <w:sz w:val="20"/>
                <w:szCs w:val="20"/>
              </w:rPr>
              <w:t>25</w:t>
            </w:r>
          </w:p>
        </w:tc>
      </w:tr>
    </w:tbl>
    <w:p w:rsidR="009D20FA" w:rsidRDefault="00E328BA" w:rsidP="009D20FA">
      <w:pPr>
        <w:pStyle w:val="FootnoteText"/>
        <w:rPr>
          <w:sz w:val="18"/>
          <w:szCs w:val="18"/>
        </w:rPr>
      </w:pPr>
      <w:r w:rsidRPr="00E328BA">
        <w:rPr>
          <w:sz w:val="18"/>
          <w:szCs w:val="18"/>
          <w:vertAlign w:val="superscript"/>
        </w:rPr>
        <w:t>1</w:t>
      </w:r>
      <w:r w:rsidRPr="00E328BA">
        <w:rPr>
          <w:sz w:val="18"/>
          <w:szCs w:val="18"/>
        </w:rPr>
        <w:t xml:space="preserve"> </w:t>
      </w:r>
      <w:r w:rsidR="009D20FA">
        <w:rPr>
          <w:sz w:val="18"/>
          <w:szCs w:val="18"/>
        </w:rPr>
        <w:t xml:space="preserve">Modelled output for </w:t>
      </w:r>
      <w:r w:rsidR="009D20FA" w:rsidRPr="00E328BA">
        <w:rPr>
          <w:sz w:val="18"/>
          <w:szCs w:val="18"/>
        </w:rPr>
        <w:t>the period 1895 – 2008. (</w:t>
      </w:r>
      <w:r w:rsidR="009D20FA">
        <w:rPr>
          <w:sz w:val="18"/>
          <w:szCs w:val="18"/>
        </w:rPr>
        <w:t>Pre-development represents no infrastructure or diversions, Post-development represents</w:t>
      </w:r>
      <w:r w:rsidR="009D20FA" w:rsidRPr="00E328BA">
        <w:rPr>
          <w:sz w:val="18"/>
          <w:szCs w:val="18"/>
        </w:rPr>
        <w:t xml:space="preserve"> </w:t>
      </w:r>
      <w:r w:rsidR="009D20FA">
        <w:rPr>
          <w:sz w:val="18"/>
          <w:szCs w:val="18"/>
        </w:rPr>
        <w:t>current infrastructure and all licenced diversions applied over the full period</w:t>
      </w:r>
      <w:r w:rsidR="009D20FA" w:rsidRPr="00E328BA">
        <w:rPr>
          <w:sz w:val="18"/>
          <w:szCs w:val="18"/>
        </w:rPr>
        <w:t>)</w:t>
      </w:r>
      <w:r w:rsidR="009D20FA">
        <w:rPr>
          <w:sz w:val="18"/>
          <w:szCs w:val="18"/>
        </w:rPr>
        <w:t xml:space="preserve">. </w:t>
      </w:r>
      <w:r w:rsidR="009D20FA" w:rsidRPr="00E328BA">
        <w:rPr>
          <w:sz w:val="18"/>
          <w:szCs w:val="18"/>
          <w:vertAlign w:val="superscript"/>
        </w:rPr>
        <w:t>2</w:t>
      </w:r>
      <w:r w:rsidR="009D20FA" w:rsidRPr="00E328BA">
        <w:rPr>
          <w:sz w:val="18"/>
          <w:szCs w:val="18"/>
        </w:rPr>
        <w:t xml:space="preserve"> </w:t>
      </w:r>
      <w:r w:rsidR="009D20FA">
        <w:rPr>
          <w:sz w:val="18"/>
          <w:szCs w:val="18"/>
        </w:rPr>
        <w:t>Observed data from Stevens Weir for the period 1936-2015.</w:t>
      </w:r>
    </w:p>
    <w:p w:rsidR="00EF2A11" w:rsidRDefault="00EF2A11" w:rsidP="00EF2A11">
      <w:pPr>
        <w:spacing w:after="0" w:line="240" w:lineRule="auto"/>
      </w:pPr>
      <w:r>
        <w:rPr>
          <w:noProof/>
          <w:lang w:eastAsia="en-AU"/>
        </w:rPr>
        <w:drawing>
          <wp:inline distT="0" distB="0" distL="0" distR="0">
            <wp:extent cx="7608550" cy="2376000"/>
            <wp:effectExtent l="0" t="0" r="0" b="5715"/>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7608550" cy="2376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F2A11" w:rsidRPr="00EA207A" w:rsidRDefault="00EF2A11" w:rsidP="00AC61FE">
      <w:pPr>
        <w:pStyle w:val="TableofFigures"/>
      </w:pPr>
      <w:bookmarkStart w:id="21" w:name="_Ref303451114"/>
      <w:bookmarkStart w:id="22" w:name="_Ref303451109"/>
      <w:bookmarkStart w:id="23" w:name="_Toc450164283"/>
      <w:r w:rsidRPr="00EA207A">
        <w:t xml:space="preserve">Figure </w:t>
      </w:r>
      <w:bookmarkEnd w:id="21"/>
      <w:r w:rsidRPr="00EA207A">
        <w:t xml:space="preserve">1.3. </w:t>
      </w:r>
      <w:r w:rsidRPr="00AC61FE">
        <w:rPr>
          <w:b w:val="0"/>
        </w:rPr>
        <w:t>Time series plot of flows at Deniliquin.</w:t>
      </w:r>
      <w:bookmarkEnd w:id="22"/>
      <w:bookmarkEnd w:id="23"/>
    </w:p>
    <w:p w:rsidR="00EF2A11" w:rsidRDefault="00EF2A11" w:rsidP="00EF2A11">
      <w:pPr>
        <w:spacing w:after="0" w:line="240" w:lineRule="auto"/>
      </w:pPr>
      <w:r>
        <w:rPr>
          <w:noProof/>
          <w:lang w:eastAsia="en-AU"/>
        </w:rPr>
        <w:drawing>
          <wp:inline distT="0" distB="0" distL="0" distR="0">
            <wp:extent cx="7721998" cy="2376000"/>
            <wp:effectExtent l="0" t="0" r="0" b="5715"/>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7721998" cy="2376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F2A11" w:rsidRPr="00EA207A" w:rsidRDefault="00EF2A11" w:rsidP="00AC61FE">
      <w:pPr>
        <w:pStyle w:val="TableofFigures"/>
      </w:pPr>
      <w:bookmarkStart w:id="24" w:name="_Ref303451117"/>
      <w:bookmarkStart w:id="25" w:name="_Toc450164284"/>
      <w:r w:rsidRPr="005F0447">
        <w:t xml:space="preserve">Figure </w:t>
      </w:r>
      <w:bookmarkEnd w:id="24"/>
      <w:r w:rsidRPr="005F0447">
        <w:t xml:space="preserve">1.4. </w:t>
      </w:r>
      <w:r w:rsidRPr="00AC61FE">
        <w:rPr>
          <w:b w:val="0"/>
        </w:rPr>
        <w:t>Time series plot of flow at Stevens Weir</w:t>
      </w:r>
      <w:r w:rsidRPr="00EA207A">
        <w:t>.</w:t>
      </w:r>
      <w:bookmarkEnd w:id="25"/>
    </w:p>
    <w:p w:rsidR="00133CFD" w:rsidRPr="00E328BA" w:rsidRDefault="00133CFD" w:rsidP="00E328BA">
      <w:pPr>
        <w:pStyle w:val="FootnoteText"/>
        <w:rPr>
          <w:sz w:val="18"/>
          <w:szCs w:val="18"/>
        </w:rPr>
        <w:sectPr w:rsidR="00133CFD" w:rsidRPr="00E328BA" w:rsidSect="00B66188">
          <w:pgSz w:w="16840" w:h="11900" w:orient="landscape"/>
          <w:pgMar w:top="1800" w:right="1440" w:bottom="1800" w:left="1440" w:header="708" w:footer="708" w:gutter="0"/>
          <w:cols w:space="708"/>
          <w:docGrid w:linePitch="360"/>
        </w:sectPr>
      </w:pPr>
    </w:p>
    <w:p w:rsidR="0007224D" w:rsidRDefault="0007224D" w:rsidP="00A11665">
      <w:pPr>
        <w:spacing w:after="240"/>
        <w:jc w:val="left"/>
      </w:pPr>
      <w:r>
        <w:t>When examined on a monthly basis, it is apparent that natural flows are strongly seasonal, with high flow</w:t>
      </w:r>
      <w:r w:rsidR="001D2113">
        <w:t xml:space="preserve">s occurring typically from July to </w:t>
      </w:r>
      <w:r>
        <w:t xml:space="preserve">November (Figure </w:t>
      </w:r>
      <w:r w:rsidR="005C540E">
        <w:t>1.</w:t>
      </w:r>
      <w:r w:rsidR="001B56A7">
        <w:t xml:space="preserve">5, Figure </w:t>
      </w:r>
      <w:r w:rsidR="005C540E">
        <w:t>1.</w:t>
      </w:r>
      <w:r w:rsidR="001B56A7">
        <w:t>6</w:t>
      </w:r>
      <w:r>
        <w:t>). Flow regulation has been associated with a marked reduction in winter high flows, including both extreme high flow events, but also average daily flows during the winter period (</w:t>
      </w:r>
      <w:fldSimple w:instr=" REF _Ref303449822 \h  \* MERGEFORMAT ">
        <w:r w:rsidR="0097684C" w:rsidRPr="005F0447">
          <w:t>Table 1.</w:t>
        </w:r>
        <w:r w:rsidR="0097684C">
          <w:t>3</w:t>
        </w:r>
      </w:fldSimple>
      <w:r>
        <w:t xml:space="preserve">, </w:t>
      </w:r>
      <w:r w:rsidR="00E540DE">
        <w:t>Figure</w:t>
      </w:r>
      <w:r w:rsidR="001B56A7">
        <w:t xml:space="preserve"> </w:t>
      </w:r>
      <w:r w:rsidR="005C540E">
        <w:t>1.</w:t>
      </w:r>
      <w:r w:rsidR="001B56A7">
        <w:t xml:space="preserve">5, </w:t>
      </w:r>
      <w:proofErr w:type="gramStart"/>
      <w:r w:rsidR="001B56A7">
        <w:t>Figure</w:t>
      </w:r>
      <w:proofErr w:type="gramEnd"/>
      <w:r w:rsidR="001B56A7">
        <w:t xml:space="preserve"> </w:t>
      </w:r>
      <w:r w:rsidR="005C540E">
        <w:t>1.</w:t>
      </w:r>
      <w:r w:rsidR="001B56A7">
        <w:t>6</w:t>
      </w:r>
      <w:r>
        <w:t>). In addition, there has been an increase in daily flows during the low-flow months (Janu</w:t>
      </w:r>
      <w:r w:rsidR="00C909E6">
        <w:t xml:space="preserve">ary to </w:t>
      </w:r>
      <w:r>
        <w:t>March), although these appear to be more pronounced at Deniliquin than at</w:t>
      </w:r>
      <w:r w:rsidRPr="00E540DE">
        <w:rPr>
          <w:rFonts w:asciiTheme="minorHAnsi" w:hAnsiTheme="minorHAnsi"/>
        </w:rPr>
        <w:t xml:space="preserve"> Stevens Weir </w:t>
      </w:r>
      <w:r w:rsidR="00E540DE" w:rsidRPr="00E540DE">
        <w:rPr>
          <w:rFonts w:asciiTheme="minorHAnsi" w:hAnsiTheme="minorHAnsi"/>
        </w:rPr>
        <w:t xml:space="preserve">(Figure </w:t>
      </w:r>
      <w:r w:rsidR="005C540E">
        <w:rPr>
          <w:rFonts w:asciiTheme="minorHAnsi" w:hAnsiTheme="minorHAnsi"/>
        </w:rPr>
        <w:t>1.</w:t>
      </w:r>
      <w:r w:rsidR="001B56A7">
        <w:rPr>
          <w:rFonts w:asciiTheme="minorHAnsi" w:hAnsiTheme="minorHAnsi"/>
        </w:rPr>
        <w:t xml:space="preserve">5, Figure </w:t>
      </w:r>
      <w:r w:rsidR="005C540E">
        <w:rPr>
          <w:rFonts w:asciiTheme="minorHAnsi" w:hAnsiTheme="minorHAnsi"/>
        </w:rPr>
        <w:t>1.</w:t>
      </w:r>
      <w:r w:rsidR="001B56A7">
        <w:rPr>
          <w:rFonts w:asciiTheme="minorHAnsi" w:hAnsiTheme="minorHAnsi"/>
        </w:rPr>
        <w:t>6</w:t>
      </w:r>
      <w:r w:rsidR="00E540DE" w:rsidRPr="00E540DE">
        <w:rPr>
          <w:rFonts w:asciiTheme="minorHAnsi" w:hAnsiTheme="minorHAnsi"/>
        </w:rPr>
        <w:t xml:space="preserve">). </w:t>
      </w:r>
      <w:r w:rsidRPr="00E540DE">
        <w:rPr>
          <w:rFonts w:asciiTheme="minorHAnsi" w:hAnsiTheme="minorHAnsi"/>
        </w:rPr>
        <w:t xml:space="preserve">These flow changes reflect the typical effects of flow-regime reversal observed in systems used to deliver dry-season irrigation flows </w:t>
      </w:r>
      <w:r w:rsidR="00F671D2" w:rsidRPr="00E540DE">
        <w:rPr>
          <w:rFonts w:asciiTheme="minorHAnsi" w:hAnsiTheme="minorHAnsi"/>
        </w:rPr>
        <w:fldChar w:fldCharType="begin"/>
      </w:r>
      <w:r w:rsidRPr="00E540DE">
        <w:rPr>
          <w:rFonts w:asciiTheme="minorHAnsi" w:hAnsiTheme="minorHAnsi"/>
        </w:rPr>
        <w:instrText xml:space="preserve"> ADDIN PAPERS2_CITATIONS &lt;citation&gt;&lt;uuid&gt;DC1DAE68-16FB-4128-83B3-D6153C9FE878&lt;/uuid&gt;&lt;priority&gt;0&lt;/priority&gt;&lt;publications&gt;&lt;publication&gt;&lt;type&gt;400&lt;/type&gt;&lt;publication_date&gt;99200300001200000000200000&lt;/publication_date&gt;&lt;title&gt;Droughts and anti-droughts: the low flow hydrology of Australian rivers&lt;/title&gt;&lt;url&gt;http://www.southwestnrm.org.au/sites/default/files/uploads/ihub/mcmahon-ta-finlayson-bl-2003droughts-and-anti-droughts-t.pdf&lt;/url&gt;&lt;subtype&gt;400&lt;/subtype&gt;&lt;uuid&gt;FF37229A-B3A7-41DD-A39A-1189FEA2AD9C&lt;/uuid&gt;&lt;bundle&gt;&lt;publication&gt;&lt;publisher&gt;Wiley Online Library&lt;/publisher&gt;&lt;url&gt;http://onlinelibrary.wiley.com&lt;/url&gt;&lt;title&gt;Freshwater Biology&lt;/title&gt;&lt;type&gt;-100&lt;/type&gt;&lt;subtype&gt;-100&lt;/subtype&gt;&lt;uuid&gt;0067BDEE-665B-4F92-A434-0AFD87812E86&lt;/uuid&gt;&lt;/publication&gt;&lt;/bundle&gt;&lt;authors&gt;&lt;author&gt;&lt;firstName&gt;T&lt;/firstName&gt;&lt;middleNames&gt;A&lt;/middleNames&gt;&lt;lastName&gt;McMahon&lt;/lastName&gt;&lt;/author&gt;&lt;/authors&gt;&lt;/publication&gt;&lt;publication&gt;&lt;volume&gt;10&lt;/volume&gt;&lt;publication_date&gt;99199504001200000000220000&lt;/publication_date&gt;&lt;number&gt;1&lt;/number&gt;&lt;doi&gt;10.1002/rrr.3450100103&lt;/doi&gt;&lt;startpage&gt;15&lt;/startpage&gt;&lt;title&gt;Effects of regulation on the flow regime of the river Murray, Australia&lt;/title&gt;&lt;uuid&gt;C21E0355-0889-49DA-BB76-83A950CA99C4&lt;/uuid&gt;&lt;subtype&gt;400&lt;/subtype&gt;&lt;endpage&gt;38&lt;/endpage&gt;&lt;type&gt;400&lt;/type&gt;&lt;url&gt;http://doi.wiley.com/10.1002/rrr.3450100103&lt;/url&gt;&lt;bundle&gt;&lt;publication&gt;&lt;url&gt;http://onlinelibrary.wiley.com&lt;/url&gt;&lt;title&gt;Regulated Rivers Research and Management&lt;/title&gt;&lt;type&gt;-100&lt;/type&gt;&lt;subtype&gt;-100&lt;/subtype&gt;&lt;uuid&gt;B4C7CC9F-D880-4BBD-9D24-FF2437683DD6&lt;/uuid&gt;&lt;/publication&gt;&lt;/bundle&gt;&lt;authors&gt;&lt;author&gt;&lt;firstName&gt;B&lt;/firstName&gt;&lt;middleNames&gt;L&lt;/middleNames&gt;&lt;lastName&gt;Maheshwari&lt;/lastName&gt;&lt;/author&gt;&lt;author&gt;&lt;firstName&gt;Keith&lt;/firstName&gt;&lt;middleNames&gt;F&lt;/middleNames&gt;&lt;lastName&gt;Walker&lt;/lastName&gt;&lt;/author&gt;&lt;author&gt;&lt;firstName&gt;T&lt;/firstName&gt;&lt;middleNames&gt;A&lt;/middleNames&gt;&lt;lastName&gt;McMahon&lt;/lastName&gt;&lt;/author&gt;&lt;/authors&gt;&lt;/publication&gt;&lt;/publications&gt;&lt;cites&gt;&lt;/cites&gt;&lt;/citation&gt;</w:instrText>
      </w:r>
      <w:r w:rsidR="00F671D2" w:rsidRPr="00E540DE">
        <w:rPr>
          <w:rFonts w:asciiTheme="minorHAnsi" w:hAnsiTheme="minorHAnsi"/>
        </w:rPr>
        <w:fldChar w:fldCharType="separate"/>
      </w:r>
      <w:r w:rsidRPr="00E540DE">
        <w:rPr>
          <w:rFonts w:asciiTheme="minorHAnsi" w:hAnsiTheme="minorHAnsi" w:cs="Cambria"/>
          <w:lang w:val="en-US"/>
        </w:rPr>
        <w:t>(Maheshwari et al. 1995, McMahon 2003)</w:t>
      </w:r>
      <w:r w:rsidR="00F671D2" w:rsidRPr="00E540DE">
        <w:rPr>
          <w:rFonts w:asciiTheme="minorHAnsi" w:hAnsiTheme="minorHAnsi"/>
        </w:rPr>
        <w:fldChar w:fldCharType="end"/>
      </w:r>
      <w:r w:rsidR="00E540DE">
        <w:rPr>
          <w:rFonts w:asciiTheme="minorHAnsi" w:hAnsiTheme="minorHAnsi"/>
        </w:rPr>
        <w:t>. This</w:t>
      </w:r>
      <w:r w:rsidRPr="00E540DE">
        <w:rPr>
          <w:rFonts w:asciiTheme="minorHAnsi" w:hAnsiTheme="minorHAnsi"/>
        </w:rPr>
        <w:t xml:space="preserve"> can</w:t>
      </w:r>
      <w:r>
        <w:t xml:space="preserve"> also be observed in the flow-duration curves, which also show an elevated frequency of low to median flows and reduced frequency of moderate </w:t>
      </w:r>
      <w:r w:rsidR="00E540DE">
        <w:t>high flows. T</w:t>
      </w:r>
      <w:r>
        <w:t>hese effects are more apparent at Deniliquin than Stevens Weir (</w:t>
      </w:r>
      <w:r w:rsidR="00E540DE">
        <w:t xml:space="preserve">Figure </w:t>
      </w:r>
      <w:r w:rsidR="005C540E">
        <w:t>1.</w:t>
      </w:r>
      <w:r w:rsidR="001B56A7">
        <w:t>7</w:t>
      </w:r>
      <w:r w:rsidR="00E540DE">
        <w:t>,</w:t>
      </w:r>
      <w:r w:rsidR="001B56A7">
        <w:t xml:space="preserve"> Figure </w:t>
      </w:r>
      <w:r w:rsidR="005C540E">
        <w:t>1.</w:t>
      </w:r>
      <w:r w:rsidR="001B56A7">
        <w:t>8</w:t>
      </w:r>
      <w:r>
        <w:t>)</w:t>
      </w:r>
      <w:r w:rsidR="0054605C">
        <w:t>, as expected due to given the location of several river offtakes and the location of the Wakool Canal upstream of Steven’s Weir.</w:t>
      </w:r>
    </w:p>
    <w:p w:rsidR="0054605C" w:rsidRDefault="0054605C" w:rsidP="00A11665">
      <w:pPr>
        <w:spacing w:after="240"/>
        <w:jc w:val="left"/>
      </w:pPr>
      <w:r>
        <w:t>How hydrologic changes manifest themselves at individual sites depends on the interactions between hydrology and channel-geometry (cross-sectional area, slope etc.)</w:t>
      </w:r>
      <w:r w:rsidR="00BC700B">
        <w:t xml:space="preserve"> and in-stream attributes (e.g. wood and aquatic vegetation)</w:t>
      </w:r>
      <w:r>
        <w:t xml:space="preserve">, which </w:t>
      </w:r>
      <w:r w:rsidR="00BC700B">
        <w:t>influence</w:t>
      </w:r>
      <w:r>
        <w:t xml:space="preserve"> both the in-channel hydraulic environment, and also the frequency of inundation of both in-channel features and the floodplain proper. While no hydraulic analyses have been undertaken thus far, changes in high flow magnitudes indicate potentially large-scale changes in the extent to which flows in the Edward River now interact with floodplain features such as riparian vegetation. For example, the 2-year ARI (average return interval) flow (often used as indicative of the approximate natural bankfull discharge) has been roughly halved at both sites under the current development scenario (</w:t>
      </w:r>
      <w:fldSimple w:instr=" REF _Ref303449822 \h  \* MERGEFORMAT ">
        <w:r w:rsidR="0097684C" w:rsidRPr="005F0447">
          <w:t>Table 1.</w:t>
        </w:r>
        <w:r w:rsidR="0097684C">
          <w:t>3</w:t>
        </w:r>
      </w:fldSimple>
      <w:r>
        <w:t xml:space="preserve">). Such changes have the potential to affect a range of ecosystem processes dependent on lateral floodplain connections </w:t>
      </w:r>
      <w:r w:rsidR="00F671D2">
        <w:fldChar w:fldCharType="begin"/>
      </w:r>
      <w:r>
        <w:instrText xml:space="preserve"> ADDIN PAPERS2_CITATIONS &lt;citation&gt;&lt;uuid&gt;85BF59B5-034A-4CF1-AFF4-631ADC4F229A&lt;/uuid&gt;&lt;priority&gt;0&lt;/priority&gt;&lt;publications&gt;&lt;publication&gt;&lt;volume&gt;106&lt;/volume&gt;&lt;publication_date&gt;99198900001200000000200000&lt;/publication_date&gt;&lt;number&gt;1&lt;/number&gt;&lt;startpage&gt;110&lt;/startpage&gt;&lt;title&gt;The flood pulse concept in river-floodplain systems&lt;/title&gt;&lt;uuid&gt;A68E3BEF-B4B4-478D-A6B3-FD1E8A18CB80&lt;/uuid&gt;&lt;subtype&gt;400&lt;/subtype&gt;&lt;endpage&gt;127&lt;/endpage&gt;&lt;type&gt;400&lt;/type&gt;&lt;url&gt;http://swrcb2.swrcb.ca.gov/waterrights/water_issues/programs/bay_delta/bay_delta_plan/water_quality_control_planning/docs/sjrf_spprtinfo/junk_et_al_1989.pdf&lt;/url&gt;&lt;bundle&gt;&lt;publication&gt;&lt;title&gt;Canadian special publication of fisheries and aquatic sciences&lt;/title&gt;&lt;type&gt;-200&lt;/type&gt;&lt;subtype&gt;-200&lt;/subtype&gt;&lt;uuid&gt;1AC7957F-4469-46C1-BC1B-4D847544FDE3&lt;/uuid&gt;&lt;/publication&gt;&lt;/bundle&gt;&lt;authors&gt;&lt;author&gt;&lt;firstName&gt;Wolfgang&lt;/firstName&gt;&lt;middleNames&gt;J&lt;/middleNames&gt;&lt;lastName&gt;Junk&lt;/lastName&gt;&lt;/author&gt;&lt;author&gt;&lt;firstName&gt;Peter&lt;/firstName&gt;&lt;middleNames&gt;B&lt;/middleNames&gt;&lt;lastName&gt;Bayley&lt;/lastName&gt;&lt;/author&gt;&lt;author&gt;&lt;firstName&gt;Richard&lt;/firstName&gt;&lt;middleNames&gt;E&lt;/middleNames&gt;&lt;lastName&gt;Sparks&lt;/lastName&gt;&lt;/author&gt;&lt;/authors&gt;&lt;/publication&gt;&lt;publication&gt;&lt;uuid&gt;B8B38126-C62F-4CBF-A354-AA06127346B5&lt;/uuid&gt;&lt;volume&gt;Volume 39&lt;/volume&gt;&lt;doi&gt;doi: DOI: 10.1016/S0065-2504(06)39003-4&lt;/doi&gt;&lt;version&gt;Academic Press&lt;/version&gt;&lt;subtitle&gt;Floods in an Arid Continent&lt;/subtitle&gt;&lt;startpage&gt;41&lt;/startpage&gt;&lt;publication_date&gt;99200600001200000000200000&lt;/publication_date&gt;&lt;url&gt;http://www.sciencedirect.com/science/article/B7CT4-4MKKKNX-3/2/74f434c2ed3d7df52d3481117679bf5d&lt;/url&gt;&lt;type&gt;-1000&lt;/type&gt;&lt;title&gt;Floods Down Rivers: From Damaging to Replenishing Forces&lt;/title&gt;&lt;subtype&gt;-1000&lt;/subtype&gt;&lt;endpage&gt;62&lt;/endpage&gt;&lt;bundle&gt;&lt;publication&gt;&lt;subtype&gt;0&lt;/subtype&gt;&lt;type&gt;0&lt;/type&gt;&lt;uuid&gt;1CC38D7A-0428-449A-9A7E-842263BC65E7&lt;/uuid&gt;&lt;/publication&gt;&lt;/bundle&gt;&lt;authors&gt;&lt;author&gt;&lt;firstName&gt;P&lt;/firstName&gt;&lt;middleNames&gt;S&lt;/middleNames&gt;&lt;lastName&gt;Lake&lt;/lastName&gt;&lt;/author&gt;&lt;author&gt;&lt;firstName&gt;N&lt;/firstName&gt;&lt;middleNames&gt;R&lt;/middleNames&gt;&lt;lastName&gt;Bond&lt;/lastName&gt;&lt;/author&gt;&lt;author&gt;&lt;firstName&gt;Paul&lt;/firstName&gt;&lt;lastName&gt;Reich&lt;/lastName&gt;&lt;/author&gt;&lt;/authors&gt;&lt;/publication&gt;&lt;/publications&gt;&lt;cites&gt;&lt;/cites&gt;&lt;/citation&gt;</w:instrText>
      </w:r>
      <w:r w:rsidR="00F671D2">
        <w:fldChar w:fldCharType="separate"/>
      </w:r>
      <w:r w:rsidRPr="0054605C">
        <w:t>(Junk et al. 1989, Lake et al. 2006)</w:t>
      </w:r>
      <w:r w:rsidR="00F671D2">
        <w:fldChar w:fldCharType="end"/>
      </w:r>
      <w:r>
        <w:t>.</w:t>
      </w:r>
    </w:p>
    <w:p w:rsidR="0054605C" w:rsidRDefault="0054605C" w:rsidP="0054605C">
      <w:pPr>
        <w:tabs>
          <w:tab w:val="left" w:pos="9071"/>
        </w:tabs>
        <w:spacing w:after="240"/>
        <w:jc w:val="left"/>
        <w:rPr>
          <w:szCs w:val="22"/>
        </w:rPr>
      </w:pPr>
      <w:r w:rsidRPr="00D40BC7">
        <w:rPr>
          <w:szCs w:val="22"/>
        </w:rPr>
        <w:t xml:space="preserve">River regulation is likely to have altered water velocities, the availability of in-channel habitat types, and ecosystem processes and functions. </w:t>
      </w:r>
      <w:r w:rsidRPr="00D40BC7">
        <w:t>In subsequent project years further work will be done to integrate the hydrologic data summarised here with information on river hydraulics. T</w:t>
      </w:r>
      <w:r w:rsidRPr="00D40BC7">
        <w:rPr>
          <w:szCs w:val="22"/>
        </w:rPr>
        <w:t>here is also a lack of models for the smaller rivers and creeks in the Edward-Wakool system and further investigation of the hydrology of these systems is required.</w:t>
      </w:r>
    </w:p>
    <w:p w:rsidR="0054605C" w:rsidRDefault="0054605C" w:rsidP="0007224D"/>
    <w:p w:rsidR="0007224D" w:rsidRDefault="00BC700B" w:rsidP="00BC700B">
      <w:pPr>
        <w:spacing w:after="120" w:line="240" w:lineRule="auto"/>
      </w:pPr>
      <w:r>
        <w:rPr>
          <w:noProof/>
          <w:lang w:eastAsia="en-AU"/>
        </w:rPr>
        <w:drawing>
          <wp:inline distT="0" distB="0" distL="0" distR="0">
            <wp:extent cx="5403098" cy="1728000"/>
            <wp:effectExtent l="0" t="0" r="7620" b="5715"/>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3098" cy="1728000"/>
                    </a:xfrm>
                    <a:prstGeom prst="rect">
                      <a:avLst/>
                    </a:prstGeom>
                    <a:noFill/>
                  </pic:spPr>
                </pic:pic>
              </a:graphicData>
            </a:graphic>
          </wp:inline>
        </w:drawing>
      </w:r>
    </w:p>
    <w:p w:rsidR="0007224D" w:rsidRDefault="0007224D" w:rsidP="00AC61FE">
      <w:pPr>
        <w:pStyle w:val="TableofFigures"/>
      </w:pPr>
      <w:bookmarkStart w:id="26" w:name="_Ref303451279"/>
      <w:bookmarkStart w:id="27" w:name="_Toc450164285"/>
      <w:r w:rsidRPr="00E540DE">
        <w:t xml:space="preserve">Figure </w:t>
      </w:r>
      <w:bookmarkEnd w:id="26"/>
      <w:r w:rsidR="005C540E">
        <w:t>1.</w:t>
      </w:r>
      <w:r w:rsidR="001B56A7">
        <w:t>5</w:t>
      </w:r>
      <w:r w:rsidRPr="00E540DE">
        <w:t xml:space="preserve">. </w:t>
      </w:r>
      <w:r w:rsidRPr="00AC61FE">
        <w:rPr>
          <w:b w:val="0"/>
        </w:rPr>
        <w:t xml:space="preserve">Boxplots of mean daily flow by month for </w:t>
      </w:r>
      <w:r w:rsidR="004B038C" w:rsidRPr="00AC61FE">
        <w:rPr>
          <w:b w:val="0"/>
        </w:rPr>
        <w:t xml:space="preserve">the Edward River at </w:t>
      </w:r>
      <w:r w:rsidRPr="00AC61FE">
        <w:rPr>
          <w:b w:val="0"/>
        </w:rPr>
        <w:t>Deniliquin.</w:t>
      </w:r>
      <w:bookmarkEnd w:id="27"/>
    </w:p>
    <w:p w:rsidR="00BC700B" w:rsidRPr="00BC700B" w:rsidRDefault="00BC700B" w:rsidP="00BC700B">
      <w:pPr>
        <w:spacing w:after="120" w:line="240" w:lineRule="auto"/>
        <w:rPr>
          <w:sz w:val="20"/>
        </w:rPr>
      </w:pPr>
      <w:r>
        <w:rPr>
          <w:noProof/>
          <w:sz w:val="20"/>
          <w:lang w:eastAsia="en-AU"/>
        </w:rPr>
        <w:drawing>
          <wp:inline distT="0" distB="0" distL="0" distR="0">
            <wp:extent cx="5403098" cy="1728000"/>
            <wp:effectExtent l="0" t="0" r="7620" b="5715"/>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3098" cy="1728000"/>
                    </a:xfrm>
                    <a:prstGeom prst="rect">
                      <a:avLst/>
                    </a:prstGeom>
                    <a:noFill/>
                  </pic:spPr>
                </pic:pic>
              </a:graphicData>
            </a:graphic>
          </wp:inline>
        </w:drawing>
      </w:r>
    </w:p>
    <w:p w:rsidR="0007224D" w:rsidRPr="00AC61FE" w:rsidRDefault="0007224D" w:rsidP="00AC61FE">
      <w:pPr>
        <w:pStyle w:val="TableofFigures"/>
      </w:pPr>
      <w:bookmarkStart w:id="28" w:name="_Ref303451297"/>
      <w:bookmarkStart w:id="29" w:name="_Toc450164286"/>
      <w:r w:rsidRPr="00AC61FE">
        <w:t xml:space="preserve">Figure </w:t>
      </w:r>
      <w:bookmarkEnd w:id="28"/>
      <w:r w:rsidR="005C540E" w:rsidRPr="00AC61FE">
        <w:t>1.</w:t>
      </w:r>
      <w:r w:rsidR="001B56A7" w:rsidRPr="00AC61FE">
        <w:t>6</w:t>
      </w:r>
      <w:r w:rsidR="00E540DE" w:rsidRPr="00AC61FE">
        <w:t xml:space="preserve">. </w:t>
      </w:r>
      <w:r w:rsidRPr="00AC61FE">
        <w:rPr>
          <w:b w:val="0"/>
        </w:rPr>
        <w:t xml:space="preserve">Boxplots of mean daily flows by month for </w:t>
      </w:r>
      <w:r w:rsidR="004B038C" w:rsidRPr="00AC61FE">
        <w:rPr>
          <w:b w:val="0"/>
        </w:rPr>
        <w:t xml:space="preserve">the Edward River at </w:t>
      </w:r>
      <w:r w:rsidRPr="00AC61FE">
        <w:rPr>
          <w:b w:val="0"/>
        </w:rPr>
        <w:t>Stevens Weir.</w:t>
      </w:r>
      <w:bookmarkEnd w:id="29"/>
    </w:p>
    <w:p w:rsidR="00703C7C" w:rsidRPr="00591C2D" w:rsidRDefault="00703C7C" w:rsidP="00703C7C">
      <w:pPr>
        <w:spacing w:after="120" w:line="240" w:lineRule="auto"/>
      </w:pPr>
      <w:r>
        <w:rPr>
          <w:noProof/>
          <w:lang w:eastAsia="en-AU"/>
        </w:rPr>
        <w:drawing>
          <wp:inline distT="0" distB="0" distL="0" distR="0">
            <wp:extent cx="5403098" cy="1728000"/>
            <wp:effectExtent l="0" t="0" r="7620" b="5715"/>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3098" cy="1728000"/>
                    </a:xfrm>
                    <a:prstGeom prst="rect">
                      <a:avLst/>
                    </a:prstGeom>
                    <a:noFill/>
                  </pic:spPr>
                </pic:pic>
              </a:graphicData>
            </a:graphic>
          </wp:inline>
        </w:drawing>
      </w:r>
    </w:p>
    <w:p w:rsidR="0007224D" w:rsidRPr="00EA207A" w:rsidRDefault="0007224D" w:rsidP="008E3E2A">
      <w:pPr>
        <w:pStyle w:val="FigureCaption0"/>
        <w:rPr>
          <w:b w:val="0"/>
        </w:rPr>
      </w:pPr>
      <w:bookmarkStart w:id="30" w:name="_Ref303451831"/>
      <w:bookmarkStart w:id="31" w:name="_Toc450164287"/>
      <w:r w:rsidRPr="00E540DE">
        <w:t xml:space="preserve">Figure </w:t>
      </w:r>
      <w:bookmarkEnd w:id="30"/>
      <w:r w:rsidR="005C540E">
        <w:t>1.</w:t>
      </w:r>
      <w:r w:rsidR="001B56A7">
        <w:t>7</w:t>
      </w:r>
      <w:r w:rsidRPr="00E540DE">
        <w:t xml:space="preserve">. </w:t>
      </w:r>
      <w:r w:rsidRPr="00EA207A">
        <w:rPr>
          <w:b w:val="0"/>
        </w:rPr>
        <w:t>Annual flow duration curve for the Edward River at Deniliquin.</w:t>
      </w:r>
      <w:bookmarkEnd w:id="31"/>
    </w:p>
    <w:p w:rsidR="00703C7C" w:rsidRPr="00E540DE" w:rsidRDefault="00703C7C" w:rsidP="00703C7C">
      <w:pPr>
        <w:spacing w:after="120" w:line="240" w:lineRule="auto"/>
        <w:rPr>
          <w:sz w:val="20"/>
        </w:rPr>
      </w:pPr>
      <w:r>
        <w:rPr>
          <w:noProof/>
          <w:sz w:val="20"/>
          <w:lang w:eastAsia="en-AU"/>
        </w:rPr>
        <w:drawing>
          <wp:inline distT="0" distB="0" distL="0" distR="0">
            <wp:extent cx="5403098" cy="1728000"/>
            <wp:effectExtent l="0" t="0" r="7620" b="5715"/>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3098" cy="1728000"/>
                    </a:xfrm>
                    <a:prstGeom prst="rect">
                      <a:avLst/>
                    </a:prstGeom>
                    <a:noFill/>
                  </pic:spPr>
                </pic:pic>
              </a:graphicData>
            </a:graphic>
          </wp:inline>
        </w:drawing>
      </w:r>
    </w:p>
    <w:p w:rsidR="0007224D" w:rsidRDefault="0007224D" w:rsidP="008E3E2A">
      <w:pPr>
        <w:pStyle w:val="FigureCaption0"/>
      </w:pPr>
      <w:bookmarkStart w:id="32" w:name="_Ref303451834"/>
      <w:bookmarkStart w:id="33" w:name="_Toc450164288"/>
      <w:r w:rsidRPr="00E540DE">
        <w:t xml:space="preserve">Figure </w:t>
      </w:r>
      <w:bookmarkEnd w:id="32"/>
      <w:r w:rsidR="005C540E">
        <w:t>1.</w:t>
      </w:r>
      <w:r w:rsidR="001B56A7">
        <w:t>8</w:t>
      </w:r>
      <w:r w:rsidRPr="00E540DE">
        <w:t>.</w:t>
      </w:r>
      <w:r w:rsidR="00E540DE" w:rsidRPr="00E540DE">
        <w:t xml:space="preserve"> </w:t>
      </w:r>
      <w:r w:rsidRPr="00AC61FE">
        <w:rPr>
          <w:b w:val="0"/>
        </w:rPr>
        <w:t>Annual flow duration curve for the Edward River at Stevens Weir.</w:t>
      </w:r>
      <w:bookmarkEnd w:id="33"/>
    </w:p>
    <w:p w:rsidR="008E3E2A" w:rsidRDefault="008E3E2A">
      <w:pPr>
        <w:spacing w:after="0" w:line="240" w:lineRule="auto"/>
        <w:jc w:val="left"/>
        <w:rPr>
          <w:b/>
          <w:color w:val="4F6228" w:themeColor="accent3" w:themeShade="80"/>
          <w:sz w:val="24"/>
          <w:szCs w:val="24"/>
        </w:rPr>
      </w:pPr>
      <w:bookmarkStart w:id="34" w:name="_Toc334533607"/>
      <w:bookmarkStart w:id="35" w:name="_Toc362347829"/>
      <w:r>
        <w:rPr>
          <w:b/>
          <w:color w:val="4F6228" w:themeColor="accent3" w:themeShade="80"/>
          <w:sz w:val="24"/>
          <w:szCs w:val="24"/>
        </w:rPr>
        <w:br w:type="page"/>
      </w:r>
    </w:p>
    <w:p w:rsidR="00983D5A" w:rsidRPr="00D03270" w:rsidRDefault="00621DEE" w:rsidP="00983D5A">
      <w:pPr>
        <w:rPr>
          <w:b/>
          <w:color w:val="4F6228" w:themeColor="accent3" w:themeShade="80"/>
          <w:sz w:val="24"/>
          <w:szCs w:val="24"/>
        </w:rPr>
      </w:pPr>
      <w:r w:rsidRPr="00D03270">
        <w:rPr>
          <w:b/>
          <w:color w:val="4F6228" w:themeColor="accent3" w:themeShade="80"/>
          <w:sz w:val="24"/>
          <w:szCs w:val="24"/>
        </w:rPr>
        <w:t xml:space="preserve">1.4 </w:t>
      </w:r>
      <w:r w:rsidR="00983D5A" w:rsidRPr="00D03270">
        <w:rPr>
          <w:b/>
          <w:color w:val="4F6228" w:themeColor="accent3" w:themeShade="80"/>
          <w:sz w:val="24"/>
          <w:szCs w:val="24"/>
        </w:rPr>
        <w:t>References</w:t>
      </w:r>
    </w:p>
    <w:p w:rsidR="00983D5A" w:rsidRPr="000D666F" w:rsidRDefault="00983D5A" w:rsidP="00311640">
      <w:pPr>
        <w:spacing w:after="120" w:line="240" w:lineRule="auto"/>
        <w:ind w:left="567" w:hanging="567"/>
        <w:jc w:val="left"/>
        <w:rPr>
          <w:rFonts w:asciiTheme="minorHAnsi" w:hAnsiTheme="minorHAnsi"/>
        </w:rPr>
      </w:pPr>
      <w:r w:rsidRPr="000D666F">
        <w:rPr>
          <w:rFonts w:asciiTheme="minorHAnsi" w:hAnsiTheme="minorHAnsi"/>
        </w:rPr>
        <w:t xml:space="preserve">Bond, N.R. (2014). </w:t>
      </w:r>
      <w:proofErr w:type="gramStart"/>
      <w:r w:rsidRPr="000D666F">
        <w:rPr>
          <w:rFonts w:asciiTheme="minorHAnsi" w:hAnsiTheme="minorHAnsi"/>
        </w:rPr>
        <w:t>hydrostats</w:t>
      </w:r>
      <w:proofErr w:type="gramEnd"/>
      <w:r w:rsidRPr="000D666F">
        <w:rPr>
          <w:rFonts w:asciiTheme="minorHAnsi" w:hAnsiTheme="minorHAnsi"/>
        </w:rPr>
        <w:t xml:space="preserve">: Hydrologic indices for daily time series data. R package version 0.2.3. http://CRAN.R-project.org/package=hydrostats </w:t>
      </w:r>
    </w:p>
    <w:p w:rsidR="000D666F" w:rsidRPr="007411A9" w:rsidRDefault="000D666F" w:rsidP="003116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ind w:left="567" w:hanging="567"/>
        <w:jc w:val="left"/>
        <w:rPr>
          <w:rFonts w:asciiTheme="minorHAnsi" w:hAnsiTheme="minorHAnsi" w:cs="Cambria"/>
          <w:lang w:val="en-US"/>
        </w:rPr>
      </w:pPr>
      <w:r w:rsidRPr="000D666F">
        <w:rPr>
          <w:rFonts w:cs="Calibri"/>
          <w:szCs w:val="22"/>
        </w:rPr>
        <w:t xml:space="preserve">Green, D. (2001) </w:t>
      </w:r>
      <w:proofErr w:type="gramStart"/>
      <w:r w:rsidRPr="000D666F">
        <w:rPr>
          <w:rFonts w:cs="Calibri"/>
          <w:iCs/>
          <w:szCs w:val="22"/>
        </w:rPr>
        <w:t>The</w:t>
      </w:r>
      <w:proofErr w:type="gramEnd"/>
      <w:r w:rsidRPr="000D666F">
        <w:rPr>
          <w:rFonts w:cs="Calibri"/>
          <w:iCs/>
          <w:szCs w:val="22"/>
        </w:rPr>
        <w:t xml:space="preserve"> Edward-Wakool System: River Regulation and Environmental Flows. </w:t>
      </w:r>
      <w:r w:rsidRPr="000D666F">
        <w:rPr>
          <w:rFonts w:cs="Calibri"/>
          <w:szCs w:val="22"/>
        </w:rPr>
        <w:t xml:space="preserve">Department </w:t>
      </w:r>
      <w:r w:rsidRPr="007411A9">
        <w:rPr>
          <w:rFonts w:asciiTheme="minorHAnsi" w:hAnsiTheme="minorHAnsi" w:cs="Cambria"/>
          <w:lang w:val="en-US"/>
        </w:rPr>
        <w:t>of Land and Water Conservation. Unpublished Report.</w:t>
      </w:r>
    </w:p>
    <w:p w:rsidR="007411A9" w:rsidRPr="007411A9" w:rsidRDefault="007411A9" w:rsidP="003116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ind w:left="567" w:hanging="567"/>
        <w:jc w:val="left"/>
        <w:rPr>
          <w:rFonts w:asciiTheme="minorHAnsi" w:hAnsiTheme="minorHAnsi" w:cs="Cambria"/>
          <w:lang w:val="en-US"/>
        </w:rPr>
      </w:pPr>
      <w:r w:rsidRPr="007411A9">
        <w:rPr>
          <w:rFonts w:asciiTheme="minorHAnsi" w:hAnsiTheme="minorHAnsi" w:cs="Cambria"/>
          <w:lang w:val="en-US"/>
        </w:rPr>
        <w:t>Hale and SKM (2011) Environmental Water Delivery: Edward-Wakool. Prepared for Commonwealth Environmental Water, Department of Sustainability, Environment, Water, Population and Communities.</w:t>
      </w:r>
    </w:p>
    <w:p w:rsidR="00983D5A" w:rsidRPr="00C909E6" w:rsidRDefault="00F671D2" w:rsidP="003116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ind w:left="567" w:hanging="567"/>
        <w:jc w:val="left"/>
        <w:rPr>
          <w:rFonts w:asciiTheme="minorHAnsi" w:hAnsiTheme="minorHAnsi" w:cs="Cambria"/>
          <w:lang w:val="en-US"/>
        </w:rPr>
      </w:pPr>
      <w:r w:rsidRPr="001C7328">
        <w:rPr>
          <w:rFonts w:asciiTheme="minorHAnsi" w:hAnsiTheme="minorHAnsi" w:cs="Cambria"/>
          <w:lang w:val="en-US"/>
        </w:rPr>
        <w:fldChar w:fldCharType="begin"/>
      </w:r>
      <w:r w:rsidR="00983D5A" w:rsidRPr="001C7328">
        <w:rPr>
          <w:rFonts w:asciiTheme="minorHAnsi" w:hAnsiTheme="minorHAnsi" w:cs="Cambria"/>
          <w:lang w:val="en-US"/>
        </w:rPr>
        <w:instrText xml:space="preserve"> ADDIN PAPERS2_CITATIONS &lt;papers2_bibliography/&gt;</w:instrText>
      </w:r>
      <w:r w:rsidRPr="001C7328">
        <w:rPr>
          <w:rFonts w:asciiTheme="minorHAnsi" w:hAnsiTheme="minorHAnsi" w:cs="Cambria"/>
          <w:lang w:val="en-US"/>
        </w:rPr>
        <w:fldChar w:fldCharType="separate"/>
      </w:r>
      <w:r w:rsidR="00983D5A" w:rsidRPr="00C909E6">
        <w:rPr>
          <w:rFonts w:asciiTheme="minorHAnsi" w:hAnsiTheme="minorHAnsi" w:cs="Cambria"/>
          <w:lang w:val="en-US"/>
        </w:rPr>
        <w:t xml:space="preserve">Junk, W. J., P. B. Bayley, and R. E. Sparks. 1989. The flood pulse concept in river-floodplain systems. </w:t>
      </w:r>
      <w:r w:rsidR="00983D5A" w:rsidRPr="001C7328">
        <w:rPr>
          <w:rFonts w:asciiTheme="minorHAnsi" w:hAnsiTheme="minorHAnsi" w:cs="Cambria"/>
          <w:lang w:val="en-US"/>
        </w:rPr>
        <w:t>Canadian special publication of fisheries and aquatic sciences</w:t>
      </w:r>
      <w:r w:rsidR="00983D5A" w:rsidRPr="00C909E6">
        <w:rPr>
          <w:rFonts w:asciiTheme="minorHAnsi" w:hAnsiTheme="minorHAnsi" w:cs="Cambria"/>
          <w:lang w:val="en-US"/>
        </w:rPr>
        <w:t xml:space="preserve"> 106:110–127.</w:t>
      </w:r>
    </w:p>
    <w:p w:rsidR="00983D5A" w:rsidRPr="00C909E6" w:rsidRDefault="00983D5A" w:rsidP="003116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ind w:left="567" w:hanging="567"/>
        <w:jc w:val="left"/>
        <w:rPr>
          <w:rFonts w:asciiTheme="minorHAnsi" w:hAnsiTheme="minorHAnsi" w:cs="Cambria"/>
          <w:lang w:val="en-US"/>
        </w:rPr>
      </w:pPr>
      <w:r w:rsidRPr="00C909E6">
        <w:rPr>
          <w:rFonts w:asciiTheme="minorHAnsi" w:hAnsiTheme="minorHAnsi" w:cs="Cambria"/>
          <w:lang w:val="en-US"/>
        </w:rPr>
        <w:t xml:space="preserve">Lake, P. S., N. R. Bond, and P. Reich. 2006. Floods Down Rivers: From Damaging to Replenishing Forces. Pages 41–62 </w:t>
      </w:r>
      <w:r w:rsidRPr="001C7328">
        <w:rPr>
          <w:rFonts w:asciiTheme="minorHAnsi" w:hAnsiTheme="minorHAnsi" w:cs="Cambria"/>
          <w:lang w:val="en-US"/>
        </w:rPr>
        <w:t>in</w:t>
      </w:r>
      <w:r w:rsidRPr="00C909E6">
        <w:rPr>
          <w:rFonts w:asciiTheme="minorHAnsi" w:hAnsiTheme="minorHAnsi" w:cs="Cambria"/>
          <w:lang w:val="en-US"/>
        </w:rPr>
        <w:t xml:space="preserve"> Floods in an Arid Continent. Academic Press.</w:t>
      </w:r>
    </w:p>
    <w:p w:rsidR="00983D5A" w:rsidRPr="00C909E6" w:rsidRDefault="00983D5A" w:rsidP="003116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ind w:left="567" w:hanging="567"/>
        <w:jc w:val="left"/>
        <w:rPr>
          <w:rFonts w:asciiTheme="minorHAnsi" w:hAnsiTheme="minorHAnsi" w:cs="Cambria"/>
          <w:lang w:val="en-US"/>
        </w:rPr>
      </w:pPr>
      <w:r w:rsidRPr="00C909E6">
        <w:rPr>
          <w:rFonts w:asciiTheme="minorHAnsi" w:hAnsiTheme="minorHAnsi" w:cs="Cambria"/>
          <w:lang w:val="en-US"/>
        </w:rPr>
        <w:t>Maheshwari, B. L., K. F. Walker, and T. A. McMahon. 1995. Effects of regulation on the flow regime of the river Murray, Australia. Regulated Rivers Research and Management 10:15–38.</w:t>
      </w:r>
    </w:p>
    <w:p w:rsidR="00983D5A" w:rsidRPr="00C909E6" w:rsidRDefault="00983D5A" w:rsidP="003116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ind w:left="567" w:hanging="567"/>
        <w:jc w:val="left"/>
        <w:rPr>
          <w:rFonts w:asciiTheme="minorHAnsi" w:hAnsiTheme="minorHAnsi" w:cs="Cambria"/>
          <w:lang w:val="en-US"/>
        </w:rPr>
      </w:pPr>
      <w:r w:rsidRPr="00C909E6">
        <w:rPr>
          <w:rFonts w:asciiTheme="minorHAnsi" w:hAnsiTheme="minorHAnsi" w:cs="Cambria"/>
          <w:lang w:val="en-US"/>
        </w:rPr>
        <w:t>McMahon, T. A. 2003. Droughts and anti-droughts: the low flow hydrology of Australian rivers. Freshwater Biology.</w:t>
      </w:r>
    </w:p>
    <w:p w:rsidR="000824D0" w:rsidRPr="001C7328" w:rsidRDefault="00983D5A" w:rsidP="003116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ind w:left="567" w:hanging="567"/>
        <w:jc w:val="left"/>
        <w:rPr>
          <w:rFonts w:asciiTheme="minorHAnsi" w:hAnsiTheme="minorHAnsi" w:cs="Cambria"/>
          <w:lang w:val="en-US"/>
        </w:rPr>
      </w:pPr>
      <w:r w:rsidRPr="001C7328">
        <w:rPr>
          <w:rFonts w:asciiTheme="minorHAnsi" w:hAnsiTheme="minorHAnsi" w:cs="Cambria"/>
          <w:lang w:val="en-US"/>
        </w:rPr>
        <w:t>R Core Team (2015). R: A language and environment for statistical computing. R Foundation for Statistical Computing, Vienna, Austria. URL http://www.R-project.org/.</w:t>
      </w:r>
      <w:r w:rsidR="00F671D2" w:rsidRPr="001C7328">
        <w:rPr>
          <w:rFonts w:asciiTheme="minorHAnsi" w:hAnsiTheme="minorHAnsi" w:cs="Cambria"/>
          <w:lang w:val="en-US"/>
        </w:rPr>
        <w:fldChar w:fldCharType="end"/>
      </w:r>
    </w:p>
    <w:p w:rsidR="001C7328" w:rsidRPr="001C7328" w:rsidRDefault="001C7328" w:rsidP="003116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ind w:left="567" w:hanging="567"/>
        <w:jc w:val="left"/>
        <w:rPr>
          <w:rFonts w:asciiTheme="minorHAnsi" w:hAnsiTheme="minorHAnsi" w:cs="Cambria"/>
          <w:lang w:val="en-US"/>
        </w:rPr>
      </w:pPr>
      <w:r w:rsidRPr="001C7328">
        <w:rPr>
          <w:rFonts w:asciiTheme="minorHAnsi" w:hAnsiTheme="minorHAnsi" w:cs="Cambria"/>
          <w:lang w:val="en-US"/>
        </w:rPr>
        <w:t>Rowland, S. 2004. Overview of the history, fishery, biology and aquaculture of Murray cod (</w:t>
      </w:r>
      <w:r w:rsidRPr="001C7328">
        <w:rPr>
          <w:rFonts w:asciiTheme="minorHAnsi" w:hAnsiTheme="minorHAnsi" w:cs="Cambria"/>
          <w:i/>
          <w:lang w:val="en-US"/>
        </w:rPr>
        <w:t>Maccullochella peelii peelii</w:t>
      </w:r>
      <w:r w:rsidRPr="001C7328">
        <w:rPr>
          <w:rFonts w:asciiTheme="minorHAnsi" w:hAnsiTheme="minorHAnsi" w:cs="Cambria"/>
          <w:lang w:val="en-US"/>
        </w:rPr>
        <w:t>)</w:t>
      </w:r>
      <w:r>
        <w:rPr>
          <w:rFonts w:asciiTheme="minorHAnsi" w:hAnsiTheme="minorHAnsi" w:cs="Cambria"/>
          <w:lang w:val="en-US"/>
        </w:rPr>
        <w:t>. Workshop on Management of Murray cod in the Murray-Darling Basin, Canberra. P 38-61.</w:t>
      </w:r>
    </w:p>
    <w:p w:rsidR="00240FCC" w:rsidRDefault="00240FCC" w:rsidP="00311640">
      <w:pPr>
        <w:pStyle w:val="NoSpacing"/>
        <w:spacing w:after="120"/>
        <w:ind w:left="567" w:hanging="567"/>
        <w:jc w:val="left"/>
        <w:rPr>
          <w:rFonts w:cs="Calibri"/>
          <w:bCs/>
          <w:lang w:eastAsia="en-AU"/>
        </w:rPr>
      </w:pPr>
      <w:r>
        <w:rPr>
          <w:rFonts w:cs="Calibri"/>
          <w:bCs/>
          <w:lang w:eastAsia="en-AU"/>
        </w:rPr>
        <w:t>W</w:t>
      </w:r>
      <w:r w:rsidRPr="00D1256B">
        <w:rPr>
          <w:rFonts w:cs="Calibri"/>
          <w:bCs/>
          <w:lang w:eastAsia="en-AU"/>
        </w:rPr>
        <w:t xml:space="preserve">atts, RJ, Kopf, R.K., Hladyz, S., Grace, M., Thompson, R., McCasker, N., Wassens, S., Howitt, J.A., A. Burns, and Conallin, J. 2013a. Monitoring of ecosystem responses to the delivery of environmental water in the Edward-Wakool system, 2011-2012. Institute for Land, Water and Society, </w:t>
      </w:r>
      <w:r w:rsidRPr="00B54BD6">
        <w:rPr>
          <w:rFonts w:cs="Calibri"/>
          <w:bCs/>
          <w:lang w:eastAsia="en-AU"/>
        </w:rPr>
        <w:t>Charles Sturt University, Report 2. A report to the Commonwealth Environmental Water Office, Canberra, Australia</w:t>
      </w:r>
      <w:r>
        <w:rPr>
          <w:rFonts w:cs="Calibri"/>
          <w:bCs/>
          <w:lang w:eastAsia="en-AU"/>
        </w:rPr>
        <w:t xml:space="preserve"> </w:t>
      </w:r>
    </w:p>
    <w:p w:rsidR="00240FCC" w:rsidRDefault="00240FCC" w:rsidP="00311640">
      <w:pPr>
        <w:spacing w:after="120" w:line="240" w:lineRule="auto"/>
        <w:ind w:left="567" w:hanging="567"/>
        <w:jc w:val="left"/>
        <w:rPr>
          <w:rFonts w:cs="Calibri"/>
          <w:bCs/>
        </w:rPr>
      </w:pPr>
      <w:r w:rsidRPr="00B54BD6">
        <w:rPr>
          <w:rFonts w:cs="Calibri"/>
          <w:bCs/>
        </w:rPr>
        <w:t>Watts, R.J., McCasker, N., Baumgartner, L., Bowen, P., Burns, A., Conallin, A., Dyer, J.G., Grace, M., Healy, S., Howitt, J.A., Kopf, R.K., Wassens, S., Watkins, S., Wooden I. 2013b Monitoring the ecosystem responses to Commonwealth environmental water delivered to the Edward-Wakool river system, 2012-13. Institute for Land, Water and Society, Charles Sturt University, Final Report. Prepared for Commonwealth Environmental Water.</w:t>
      </w:r>
      <w:r>
        <w:rPr>
          <w:rFonts w:cs="Calibri"/>
          <w:bCs/>
        </w:rPr>
        <w:t xml:space="preserve"> </w:t>
      </w:r>
    </w:p>
    <w:p w:rsidR="00703C7C" w:rsidRDefault="00240FCC" w:rsidP="00311640">
      <w:pPr>
        <w:spacing w:after="120" w:line="240" w:lineRule="auto"/>
        <w:ind w:left="567" w:hanging="567"/>
        <w:jc w:val="left"/>
        <w:rPr>
          <w:rFonts w:cs="Calibri"/>
          <w:bCs/>
        </w:rPr>
      </w:pPr>
      <w:r w:rsidRPr="00DA23B7">
        <w:rPr>
          <w:rFonts w:cs="Calibri"/>
          <w:bCs/>
        </w:rPr>
        <w:t>Watts, R.J., McCasker, N., Thiem, J., Howitt, J.A., Grace, M. Healy, S., Kopf, R.K., Dyer, J.G., Conallin, A., Wooden I., Baumgartner L., Bowen P. 2014. Monitoring the ecosystem responses to Commonwealth environmental water delivered to the Edward-Wakool river system, 2013-14. Institute for Land, Water and Society, Charles Sturt University, Final Report. Prepared for Commonwealth Environmental Water Office.</w:t>
      </w:r>
    </w:p>
    <w:p w:rsidR="00703C7C" w:rsidRPr="00703C7C" w:rsidRDefault="00703C7C" w:rsidP="00311640">
      <w:pPr>
        <w:spacing w:after="0" w:line="240" w:lineRule="auto"/>
        <w:ind w:left="567" w:hanging="567"/>
        <w:jc w:val="left"/>
        <w:rPr>
          <w:rFonts w:cs="Calibri"/>
          <w:bCs/>
        </w:rPr>
      </w:pPr>
      <w:r w:rsidRPr="00703C7C">
        <w:rPr>
          <w:rFonts w:cs="Calibri"/>
          <w:bCs/>
        </w:rPr>
        <w:t>Thoms, M. C., Suter</w:t>
      </w:r>
      <w:r>
        <w:rPr>
          <w:rFonts w:cs="Calibri"/>
          <w:bCs/>
        </w:rPr>
        <w:t xml:space="preserve">, P., </w:t>
      </w:r>
      <w:r w:rsidRPr="00703C7C">
        <w:rPr>
          <w:rFonts w:cs="Calibri"/>
          <w:bCs/>
        </w:rPr>
        <w:t>Roberts</w:t>
      </w:r>
      <w:r>
        <w:rPr>
          <w:rFonts w:cs="Calibri"/>
          <w:bCs/>
        </w:rPr>
        <w:t>, J.</w:t>
      </w:r>
      <w:r w:rsidR="001C38E5">
        <w:rPr>
          <w:rFonts w:cs="Calibri"/>
          <w:bCs/>
        </w:rPr>
        <w:t>, Koehn, J. D.</w:t>
      </w:r>
      <w:r>
        <w:rPr>
          <w:rFonts w:cs="Calibri"/>
          <w:bCs/>
        </w:rPr>
        <w:t xml:space="preserve">, </w:t>
      </w:r>
      <w:r w:rsidRPr="00703C7C">
        <w:rPr>
          <w:rFonts w:cs="Calibri"/>
          <w:bCs/>
        </w:rPr>
        <w:t>Jones,</w:t>
      </w:r>
      <w:r>
        <w:rPr>
          <w:rFonts w:cs="Calibri"/>
          <w:bCs/>
        </w:rPr>
        <w:t xml:space="preserve"> G., </w:t>
      </w:r>
      <w:r w:rsidRPr="00703C7C">
        <w:rPr>
          <w:rFonts w:cs="Calibri"/>
          <w:bCs/>
        </w:rPr>
        <w:t>Hillman</w:t>
      </w:r>
      <w:r>
        <w:rPr>
          <w:rFonts w:cs="Calibri"/>
          <w:bCs/>
        </w:rPr>
        <w:t>, T. J., Close, A.</w:t>
      </w:r>
      <w:r w:rsidRPr="00703C7C">
        <w:rPr>
          <w:rFonts w:cs="Calibri"/>
          <w:bCs/>
        </w:rPr>
        <w:t xml:space="preserve"> (2000). Report of the River Murray scientific panel on environmental flows. River Murray - Dartmouth to Wellington and the Lower Darling River. Murray-Darling Basin Commission, Canberra, Australia. 168 pp.</w:t>
      </w:r>
    </w:p>
    <w:p w:rsidR="00455928" w:rsidRPr="0037096A" w:rsidRDefault="00455928" w:rsidP="00621DEE">
      <w:pPr>
        <w:spacing w:after="120" w:line="240" w:lineRule="auto"/>
        <w:ind w:left="567" w:hanging="567"/>
      </w:pPr>
      <w:r>
        <w:br w:type="page"/>
      </w:r>
    </w:p>
    <w:p w:rsidR="00D63AA1" w:rsidRPr="00981345" w:rsidRDefault="00D63AA1" w:rsidP="00ED6D80">
      <w:pPr>
        <w:pStyle w:val="MurrumH1"/>
      </w:pPr>
      <w:bookmarkStart w:id="36" w:name="_Toc450199547"/>
      <w:r w:rsidRPr="00981345">
        <w:t xml:space="preserve">Commonwealth </w:t>
      </w:r>
      <w:r w:rsidR="000F2AEB" w:rsidRPr="00981345">
        <w:t xml:space="preserve">environmental </w:t>
      </w:r>
      <w:r w:rsidR="009875DA">
        <w:t>water use</w:t>
      </w:r>
      <w:r w:rsidR="00072C97">
        <w:t xml:space="preserve"> </w:t>
      </w:r>
      <w:r w:rsidRPr="00981345">
        <w:t xml:space="preserve">objectives </w:t>
      </w:r>
      <w:bookmarkEnd w:id="34"/>
      <w:bookmarkEnd w:id="35"/>
      <w:r w:rsidR="004E6DF9">
        <w:t>and watering actions in</w:t>
      </w:r>
      <w:r w:rsidR="00EB70F1">
        <w:t xml:space="preserve"> the Edward-W</w:t>
      </w:r>
      <w:r w:rsidR="009875DA">
        <w:t>akool system</w:t>
      </w:r>
      <w:bookmarkEnd w:id="36"/>
      <w:r w:rsidR="004E6DF9">
        <w:t xml:space="preserve"> </w:t>
      </w:r>
    </w:p>
    <w:p w:rsidR="009875DA" w:rsidRDefault="009875DA" w:rsidP="004E6DF9">
      <w:pPr>
        <w:spacing w:after="0"/>
        <w:rPr>
          <w:b/>
          <w:color w:val="4F6228" w:themeColor="accent3" w:themeShade="80"/>
          <w:sz w:val="24"/>
          <w:szCs w:val="24"/>
        </w:rPr>
      </w:pPr>
    </w:p>
    <w:p w:rsidR="005166D1" w:rsidRDefault="005166D1" w:rsidP="00767601">
      <w:pPr>
        <w:autoSpaceDE w:val="0"/>
        <w:autoSpaceDN w:val="0"/>
        <w:adjustRightInd w:val="0"/>
        <w:spacing w:after="240"/>
        <w:rPr>
          <w:b/>
          <w:color w:val="4F6228" w:themeColor="accent3" w:themeShade="80"/>
          <w:sz w:val="24"/>
          <w:szCs w:val="24"/>
        </w:rPr>
      </w:pPr>
      <w:r>
        <w:rPr>
          <w:b/>
          <w:color w:val="4F6228" w:themeColor="accent3" w:themeShade="80"/>
          <w:sz w:val="24"/>
          <w:szCs w:val="24"/>
        </w:rPr>
        <w:t xml:space="preserve">2.1 </w:t>
      </w:r>
      <w:r w:rsidR="002B6186">
        <w:rPr>
          <w:b/>
          <w:color w:val="4F6228" w:themeColor="accent3" w:themeShade="80"/>
          <w:sz w:val="24"/>
          <w:szCs w:val="24"/>
        </w:rPr>
        <w:t xml:space="preserve">Basin </w:t>
      </w:r>
      <w:r w:rsidR="002B6186" w:rsidRPr="002B6186">
        <w:rPr>
          <w:b/>
          <w:color w:val="4F6228" w:themeColor="accent3" w:themeShade="80"/>
          <w:sz w:val="24"/>
          <w:szCs w:val="24"/>
        </w:rPr>
        <w:t>Annual Environmental Watering Priorities</w:t>
      </w:r>
    </w:p>
    <w:p w:rsidR="005166D1" w:rsidRPr="00A7620C" w:rsidRDefault="002B6186" w:rsidP="00A7620C">
      <w:pPr>
        <w:pStyle w:val="Default"/>
        <w:spacing w:after="240" w:line="360" w:lineRule="auto"/>
        <w:rPr>
          <w:rFonts w:ascii="Calibri" w:eastAsia="Calibri" w:hAnsi="Calibri" w:cs="Times New Roman"/>
          <w:color w:val="auto"/>
          <w:sz w:val="22"/>
          <w:szCs w:val="20"/>
          <w:lang w:eastAsia="en-US"/>
        </w:rPr>
      </w:pPr>
      <w:r>
        <w:rPr>
          <w:rFonts w:ascii="Calibri" w:eastAsia="Calibri" w:hAnsi="Calibri" w:cs="Times New Roman"/>
          <w:color w:val="auto"/>
          <w:sz w:val="22"/>
          <w:szCs w:val="20"/>
          <w:lang w:eastAsia="en-US"/>
        </w:rPr>
        <w:t>The 2014-15 Basin A</w:t>
      </w:r>
      <w:r w:rsidR="005166D1" w:rsidRPr="005166D1">
        <w:rPr>
          <w:rFonts w:ascii="Calibri" w:eastAsia="Calibri" w:hAnsi="Calibri" w:cs="Times New Roman"/>
          <w:color w:val="auto"/>
          <w:sz w:val="22"/>
          <w:szCs w:val="20"/>
          <w:lang w:eastAsia="en-US"/>
        </w:rPr>
        <w:t xml:space="preserve">nnual </w:t>
      </w:r>
      <w:r>
        <w:rPr>
          <w:rFonts w:ascii="Calibri" w:eastAsia="Calibri" w:hAnsi="Calibri" w:cs="Times New Roman"/>
          <w:color w:val="auto"/>
          <w:sz w:val="22"/>
          <w:szCs w:val="20"/>
          <w:lang w:eastAsia="en-US"/>
        </w:rPr>
        <w:t>E</w:t>
      </w:r>
      <w:r w:rsidR="005166D1" w:rsidRPr="005166D1">
        <w:rPr>
          <w:rFonts w:ascii="Calibri" w:eastAsia="Calibri" w:hAnsi="Calibri" w:cs="Times New Roman"/>
          <w:color w:val="auto"/>
          <w:sz w:val="22"/>
          <w:szCs w:val="20"/>
          <w:lang w:eastAsia="en-US"/>
        </w:rPr>
        <w:t xml:space="preserve">nvironmental </w:t>
      </w:r>
      <w:r>
        <w:rPr>
          <w:rFonts w:ascii="Calibri" w:eastAsia="Calibri" w:hAnsi="Calibri" w:cs="Times New Roman"/>
          <w:color w:val="auto"/>
          <w:sz w:val="22"/>
          <w:szCs w:val="20"/>
          <w:lang w:eastAsia="en-US"/>
        </w:rPr>
        <w:t>Watering P</w:t>
      </w:r>
      <w:r w:rsidR="005166D1" w:rsidRPr="005166D1">
        <w:rPr>
          <w:rFonts w:ascii="Calibri" w:eastAsia="Calibri" w:hAnsi="Calibri" w:cs="Times New Roman"/>
          <w:color w:val="auto"/>
          <w:sz w:val="22"/>
          <w:szCs w:val="20"/>
          <w:lang w:eastAsia="en-US"/>
        </w:rPr>
        <w:t xml:space="preserve">riorities were set in the context of preceding dry conditions throughout the Basin and an average rainfall outlook for June–August 2014, meaning that the status of the Basin was ‘dry’. The </w:t>
      </w:r>
      <w:r w:rsidR="00C175DB">
        <w:rPr>
          <w:rFonts w:ascii="Calibri" w:eastAsia="Calibri" w:hAnsi="Calibri" w:cs="Times New Roman"/>
          <w:color w:val="auto"/>
          <w:sz w:val="22"/>
          <w:szCs w:val="20"/>
          <w:lang w:eastAsia="en-US"/>
        </w:rPr>
        <w:t xml:space="preserve">Basin </w:t>
      </w:r>
      <w:r w:rsidR="00AB0611" w:rsidRPr="005166D1">
        <w:rPr>
          <w:rFonts w:ascii="Calibri" w:eastAsia="Calibri" w:hAnsi="Calibri" w:cs="Times New Roman"/>
          <w:color w:val="auto"/>
          <w:sz w:val="22"/>
          <w:szCs w:val="20"/>
          <w:lang w:eastAsia="en-US"/>
        </w:rPr>
        <w:t xml:space="preserve">Annual Environmental Watering </w:t>
      </w:r>
      <w:r w:rsidR="005166D1" w:rsidRPr="005166D1">
        <w:rPr>
          <w:rFonts w:ascii="Calibri" w:eastAsia="Calibri" w:hAnsi="Calibri" w:cs="Times New Roman"/>
          <w:color w:val="auto"/>
          <w:sz w:val="22"/>
          <w:szCs w:val="20"/>
          <w:lang w:eastAsia="en-US"/>
        </w:rPr>
        <w:t xml:space="preserve">Priorities for 2014–15 </w:t>
      </w:r>
      <w:r w:rsidR="005166D1">
        <w:rPr>
          <w:rFonts w:ascii="Calibri" w:eastAsia="Calibri" w:hAnsi="Calibri" w:cs="Times New Roman"/>
          <w:color w:val="auto"/>
          <w:sz w:val="22"/>
          <w:szCs w:val="20"/>
          <w:lang w:eastAsia="en-US"/>
        </w:rPr>
        <w:t>were</w:t>
      </w:r>
      <w:r w:rsidR="005166D1" w:rsidRPr="005166D1">
        <w:rPr>
          <w:rFonts w:ascii="Calibri" w:eastAsia="Calibri" w:hAnsi="Calibri" w:cs="Times New Roman"/>
          <w:color w:val="auto"/>
          <w:sz w:val="22"/>
          <w:szCs w:val="20"/>
          <w:lang w:eastAsia="en-US"/>
        </w:rPr>
        <w:t xml:space="preserve"> focussed around three themes: co</w:t>
      </w:r>
      <w:r w:rsidR="00767601" w:rsidRPr="00767601">
        <w:rPr>
          <w:rFonts w:ascii="Calibri" w:eastAsia="Calibri" w:hAnsi="Calibri" w:cs="Times New Roman"/>
          <w:color w:val="auto"/>
          <w:sz w:val="22"/>
          <w:szCs w:val="20"/>
          <w:lang w:eastAsia="en-US"/>
        </w:rPr>
        <w:t>nnecting rivers and floodplains; supporting in-stream functions</w:t>
      </w:r>
      <w:r w:rsidR="002F5A42">
        <w:rPr>
          <w:rFonts w:ascii="Calibri" w:eastAsia="Calibri" w:hAnsi="Calibri" w:cs="Times New Roman"/>
          <w:color w:val="auto"/>
          <w:sz w:val="22"/>
          <w:szCs w:val="20"/>
          <w:lang w:eastAsia="en-US"/>
        </w:rPr>
        <w:t>;</w:t>
      </w:r>
      <w:r w:rsidR="00767601" w:rsidRPr="00767601">
        <w:rPr>
          <w:rFonts w:ascii="Calibri" w:eastAsia="Calibri" w:hAnsi="Calibri" w:cs="Times New Roman"/>
          <w:color w:val="auto"/>
          <w:sz w:val="22"/>
          <w:szCs w:val="20"/>
          <w:lang w:eastAsia="en-US"/>
        </w:rPr>
        <w:t xml:space="preserve"> and </w:t>
      </w:r>
      <w:r w:rsidR="005166D1" w:rsidRPr="005166D1">
        <w:rPr>
          <w:rFonts w:ascii="Calibri" w:eastAsia="Calibri" w:hAnsi="Calibri" w:cs="Times New Roman"/>
          <w:color w:val="auto"/>
          <w:sz w:val="22"/>
          <w:szCs w:val="20"/>
          <w:lang w:eastAsia="en-US"/>
        </w:rPr>
        <w:t>enhancing</w:t>
      </w:r>
      <w:r w:rsidR="005166D1" w:rsidRPr="00767601">
        <w:rPr>
          <w:rFonts w:ascii="Calibri" w:eastAsia="Calibri" w:hAnsi="Calibri" w:cs="Times New Roman"/>
          <w:color w:val="auto"/>
          <w:sz w:val="22"/>
          <w:szCs w:val="20"/>
          <w:lang w:eastAsia="en-US"/>
        </w:rPr>
        <w:t xml:space="preserve"> and protecting refuge habitat (MDBA 2014).</w:t>
      </w:r>
      <w:r w:rsidR="00A7620C">
        <w:rPr>
          <w:rFonts w:ascii="Calibri" w:eastAsia="Calibri" w:hAnsi="Calibri" w:cs="Times New Roman"/>
          <w:color w:val="auto"/>
          <w:sz w:val="22"/>
          <w:szCs w:val="20"/>
          <w:lang w:eastAsia="en-US"/>
        </w:rPr>
        <w:t xml:space="preserve"> </w:t>
      </w:r>
      <w:r w:rsidRPr="00A7620C">
        <w:rPr>
          <w:rFonts w:ascii="Calibri" w:eastAsia="Calibri" w:hAnsi="Calibri" w:cs="Times New Roman"/>
          <w:color w:val="auto"/>
          <w:sz w:val="22"/>
          <w:szCs w:val="20"/>
          <w:lang w:eastAsia="en-US"/>
        </w:rPr>
        <w:t xml:space="preserve">The </w:t>
      </w:r>
      <w:r w:rsidR="005166D1" w:rsidRPr="005166D1">
        <w:rPr>
          <w:rFonts w:ascii="Calibri" w:eastAsia="Calibri" w:hAnsi="Calibri" w:cs="Times New Roman"/>
          <w:color w:val="auto"/>
          <w:sz w:val="22"/>
          <w:szCs w:val="20"/>
          <w:lang w:eastAsia="en-US"/>
        </w:rPr>
        <w:t xml:space="preserve">Basin </w:t>
      </w:r>
      <w:r w:rsidR="00AB0611">
        <w:rPr>
          <w:rFonts w:ascii="Calibri" w:eastAsia="Calibri" w:hAnsi="Calibri" w:cs="Times New Roman"/>
          <w:color w:val="auto"/>
          <w:sz w:val="22"/>
          <w:szCs w:val="20"/>
          <w:lang w:eastAsia="en-US"/>
        </w:rPr>
        <w:t>Priorities</w:t>
      </w:r>
      <w:r w:rsidR="005166D1" w:rsidRPr="005166D1">
        <w:rPr>
          <w:rFonts w:ascii="Calibri" w:eastAsia="Calibri" w:hAnsi="Calibri" w:cs="Times New Roman"/>
          <w:color w:val="auto"/>
          <w:sz w:val="22"/>
          <w:szCs w:val="20"/>
          <w:lang w:eastAsia="en-US"/>
        </w:rPr>
        <w:t xml:space="preserve"> </w:t>
      </w:r>
      <w:r w:rsidRPr="00A7620C">
        <w:rPr>
          <w:rFonts w:ascii="Calibri" w:eastAsia="Calibri" w:hAnsi="Calibri" w:cs="Times New Roman"/>
          <w:color w:val="auto"/>
          <w:sz w:val="22"/>
          <w:szCs w:val="20"/>
          <w:lang w:eastAsia="en-US"/>
        </w:rPr>
        <w:t>for the River Murray (including connected tributaries, anabranches, creeks and wetlands of th</w:t>
      </w:r>
      <w:r w:rsidR="00AB0611">
        <w:rPr>
          <w:rFonts w:ascii="Calibri" w:eastAsia="Calibri" w:hAnsi="Calibri" w:cs="Times New Roman"/>
          <w:color w:val="auto"/>
          <w:sz w:val="22"/>
          <w:szCs w:val="20"/>
          <w:lang w:eastAsia="en-US"/>
        </w:rPr>
        <w:t xml:space="preserve">e River Murray, the Lower Lakes, </w:t>
      </w:r>
      <w:r w:rsidRPr="00A7620C">
        <w:rPr>
          <w:rFonts w:ascii="Calibri" w:eastAsia="Calibri" w:hAnsi="Calibri" w:cs="Times New Roman"/>
          <w:color w:val="auto"/>
          <w:sz w:val="22"/>
          <w:szCs w:val="20"/>
          <w:lang w:eastAsia="en-US"/>
        </w:rPr>
        <w:t>Coorong and Murray Mouth) was to support in-stream functions and c</w:t>
      </w:r>
      <w:r w:rsidRPr="005166D1">
        <w:rPr>
          <w:rFonts w:ascii="Calibri" w:eastAsia="Calibri" w:hAnsi="Calibri" w:cs="Times New Roman"/>
          <w:color w:val="auto"/>
          <w:sz w:val="22"/>
          <w:szCs w:val="20"/>
          <w:lang w:eastAsia="en-US"/>
        </w:rPr>
        <w:t>onnecti</w:t>
      </w:r>
      <w:r w:rsidRPr="00A7620C">
        <w:rPr>
          <w:rFonts w:ascii="Calibri" w:eastAsia="Calibri" w:hAnsi="Calibri" w:cs="Times New Roman"/>
          <w:color w:val="auto"/>
          <w:sz w:val="22"/>
          <w:szCs w:val="20"/>
          <w:lang w:eastAsia="en-US"/>
        </w:rPr>
        <w:t>vity in the River Murray system (MDBA 2014). In particular, to i</w:t>
      </w:r>
      <w:r w:rsidR="005166D1" w:rsidRPr="005166D1">
        <w:rPr>
          <w:rFonts w:ascii="Calibri" w:eastAsia="Calibri" w:hAnsi="Calibri" w:cs="Times New Roman"/>
          <w:color w:val="auto"/>
          <w:sz w:val="22"/>
          <w:szCs w:val="20"/>
          <w:lang w:eastAsia="en-US"/>
        </w:rPr>
        <w:t>mprove riparian, littoral and aquatic vegetation and native fish populations by increasing ecosystem connectivity through coordinating water deliv</w:t>
      </w:r>
      <w:r w:rsidRPr="00A7620C">
        <w:rPr>
          <w:rFonts w:ascii="Calibri" w:eastAsia="Calibri" w:hAnsi="Calibri" w:cs="Times New Roman"/>
          <w:color w:val="auto"/>
          <w:sz w:val="22"/>
          <w:szCs w:val="20"/>
          <w:lang w:eastAsia="en-US"/>
        </w:rPr>
        <w:t>ery in the River Murray system.</w:t>
      </w:r>
    </w:p>
    <w:p w:rsidR="00072C97" w:rsidRDefault="00072C97" w:rsidP="004E6DF9">
      <w:pPr>
        <w:autoSpaceDE w:val="0"/>
        <w:autoSpaceDN w:val="0"/>
        <w:adjustRightInd w:val="0"/>
        <w:spacing w:after="120"/>
        <w:rPr>
          <w:b/>
          <w:color w:val="4F6228" w:themeColor="accent3" w:themeShade="80"/>
          <w:sz w:val="24"/>
          <w:szCs w:val="24"/>
        </w:rPr>
      </w:pPr>
      <w:r w:rsidRPr="00576659">
        <w:rPr>
          <w:b/>
          <w:color w:val="4F6228" w:themeColor="accent3" w:themeShade="80"/>
          <w:sz w:val="24"/>
          <w:szCs w:val="24"/>
        </w:rPr>
        <w:t>2.2 Water</w:t>
      </w:r>
      <w:r w:rsidR="006C73F3">
        <w:rPr>
          <w:b/>
          <w:color w:val="4F6228" w:themeColor="accent3" w:themeShade="80"/>
          <w:sz w:val="24"/>
          <w:szCs w:val="24"/>
        </w:rPr>
        <w:t>ing action objectives</w:t>
      </w:r>
      <w:r w:rsidRPr="00576659">
        <w:rPr>
          <w:b/>
          <w:color w:val="4F6228" w:themeColor="accent3" w:themeShade="80"/>
          <w:sz w:val="24"/>
          <w:szCs w:val="24"/>
        </w:rPr>
        <w:t xml:space="preserve"> </w:t>
      </w:r>
      <w:r w:rsidR="006C73F3">
        <w:rPr>
          <w:b/>
          <w:color w:val="4F6228" w:themeColor="accent3" w:themeShade="80"/>
          <w:sz w:val="24"/>
          <w:szCs w:val="24"/>
        </w:rPr>
        <w:t>in</w:t>
      </w:r>
      <w:r w:rsidR="002B6186">
        <w:rPr>
          <w:b/>
          <w:color w:val="4F6228" w:themeColor="accent3" w:themeShade="80"/>
          <w:sz w:val="24"/>
          <w:szCs w:val="24"/>
        </w:rPr>
        <w:t xml:space="preserve"> the Edward-Wakool system </w:t>
      </w:r>
      <w:r w:rsidRPr="00576659">
        <w:rPr>
          <w:b/>
          <w:color w:val="4F6228" w:themeColor="accent3" w:themeShade="80"/>
          <w:sz w:val="24"/>
          <w:szCs w:val="24"/>
        </w:rPr>
        <w:t>in 2014-15</w:t>
      </w:r>
    </w:p>
    <w:p w:rsidR="007A6DE5" w:rsidRDefault="007A6DE5" w:rsidP="00767601">
      <w:pPr>
        <w:spacing w:after="0"/>
      </w:pPr>
      <w:r>
        <w:t xml:space="preserve">The </w:t>
      </w:r>
      <w:r w:rsidR="002B6186">
        <w:t>2014-15 Commonwealth environmental watering action objectives for the Edward-Wakool system, as outlined in the Wat</w:t>
      </w:r>
      <w:r w:rsidR="00725C33">
        <w:t>er U</w:t>
      </w:r>
      <w:r w:rsidR="00C175DB">
        <w:t>se Minute 1000</w:t>
      </w:r>
      <w:r w:rsidR="00E61F29">
        <w:t>8</w:t>
      </w:r>
      <w:r w:rsidR="000824D0">
        <w:t xml:space="preserve"> (dated August 2014)</w:t>
      </w:r>
      <w:r w:rsidR="00C175DB">
        <w:t>,</w:t>
      </w:r>
      <w:r w:rsidR="002B6186">
        <w:t xml:space="preserve"> were as follows</w:t>
      </w:r>
      <w:r>
        <w:t>:</w:t>
      </w:r>
    </w:p>
    <w:p w:rsidR="007A6DE5" w:rsidRDefault="007A6DE5" w:rsidP="003A5CB0">
      <w:pPr>
        <w:numPr>
          <w:ilvl w:val="0"/>
          <w:numId w:val="36"/>
        </w:numPr>
        <w:shd w:val="clear" w:color="auto" w:fill="FFFFFF"/>
        <w:tabs>
          <w:tab w:val="left" w:pos="426"/>
        </w:tabs>
        <w:spacing w:after="0"/>
        <w:ind w:left="426" w:hanging="426"/>
        <w:jc w:val="left"/>
      </w:pPr>
      <w:r>
        <w:t>improve the diversity and condition of native fish and other native species including frogs, turtles and invertebrates through maintaining suitable habitat and providing/supporting opportunities to move, breed and recruit</w:t>
      </w:r>
    </w:p>
    <w:p w:rsidR="007A6DE5" w:rsidRDefault="007A6DE5" w:rsidP="003A5CB0">
      <w:pPr>
        <w:numPr>
          <w:ilvl w:val="0"/>
          <w:numId w:val="36"/>
        </w:numPr>
        <w:shd w:val="clear" w:color="auto" w:fill="FFFFFF"/>
        <w:tabs>
          <w:tab w:val="left" w:pos="426"/>
        </w:tabs>
        <w:spacing w:after="0"/>
        <w:ind w:left="426" w:hanging="426"/>
        <w:jc w:val="left"/>
      </w:pPr>
      <w:r>
        <w:t>improve habitat quality in ephemeral watercourses</w:t>
      </w:r>
    </w:p>
    <w:p w:rsidR="007A6DE5" w:rsidRDefault="007A6DE5" w:rsidP="003A5CB0">
      <w:pPr>
        <w:numPr>
          <w:ilvl w:val="0"/>
          <w:numId w:val="36"/>
        </w:numPr>
        <w:shd w:val="clear" w:color="auto" w:fill="FFFFFF"/>
        <w:tabs>
          <w:tab w:val="left" w:pos="426"/>
        </w:tabs>
        <w:spacing w:after="0"/>
        <w:ind w:left="426" w:hanging="426"/>
        <w:jc w:val="left"/>
      </w:pPr>
      <w:r>
        <w:t>support mobilisation, transport and dispersal of biotic and abiotic material (e.g. sediment, nutrients and organic matter) through longitudinal and lateral hydrological connectivity</w:t>
      </w:r>
    </w:p>
    <w:p w:rsidR="007A6DE5" w:rsidRDefault="007A6DE5" w:rsidP="003A5CB0">
      <w:pPr>
        <w:numPr>
          <w:ilvl w:val="0"/>
          <w:numId w:val="36"/>
        </w:numPr>
        <w:shd w:val="clear" w:color="auto" w:fill="FFFFFF"/>
        <w:tabs>
          <w:tab w:val="left" w:pos="426"/>
        </w:tabs>
        <w:spacing w:after="0"/>
        <w:ind w:left="426" w:hanging="426"/>
        <w:jc w:val="left"/>
      </w:pPr>
      <w:r>
        <w:t>support inundation of low-lying wetlands/floodplains habitats within the system</w:t>
      </w:r>
    </w:p>
    <w:p w:rsidR="007A6DE5" w:rsidRDefault="007A6DE5" w:rsidP="003A5CB0">
      <w:pPr>
        <w:numPr>
          <w:ilvl w:val="0"/>
          <w:numId w:val="36"/>
        </w:numPr>
        <w:shd w:val="clear" w:color="auto" w:fill="FFFFFF"/>
        <w:tabs>
          <w:tab w:val="left" w:pos="426"/>
        </w:tabs>
        <w:spacing w:after="0"/>
        <w:ind w:left="426" w:hanging="426"/>
        <w:jc w:val="left"/>
      </w:pPr>
      <w:r>
        <w:t>maintain health of riparian, floodplain and wetland native vegetation communities</w:t>
      </w:r>
    </w:p>
    <w:p w:rsidR="007A6DE5" w:rsidRDefault="007A6DE5" w:rsidP="003A5CB0">
      <w:pPr>
        <w:numPr>
          <w:ilvl w:val="0"/>
          <w:numId w:val="36"/>
        </w:numPr>
        <w:shd w:val="clear" w:color="auto" w:fill="FFFFFF"/>
        <w:tabs>
          <w:tab w:val="left" w:pos="426"/>
        </w:tabs>
        <w:spacing w:after="0"/>
        <w:ind w:left="426" w:hanging="426"/>
        <w:jc w:val="left"/>
      </w:pPr>
      <w:r>
        <w:t>contribute to a more natural wetting-drying cycle for ephemeral wetlands and watercourses</w:t>
      </w:r>
    </w:p>
    <w:p w:rsidR="007A6DE5" w:rsidRDefault="007A6DE5" w:rsidP="003A5CB0">
      <w:pPr>
        <w:numPr>
          <w:ilvl w:val="0"/>
          <w:numId w:val="36"/>
        </w:numPr>
        <w:shd w:val="clear" w:color="auto" w:fill="FFFFFF"/>
        <w:tabs>
          <w:tab w:val="left" w:pos="426"/>
        </w:tabs>
        <w:spacing w:after="0"/>
        <w:ind w:left="426" w:right="-46" w:hanging="426"/>
        <w:jc w:val="left"/>
      </w:pPr>
      <w:r>
        <w:t>maintain/improve water quality within the system, particularly dissolved oxygen, salinity and pH</w:t>
      </w:r>
    </w:p>
    <w:p w:rsidR="007A6DE5" w:rsidRDefault="007A6DE5" w:rsidP="003A5CB0">
      <w:pPr>
        <w:numPr>
          <w:ilvl w:val="0"/>
          <w:numId w:val="36"/>
        </w:numPr>
        <w:shd w:val="clear" w:color="auto" w:fill="FFFFFF"/>
        <w:tabs>
          <w:tab w:val="left" w:pos="426"/>
        </w:tabs>
        <w:spacing w:after="0"/>
        <w:ind w:left="426" w:hanging="426"/>
        <w:jc w:val="left"/>
      </w:pPr>
      <w:proofErr w:type="gramStart"/>
      <w:r>
        <w:t>improve</w:t>
      </w:r>
      <w:proofErr w:type="gramEnd"/>
      <w:r>
        <w:t xml:space="preserve"> ecosystem and population resilience through supporting ecological recovery and maintaining aquatic habitat.</w:t>
      </w:r>
    </w:p>
    <w:p w:rsidR="007A6DE5" w:rsidRDefault="007A6DE5" w:rsidP="007A6DE5">
      <w:pPr>
        <w:spacing w:after="200" w:line="276" w:lineRule="auto"/>
      </w:pPr>
      <w:r>
        <w:t>These expected outcomes are consistent with the objectives of the Basin Pla</w:t>
      </w:r>
      <w:r w:rsidR="00296CB9">
        <w:t>n’s environmental watering plan (Table 2.1)</w:t>
      </w:r>
    </w:p>
    <w:p w:rsidR="00296CB9" w:rsidRPr="0007224D" w:rsidRDefault="00296CB9" w:rsidP="008E3E2A">
      <w:pPr>
        <w:pStyle w:val="TableCaption"/>
      </w:pPr>
      <w:r w:rsidRPr="0007224D">
        <w:t xml:space="preserve">Table </w:t>
      </w:r>
      <w:r>
        <w:t>2.</w:t>
      </w:r>
      <w:r w:rsidR="00F671D2">
        <w:fldChar w:fldCharType="begin"/>
      </w:r>
      <w:r w:rsidR="009E4BFD">
        <w:instrText xml:space="preserve"> SEQ Table \* ARABIC </w:instrText>
      </w:r>
      <w:r w:rsidR="00F671D2">
        <w:fldChar w:fldCharType="separate"/>
      </w:r>
      <w:r w:rsidR="0097684C">
        <w:rPr>
          <w:noProof/>
        </w:rPr>
        <w:t>4</w:t>
      </w:r>
      <w:r w:rsidR="00F671D2">
        <w:rPr>
          <w:noProof/>
        </w:rPr>
        <w:fldChar w:fldCharType="end"/>
      </w:r>
      <w:r w:rsidRPr="0007224D">
        <w:t xml:space="preserve">. </w:t>
      </w:r>
      <w:r w:rsidR="00FF554A" w:rsidRPr="00DC76D6">
        <w:rPr>
          <w:b w:val="0"/>
        </w:rPr>
        <w:t>Table linking expected outcomes for the Edward-Wakool system, as outlined in the Water Use Minute 10008, with the objectives of the Basin Plan’s environmental watering Plan.</w:t>
      </w:r>
    </w:p>
    <w:tbl>
      <w:tblPr>
        <w:tblW w:w="0" w:type="auto"/>
        <w:tblCellMar>
          <w:left w:w="0" w:type="dxa"/>
          <w:right w:w="0" w:type="dxa"/>
        </w:tblCellMar>
        <w:tblLook w:val="04A0"/>
      </w:tblPr>
      <w:tblGrid>
        <w:gridCol w:w="4056"/>
        <w:gridCol w:w="1381"/>
        <w:gridCol w:w="3805"/>
      </w:tblGrid>
      <w:tr w:rsidR="007A6DE5" w:rsidTr="00984CDE">
        <w:tc>
          <w:tcPr>
            <w:tcW w:w="4219" w:type="dxa"/>
            <w:tcBorders>
              <w:top w:val="single" w:sz="8" w:space="0" w:color="auto"/>
              <w:left w:val="single" w:sz="8" w:space="0" w:color="auto"/>
              <w:bottom w:val="single" w:sz="8" w:space="0" w:color="auto"/>
              <w:right w:val="single" w:sz="8" w:space="0" w:color="auto"/>
            </w:tcBorders>
            <w:shd w:val="clear" w:color="auto" w:fill="D6E3BC" w:themeFill="accent3" w:themeFillTint="66"/>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b/>
                <w:bCs/>
                <w:sz w:val="24"/>
                <w:szCs w:val="24"/>
              </w:rPr>
            </w:pPr>
            <w:r>
              <w:rPr>
                <w:b/>
                <w:bCs/>
              </w:rPr>
              <w:t>Expected outcome</w:t>
            </w:r>
          </w:p>
        </w:tc>
        <w:tc>
          <w:tcPr>
            <w:tcW w:w="1391" w:type="dxa"/>
            <w:tcBorders>
              <w:top w:val="single" w:sz="8" w:space="0" w:color="auto"/>
              <w:left w:val="nil"/>
              <w:bottom w:val="single" w:sz="8" w:space="0" w:color="auto"/>
              <w:right w:val="single" w:sz="8" w:space="0" w:color="auto"/>
            </w:tcBorders>
            <w:shd w:val="clear" w:color="auto" w:fill="D6E3BC" w:themeFill="accent3" w:themeFillTint="66"/>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b/>
                <w:bCs/>
                <w:sz w:val="24"/>
                <w:szCs w:val="24"/>
              </w:rPr>
            </w:pPr>
            <w:r>
              <w:rPr>
                <w:b/>
                <w:bCs/>
              </w:rPr>
              <w:t xml:space="preserve">Timeframe </w:t>
            </w:r>
          </w:p>
        </w:tc>
        <w:tc>
          <w:tcPr>
            <w:tcW w:w="3961" w:type="dxa"/>
            <w:tcBorders>
              <w:top w:val="single" w:sz="8" w:space="0" w:color="auto"/>
              <w:left w:val="nil"/>
              <w:bottom w:val="single" w:sz="8" w:space="0" w:color="auto"/>
              <w:right w:val="single" w:sz="8" w:space="0" w:color="auto"/>
            </w:tcBorders>
            <w:shd w:val="clear" w:color="auto" w:fill="D6E3BC" w:themeFill="accent3" w:themeFillTint="66"/>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b/>
                <w:bCs/>
                <w:sz w:val="24"/>
                <w:szCs w:val="24"/>
              </w:rPr>
            </w:pPr>
            <w:r>
              <w:rPr>
                <w:b/>
                <w:bCs/>
              </w:rPr>
              <w:t>Relevant Basin Plan objective</w:t>
            </w:r>
          </w:p>
        </w:tc>
      </w:tr>
      <w:tr w:rsidR="007A6DE5">
        <w:tc>
          <w:tcPr>
            <w:tcW w:w="421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Fish condition and recruitment</w:t>
            </w:r>
          </w:p>
        </w:tc>
        <w:tc>
          <w:tcPr>
            <w:tcW w:w="1391" w:type="dxa"/>
            <w:tcBorders>
              <w:top w:val="nil"/>
              <w:left w:val="nil"/>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&lt;1 year</w:t>
            </w:r>
          </w:p>
        </w:tc>
        <w:tc>
          <w:tcPr>
            <w:tcW w:w="3961" w:type="dxa"/>
            <w:vMerge w:val="restart"/>
            <w:tcBorders>
              <w:top w:val="nil"/>
              <w:left w:val="nil"/>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Biodiversity</w:t>
            </w:r>
          </w:p>
          <w:p w:rsidR="007A6DE5" w:rsidRDefault="007A6DE5" w:rsidP="002F5A42">
            <w:pPr>
              <w:keepNext/>
              <w:spacing w:after="0" w:line="240" w:lineRule="auto"/>
              <w:rPr>
                <w:rFonts w:ascii="Times New Roman" w:hAnsi="Times New Roman"/>
                <w:sz w:val="24"/>
                <w:szCs w:val="24"/>
              </w:rPr>
            </w:pPr>
            <w:r>
              <w:t>(Basin Plan S. 8.05)</w:t>
            </w:r>
          </w:p>
        </w:tc>
      </w:tr>
      <w:tr w:rsidR="007A6DE5">
        <w:tc>
          <w:tcPr>
            <w:tcW w:w="421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Vegetation condition and reproduction</w:t>
            </w:r>
          </w:p>
        </w:tc>
        <w:tc>
          <w:tcPr>
            <w:tcW w:w="1391" w:type="dxa"/>
            <w:tcBorders>
              <w:top w:val="nil"/>
              <w:left w:val="nil"/>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&lt;1 year</w:t>
            </w:r>
          </w:p>
        </w:tc>
        <w:tc>
          <w:tcPr>
            <w:tcW w:w="0" w:type="auto"/>
            <w:vMerge/>
            <w:tcBorders>
              <w:top w:val="nil"/>
              <w:left w:val="nil"/>
              <w:bottom w:val="single" w:sz="8" w:space="0" w:color="auto"/>
              <w:right w:val="single" w:sz="8" w:space="0" w:color="auto"/>
            </w:tcBorders>
            <w:vAlign w:val="center"/>
            <w:hideMark/>
          </w:tcPr>
          <w:p w:rsidR="007A6DE5" w:rsidRDefault="007A6DE5" w:rsidP="002F5A42">
            <w:pPr>
              <w:spacing w:after="0" w:line="240" w:lineRule="auto"/>
              <w:rPr>
                <w:rFonts w:ascii="Times New Roman" w:eastAsiaTheme="minorHAnsi" w:hAnsi="Times New Roman"/>
                <w:sz w:val="24"/>
                <w:szCs w:val="24"/>
              </w:rPr>
            </w:pPr>
          </w:p>
        </w:tc>
      </w:tr>
      <w:tr w:rsidR="007A6DE5">
        <w:trPr>
          <w:trHeight w:val="261"/>
        </w:trPr>
        <w:tc>
          <w:tcPr>
            <w:tcW w:w="421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Other vertebrate condition</w:t>
            </w:r>
          </w:p>
        </w:tc>
        <w:tc>
          <w:tcPr>
            <w:tcW w:w="1391" w:type="dxa"/>
            <w:tcBorders>
              <w:top w:val="nil"/>
              <w:left w:val="nil"/>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&lt;1 year</w:t>
            </w:r>
          </w:p>
        </w:tc>
        <w:tc>
          <w:tcPr>
            <w:tcW w:w="0" w:type="auto"/>
            <w:vMerge/>
            <w:tcBorders>
              <w:top w:val="nil"/>
              <w:left w:val="nil"/>
              <w:bottom w:val="single" w:sz="8" w:space="0" w:color="auto"/>
              <w:right w:val="single" w:sz="8" w:space="0" w:color="auto"/>
            </w:tcBorders>
            <w:vAlign w:val="center"/>
            <w:hideMark/>
          </w:tcPr>
          <w:p w:rsidR="007A6DE5" w:rsidRDefault="007A6DE5" w:rsidP="002F5A42">
            <w:pPr>
              <w:spacing w:after="0" w:line="240" w:lineRule="auto"/>
              <w:rPr>
                <w:rFonts w:ascii="Times New Roman" w:eastAsiaTheme="minorHAnsi" w:hAnsi="Times New Roman"/>
                <w:sz w:val="24"/>
                <w:szCs w:val="24"/>
              </w:rPr>
            </w:pPr>
          </w:p>
        </w:tc>
      </w:tr>
      <w:tr w:rsidR="007A6DE5">
        <w:tc>
          <w:tcPr>
            <w:tcW w:w="421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Other vertebrate reproduction</w:t>
            </w:r>
          </w:p>
        </w:tc>
        <w:tc>
          <w:tcPr>
            <w:tcW w:w="1391" w:type="dxa"/>
            <w:tcBorders>
              <w:top w:val="nil"/>
              <w:left w:val="nil"/>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&lt;1 year</w:t>
            </w:r>
          </w:p>
        </w:tc>
        <w:tc>
          <w:tcPr>
            <w:tcW w:w="0" w:type="auto"/>
            <w:vMerge/>
            <w:tcBorders>
              <w:top w:val="nil"/>
              <w:left w:val="nil"/>
              <w:bottom w:val="single" w:sz="8" w:space="0" w:color="auto"/>
              <w:right w:val="single" w:sz="8" w:space="0" w:color="auto"/>
            </w:tcBorders>
            <w:vAlign w:val="center"/>
            <w:hideMark/>
          </w:tcPr>
          <w:p w:rsidR="007A6DE5" w:rsidRDefault="007A6DE5" w:rsidP="002F5A42">
            <w:pPr>
              <w:spacing w:after="0" w:line="240" w:lineRule="auto"/>
              <w:rPr>
                <w:rFonts w:ascii="Times New Roman" w:eastAsiaTheme="minorHAnsi" w:hAnsi="Times New Roman"/>
                <w:sz w:val="24"/>
                <w:szCs w:val="24"/>
              </w:rPr>
            </w:pPr>
          </w:p>
        </w:tc>
      </w:tr>
      <w:tr w:rsidR="007A6DE5">
        <w:tc>
          <w:tcPr>
            <w:tcW w:w="421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Other vertebrate growth and survival</w:t>
            </w:r>
          </w:p>
        </w:tc>
        <w:tc>
          <w:tcPr>
            <w:tcW w:w="1391" w:type="dxa"/>
            <w:tcBorders>
              <w:top w:val="nil"/>
              <w:left w:val="nil"/>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&lt;1 year</w:t>
            </w:r>
          </w:p>
        </w:tc>
        <w:tc>
          <w:tcPr>
            <w:tcW w:w="0" w:type="auto"/>
            <w:vMerge/>
            <w:tcBorders>
              <w:top w:val="nil"/>
              <w:left w:val="nil"/>
              <w:bottom w:val="single" w:sz="8" w:space="0" w:color="auto"/>
              <w:right w:val="single" w:sz="8" w:space="0" w:color="auto"/>
            </w:tcBorders>
            <w:vAlign w:val="center"/>
            <w:hideMark/>
          </w:tcPr>
          <w:p w:rsidR="007A6DE5" w:rsidRDefault="007A6DE5" w:rsidP="002F5A42">
            <w:pPr>
              <w:spacing w:after="0" w:line="240" w:lineRule="auto"/>
              <w:rPr>
                <w:rFonts w:ascii="Times New Roman" w:eastAsiaTheme="minorHAnsi" w:hAnsi="Times New Roman"/>
                <w:sz w:val="24"/>
                <w:szCs w:val="24"/>
              </w:rPr>
            </w:pPr>
          </w:p>
        </w:tc>
      </w:tr>
      <w:tr w:rsidR="007A6DE5">
        <w:tc>
          <w:tcPr>
            <w:tcW w:w="421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Landscape vegetation diversity</w:t>
            </w:r>
          </w:p>
        </w:tc>
        <w:tc>
          <w:tcPr>
            <w:tcW w:w="1391" w:type="dxa"/>
            <w:tcBorders>
              <w:top w:val="nil"/>
              <w:left w:val="nil"/>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1-5 years</w:t>
            </w:r>
          </w:p>
        </w:tc>
        <w:tc>
          <w:tcPr>
            <w:tcW w:w="0" w:type="auto"/>
            <w:vMerge/>
            <w:tcBorders>
              <w:top w:val="nil"/>
              <w:left w:val="nil"/>
              <w:bottom w:val="single" w:sz="8" w:space="0" w:color="auto"/>
              <w:right w:val="single" w:sz="8" w:space="0" w:color="auto"/>
            </w:tcBorders>
            <w:vAlign w:val="center"/>
            <w:hideMark/>
          </w:tcPr>
          <w:p w:rsidR="007A6DE5" w:rsidRDefault="007A6DE5" w:rsidP="002F5A42">
            <w:pPr>
              <w:spacing w:after="0" w:line="240" w:lineRule="auto"/>
              <w:rPr>
                <w:rFonts w:ascii="Times New Roman" w:eastAsiaTheme="minorHAnsi" w:hAnsi="Times New Roman"/>
                <w:sz w:val="24"/>
                <w:szCs w:val="24"/>
              </w:rPr>
            </w:pPr>
          </w:p>
        </w:tc>
      </w:tr>
      <w:tr w:rsidR="007A6DE5">
        <w:tc>
          <w:tcPr>
            <w:tcW w:w="421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Landscape fish diversity</w:t>
            </w:r>
          </w:p>
        </w:tc>
        <w:tc>
          <w:tcPr>
            <w:tcW w:w="1391" w:type="dxa"/>
            <w:tcBorders>
              <w:top w:val="nil"/>
              <w:left w:val="nil"/>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1-5 years</w:t>
            </w:r>
          </w:p>
        </w:tc>
        <w:tc>
          <w:tcPr>
            <w:tcW w:w="0" w:type="auto"/>
            <w:vMerge/>
            <w:tcBorders>
              <w:top w:val="nil"/>
              <w:left w:val="nil"/>
              <w:bottom w:val="single" w:sz="8" w:space="0" w:color="auto"/>
              <w:right w:val="single" w:sz="8" w:space="0" w:color="auto"/>
            </w:tcBorders>
            <w:vAlign w:val="center"/>
            <w:hideMark/>
          </w:tcPr>
          <w:p w:rsidR="007A6DE5" w:rsidRDefault="007A6DE5" w:rsidP="002F5A42">
            <w:pPr>
              <w:spacing w:after="0" w:line="240" w:lineRule="auto"/>
              <w:rPr>
                <w:rFonts w:ascii="Times New Roman" w:eastAsiaTheme="minorHAnsi" w:hAnsi="Times New Roman"/>
                <w:sz w:val="24"/>
                <w:szCs w:val="24"/>
              </w:rPr>
            </w:pPr>
          </w:p>
        </w:tc>
      </w:tr>
      <w:tr w:rsidR="007A6DE5">
        <w:trPr>
          <w:trHeight w:val="235"/>
        </w:trPr>
        <w:tc>
          <w:tcPr>
            <w:tcW w:w="421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Fish larval and juvenile recruitment</w:t>
            </w:r>
          </w:p>
        </w:tc>
        <w:tc>
          <w:tcPr>
            <w:tcW w:w="1391" w:type="dxa"/>
            <w:tcBorders>
              <w:top w:val="nil"/>
              <w:left w:val="nil"/>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1-5 years</w:t>
            </w:r>
          </w:p>
        </w:tc>
        <w:tc>
          <w:tcPr>
            <w:tcW w:w="0" w:type="auto"/>
            <w:vMerge/>
            <w:tcBorders>
              <w:top w:val="nil"/>
              <w:left w:val="nil"/>
              <w:bottom w:val="single" w:sz="8" w:space="0" w:color="auto"/>
              <w:right w:val="single" w:sz="8" w:space="0" w:color="auto"/>
            </w:tcBorders>
            <w:vAlign w:val="center"/>
            <w:hideMark/>
          </w:tcPr>
          <w:p w:rsidR="007A6DE5" w:rsidRDefault="007A6DE5" w:rsidP="002F5A42">
            <w:pPr>
              <w:spacing w:after="0" w:line="240" w:lineRule="auto"/>
              <w:rPr>
                <w:rFonts w:ascii="Times New Roman" w:eastAsiaTheme="minorHAnsi" w:hAnsi="Times New Roman"/>
                <w:sz w:val="24"/>
                <w:szCs w:val="24"/>
              </w:rPr>
            </w:pPr>
          </w:p>
        </w:tc>
      </w:tr>
      <w:tr w:rsidR="007A6DE5">
        <w:tc>
          <w:tcPr>
            <w:tcW w:w="421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Hydrological connectivity</w:t>
            </w:r>
          </w:p>
        </w:tc>
        <w:tc>
          <w:tcPr>
            <w:tcW w:w="1391" w:type="dxa"/>
            <w:tcBorders>
              <w:top w:val="nil"/>
              <w:left w:val="nil"/>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&lt; 1 year</w:t>
            </w:r>
          </w:p>
        </w:tc>
        <w:tc>
          <w:tcPr>
            <w:tcW w:w="3961" w:type="dxa"/>
            <w:vMerge w:val="restart"/>
            <w:tcBorders>
              <w:top w:val="nil"/>
              <w:left w:val="nil"/>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Ecosystem Function</w:t>
            </w:r>
          </w:p>
          <w:p w:rsidR="007A6DE5" w:rsidRDefault="007A6DE5" w:rsidP="002F5A42">
            <w:pPr>
              <w:keepNext/>
              <w:spacing w:after="0" w:line="240" w:lineRule="auto"/>
              <w:rPr>
                <w:rFonts w:ascii="Times New Roman" w:hAnsi="Times New Roman"/>
                <w:sz w:val="24"/>
                <w:szCs w:val="24"/>
              </w:rPr>
            </w:pPr>
            <w:r>
              <w:t>(Basin Plan S.8.06)</w:t>
            </w:r>
          </w:p>
        </w:tc>
      </w:tr>
      <w:tr w:rsidR="007A6DE5">
        <w:tc>
          <w:tcPr>
            <w:tcW w:w="421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Biotic dispersal</w:t>
            </w:r>
          </w:p>
        </w:tc>
        <w:tc>
          <w:tcPr>
            <w:tcW w:w="1391" w:type="dxa"/>
            <w:tcBorders>
              <w:top w:val="nil"/>
              <w:left w:val="nil"/>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&lt;1 year</w:t>
            </w:r>
          </w:p>
        </w:tc>
        <w:tc>
          <w:tcPr>
            <w:tcW w:w="0" w:type="auto"/>
            <w:vMerge/>
            <w:tcBorders>
              <w:top w:val="nil"/>
              <w:left w:val="nil"/>
              <w:bottom w:val="single" w:sz="8" w:space="0" w:color="auto"/>
              <w:right w:val="single" w:sz="8" w:space="0" w:color="auto"/>
            </w:tcBorders>
            <w:vAlign w:val="center"/>
            <w:hideMark/>
          </w:tcPr>
          <w:p w:rsidR="007A6DE5" w:rsidRDefault="007A6DE5" w:rsidP="002F5A42">
            <w:pPr>
              <w:spacing w:after="0" w:line="240" w:lineRule="auto"/>
              <w:rPr>
                <w:rFonts w:ascii="Times New Roman" w:eastAsiaTheme="minorHAnsi" w:hAnsi="Times New Roman"/>
                <w:sz w:val="24"/>
                <w:szCs w:val="24"/>
              </w:rPr>
            </w:pPr>
          </w:p>
        </w:tc>
      </w:tr>
      <w:tr w:rsidR="007A6DE5">
        <w:tc>
          <w:tcPr>
            <w:tcW w:w="421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Nutrient and carbon cycling</w:t>
            </w:r>
          </w:p>
        </w:tc>
        <w:tc>
          <w:tcPr>
            <w:tcW w:w="1391" w:type="dxa"/>
            <w:tcBorders>
              <w:top w:val="nil"/>
              <w:left w:val="nil"/>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1-5 years</w:t>
            </w:r>
          </w:p>
        </w:tc>
        <w:tc>
          <w:tcPr>
            <w:tcW w:w="0" w:type="auto"/>
            <w:vMerge/>
            <w:tcBorders>
              <w:top w:val="nil"/>
              <w:left w:val="nil"/>
              <w:bottom w:val="single" w:sz="8" w:space="0" w:color="auto"/>
              <w:right w:val="single" w:sz="8" w:space="0" w:color="auto"/>
            </w:tcBorders>
            <w:vAlign w:val="center"/>
            <w:hideMark/>
          </w:tcPr>
          <w:p w:rsidR="007A6DE5" w:rsidRDefault="007A6DE5" w:rsidP="002F5A42">
            <w:pPr>
              <w:spacing w:after="0" w:line="240" w:lineRule="auto"/>
              <w:rPr>
                <w:rFonts w:ascii="Times New Roman" w:eastAsiaTheme="minorHAnsi" w:hAnsi="Times New Roman"/>
                <w:sz w:val="24"/>
                <w:szCs w:val="24"/>
              </w:rPr>
            </w:pPr>
          </w:p>
        </w:tc>
      </w:tr>
      <w:tr w:rsidR="007A6DE5">
        <w:tc>
          <w:tcPr>
            <w:tcW w:w="421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Recovery</w:t>
            </w:r>
          </w:p>
        </w:tc>
        <w:tc>
          <w:tcPr>
            <w:tcW w:w="1391" w:type="dxa"/>
            <w:tcBorders>
              <w:top w:val="nil"/>
              <w:left w:val="nil"/>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1-5 years</w:t>
            </w:r>
          </w:p>
        </w:tc>
        <w:tc>
          <w:tcPr>
            <w:tcW w:w="3961" w:type="dxa"/>
            <w:vMerge w:val="restart"/>
            <w:tcBorders>
              <w:top w:val="nil"/>
              <w:left w:val="nil"/>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Resilience (Basin Plan S.8.07)</w:t>
            </w:r>
          </w:p>
        </w:tc>
      </w:tr>
      <w:tr w:rsidR="007A6DE5">
        <w:tc>
          <w:tcPr>
            <w:tcW w:w="421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Landscape refugia</w:t>
            </w:r>
          </w:p>
        </w:tc>
        <w:tc>
          <w:tcPr>
            <w:tcW w:w="1391" w:type="dxa"/>
            <w:tcBorders>
              <w:top w:val="nil"/>
              <w:left w:val="nil"/>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1-5 years</w:t>
            </w:r>
          </w:p>
        </w:tc>
        <w:tc>
          <w:tcPr>
            <w:tcW w:w="0" w:type="auto"/>
            <w:vMerge/>
            <w:tcBorders>
              <w:top w:val="nil"/>
              <w:left w:val="nil"/>
              <w:bottom w:val="single" w:sz="8" w:space="0" w:color="auto"/>
              <w:right w:val="single" w:sz="8" w:space="0" w:color="auto"/>
            </w:tcBorders>
            <w:vAlign w:val="center"/>
            <w:hideMark/>
          </w:tcPr>
          <w:p w:rsidR="007A6DE5" w:rsidRDefault="007A6DE5" w:rsidP="002F5A42">
            <w:pPr>
              <w:spacing w:after="0" w:line="240" w:lineRule="auto"/>
              <w:rPr>
                <w:rFonts w:ascii="Times New Roman" w:eastAsiaTheme="minorHAnsi" w:hAnsi="Times New Roman"/>
                <w:sz w:val="24"/>
                <w:szCs w:val="24"/>
              </w:rPr>
            </w:pPr>
          </w:p>
        </w:tc>
      </w:tr>
      <w:tr w:rsidR="007A6DE5">
        <w:tc>
          <w:tcPr>
            <w:tcW w:w="421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 xml:space="preserve">Salinity </w:t>
            </w:r>
          </w:p>
          <w:p w:rsidR="007A6DE5" w:rsidRDefault="007A6DE5" w:rsidP="002F5A42">
            <w:pPr>
              <w:keepNext/>
              <w:spacing w:after="0" w:line="240" w:lineRule="auto"/>
              <w:rPr>
                <w:szCs w:val="22"/>
              </w:rPr>
            </w:pPr>
            <w:r>
              <w:t>pH</w:t>
            </w:r>
          </w:p>
          <w:p w:rsidR="007A6DE5" w:rsidRDefault="007A6DE5" w:rsidP="002F5A42">
            <w:pPr>
              <w:keepNext/>
              <w:spacing w:after="0" w:line="240" w:lineRule="auto"/>
              <w:rPr>
                <w:rFonts w:ascii="Times New Roman" w:hAnsi="Times New Roman"/>
                <w:sz w:val="24"/>
                <w:szCs w:val="24"/>
              </w:rPr>
            </w:pPr>
            <w:r>
              <w:t>Dissolved oxygen</w:t>
            </w:r>
          </w:p>
        </w:tc>
        <w:tc>
          <w:tcPr>
            <w:tcW w:w="1391" w:type="dxa"/>
            <w:tcBorders>
              <w:top w:val="nil"/>
              <w:left w:val="nil"/>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&lt; 1 year</w:t>
            </w:r>
          </w:p>
        </w:tc>
        <w:tc>
          <w:tcPr>
            <w:tcW w:w="3961" w:type="dxa"/>
            <w:tcBorders>
              <w:top w:val="nil"/>
              <w:left w:val="nil"/>
              <w:bottom w:val="single" w:sz="8" w:space="0" w:color="auto"/>
              <w:right w:val="single" w:sz="8" w:space="0" w:color="auto"/>
            </w:tcBorders>
            <w:tcMar>
              <w:top w:w="0" w:type="dxa"/>
              <w:left w:w="108" w:type="dxa"/>
              <w:bottom w:w="0" w:type="dxa"/>
              <w:right w:w="108" w:type="dxa"/>
            </w:tcMar>
            <w:hideMark/>
          </w:tcPr>
          <w:p w:rsidR="007A6DE5" w:rsidRDefault="007A6DE5" w:rsidP="002F5A42">
            <w:pPr>
              <w:keepNext/>
              <w:spacing w:after="0" w:line="240" w:lineRule="auto"/>
              <w:rPr>
                <w:rFonts w:ascii="Times New Roman" w:hAnsi="Times New Roman"/>
                <w:sz w:val="24"/>
                <w:szCs w:val="24"/>
              </w:rPr>
            </w:pPr>
            <w:r>
              <w:t>Water quality</w:t>
            </w:r>
          </w:p>
          <w:p w:rsidR="007A6DE5" w:rsidRDefault="007A6DE5" w:rsidP="002F5A42">
            <w:pPr>
              <w:keepNext/>
              <w:spacing w:after="0" w:line="240" w:lineRule="auto"/>
              <w:rPr>
                <w:rFonts w:ascii="Times New Roman" w:hAnsi="Times New Roman"/>
                <w:sz w:val="24"/>
                <w:szCs w:val="24"/>
              </w:rPr>
            </w:pPr>
            <w:r>
              <w:t>(Basin Plan S. 9.04)</w:t>
            </w:r>
          </w:p>
        </w:tc>
      </w:tr>
    </w:tbl>
    <w:p w:rsidR="006C73F3" w:rsidRDefault="006C73F3" w:rsidP="00F228C8">
      <w:pPr>
        <w:spacing w:after="200" w:line="276" w:lineRule="auto"/>
        <w:ind w:right="-272"/>
      </w:pPr>
    </w:p>
    <w:p w:rsidR="006C73F3" w:rsidRPr="006C73F3" w:rsidRDefault="006C73F3" w:rsidP="006D2ECD">
      <w:pPr>
        <w:autoSpaceDE w:val="0"/>
        <w:autoSpaceDN w:val="0"/>
        <w:adjustRightInd w:val="0"/>
        <w:spacing w:after="240"/>
        <w:ind w:right="-330"/>
        <w:rPr>
          <w:b/>
          <w:color w:val="4F6228" w:themeColor="accent3" w:themeShade="80"/>
          <w:sz w:val="24"/>
          <w:szCs w:val="24"/>
        </w:rPr>
      </w:pPr>
      <w:r>
        <w:rPr>
          <w:b/>
          <w:color w:val="4F6228" w:themeColor="accent3" w:themeShade="80"/>
          <w:sz w:val="24"/>
          <w:szCs w:val="24"/>
        </w:rPr>
        <w:t>2.3</w:t>
      </w:r>
      <w:r w:rsidRPr="006C73F3">
        <w:rPr>
          <w:b/>
          <w:color w:val="4F6228" w:themeColor="accent3" w:themeShade="80"/>
          <w:sz w:val="24"/>
          <w:szCs w:val="24"/>
        </w:rPr>
        <w:t xml:space="preserve"> </w:t>
      </w:r>
      <w:r w:rsidR="00874880">
        <w:rPr>
          <w:b/>
          <w:color w:val="4F6228" w:themeColor="accent3" w:themeShade="80"/>
          <w:sz w:val="24"/>
          <w:szCs w:val="24"/>
        </w:rPr>
        <w:t>Commonwealth environmental w</w:t>
      </w:r>
      <w:r w:rsidRPr="006C73F3">
        <w:rPr>
          <w:b/>
          <w:color w:val="4F6228" w:themeColor="accent3" w:themeShade="80"/>
          <w:sz w:val="24"/>
          <w:szCs w:val="24"/>
        </w:rPr>
        <w:t>ater</w:t>
      </w:r>
      <w:r>
        <w:rPr>
          <w:b/>
          <w:color w:val="4F6228" w:themeColor="accent3" w:themeShade="80"/>
          <w:sz w:val="24"/>
          <w:szCs w:val="24"/>
        </w:rPr>
        <w:t xml:space="preserve">ing actions </w:t>
      </w:r>
      <w:r w:rsidRPr="006C73F3">
        <w:rPr>
          <w:b/>
          <w:color w:val="4F6228" w:themeColor="accent3" w:themeShade="80"/>
          <w:sz w:val="24"/>
          <w:szCs w:val="24"/>
        </w:rPr>
        <w:t>in the Edward-Wakool system in 2014-15</w:t>
      </w:r>
    </w:p>
    <w:p w:rsidR="004E6DF9" w:rsidRDefault="00767601" w:rsidP="004E6DF9">
      <w:pPr>
        <w:spacing w:after="240"/>
        <w:jc w:val="left"/>
      </w:pPr>
      <w:r w:rsidRPr="006C73F3">
        <w:t xml:space="preserve">The use of Commonwealth environmental water </w:t>
      </w:r>
      <w:r w:rsidR="00EE30AA">
        <w:t xml:space="preserve">in the Edward-Wakool </w:t>
      </w:r>
      <w:r w:rsidR="0091335F">
        <w:t>system</w:t>
      </w:r>
      <w:r w:rsidR="00EE30AA">
        <w:t xml:space="preserve"> for 2014-15 </w:t>
      </w:r>
      <w:r>
        <w:t>was</w:t>
      </w:r>
      <w:r w:rsidRPr="006C73F3">
        <w:t xml:space="preserve"> assessed based on outcomes from </w:t>
      </w:r>
      <w:r>
        <w:t>a</w:t>
      </w:r>
      <w:r w:rsidRPr="006C73F3">
        <w:t xml:space="preserve"> planning workshop in June</w:t>
      </w:r>
      <w:r>
        <w:t xml:space="preserve"> 2014</w:t>
      </w:r>
      <w:r w:rsidRPr="006C73F3">
        <w:t xml:space="preserve">, community recommendations and early season system conditions. </w:t>
      </w:r>
      <w:r w:rsidR="004F4D2D">
        <w:t xml:space="preserve">An initial proposal considered was to provide </w:t>
      </w:r>
      <w:r w:rsidR="00EE30AA">
        <w:t xml:space="preserve">a </w:t>
      </w:r>
      <w:r w:rsidR="00EE30AA" w:rsidRPr="00EE30AA">
        <w:t>repeat fresh watering action in Yallakool Creek</w:t>
      </w:r>
      <w:r w:rsidR="00EE30AA">
        <w:t xml:space="preserve"> that would seek to initiate spawning of golden perch.</w:t>
      </w:r>
      <w:r w:rsidR="004F4D2D">
        <w:t xml:space="preserve"> This proposal was postponed </w:t>
      </w:r>
      <w:r w:rsidR="005354A0">
        <w:t xml:space="preserve">to a future year </w:t>
      </w:r>
      <w:r w:rsidR="00A45986">
        <w:t>a</w:t>
      </w:r>
      <w:r w:rsidR="00340043">
        <w:t>s</w:t>
      </w:r>
      <w:r w:rsidR="00A45986">
        <w:t xml:space="preserve"> the </w:t>
      </w:r>
      <w:r w:rsidR="00340043">
        <w:t>community</w:t>
      </w:r>
      <w:r w:rsidR="007727E6">
        <w:t xml:space="preserve"> a) r</w:t>
      </w:r>
      <w:r w:rsidR="00340043">
        <w:t xml:space="preserve">emained concerned about </w:t>
      </w:r>
      <w:r w:rsidR="00A45986">
        <w:t>the slow recovery of</w:t>
      </w:r>
      <w:r w:rsidR="004F4D2D">
        <w:t xml:space="preserve"> Murray cod populations in </w:t>
      </w:r>
      <w:r w:rsidR="004F4D2D" w:rsidRPr="00EE30AA">
        <w:t>the Wakool</w:t>
      </w:r>
      <w:r w:rsidR="004F4D2D">
        <w:t xml:space="preserve"> River</w:t>
      </w:r>
      <w:r w:rsidR="004F4D2D" w:rsidRPr="00EE30AA">
        <w:t xml:space="preserve"> </w:t>
      </w:r>
      <w:r w:rsidR="007727E6">
        <w:t>(</w:t>
      </w:r>
      <w:r w:rsidR="004F4D2D" w:rsidRPr="00EE30AA">
        <w:t xml:space="preserve">which were </w:t>
      </w:r>
      <w:r w:rsidR="004F4D2D">
        <w:t>severely impacted by hypoxic blackwater events</w:t>
      </w:r>
      <w:r w:rsidR="00A45986">
        <w:t xml:space="preserve"> </w:t>
      </w:r>
      <w:r w:rsidR="00340043">
        <w:t xml:space="preserve">in </w:t>
      </w:r>
      <w:r w:rsidR="00A45986">
        <w:t>2010</w:t>
      </w:r>
      <w:r w:rsidR="00340043">
        <w:t>-11</w:t>
      </w:r>
      <w:r w:rsidR="007727E6">
        <w:t>), and b) r</w:t>
      </w:r>
      <w:r w:rsidR="004B58B4">
        <w:t xml:space="preserve">equested a more detailed assessment </w:t>
      </w:r>
      <w:r w:rsidR="00F9354E">
        <w:t>about the type of flows that would be required in Yallakool Creek</w:t>
      </w:r>
      <w:r w:rsidR="007727E6">
        <w:t xml:space="preserve"> and</w:t>
      </w:r>
      <w:r w:rsidR="00CF34DF">
        <w:t xml:space="preserve"> Wakool River</w:t>
      </w:r>
      <w:r w:rsidR="00F9354E">
        <w:t xml:space="preserve">, particularly the use </w:t>
      </w:r>
      <w:r w:rsidR="00C11F36">
        <w:t xml:space="preserve">of </w:t>
      </w:r>
      <w:r w:rsidR="00F9354E">
        <w:t>in</w:t>
      </w:r>
      <w:r w:rsidR="005354A0">
        <w:t>-</w:t>
      </w:r>
      <w:r w:rsidR="00F9354E">
        <w:t>channel flows, to obtain a spawning response</w:t>
      </w:r>
      <w:r w:rsidR="007727E6">
        <w:t xml:space="preserve"> in this species</w:t>
      </w:r>
      <w:r w:rsidR="00F9354E">
        <w:t>.</w:t>
      </w:r>
      <w:r w:rsidR="00FF554A">
        <w:t xml:space="preserve"> </w:t>
      </w:r>
    </w:p>
    <w:p w:rsidR="004E6DF9" w:rsidRDefault="004E6DF9" w:rsidP="004E6DF9">
      <w:pPr>
        <w:shd w:val="clear" w:color="auto" w:fill="FFFFFF"/>
        <w:tabs>
          <w:tab w:val="left" w:pos="426"/>
        </w:tabs>
        <w:spacing w:after="240"/>
        <w:jc w:val="left"/>
        <w:rPr>
          <w:rFonts w:asciiTheme="minorHAnsi" w:hAnsiTheme="minorHAnsi" w:cs="Courier New"/>
          <w:color w:val="000000"/>
        </w:rPr>
      </w:pPr>
      <w:r>
        <w:rPr>
          <w:rFonts w:asciiTheme="minorHAnsi" w:eastAsia="Times New Roman" w:hAnsiTheme="minorHAnsi" w:cs="Courier New"/>
          <w:color w:val="000000"/>
        </w:rPr>
        <w:t>Three</w:t>
      </w:r>
      <w:r w:rsidRPr="002918AB">
        <w:rPr>
          <w:rFonts w:asciiTheme="minorHAnsi" w:eastAsia="Times New Roman" w:hAnsiTheme="minorHAnsi" w:cs="Courier New"/>
          <w:color w:val="000000"/>
        </w:rPr>
        <w:t xml:space="preserve"> Commonwealth environmental watering actions were </w:t>
      </w:r>
      <w:r>
        <w:rPr>
          <w:rFonts w:asciiTheme="minorHAnsi" w:eastAsia="Times New Roman" w:hAnsiTheme="minorHAnsi" w:cs="Courier New"/>
          <w:color w:val="000000"/>
        </w:rPr>
        <w:t xml:space="preserve">undertaken for </w:t>
      </w:r>
      <w:r w:rsidRPr="002918AB">
        <w:rPr>
          <w:rFonts w:asciiTheme="minorHAnsi" w:eastAsia="Times New Roman" w:hAnsiTheme="minorHAnsi" w:cs="Courier New"/>
          <w:color w:val="000000"/>
        </w:rPr>
        <w:t xml:space="preserve">the Edward-Wakool System in 2014-15; </w:t>
      </w:r>
      <w:r>
        <w:rPr>
          <w:rFonts w:asciiTheme="minorHAnsi" w:eastAsia="Times New Roman" w:hAnsiTheme="minorHAnsi" w:cs="Courier New"/>
          <w:color w:val="000000"/>
        </w:rPr>
        <w:t xml:space="preserve">i) </w:t>
      </w:r>
      <w:r w:rsidRPr="005354A0">
        <w:t xml:space="preserve">Yallakool Creek-Wakool </w:t>
      </w:r>
      <w:r>
        <w:t xml:space="preserve">River watering action </w:t>
      </w:r>
      <w:r w:rsidRPr="005354A0">
        <w:t>between August 2014 and January 2015</w:t>
      </w:r>
      <w:r>
        <w:t xml:space="preserve">, ii) </w:t>
      </w:r>
      <w:r w:rsidRPr="005354A0">
        <w:t xml:space="preserve">Tuppal Creek </w:t>
      </w:r>
      <w:r>
        <w:t xml:space="preserve">watering action </w:t>
      </w:r>
      <w:r w:rsidRPr="005354A0">
        <w:t xml:space="preserve">(partnered with NSW environmental water) </w:t>
      </w:r>
      <w:r>
        <w:t xml:space="preserve">in </w:t>
      </w:r>
      <w:r w:rsidRPr="006D2ECD">
        <w:rPr>
          <w:rFonts w:ascii="Verdana" w:hAnsi="Verdana"/>
          <w:sz w:val="19"/>
          <w:szCs w:val="19"/>
        </w:rPr>
        <w:t>spring (October to November 2014) and autumn (March to April 2015)</w:t>
      </w:r>
      <w:r>
        <w:rPr>
          <w:rFonts w:ascii="Verdana" w:hAnsi="Verdana"/>
          <w:sz w:val="19"/>
          <w:szCs w:val="19"/>
        </w:rPr>
        <w:t xml:space="preserve">, and iii) </w:t>
      </w:r>
      <w:r w:rsidRPr="005C3A6B">
        <w:rPr>
          <w:rFonts w:asciiTheme="minorHAnsi" w:eastAsia="Times New Roman" w:hAnsiTheme="minorHAnsi" w:cs="Courier New"/>
          <w:color w:val="000000"/>
        </w:rPr>
        <w:t xml:space="preserve">Colligen Creek </w:t>
      </w:r>
      <w:r>
        <w:rPr>
          <w:rFonts w:asciiTheme="minorHAnsi" w:eastAsia="Times New Roman" w:hAnsiTheme="minorHAnsi" w:cs="Courier New"/>
          <w:color w:val="000000"/>
        </w:rPr>
        <w:t xml:space="preserve">watering action </w:t>
      </w:r>
      <w:r w:rsidRPr="005C3A6B">
        <w:rPr>
          <w:rFonts w:asciiTheme="minorHAnsi" w:eastAsia="Times New Roman" w:hAnsiTheme="minorHAnsi" w:cs="Courier New"/>
          <w:color w:val="000000"/>
        </w:rPr>
        <w:t>in January 2015</w:t>
      </w:r>
      <w:r>
        <w:rPr>
          <w:rFonts w:asciiTheme="minorHAnsi" w:eastAsia="Times New Roman" w:hAnsiTheme="minorHAnsi" w:cs="Courier New"/>
          <w:color w:val="000000"/>
        </w:rPr>
        <w:t xml:space="preserve">. </w:t>
      </w:r>
      <w:r w:rsidRPr="00B136C6">
        <w:rPr>
          <w:rFonts w:asciiTheme="minorHAnsi" w:hAnsiTheme="minorHAnsi" w:cs="Courier New"/>
          <w:color w:val="000000"/>
        </w:rPr>
        <w:t>Th</w:t>
      </w:r>
      <w:r>
        <w:rPr>
          <w:rFonts w:asciiTheme="minorHAnsi" w:hAnsiTheme="minorHAnsi" w:cs="Courier New"/>
          <w:color w:val="000000"/>
        </w:rPr>
        <w:t xml:space="preserve">e Tuppal Creek and Colligen Creek </w:t>
      </w:r>
      <w:r w:rsidRPr="00B136C6">
        <w:rPr>
          <w:rFonts w:asciiTheme="minorHAnsi" w:hAnsiTheme="minorHAnsi" w:cs="Courier New"/>
          <w:color w:val="000000"/>
        </w:rPr>
        <w:t>watering action</w:t>
      </w:r>
      <w:r>
        <w:rPr>
          <w:rFonts w:asciiTheme="minorHAnsi" w:hAnsiTheme="minorHAnsi" w:cs="Courier New"/>
          <w:color w:val="000000"/>
        </w:rPr>
        <w:t>s</w:t>
      </w:r>
      <w:r w:rsidRPr="00B136C6">
        <w:rPr>
          <w:rFonts w:asciiTheme="minorHAnsi" w:hAnsiTheme="minorHAnsi" w:cs="Courier New"/>
          <w:color w:val="000000"/>
        </w:rPr>
        <w:t xml:space="preserve"> w</w:t>
      </w:r>
      <w:r>
        <w:rPr>
          <w:rFonts w:asciiTheme="minorHAnsi" w:hAnsiTheme="minorHAnsi" w:cs="Courier New"/>
          <w:color w:val="000000"/>
        </w:rPr>
        <w:t>ere</w:t>
      </w:r>
      <w:r w:rsidRPr="00B136C6">
        <w:rPr>
          <w:rFonts w:asciiTheme="minorHAnsi" w:hAnsiTheme="minorHAnsi" w:cs="Courier New"/>
          <w:color w:val="000000"/>
        </w:rPr>
        <w:t xml:space="preserve"> not monitored as part of the </w:t>
      </w:r>
      <w:r>
        <w:rPr>
          <w:rFonts w:asciiTheme="minorHAnsi" w:hAnsiTheme="minorHAnsi" w:cs="Courier New"/>
          <w:color w:val="000000"/>
        </w:rPr>
        <w:t xml:space="preserve">Edward-Wakool </w:t>
      </w:r>
      <w:r w:rsidRPr="00B136C6">
        <w:rPr>
          <w:rFonts w:asciiTheme="minorHAnsi" w:hAnsiTheme="minorHAnsi" w:cs="Courier New"/>
          <w:color w:val="000000"/>
        </w:rPr>
        <w:t xml:space="preserve">LTIM </w:t>
      </w:r>
      <w:r>
        <w:rPr>
          <w:rFonts w:asciiTheme="minorHAnsi" w:hAnsiTheme="minorHAnsi" w:cs="Courier New"/>
          <w:color w:val="000000"/>
        </w:rPr>
        <w:t>Project, and hence have not been described or evaluated in this report. The effects of the Yallakool Creek environmental watering action will be the focus of this report.</w:t>
      </w:r>
    </w:p>
    <w:p w:rsidR="000070E1" w:rsidRDefault="000070E1" w:rsidP="00853906">
      <w:pPr>
        <w:spacing w:after="120"/>
        <w:rPr>
          <w:rFonts w:asciiTheme="minorHAnsi" w:hAnsiTheme="minorHAnsi"/>
          <w:b/>
          <w:szCs w:val="22"/>
        </w:rPr>
      </w:pPr>
      <w:r w:rsidRPr="006620D7">
        <w:rPr>
          <w:rFonts w:asciiTheme="minorHAnsi" w:hAnsiTheme="minorHAnsi"/>
          <w:b/>
          <w:szCs w:val="22"/>
        </w:rPr>
        <w:t>Yallakool Creek Environmental Watering Action</w:t>
      </w:r>
      <w:r w:rsidR="006C73F3">
        <w:rPr>
          <w:rFonts w:asciiTheme="minorHAnsi" w:hAnsiTheme="minorHAnsi"/>
          <w:b/>
          <w:szCs w:val="22"/>
        </w:rPr>
        <w:t xml:space="preserve"> </w:t>
      </w:r>
      <w:r w:rsidR="006C73F3" w:rsidRPr="006C73F3">
        <w:rPr>
          <w:rFonts w:asciiTheme="minorHAnsi" w:hAnsiTheme="minorHAnsi"/>
          <w:b/>
          <w:szCs w:val="22"/>
        </w:rPr>
        <w:t>(Aug 2014 – January 2015)</w:t>
      </w:r>
    </w:p>
    <w:p w:rsidR="000070E1" w:rsidRDefault="000070E1" w:rsidP="00853906">
      <w:pPr>
        <w:pStyle w:val="ListBullet"/>
        <w:spacing w:after="120" w:line="360" w:lineRule="auto"/>
        <w:jc w:val="left"/>
        <w:rPr>
          <w:rFonts w:asciiTheme="minorHAnsi" w:eastAsia="Calibri" w:hAnsiTheme="minorHAnsi" w:cs="Courier New"/>
          <w:color w:val="000000"/>
          <w:sz w:val="22"/>
          <w:lang w:eastAsia="en-US"/>
        </w:rPr>
      </w:pPr>
      <w:r w:rsidRPr="007A6DE5">
        <w:rPr>
          <w:rFonts w:asciiTheme="minorHAnsi" w:eastAsia="Calibri" w:hAnsiTheme="minorHAnsi" w:cs="Courier New"/>
          <w:color w:val="000000"/>
          <w:sz w:val="22"/>
          <w:lang w:eastAsia="en-US"/>
        </w:rPr>
        <w:t xml:space="preserve">A cod maintenance watering option was developed for Yallakool Creek for 2014-15 </w:t>
      </w:r>
      <w:r w:rsidR="00961166">
        <w:rPr>
          <w:rFonts w:asciiTheme="minorHAnsi" w:eastAsia="Calibri" w:hAnsiTheme="minorHAnsi" w:cs="Courier New"/>
          <w:color w:val="000000"/>
          <w:sz w:val="22"/>
          <w:lang w:eastAsia="en-US"/>
        </w:rPr>
        <w:t>(</w:t>
      </w:r>
      <w:r>
        <w:rPr>
          <w:rFonts w:asciiTheme="minorHAnsi" w:eastAsia="Calibri" w:hAnsiTheme="minorHAnsi" w:cs="Courier New"/>
          <w:color w:val="000000"/>
          <w:sz w:val="22"/>
          <w:lang w:eastAsia="en-US"/>
        </w:rPr>
        <w:t xml:space="preserve">CEWO 2014) </w:t>
      </w:r>
      <w:r w:rsidRPr="007A6DE5">
        <w:rPr>
          <w:rFonts w:asciiTheme="minorHAnsi" w:eastAsia="Calibri" w:hAnsiTheme="minorHAnsi" w:cs="Courier New"/>
          <w:color w:val="000000"/>
          <w:sz w:val="22"/>
          <w:lang w:eastAsia="en-US"/>
        </w:rPr>
        <w:t xml:space="preserve">that was similar to </w:t>
      </w:r>
      <w:r>
        <w:rPr>
          <w:rFonts w:asciiTheme="minorHAnsi" w:eastAsia="Calibri" w:hAnsiTheme="minorHAnsi" w:cs="Courier New"/>
          <w:color w:val="000000"/>
          <w:sz w:val="22"/>
          <w:lang w:eastAsia="en-US"/>
        </w:rPr>
        <w:t xml:space="preserve">a </w:t>
      </w:r>
      <w:r w:rsidRPr="007A6DE5">
        <w:rPr>
          <w:rFonts w:asciiTheme="minorHAnsi" w:eastAsia="Calibri" w:hAnsiTheme="minorHAnsi" w:cs="Courier New"/>
          <w:color w:val="000000"/>
          <w:sz w:val="22"/>
          <w:lang w:eastAsia="en-US"/>
        </w:rPr>
        <w:t xml:space="preserve">watering action undertaken in 2013-14 in this system. </w:t>
      </w:r>
      <w:r w:rsidR="00874880">
        <w:rPr>
          <w:rFonts w:asciiTheme="minorHAnsi" w:eastAsia="Calibri" w:hAnsiTheme="minorHAnsi" w:cs="Courier New"/>
          <w:color w:val="000000"/>
          <w:sz w:val="22"/>
          <w:lang w:eastAsia="en-US"/>
        </w:rPr>
        <w:t>I</w:t>
      </w:r>
      <w:r w:rsidR="00767601" w:rsidRPr="00767601">
        <w:rPr>
          <w:rFonts w:asciiTheme="minorHAnsi" w:eastAsia="Calibri" w:hAnsiTheme="minorHAnsi" w:cs="Courier New"/>
          <w:color w:val="000000"/>
          <w:sz w:val="22"/>
          <w:lang w:eastAsia="en-US"/>
        </w:rPr>
        <w:t xml:space="preserve">t was planned that </w:t>
      </w:r>
      <w:r w:rsidR="006D2ECD">
        <w:rPr>
          <w:rFonts w:asciiTheme="minorHAnsi" w:eastAsia="Calibri" w:hAnsiTheme="minorHAnsi" w:cs="Courier New"/>
          <w:color w:val="000000"/>
          <w:sz w:val="22"/>
          <w:lang w:eastAsia="en-US"/>
        </w:rPr>
        <w:t>Commonwealth environmental water</w:t>
      </w:r>
      <w:r w:rsidR="00767601" w:rsidRPr="00767601">
        <w:rPr>
          <w:rFonts w:asciiTheme="minorHAnsi" w:eastAsia="Calibri" w:hAnsiTheme="minorHAnsi" w:cs="Courier New"/>
          <w:color w:val="000000"/>
          <w:sz w:val="22"/>
          <w:lang w:eastAsia="en-US"/>
        </w:rPr>
        <w:t xml:space="preserve"> would contribute </w:t>
      </w:r>
      <w:r w:rsidR="002F5A42">
        <w:rPr>
          <w:rFonts w:asciiTheme="minorHAnsi" w:eastAsia="Calibri" w:hAnsiTheme="minorHAnsi" w:cs="Courier New"/>
          <w:color w:val="000000"/>
          <w:sz w:val="22"/>
          <w:lang w:eastAsia="en-US"/>
        </w:rPr>
        <w:t>about 500 ML/day</w:t>
      </w:r>
      <w:r w:rsidR="00767601" w:rsidRPr="00767601">
        <w:rPr>
          <w:rFonts w:asciiTheme="minorHAnsi" w:eastAsia="Calibri" w:hAnsiTheme="minorHAnsi" w:cs="Courier New"/>
          <w:color w:val="000000"/>
          <w:sz w:val="22"/>
          <w:lang w:eastAsia="en-US"/>
        </w:rPr>
        <w:t xml:space="preserve"> in Yallakool Creek through to</w:t>
      </w:r>
      <w:r w:rsidR="00C11F36">
        <w:rPr>
          <w:rFonts w:asciiTheme="minorHAnsi" w:eastAsia="Calibri" w:hAnsiTheme="minorHAnsi" w:cs="Courier New"/>
          <w:color w:val="000000"/>
          <w:sz w:val="22"/>
          <w:lang w:eastAsia="en-US"/>
        </w:rPr>
        <w:t xml:space="preserve"> the</w:t>
      </w:r>
      <w:r w:rsidR="00767601" w:rsidRPr="00767601">
        <w:rPr>
          <w:rFonts w:asciiTheme="minorHAnsi" w:eastAsia="Calibri" w:hAnsiTheme="minorHAnsi" w:cs="Courier New"/>
          <w:color w:val="000000"/>
          <w:sz w:val="22"/>
          <w:lang w:eastAsia="en-US"/>
        </w:rPr>
        <w:t xml:space="preserve"> end of</w:t>
      </w:r>
      <w:r w:rsidR="00C11F36">
        <w:rPr>
          <w:rFonts w:asciiTheme="minorHAnsi" w:eastAsia="Calibri" w:hAnsiTheme="minorHAnsi" w:cs="Courier New"/>
          <w:color w:val="000000"/>
          <w:sz w:val="22"/>
          <w:lang w:eastAsia="en-US"/>
        </w:rPr>
        <w:t xml:space="preserve"> the</w:t>
      </w:r>
      <w:r w:rsidR="00767601" w:rsidRPr="00767601">
        <w:rPr>
          <w:rFonts w:asciiTheme="minorHAnsi" w:eastAsia="Calibri" w:hAnsiTheme="minorHAnsi" w:cs="Courier New"/>
          <w:color w:val="000000"/>
          <w:sz w:val="22"/>
          <w:lang w:eastAsia="en-US"/>
        </w:rPr>
        <w:t xml:space="preserve"> cod spawning season. </w:t>
      </w:r>
      <w:r w:rsidRPr="007A6DE5">
        <w:rPr>
          <w:rFonts w:asciiTheme="minorHAnsi" w:eastAsia="Calibri" w:hAnsiTheme="minorHAnsi" w:cs="Courier New"/>
          <w:color w:val="000000"/>
          <w:sz w:val="22"/>
          <w:lang w:eastAsia="en-US"/>
        </w:rPr>
        <w:t xml:space="preserve">In the absence of natural high inflows, </w:t>
      </w:r>
      <w:r>
        <w:rPr>
          <w:rFonts w:asciiTheme="minorHAnsi" w:eastAsia="Calibri" w:hAnsiTheme="minorHAnsi" w:cs="Courier New"/>
          <w:color w:val="000000"/>
          <w:sz w:val="22"/>
          <w:lang w:eastAsia="en-US"/>
        </w:rPr>
        <w:t>it was planned that environmental water w</w:t>
      </w:r>
      <w:r w:rsidRPr="007A6DE5">
        <w:rPr>
          <w:rFonts w:asciiTheme="minorHAnsi" w:eastAsia="Calibri" w:hAnsiTheme="minorHAnsi" w:cs="Courier New"/>
          <w:color w:val="000000"/>
          <w:sz w:val="22"/>
          <w:lang w:eastAsia="en-US"/>
        </w:rPr>
        <w:t>ould be delivered to provide an early season pulse to ‘prime’ the channel and contribute to a more natural flow regime (CEWO 2014).</w:t>
      </w:r>
    </w:p>
    <w:p w:rsidR="007727E6" w:rsidRDefault="007727E6" w:rsidP="00311640">
      <w:pPr>
        <w:spacing w:after="0"/>
        <w:ind w:right="-272"/>
        <w:jc w:val="left"/>
        <w:rPr>
          <w:rFonts w:ascii="Tahoma" w:hAnsi="Tahoma" w:cs="Tahoma"/>
          <w:sz w:val="20"/>
        </w:rPr>
      </w:pPr>
      <w:r>
        <w:t xml:space="preserve">The watering action objectives for this action were </w:t>
      </w:r>
      <w:r w:rsidR="005C3A6B">
        <w:t>defined by CEWO on 22 July. It was expected that this action will</w:t>
      </w:r>
      <w:r>
        <w:rPr>
          <w:rFonts w:ascii="Tahoma" w:hAnsi="Tahoma" w:cs="Tahoma"/>
          <w:sz w:val="20"/>
        </w:rPr>
        <w:t>:</w:t>
      </w:r>
    </w:p>
    <w:p w:rsidR="007727E6" w:rsidRDefault="007727E6" w:rsidP="00853906">
      <w:pPr>
        <w:numPr>
          <w:ilvl w:val="0"/>
          <w:numId w:val="36"/>
        </w:numPr>
        <w:shd w:val="clear" w:color="auto" w:fill="FFFFFF"/>
        <w:tabs>
          <w:tab w:val="left" w:pos="426"/>
        </w:tabs>
        <w:spacing w:after="0"/>
        <w:ind w:left="425" w:hanging="425"/>
        <w:jc w:val="left"/>
      </w:pPr>
      <w:r w:rsidRPr="0050051F">
        <w:t>support inundation of Murray cod nesting sites and contribute to maximising Murray cod recruitment</w:t>
      </w:r>
    </w:p>
    <w:p w:rsidR="007727E6" w:rsidRDefault="007727E6" w:rsidP="00853906">
      <w:pPr>
        <w:numPr>
          <w:ilvl w:val="0"/>
          <w:numId w:val="36"/>
        </w:numPr>
        <w:shd w:val="clear" w:color="auto" w:fill="FFFFFF"/>
        <w:tabs>
          <w:tab w:val="left" w:pos="426"/>
        </w:tabs>
        <w:spacing w:after="0"/>
        <w:ind w:left="425" w:hanging="425"/>
        <w:jc w:val="left"/>
      </w:pPr>
      <w:r w:rsidRPr="0050051F">
        <w:t>contribute to improved opportunities for movement, condition, reproduction and recruitment of native fish</w:t>
      </w:r>
    </w:p>
    <w:p w:rsidR="007727E6" w:rsidRDefault="007727E6" w:rsidP="00853906">
      <w:pPr>
        <w:numPr>
          <w:ilvl w:val="0"/>
          <w:numId w:val="36"/>
        </w:numPr>
        <w:shd w:val="clear" w:color="auto" w:fill="FFFFFF"/>
        <w:tabs>
          <w:tab w:val="left" w:pos="426"/>
        </w:tabs>
        <w:spacing w:after="0"/>
        <w:ind w:left="425" w:hanging="425"/>
        <w:jc w:val="left"/>
      </w:pPr>
      <w:r w:rsidRPr="0050051F">
        <w:t xml:space="preserve">increase hydrological connectivity, including inundation of slackwater habitats areas </w:t>
      </w:r>
      <w:r>
        <w:t>downstream of</w:t>
      </w:r>
      <w:r w:rsidRPr="0050051F">
        <w:t xml:space="preserve"> the Yallakool-Wakool confluence, providing opportunities for recruitment of s</w:t>
      </w:r>
      <w:r>
        <w:t xml:space="preserve">mall bodied native fish, frogs and </w:t>
      </w:r>
      <w:r w:rsidRPr="0050051F">
        <w:t>shrimp</w:t>
      </w:r>
    </w:p>
    <w:p w:rsidR="007727E6" w:rsidRDefault="007727E6" w:rsidP="00853906">
      <w:pPr>
        <w:numPr>
          <w:ilvl w:val="0"/>
          <w:numId w:val="36"/>
        </w:numPr>
        <w:shd w:val="clear" w:color="auto" w:fill="FFFFFF"/>
        <w:tabs>
          <w:tab w:val="left" w:pos="426"/>
        </w:tabs>
        <w:spacing w:after="0"/>
        <w:ind w:left="425" w:hanging="425"/>
        <w:jc w:val="left"/>
      </w:pPr>
      <w:r w:rsidRPr="0050051F">
        <w:t>maintain/improve vegetation condition, including fringing vegetation and emergent/submerged aquatic plants</w:t>
      </w:r>
    </w:p>
    <w:p w:rsidR="007727E6" w:rsidRDefault="007727E6" w:rsidP="00853906">
      <w:pPr>
        <w:numPr>
          <w:ilvl w:val="0"/>
          <w:numId w:val="36"/>
        </w:numPr>
        <w:shd w:val="clear" w:color="auto" w:fill="FFFFFF"/>
        <w:tabs>
          <w:tab w:val="left" w:pos="426"/>
        </w:tabs>
        <w:spacing w:after="0"/>
        <w:ind w:left="425" w:hanging="425"/>
        <w:jc w:val="left"/>
      </w:pPr>
      <w:r w:rsidRPr="0050051F">
        <w:t>maintain/improve water quality, particularly dissolved oxygen, salinity and pH</w:t>
      </w:r>
    </w:p>
    <w:p w:rsidR="007727E6" w:rsidRDefault="007727E6" w:rsidP="00853906">
      <w:pPr>
        <w:numPr>
          <w:ilvl w:val="0"/>
          <w:numId w:val="36"/>
        </w:numPr>
        <w:shd w:val="clear" w:color="auto" w:fill="FFFFFF"/>
        <w:tabs>
          <w:tab w:val="left" w:pos="426"/>
        </w:tabs>
        <w:spacing w:after="120"/>
        <w:ind w:left="425" w:hanging="425"/>
        <w:jc w:val="left"/>
      </w:pPr>
      <w:proofErr w:type="gramStart"/>
      <w:r w:rsidRPr="0050051F">
        <w:t>contribute</w:t>
      </w:r>
      <w:proofErr w:type="gramEnd"/>
      <w:r w:rsidRPr="0050051F">
        <w:t xml:space="preserve"> to maximising outcomes in the Wakool from outflows from Koondrook-Perricoota and provide greater volume of receiving water</w:t>
      </w:r>
      <w:r w:rsidR="00034F65">
        <w:t>.</w:t>
      </w:r>
    </w:p>
    <w:p w:rsidR="000B1443" w:rsidRDefault="006C73F3" w:rsidP="00311640">
      <w:pPr>
        <w:jc w:val="left"/>
        <w:rPr>
          <w:rFonts w:ascii="Tahoma" w:hAnsi="Tahoma" w:cs="Tahoma"/>
          <w:sz w:val="20"/>
        </w:rPr>
      </w:pPr>
      <w:r w:rsidRPr="006C73F3">
        <w:t xml:space="preserve">Following a series of </w:t>
      </w:r>
      <w:r w:rsidR="00767601">
        <w:t>high unregulated</w:t>
      </w:r>
      <w:r w:rsidRPr="006C73F3">
        <w:t xml:space="preserve"> inflow events</w:t>
      </w:r>
      <w:r>
        <w:t xml:space="preserve"> in July 2014</w:t>
      </w:r>
      <w:r w:rsidRPr="006C73F3">
        <w:t xml:space="preserve">, flows </w:t>
      </w:r>
      <w:r w:rsidR="00767601">
        <w:t>started to pass</w:t>
      </w:r>
      <w:r w:rsidRPr="006C73F3">
        <w:t xml:space="preserve"> through the Edward-Wakool system, including overbank flows into Werai </w:t>
      </w:r>
      <w:r w:rsidR="001769A6">
        <w:t xml:space="preserve">Forest </w:t>
      </w:r>
      <w:r w:rsidRPr="006C73F3">
        <w:t xml:space="preserve">and to </w:t>
      </w:r>
      <w:r>
        <w:t xml:space="preserve">Colligen and Yallakool Creeks. </w:t>
      </w:r>
      <w:r w:rsidRPr="006C73F3">
        <w:t xml:space="preserve">On the back of </w:t>
      </w:r>
      <w:r w:rsidR="00767601">
        <w:t xml:space="preserve">these tributary inflows, use of Commonwealth environmental water commenced earlier than planned to synchronise with naturally occurring high flows and the potential that, despite low water temperatures, large bodied native fish may have commenced moving into breeding habitat and nesting sites. </w:t>
      </w:r>
      <w:r w:rsidR="00034F65">
        <w:t>The watering action in Yallakool Creek (zone 1) commenced on 12 August 2014 and there was an extended in-channel fresh of approximately 500 ML/day from August until 16 December 2014, followed by a recession of about 40cm over 30 days until it reached operational flows in the range of 200 to 240 ML/day. The action was completed on 15 January 2015. The total Commonwealth environmental water delivery for this action was 34,561 ML.</w:t>
      </w:r>
    </w:p>
    <w:p w:rsidR="001D15F1" w:rsidRPr="001D15F1" w:rsidRDefault="00F066E5" w:rsidP="001D15F1">
      <w:pPr>
        <w:autoSpaceDE w:val="0"/>
        <w:autoSpaceDN w:val="0"/>
        <w:adjustRightInd w:val="0"/>
        <w:spacing w:after="240"/>
        <w:rPr>
          <w:b/>
          <w:color w:val="4F6228" w:themeColor="accent3" w:themeShade="80"/>
          <w:sz w:val="24"/>
          <w:szCs w:val="24"/>
        </w:rPr>
      </w:pPr>
      <w:r>
        <w:rPr>
          <w:b/>
          <w:color w:val="4F6228" w:themeColor="accent3" w:themeShade="80"/>
          <w:sz w:val="24"/>
          <w:szCs w:val="24"/>
        </w:rPr>
        <w:t xml:space="preserve">2.4 </w:t>
      </w:r>
      <w:r w:rsidR="001D15F1" w:rsidRPr="001D15F1">
        <w:rPr>
          <w:b/>
          <w:color w:val="4F6228" w:themeColor="accent3" w:themeShade="80"/>
          <w:sz w:val="24"/>
          <w:szCs w:val="24"/>
        </w:rPr>
        <w:t>References</w:t>
      </w:r>
    </w:p>
    <w:p w:rsidR="001D15F1" w:rsidRPr="00E61F29" w:rsidRDefault="001D15F1" w:rsidP="00E61F29">
      <w:pPr>
        <w:spacing w:after="240" w:line="240" w:lineRule="auto"/>
        <w:rPr>
          <w:rFonts w:asciiTheme="minorHAnsi" w:hAnsiTheme="minorHAnsi"/>
          <w:szCs w:val="22"/>
        </w:rPr>
      </w:pPr>
      <w:r w:rsidRPr="006F6800">
        <w:rPr>
          <w:rFonts w:asciiTheme="minorHAnsi" w:hAnsiTheme="minorHAnsi"/>
          <w:szCs w:val="22"/>
        </w:rPr>
        <w:t>CEWO (2014)</w:t>
      </w:r>
      <w:r w:rsidR="006F6800">
        <w:rPr>
          <w:rFonts w:asciiTheme="minorHAnsi" w:hAnsiTheme="minorHAnsi"/>
          <w:szCs w:val="22"/>
        </w:rPr>
        <w:t xml:space="preserve"> </w:t>
      </w:r>
      <w:r w:rsidR="00E61F29" w:rsidRPr="00E61F29">
        <w:rPr>
          <w:bCs/>
        </w:rPr>
        <w:t>Water Use Minute 10008</w:t>
      </w:r>
      <w:r w:rsidR="00E61F29">
        <w:rPr>
          <w:bCs/>
        </w:rPr>
        <w:t xml:space="preserve">. </w:t>
      </w:r>
      <w:r w:rsidR="00E61F29" w:rsidRPr="00E61F29">
        <w:rPr>
          <w:bCs/>
        </w:rPr>
        <w:t>Commonwealth Environm</w:t>
      </w:r>
      <w:r w:rsidR="00E61F29">
        <w:rPr>
          <w:bCs/>
        </w:rPr>
        <w:t>ental Water Office</w:t>
      </w:r>
    </w:p>
    <w:p w:rsidR="006F6800" w:rsidRPr="006F6800" w:rsidRDefault="001D15F1" w:rsidP="006F6800">
      <w:pPr>
        <w:pStyle w:val="CommentText"/>
        <w:rPr>
          <w:rFonts w:asciiTheme="minorHAnsi" w:hAnsiTheme="minorHAnsi"/>
          <w:sz w:val="22"/>
          <w:szCs w:val="22"/>
        </w:rPr>
      </w:pPr>
      <w:r w:rsidRPr="006F6800">
        <w:rPr>
          <w:rFonts w:asciiTheme="minorHAnsi" w:hAnsiTheme="minorHAnsi"/>
          <w:sz w:val="22"/>
          <w:szCs w:val="22"/>
        </w:rPr>
        <w:t xml:space="preserve">MDBA (2014) 2014–15 Basin Annual Environmental </w:t>
      </w:r>
      <w:r w:rsidR="006F6800" w:rsidRPr="006F6800">
        <w:rPr>
          <w:rFonts w:asciiTheme="minorHAnsi" w:hAnsiTheme="minorHAnsi"/>
          <w:sz w:val="22"/>
          <w:szCs w:val="22"/>
        </w:rPr>
        <w:t>Wa</w:t>
      </w:r>
      <w:r w:rsidR="00725C33">
        <w:rPr>
          <w:rFonts w:asciiTheme="minorHAnsi" w:hAnsiTheme="minorHAnsi"/>
          <w:sz w:val="22"/>
          <w:szCs w:val="22"/>
        </w:rPr>
        <w:t>tering Priorities</w:t>
      </w:r>
      <w:r w:rsidR="006F6800" w:rsidRPr="006F6800">
        <w:rPr>
          <w:rFonts w:asciiTheme="minorHAnsi" w:hAnsiTheme="minorHAnsi"/>
          <w:sz w:val="22"/>
          <w:szCs w:val="22"/>
        </w:rPr>
        <w:t>. MDBA Publication No 24/14</w:t>
      </w:r>
    </w:p>
    <w:bookmarkEnd w:id="6"/>
    <w:bookmarkEnd w:id="7"/>
    <w:bookmarkEnd w:id="8"/>
    <w:p w:rsidR="009875DA" w:rsidRDefault="009875DA">
      <w:pPr>
        <w:spacing w:after="0" w:line="240" w:lineRule="auto"/>
        <w:jc w:val="left"/>
        <w:rPr>
          <w:rFonts w:cs="Calibri"/>
          <w:szCs w:val="22"/>
          <w:highlight w:val="yellow"/>
          <w:lang w:val="en-GB"/>
        </w:rPr>
      </w:pPr>
      <w:r>
        <w:rPr>
          <w:rFonts w:cs="Calibri"/>
          <w:szCs w:val="22"/>
          <w:highlight w:val="yellow"/>
          <w:lang w:val="en-GB"/>
        </w:rPr>
        <w:br w:type="page"/>
      </w:r>
    </w:p>
    <w:p w:rsidR="00D63AA1" w:rsidRDefault="00EB70F1" w:rsidP="00ED6D80">
      <w:pPr>
        <w:pStyle w:val="MurrumH1"/>
      </w:pPr>
      <w:bookmarkStart w:id="37" w:name="_Toc450199548"/>
      <w:r>
        <w:t>M</w:t>
      </w:r>
      <w:r w:rsidR="00A0660D">
        <w:t>onitoring</w:t>
      </w:r>
      <w:r>
        <w:t xml:space="preserve"> and E</w:t>
      </w:r>
      <w:r w:rsidR="00CE7893">
        <w:t>valuation</w:t>
      </w:r>
      <w:bookmarkEnd w:id="37"/>
    </w:p>
    <w:p w:rsidR="00F83FB9" w:rsidRDefault="00D63AA1" w:rsidP="0094401D">
      <w:pPr>
        <w:spacing w:after="120"/>
        <w:ind w:right="-1"/>
        <w:jc w:val="left"/>
      </w:pPr>
      <w:r w:rsidRPr="00AB0611">
        <w:t xml:space="preserve">The monitoring </w:t>
      </w:r>
      <w:r w:rsidR="0011009D" w:rsidRPr="00AB0611">
        <w:t xml:space="preserve">of ecosystem responses to environmental watering in the Edward-Wakool system </w:t>
      </w:r>
      <w:r w:rsidR="00AB0611" w:rsidRPr="00AB0611">
        <w:t>in 2014-15</w:t>
      </w:r>
      <w:r w:rsidRPr="00AB0611">
        <w:t xml:space="preserve"> </w:t>
      </w:r>
      <w:r w:rsidR="00755600" w:rsidRPr="00AB0611">
        <w:t xml:space="preserve">was undertaken </w:t>
      </w:r>
      <w:r w:rsidR="00990150" w:rsidRPr="00AB0611">
        <w:t xml:space="preserve">as </w:t>
      </w:r>
      <w:r w:rsidR="00F83FB9">
        <w:t>outlined in the Edward-Wakool Long-term Intervention Monitoring and Evaluation Plan (Watts et al</w:t>
      </w:r>
      <w:r w:rsidR="00B137CB">
        <w:t>.</w:t>
      </w:r>
      <w:r w:rsidR="00446FF4">
        <w:t xml:space="preserve"> 2014).</w:t>
      </w:r>
      <w:r w:rsidR="0094401D">
        <w:t xml:space="preserve"> </w:t>
      </w:r>
      <w:r w:rsidR="00F83FB9" w:rsidRPr="004E6055">
        <w:t xml:space="preserve">The </w:t>
      </w:r>
      <w:r w:rsidR="00545D81">
        <w:t xml:space="preserve">majority of the </w:t>
      </w:r>
      <w:r w:rsidR="00F83FB9" w:rsidRPr="004E6055">
        <w:t xml:space="preserve">monitoring </w:t>
      </w:r>
      <w:r w:rsidR="00F83FB9">
        <w:t>for the Edward-Wakool LTIM Selected Area Evaluation is focussed</w:t>
      </w:r>
      <w:r w:rsidR="00F83FB9" w:rsidRPr="004E6055">
        <w:t xml:space="preserve"> </w:t>
      </w:r>
      <w:r w:rsidR="00E966A2">
        <w:t>on four hydrological zones</w:t>
      </w:r>
      <w:r w:rsidR="00CE62A8">
        <w:t>:</w:t>
      </w:r>
      <w:r w:rsidR="00F83FB9" w:rsidRPr="004E6055">
        <w:t xml:space="preserve"> Yallakool Creek </w:t>
      </w:r>
      <w:r w:rsidR="00F83FB9">
        <w:t xml:space="preserve">(zone 1), </w:t>
      </w:r>
      <w:r w:rsidR="00F83FB9" w:rsidRPr="004E6055">
        <w:t xml:space="preserve">the upper </w:t>
      </w:r>
      <w:r w:rsidR="00F83FB9">
        <w:t xml:space="preserve">Wakool River (zone 2) </w:t>
      </w:r>
      <w:r w:rsidR="00F83FB9" w:rsidRPr="004E6055">
        <w:t>and mid reaches of the Wakool River</w:t>
      </w:r>
      <w:r w:rsidR="00F83FB9">
        <w:t xml:space="preserve"> (zones 3 and 4</w:t>
      </w:r>
      <w:proofErr w:type="gramStart"/>
      <w:r w:rsidR="00F83FB9">
        <w:t>)(</w:t>
      </w:r>
      <w:proofErr w:type="gramEnd"/>
      <w:r w:rsidR="00F83FB9">
        <w:t>Figure</w:t>
      </w:r>
      <w:r w:rsidR="00E8333E">
        <w:t>s</w:t>
      </w:r>
      <w:r w:rsidR="00F83FB9">
        <w:t xml:space="preserve"> 3.1</w:t>
      </w:r>
      <w:r w:rsidR="00E8333E">
        <w:t>, 3.2</w:t>
      </w:r>
      <w:r w:rsidR="00F83FB9">
        <w:t xml:space="preserve">). </w:t>
      </w:r>
      <w:r w:rsidR="00B137CB">
        <w:t>Z</w:t>
      </w:r>
      <w:r w:rsidR="00A10213">
        <w:t xml:space="preserve">ones </w:t>
      </w:r>
      <w:r w:rsidR="00B137CB">
        <w:t xml:space="preserve">one to four </w:t>
      </w:r>
      <w:r w:rsidR="00A10213">
        <w:t>are referred to in this report as the focal zone.</w:t>
      </w:r>
      <w:r w:rsidR="00B137CB">
        <w:t xml:space="preserve"> </w:t>
      </w:r>
      <w:r w:rsidR="00545D81" w:rsidRPr="00E3073F">
        <w:rPr>
          <w:rFonts w:asciiTheme="minorHAnsi" w:hAnsiTheme="minorHAnsi" w:cs="Calibri"/>
        </w:rPr>
        <w:t xml:space="preserve">The reaches in zones 1 and 2 are generally more constrained, have steeper riverbanks and fewer in-channel geomorphic features (e.g. benches) than </w:t>
      </w:r>
      <w:r w:rsidR="00545D81">
        <w:rPr>
          <w:rFonts w:asciiTheme="minorHAnsi" w:hAnsiTheme="minorHAnsi" w:cs="Calibri"/>
        </w:rPr>
        <w:t>many</w:t>
      </w:r>
      <w:r w:rsidR="00545D81" w:rsidRPr="00E3073F">
        <w:rPr>
          <w:rFonts w:asciiTheme="minorHAnsi" w:hAnsiTheme="minorHAnsi" w:cs="Calibri"/>
        </w:rPr>
        <w:t xml:space="preserve"> of the reaches in zone</w:t>
      </w:r>
      <w:r w:rsidR="00545D81">
        <w:rPr>
          <w:rFonts w:asciiTheme="minorHAnsi" w:hAnsiTheme="minorHAnsi" w:cs="Calibri"/>
        </w:rPr>
        <w:t>s 3 and 4</w:t>
      </w:r>
      <w:r w:rsidR="00545D81" w:rsidRPr="00E3073F">
        <w:rPr>
          <w:rFonts w:asciiTheme="minorHAnsi" w:hAnsiTheme="minorHAnsi" w:cs="Calibri"/>
        </w:rPr>
        <w:t xml:space="preserve">. </w:t>
      </w:r>
      <w:r w:rsidR="00F83FB9">
        <w:t>In addition</w:t>
      </w:r>
      <w:r w:rsidR="00F83FB9" w:rsidRPr="004E6055">
        <w:t xml:space="preserve"> </w:t>
      </w:r>
      <w:r w:rsidR="00F83FB9">
        <w:t xml:space="preserve">to the fish population surveys undertaken in these four zones, a further 15 </w:t>
      </w:r>
      <w:r w:rsidR="00F83FB9" w:rsidRPr="004E6055">
        <w:t xml:space="preserve">sites throughout the </w:t>
      </w:r>
      <w:r w:rsidR="00F83FB9">
        <w:t xml:space="preserve">Edward-Wakool </w:t>
      </w:r>
      <w:r w:rsidR="00F83FB9" w:rsidRPr="004E6055">
        <w:t>system will be surveyed for fish</w:t>
      </w:r>
      <w:r w:rsidR="00F83FB9">
        <w:t xml:space="preserve"> populations in years 1 and 5</w:t>
      </w:r>
      <w:r w:rsidR="00E8333E">
        <w:t xml:space="preserve"> (Figure 3.1)</w:t>
      </w:r>
      <w:r w:rsidR="00F83FB9">
        <w:t>. In addition to water quality sampling in the focal area, water quality</w:t>
      </w:r>
      <w:r w:rsidR="00F83FB9" w:rsidRPr="004E6055">
        <w:t xml:space="preserve"> </w:t>
      </w:r>
      <w:r w:rsidR="0094401D">
        <w:t>is</w:t>
      </w:r>
      <w:r w:rsidR="00F83FB9" w:rsidRPr="004E6055">
        <w:t xml:space="preserve"> also </w:t>
      </w:r>
      <w:r w:rsidR="00F83FB9">
        <w:t>monitored</w:t>
      </w:r>
      <w:r w:rsidR="00F83FB9" w:rsidRPr="004E6055">
        <w:t xml:space="preserve"> in Stevens Weir and the Mulwala canal as these sites are the potential source of Commonwealth environmental water in this system.</w:t>
      </w:r>
      <w:r w:rsidR="00B137CB" w:rsidRPr="00B137CB">
        <w:t xml:space="preserve"> </w:t>
      </w:r>
      <w:r w:rsidR="00D20048">
        <w:t>A list of site codes and names is provided in Table 3.1.</w:t>
      </w:r>
    </w:p>
    <w:p w:rsidR="00CF6CD7" w:rsidRDefault="00CF6CD7" w:rsidP="00CE62A8">
      <w:pPr>
        <w:tabs>
          <w:tab w:val="left" w:pos="9071"/>
        </w:tabs>
        <w:spacing w:after="120"/>
        <w:jc w:val="left"/>
      </w:pPr>
      <w:r w:rsidRPr="00F83FB9">
        <w:t>The rationale regarding the selection of indicators is outlined in the Edward-Wakool Long term Intervention Monitoring and Evaluation Plan (Watts et al</w:t>
      </w:r>
      <w:r w:rsidR="00B137CB">
        <w:t>.</w:t>
      </w:r>
      <w:r w:rsidRPr="00F83FB9">
        <w:t xml:space="preserve"> 2014). </w:t>
      </w:r>
      <w:r w:rsidR="0094401D">
        <w:t xml:space="preserve">Indicators were monitored to contribute to the Edward-Wakool Selected Area Evaluation and/or the Whole of Basin scale evaluation that is being undertaken by the Murray-Darling Freshwater Research Centre (Hale et al 2014). Indicators monitored in the Edward-Wakool for the LTIM Project </w:t>
      </w:r>
      <w:r w:rsidR="00FA4242">
        <w:t>(</w:t>
      </w:r>
      <w:r w:rsidR="0094401D">
        <w:t>Table 3.2</w:t>
      </w:r>
      <w:r w:rsidR="00FA4242">
        <w:t>)</w:t>
      </w:r>
      <w:r w:rsidR="0094401D">
        <w:t xml:space="preserve"> </w:t>
      </w:r>
      <w:r w:rsidR="00FA4242">
        <w:t>are</w:t>
      </w:r>
      <w:r w:rsidR="0094401D">
        <w:t>: river hydrology, riverbank inundation by 2D-hydraulic modelling, stream metabolism, water quality and carbon, riverbank and aquatic vegetation, fish reproduction, fish recruitment, fish community, and fish movement (not monitored in 2014-15 but will be monitored from July 2015).</w:t>
      </w:r>
      <w:r>
        <w:t xml:space="preserve"> </w:t>
      </w:r>
      <w:r w:rsidR="00A57FAE">
        <w:t>Many of the indicators are expected to respond to Commonwealth environmental watering in short time frames (&lt; 1 year), but others (e.g. the fish community) are included as longer term indicators that are expected to respond over 2 to 5 year time frame (Table 2.1).</w:t>
      </w:r>
      <w:r w:rsidR="0094401D">
        <w:t xml:space="preserve"> </w:t>
      </w:r>
    </w:p>
    <w:p w:rsidR="00CF6CD7" w:rsidRDefault="00CF6CD7" w:rsidP="00CE62A8">
      <w:pPr>
        <w:tabs>
          <w:tab w:val="left" w:pos="9071"/>
        </w:tabs>
        <w:spacing w:after="120"/>
        <w:jc w:val="left"/>
      </w:pPr>
      <w:r w:rsidRPr="00E8333E">
        <w:t>A conceptual diagram (Figure 3.3) illustrates the linkages among indicators under different t</w:t>
      </w:r>
      <w:r>
        <w:t>ypes of environmental watering</w:t>
      </w:r>
      <w:r w:rsidR="0065658F">
        <w:t xml:space="preserve"> (freshes, overbank flows and low flows)</w:t>
      </w:r>
      <w:r>
        <w:t>.</w:t>
      </w:r>
      <w:r w:rsidR="0065658F">
        <w:t xml:space="preserve"> The diagram illustrates how factors such as spawning cues, water quality, availability of habitat and </w:t>
      </w:r>
      <w:r w:rsidR="00545D81">
        <w:t xml:space="preserve">availability of </w:t>
      </w:r>
      <w:r w:rsidR="0065658F">
        <w:t xml:space="preserve">food resources </w:t>
      </w:r>
      <w:r w:rsidR="00545D81">
        <w:t xml:space="preserve">will </w:t>
      </w:r>
      <w:r w:rsidR="0065658F">
        <w:t>play an important role in maintaining and</w:t>
      </w:r>
      <w:r w:rsidR="00545D81">
        <w:t>/or</w:t>
      </w:r>
      <w:r w:rsidR="0065658F">
        <w:t xml:space="preserve"> increasing fish populations.</w:t>
      </w:r>
    </w:p>
    <w:p w:rsidR="00CF6CD7" w:rsidRDefault="00CF6CD7" w:rsidP="00F83FB9">
      <w:pPr>
        <w:spacing w:before="120" w:after="120"/>
        <w:sectPr w:rsidR="00CF6CD7">
          <w:footerReference w:type="default" r:id="rId30"/>
          <w:pgSz w:w="11906" w:h="16838"/>
          <w:pgMar w:top="1440" w:right="1440" w:bottom="1440" w:left="1440" w:header="708" w:footer="708" w:gutter="0"/>
          <w:cols w:space="708"/>
          <w:docGrid w:linePitch="360"/>
        </w:sectPr>
      </w:pPr>
    </w:p>
    <w:p w:rsidR="00CF6CD7" w:rsidRDefault="00866FD3" w:rsidP="00866FD3">
      <w:pPr>
        <w:spacing w:before="120" w:after="0" w:line="240" w:lineRule="auto"/>
      </w:pPr>
      <w:r>
        <w:rPr>
          <w:noProof/>
          <w:lang w:eastAsia="en-AU"/>
        </w:rPr>
        <w:drawing>
          <wp:inline distT="0" distB="0" distL="0" distR="0">
            <wp:extent cx="6381750" cy="4504931"/>
            <wp:effectExtent l="0" t="0" r="0"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edwk_sites_final.png"/>
                    <pic:cNvPicPr/>
                  </pic:nvPicPr>
                  <pic:blipFill rotWithShape="1">
                    <a:blip r:embed="rId3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98" t="4008" r="2718" b="852"/>
                    <a:stretch/>
                  </pic:blipFill>
                  <pic:spPr bwMode="auto">
                    <a:xfrm>
                      <a:off x="0" y="0"/>
                      <a:ext cx="6412142" cy="45263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F6CD7" w:rsidRDefault="00D63AA1" w:rsidP="008E3E2A">
      <w:pPr>
        <w:pStyle w:val="FigureCaption0"/>
        <w:rPr>
          <w:rFonts w:cs="Calibri"/>
        </w:rPr>
        <w:sectPr w:rsidR="00CF6CD7" w:rsidSect="00CF6CD7">
          <w:pgSz w:w="16838" w:h="11906" w:orient="landscape"/>
          <w:pgMar w:top="1440" w:right="1440" w:bottom="1440" w:left="1440" w:header="708" w:footer="708" w:gutter="0"/>
          <w:cols w:space="708"/>
          <w:docGrid w:linePitch="360"/>
        </w:sectPr>
      </w:pPr>
      <w:bookmarkStart w:id="38" w:name="_Toc450164289"/>
      <w:r w:rsidRPr="00866FD3">
        <w:t xml:space="preserve">Figure </w:t>
      </w:r>
      <w:r w:rsidR="00F83FB9" w:rsidRPr="00866FD3">
        <w:t>3.1</w:t>
      </w:r>
      <w:r w:rsidRPr="00866FD3">
        <w:t xml:space="preserve">. </w:t>
      </w:r>
      <w:r w:rsidR="00F83FB9" w:rsidRPr="00AC61FE">
        <w:rPr>
          <w:b w:val="0"/>
        </w:rPr>
        <w:t>Locat</w:t>
      </w:r>
      <w:r w:rsidR="00E8333E" w:rsidRPr="00AC61FE">
        <w:rPr>
          <w:b w:val="0"/>
        </w:rPr>
        <w:t>i</w:t>
      </w:r>
      <w:r w:rsidR="00F83FB9" w:rsidRPr="00AC61FE">
        <w:rPr>
          <w:b w:val="0"/>
        </w:rPr>
        <w:t>on of monitoring sites for the Edward-Wakool Selected Area for the Long-Term Intervention Monitoring (LTIM) Project</w:t>
      </w:r>
      <w:r w:rsidR="00F83FB9" w:rsidRPr="00AC61FE">
        <w:rPr>
          <w:rFonts w:cs="Calibri"/>
          <w:b w:val="0"/>
        </w:rPr>
        <w:t>.</w:t>
      </w:r>
      <w:r w:rsidR="00866FD3" w:rsidRPr="00AC61FE">
        <w:rPr>
          <w:rFonts w:cs="Calibri"/>
          <w:b w:val="0"/>
        </w:rPr>
        <w:t xml:space="preserve"> </w:t>
      </w:r>
      <w:r w:rsidR="00A10213" w:rsidRPr="00AC61FE">
        <w:rPr>
          <w:rFonts w:cs="Calibri"/>
          <w:b w:val="0"/>
        </w:rPr>
        <w:t>Zones one to four are referred to as the</w:t>
      </w:r>
      <w:r w:rsidR="00866FD3" w:rsidRPr="00AC61FE">
        <w:rPr>
          <w:rFonts w:cs="Calibri"/>
          <w:b w:val="0"/>
        </w:rPr>
        <w:t xml:space="preserve"> </w:t>
      </w:r>
      <w:r w:rsidR="00A10213" w:rsidRPr="00AC61FE">
        <w:rPr>
          <w:rFonts w:cs="Calibri"/>
          <w:b w:val="0"/>
        </w:rPr>
        <w:t>focal zone for the Edward-Wakool project. Hydrological gauges are located in Yallakool Creek</w:t>
      </w:r>
      <w:r w:rsidR="00B137CB" w:rsidRPr="00AC61FE">
        <w:rPr>
          <w:rFonts w:cs="Calibri"/>
          <w:b w:val="0"/>
        </w:rPr>
        <w:t xml:space="preserve"> </w:t>
      </w:r>
      <w:r w:rsidR="00A10213" w:rsidRPr="00AC61FE">
        <w:rPr>
          <w:rFonts w:cs="Calibri"/>
          <w:b w:val="0"/>
        </w:rPr>
        <w:t>just upstream of site 01_01</w:t>
      </w:r>
      <w:r w:rsidR="00B137CB" w:rsidRPr="00AC61FE">
        <w:rPr>
          <w:rFonts w:cs="Calibri"/>
          <w:b w:val="0"/>
        </w:rPr>
        <w:t xml:space="preserve"> (gauge 409020, Yallakool Creek at offtake), Wakool River zone 2 just upstream of site 02_01 (gauge 409019, Wakool River offtake), and in the Wakool River zone 4 at site 04_01 (gauge 409045, Wakool River at Wakool-Barham Road). The Wakool escape is located close to site 21_01. </w:t>
      </w:r>
      <w:r w:rsidR="00605722" w:rsidRPr="00AC61FE">
        <w:rPr>
          <w:rFonts w:cs="Calibri"/>
          <w:b w:val="0"/>
        </w:rPr>
        <w:t xml:space="preserve">Site names are </w:t>
      </w:r>
      <w:r w:rsidR="002542DF" w:rsidRPr="00AC61FE">
        <w:rPr>
          <w:rFonts w:cs="Calibri"/>
          <w:b w:val="0"/>
        </w:rPr>
        <w:t>listed</w:t>
      </w:r>
      <w:r w:rsidR="00605722" w:rsidRPr="00AC61FE">
        <w:rPr>
          <w:rFonts w:cs="Calibri"/>
          <w:b w:val="0"/>
        </w:rPr>
        <w:t xml:space="preserve"> in Table 3.1</w:t>
      </w:r>
      <w:r w:rsidR="00605722">
        <w:rPr>
          <w:rFonts w:cs="Calibri"/>
        </w:rPr>
        <w:t>.</w:t>
      </w:r>
      <w:bookmarkEnd w:id="38"/>
      <w:r w:rsidR="00A10213">
        <w:rPr>
          <w:rFonts w:cs="Calibri"/>
        </w:rPr>
        <w:t xml:space="preserve"> </w:t>
      </w:r>
    </w:p>
    <w:p w:rsidR="00D20048" w:rsidRDefault="00D20048" w:rsidP="008E3E2A">
      <w:pPr>
        <w:pStyle w:val="TableCaption"/>
      </w:pPr>
      <w:r w:rsidRPr="0040290A">
        <w:t>Table 3.1.</w:t>
      </w:r>
      <w:r>
        <w:t xml:space="preserve"> </w:t>
      </w:r>
      <w:r w:rsidRPr="00DC76D6">
        <w:rPr>
          <w:b w:val="0"/>
        </w:rPr>
        <w:t xml:space="preserve">List of site codes and site names for </w:t>
      </w:r>
      <w:r w:rsidR="00605722" w:rsidRPr="00DC76D6">
        <w:rPr>
          <w:b w:val="0"/>
        </w:rPr>
        <w:t xml:space="preserve">sites monitored for the </w:t>
      </w:r>
      <w:r w:rsidRPr="00DC76D6">
        <w:rPr>
          <w:b w:val="0"/>
        </w:rPr>
        <w:t xml:space="preserve">Long term Intervention Monitoring </w:t>
      </w:r>
      <w:r w:rsidR="00605722" w:rsidRPr="00DC76D6">
        <w:rPr>
          <w:b w:val="0"/>
        </w:rPr>
        <w:t>(LTIM) Project</w:t>
      </w:r>
      <w:r w:rsidRPr="00DC76D6">
        <w:rPr>
          <w:b w:val="0"/>
        </w:rPr>
        <w:t xml:space="preserve"> in the Edward-Wakool Selected Area.</w:t>
      </w:r>
      <w:r>
        <w:t xml:space="preserve"> </w:t>
      </w:r>
    </w:p>
    <w:tbl>
      <w:tblPr>
        <w:tblW w:w="9723" w:type="dxa"/>
        <w:tblInd w:w="-30" w:type="dxa"/>
        <w:tblLayout w:type="fixed"/>
        <w:tblLook w:val="0000"/>
      </w:tblPr>
      <w:tblGrid>
        <w:gridCol w:w="4566"/>
        <w:gridCol w:w="709"/>
        <w:gridCol w:w="1385"/>
        <w:gridCol w:w="3063"/>
      </w:tblGrid>
      <w:tr w:rsidR="00CD0B41" w:rsidRPr="00CD0B41" w:rsidTr="00CD0B41">
        <w:trPr>
          <w:trHeight w:val="290"/>
        </w:trPr>
        <w:tc>
          <w:tcPr>
            <w:tcW w:w="4566" w:type="dxa"/>
            <w:tcBorders>
              <w:top w:val="single" w:sz="4" w:space="0" w:color="auto"/>
              <w:left w:val="nil"/>
              <w:bottom w:val="single" w:sz="4" w:space="0" w:color="auto"/>
              <w:right w:val="nil"/>
            </w:tcBorders>
            <w:shd w:val="clear" w:color="auto" w:fill="D6E3BC" w:themeFill="accent3" w:themeFillTint="66"/>
          </w:tcPr>
          <w:p w:rsidR="00CD0B41" w:rsidRPr="00CD0B41" w:rsidRDefault="00CD0B41" w:rsidP="00CD0B41">
            <w:pPr>
              <w:autoSpaceDE w:val="0"/>
              <w:autoSpaceDN w:val="0"/>
              <w:adjustRightInd w:val="0"/>
              <w:spacing w:after="0" w:line="240" w:lineRule="auto"/>
              <w:jc w:val="left"/>
              <w:rPr>
                <w:rFonts w:asciiTheme="minorHAnsi" w:hAnsiTheme="minorHAnsi" w:cs="Calibri"/>
                <w:b/>
                <w:bCs/>
                <w:color w:val="000000"/>
                <w:sz w:val="20"/>
                <w:lang w:eastAsia="en-AU"/>
              </w:rPr>
            </w:pPr>
            <w:r w:rsidRPr="00CD0B41">
              <w:rPr>
                <w:rFonts w:asciiTheme="minorHAnsi" w:hAnsiTheme="minorHAnsi" w:cs="Calibri"/>
                <w:b/>
                <w:bCs/>
                <w:color w:val="000000"/>
                <w:sz w:val="20"/>
                <w:lang w:eastAsia="en-AU"/>
              </w:rPr>
              <w:t>Zone</w:t>
            </w:r>
            <w:r w:rsidR="00934BA2">
              <w:rPr>
                <w:rFonts w:asciiTheme="minorHAnsi" w:hAnsiTheme="minorHAnsi" w:cs="Calibri"/>
                <w:b/>
                <w:bCs/>
                <w:color w:val="000000"/>
                <w:sz w:val="20"/>
                <w:lang w:eastAsia="en-AU"/>
              </w:rPr>
              <w:t xml:space="preserve"> </w:t>
            </w:r>
            <w:r w:rsidRPr="00CD0B41">
              <w:rPr>
                <w:rFonts w:asciiTheme="minorHAnsi" w:hAnsiTheme="minorHAnsi" w:cs="Calibri"/>
                <w:b/>
                <w:bCs/>
                <w:color w:val="000000"/>
                <w:sz w:val="20"/>
                <w:lang w:eastAsia="en-AU"/>
              </w:rPr>
              <w:t>Name</w:t>
            </w:r>
          </w:p>
        </w:tc>
        <w:tc>
          <w:tcPr>
            <w:tcW w:w="709" w:type="dxa"/>
            <w:tcBorders>
              <w:top w:val="single" w:sz="4" w:space="0" w:color="auto"/>
              <w:left w:val="nil"/>
              <w:bottom w:val="single" w:sz="4" w:space="0" w:color="auto"/>
              <w:right w:val="nil"/>
            </w:tcBorders>
            <w:shd w:val="clear" w:color="auto" w:fill="D6E3BC" w:themeFill="accent3" w:themeFillTint="66"/>
          </w:tcPr>
          <w:p w:rsidR="00CD0B41" w:rsidRPr="00CD0B41" w:rsidRDefault="00CD0B41" w:rsidP="00CD0B41">
            <w:pPr>
              <w:autoSpaceDE w:val="0"/>
              <w:autoSpaceDN w:val="0"/>
              <w:adjustRightInd w:val="0"/>
              <w:spacing w:after="0" w:line="240" w:lineRule="auto"/>
              <w:jc w:val="left"/>
              <w:rPr>
                <w:rFonts w:asciiTheme="minorHAnsi" w:hAnsiTheme="minorHAnsi" w:cs="Calibri"/>
                <w:b/>
                <w:bCs/>
                <w:color w:val="000000"/>
                <w:sz w:val="20"/>
                <w:lang w:eastAsia="en-AU"/>
              </w:rPr>
            </w:pPr>
            <w:r w:rsidRPr="00CD0B41">
              <w:rPr>
                <w:rFonts w:asciiTheme="minorHAnsi" w:hAnsiTheme="minorHAnsi" w:cs="Calibri"/>
                <w:b/>
                <w:bCs/>
                <w:color w:val="000000"/>
                <w:sz w:val="20"/>
                <w:lang w:eastAsia="en-AU"/>
              </w:rPr>
              <w:t>Zone</w:t>
            </w:r>
          </w:p>
        </w:tc>
        <w:tc>
          <w:tcPr>
            <w:tcW w:w="1385" w:type="dxa"/>
            <w:tcBorders>
              <w:top w:val="single" w:sz="4" w:space="0" w:color="auto"/>
              <w:left w:val="nil"/>
              <w:bottom w:val="single" w:sz="4" w:space="0" w:color="auto"/>
              <w:right w:val="nil"/>
            </w:tcBorders>
            <w:shd w:val="clear" w:color="auto" w:fill="D6E3BC" w:themeFill="accent3" w:themeFillTint="66"/>
          </w:tcPr>
          <w:p w:rsidR="00CD0B41" w:rsidRPr="00CD0B41" w:rsidRDefault="00CD0B41" w:rsidP="00CD0B41">
            <w:pPr>
              <w:autoSpaceDE w:val="0"/>
              <w:autoSpaceDN w:val="0"/>
              <w:adjustRightInd w:val="0"/>
              <w:spacing w:after="0" w:line="240" w:lineRule="auto"/>
              <w:jc w:val="left"/>
              <w:rPr>
                <w:rFonts w:asciiTheme="minorHAnsi" w:hAnsiTheme="minorHAnsi" w:cs="Calibri"/>
                <w:b/>
                <w:bCs/>
                <w:color w:val="000000"/>
                <w:sz w:val="20"/>
                <w:lang w:eastAsia="en-AU"/>
              </w:rPr>
            </w:pPr>
            <w:r w:rsidRPr="00CD0B41">
              <w:rPr>
                <w:rFonts w:asciiTheme="minorHAnsi" w:hAnsiTheme="minorHAnsi" w:cs="Calibri"/>
                <w:b/>
                <w:bCs/>
                <w:color w:val="000000"/>
                <w:sz w:val="20"/>
                <w:lang w:eastAsia="en-AU"/>
              </w:rPr>
              <w:t>Site</w:t>
            </w:r>
            <w:r w:rsidR="00934BA2">
              <w:rPr>
                <w:rFonts w:asciiTheme="minorHAnsi" w:hAnsiTheme="minorHAnsi" w:cs="Calibri"/>
                <w:b/>
                <w:bCs/>
                <w:color w:val="000000"/>
                <w:sz w:val="20"/>
                <w:lang w:eastAsia="en-AU"/>
              </w:rPr>
              <w:t xml:space="preserve"> </w:t>
            </w:r>
            <w:r w:rsidRPr="00CD0B41">
              <w:rPr>
                <w:rFonts w:asciiTheme="minorHAnsi" w:hAnsiTheme="minorHAnsi" w:cs="Calibri"/>
                <w:b/>
                <w:bCs/>
                <w:color w:val="000000"/>
                <w:sz w:val="20"/>
                <w:lang w:eastAsia="en-AU"/>
              </w:rPr>
              <w:t>Code</w:t>
            </w:r>
          </w:p>
        </w:tc>
        <w:tc>
          <w:tcPr>
            <w:tcW w:w="3063" w:type="dxa"/>
            <w:tcBorders>
              <w:top w:val="single" w:sz="4" w:space="0" w:color="auto"/>
              <w:left w:val="nil"/>
              <w:bottom w:val="single" w:sz="4" w:space="0" w:color="auto"/>
              <w:right w:val="nil"/>
            </w:tcBorders>
            <w:shd w:val="clear" w:color="auto" w:fill="D6E3BC" w:themeFill="accent3" w:themeFillTint="66"/>
          </w:tcPr>
          <w:p w:rsidR="00CD0B41" w:rsidRPr="00CD0B41" w:rsidRDefault="00934BA2" w:rsidP="00CD0B41">
            <w:pPr>
              <w:autoSpaceDE w:val="0"/>
              <w:autoSpaceDN w:val="0"/>
              <w:adjustRightInd w:val="0"/>
              <w:spacing w:after="0" w:line="240" w:lineRule="auto"/>
              <w:jc w:val="left"/>
              <w:rPr>
                <w:rFonts w:asciiTheme="minorHAnsi" w:hAnsiTheme="minorHAnsi" w:cs="Calibri"/>
                <w:b/>
                <w:bCs/>
                <w:color w:val="000000"/>
                <w:sz w:val="20"/>
                <w:lang w:eastAsia="en-AU"/>
              </w:rPr>
            </w:pPr>
            <w:r>
              <w:rPr>
                <w:rFonts w:asciiTheme="minorHAnsi" w:hAnsiTheme="minorHAnsi" w:cs="Calibri"/>
                <w:b/>
                <w:bCs/>
                <w:color w:val="000000"/>
                <w:sz w:val="20"/>
                <w:lang w:eastAsia="en-AU"/>
              </w:rPr>
              <w:t xml:space="preserve">Site </w:t>
            </w:r>
            <w:r w:rsidR="00CD0B41" w:rsidRPr="00CD0B41">
              <w:rPr>
                <w:rFonts w:asciiTheme="minorHAnsi" w:hAnsiTheme="minorHAnsi" w:cs="Calibri"/>
                <w:b/>
                <w:bCs/>
                <w:color w:val="000000"/>
                <w:sz w:val="20"/>
                <w:lang w:eastAsia="en-AU"/>
              </w:rPr>
              <w:t>Name</w:t>
            </w:r>
          </w:p>
        </w:tc>
      </w:tr>
      <w:tr w:rsidR="00CD0B41" w:rsidRPr="00CD0B41" w:rsidTr="0040290A">
        <w:trPr>
          <w:trHeight w:val="227"/>
        </w:trPr>
        <w:tc>
          <w:tcPr>
            <w:tcW w:w="4566" w:type="dxa"/>
            <w:tcBorders>
              <w:top w:val="single" w:sz="4" w:space="0" w:color="auto"/>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Yallakool Creek</w:t>
            </w:r>
          </w:p>
        </w:tc>
        <w:tc>
          <w:tcPr>
            <w:tcW w:w="709" w:type="dxa"/>
            <w:tcBorders>
              <w:top w:val="single" w:sz="4" w:space="0" w:color="auto"/>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01</w:t>
            </w:r>
          </w:p>
        </w:tc>
        <w:tc>
          <w:tcPr>
            <w:tcW w:w="1385" w:type="dxa"/>
            <w:tcBorders>
              <w:top w:val="single" w:sz="4" w:space="0" w:color="auto"/>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EDWK01_01</w:t>
            </w:r>
          </w:p>
        </w:tc>
        <w:tc>
          <w:tcPr>
            <w:tcW w:w="3063" w:type="dxa"/>
            <w:tcBorders>
              <w:top w:val="single" w:sz="4" w:space="0" w:color="auto"/>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Yallakool/Back Ck Junction</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Yallakool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01</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EDWK01_02</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Hopwood</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Yallakool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01</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EDWK01_03</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Cumnock</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Yallakool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01</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EDWK01_04</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Cumnock Park</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Yallakool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01</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EDWK01_05</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Mascott</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Yallakool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01</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EDWK01_06</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Widgee, Yallakool Ck</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Yallakool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01</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EDWK01_07</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Windra Vale</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Upper Wakool River</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02</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EDWK02_01</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Fallonville</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Upper Wakool River</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02</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EDWK02_02</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Yaloke</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Upper Wakool River</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02</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EDWK02_03</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Carmathon Reserve</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Upper Wakool River</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02</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EDWK02_04</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Emu Park</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Upper Wakool River</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02</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EDWK02_05</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Homeleigh</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Upper Wakool River</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02</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EDWK02_06</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Widgee, Wakool River1</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Upper Wakool River</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02</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EDWK02_07</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Widgee, Wakool River2</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(upstream Thule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03</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EDWK03_01</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Talkook</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(upstream Thule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03</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EDWK03_02</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Tralee1</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(upstream Thule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03</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EDWK03_03</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Tralee2</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(upstream Thule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03</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EDWK03_04</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Rail Bridge DS</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(upstream Thule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03</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EDWK03_05</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Cummins</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(upstream Thule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03</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EDWK03_06</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Ramley1</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(upstream Thule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03</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EDWK03_07</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Ramley2</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(upstream Thule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03</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EDWK03_08</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Yancoola</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(upstream Thule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03</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EDWK03_09</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Llanos Park1</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(upstream Thule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03</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EDWK03_10</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Llanos Park2</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(downstream Thule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04</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EDWK04_01</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Barham Bridge</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(downstream Thule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04</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EDWK04_02</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Possum Reserve</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(downstream Thule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04</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EDWK04_03</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Whymoul N</w:t>
            </w:r>
            <w:r>
              <w:rPr>
                <w:rFonts w:asciiTheme="minorHAnsi" w:hAnsiTheme="minorHAnsi" w:cs="Calibri"/>
                <w:color w:val="000000"/>
                <w:sz w:val="20"/>
                <w:lang w:eastAsia="en-AU"/>
              </w:rPr>
              <w:t>ational Park</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(downstream Thule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04</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EDWK04_04</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Yarranvale</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(downstream Thule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04</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EDWK04_05</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Noorong1</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(downstream Thule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04</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EDWK04_06</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Noorong2</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(downstream Barbers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05</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EDWK05_01</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La Rosa</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(downstream Barbers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05</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EDWK05_02</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Gee Gee Bridge</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Wakool River (downstream Barbers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05</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EDWK05_03</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Glenbar</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Lower Wakool River</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06</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EDWK06_01</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Stoney Creek Crossing</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Colligen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08</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EDWK08_01</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Calimo</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Colligen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08</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EDWK08_02</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Werrai Station</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Upper Neimur River</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09</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EDWK09_01</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Burswood Park</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Upper Neimur River</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09</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EDWK09_02</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Ventura</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Lower Niemur River</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10</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EDWK10_01</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Niemur Valley</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Edward River (downstream Stephens Weir)</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11</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EDWK11_01</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Elimdale</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Edward River</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13</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EDWK13_01</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Balpool</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Mid Edward River</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13</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EDWK13_02</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Moulamien US Billabong Creek</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Lower Edward River</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14</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EDWK14_01</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Moulamien DS Billabong Creek</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Lower Edward River</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14</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EDWK14_02</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Kyalite State Forest</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Little Merran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15</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EDWK15_01</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Merran Downs</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Merran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16</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EDWK16_01</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Erinundra</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Merran Creek</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16</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EDWK16_02</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Merran Creek Bridge</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Edward River, Stevens weir</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20</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EDWK20_01</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Weir1</w:t>
            </w:r>
          </w:p>
        </w:tc>
      </w:tr>
      <w:tr w:rsidR="00CD0B41" w:rsidRPr="00CD0B41" w:rsidTr="0040290A">
        <w:trPr>
          <w:trHeight w:val="227"/>
        </w:trPr>
        <w:tc>
          <w:tcPr>
            <w:tcW w:w="4566"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Edward River, Stevens weir</w:t>
            </w:r>
          </w:p>
        </w:tc>
        <w:tc>
          <w:tcPr>
            <w:tcW w:w="709"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20</w:t>
            </w:r>
          </w:p>
        </w:tc>
        <w:tc>
          <w:tcPr>
            <w:tcW w:w="1385" w:type="dxa"/>
            <w:tcBorders>
              <w:top w:val="nil"/>
              <w:left w:val="nil"/>
              <w:bottom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EDWK20_02</w:t>
            </w:r>
          </w:p>
        </w:tc>
        <w:tc>
          <w:tcPr>
            <w:tcW w:w="3063" w:type="dxa"/>
            <w:tcBorders>
              <w:top w:val="nil"/>
              <w:left w:val="nil"/>
              <w:bottom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Weir2</w:t>
            </w:r>
          </w:p>
        </w:tc>
      </w:tr>
      <w:tr w:rsidR="00CD0B41" w:rsidRPr="00CD0B41" w:rsidTr="0040290A">
        <w:trPr>
          <w:trHeight w:val="227"/>
        </w:trPr>
        <w:tc>
          <w:tcPr>
            <w:tcW w:w="4566" w:type="dxa"/>
            <w:tcBorders>
              <w:top w:val="nil"/>
              <w:left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Mulwala canal</w:t>
            </w:r>
          </w:p>
        </w:tc>
        <w:tc>
          <w:tcPr>
            <w:tcW w:w="709" w:type="dxa"/>
            <w:tcBorders>
              <w:top w:val="nil"/>
              <w:left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21</w:t>
            </w:r>
          </w:p>
        </w:tc>
        <w:tc>
          <w:tcPr>
            <w:tcW w:w="1385" w:type="dxa"/>
            <w:tcBorders>
              <w:top w:val="nil"/>
              <w:left w:val="nil"/>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EDWK21_01</w:t>
            </w:r>
          </w:p>
        </w:tc>
        <w:tc>
          <w:tcPr>
            <w:tcW w:w="3063" w:type="dxa"/>
            <w:tcBorders>
              <w:top w:val="nil"/>
              <w:left w:val="nil"/>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Canal1</w:t>
            </w:r>
          </w:p>
        </w:tc>
      </w:tr>
      <w:tr w:rsidR="00CD0B41" w:rsidRPr="00CD0B41" w:rsidTr="0040290A">
        <w:trPr>
          <w:trHeight w:val="227"/>
        </w:trPr>
        <w:tc>
          <w:tcPr>
            <w:tcW w:w="4566" w:type="dxa"/>
            <w:tcBorders>
              <w:top w:val="nil"/>
              <w:left w:val="nil"/>
              <w:bottom w:val="single" w:sz="4" w:space="0" w:color="auto"/>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Mulwala canal</w:t>
            </w:r>
          </w:p>
        </w:tc>
        <w:tc>
          <w:tcPr>
            <w:tcW w:w="709" w:type="dxa"/>
            <w:tcBorders>
              <w:top w:val="nil"/>
              <w:left w:val="nil"/>
              <w:bottom w:val="single" w:sz="4" w:space="0" w:color="auto"/>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21</w:t>
            </w:r>
          </w:p>
        </w:tc>
        <w:tc>
          <w:tcPr>
            <w:tcW w:w="1385" w:type="dxa"/>
            <w:tcBorders>
              <w:top w:val="nil"/>
              <w:left w:val="nil"/>
              <w:bottom w:val="single" w:sz="4" w:space="0" w:color="auto"/>
              <w:right w:val="nil"/>
            </w:tcBorders>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EDWK21_02</w:t>
            </w:r>
          </w:p>
        </w:tc>
        <w:tc>
          <w:tcPr>
            <w:tcW w:w="3063" w:type="dxa"/>
            <w:tcBorders>
              <w:top w:val="nil"/>
              <w:left w:val="nil"/>
              <w:bottom w:val="single" w:sz="4" w:space="0" w:color="auto"/>
              <w:right w:val="nil"/>
            </w:tcBorders>
            <w:shd w:val="solid" w:color="FFFFFF" w:fill="auto"/>
          </w:tcPr>
          <w:p w:rsidR="00CD0B41" w:rsidRPr="00CD0B41" w:rsidRDefault="00CD0B41" w:rsidP="00CD0B41">
            <w:pPr>
              <w:autoSpaceDE w:val="0"/>
              <w:autoSpaceDN w:val="0"/>
              <w:adjustRightInd w:val="0"/>
              <w:spacing w:after="0" w:line="200" w:lineRule="exact"/>
              <w:contextualSpacing/>
              <w:jc w:val="left"/>
              <w:rPr>
                <w:rFonts w:asciiTheme="minorHAnsi" w:hAnsiTheme="minorHAnsi" w:cs="Calibri"/>
                <w:color w:val="000000"/>
                <w:sz w:val="20"/>
                <w:lang w:eastAsia="en-AU"/>
              </w:rPr>
            </w:pPr>
            <w:r w:rsidRPr="00CD0B41">
              <w:rPr>
                <w:rFonts w:asciiTheme="minorHAnsi" w:hAnsiTheme="minorHAnsi" w:cs="Calibri"/>
                <w:color w:val="000000"/>
                <w:sz w:val="20"/>
                <w:lang w:eastAsia="en-AU"/>
              </w:rPr>
              <w:t>Canal2</w:t>
            </w:r>
          </w:p>
        </w:tc>
      </w:tr>
    </w:tbl>
    <w:p w:rsidR="00CD0B41" w:rsidRDefault="00CD0B41" w:rsidP="002D7198">
      <w:pPr>
        <w:spacing w:after="0" w:line="240" w:lineRule="auto"/>
        <w:rPr>
          <w:rFonts w:asciiTheme="minorHAnsi" w:hAnsiTheme="minorHAnsi" w:cstheme="minorHAnsi"/>
          <w:sz w:val="20"/>
        </w:rPr>
      </w:pPr>
    </w:p>
    <w:p w:rsidR="00D20048" w:rsidRDefault="00D20048">
      <w:pPr>
        <w:spacing w:after="0" w:line="240" w:lineRule="auto"/>
        <w:jc w:val="left"/>
        <w:rPr>
          <w:rFonts w:asciiTheme="minorHAnsi" w:hAnsiTheme="minorHAnsi" w:cstheme="minorHAnsi"/>
          <w:sz w:val="20"/>
        </w:rPr>
      </w:pPr>
      <w:r>
        <w:rPr>
          <w:rFonts w:asciiTheme="minorHAnsi" w:hAnsiTheme="minorHAnsi" w:cstheme="minorHAnsi"/>
          <w:sz w:val="20"/>
        </w:rPr>
        <w:br w:type="page"/>
      </w:r>
    </w:p>
    <w:p w:rsidR="009C2AB8" w:rsidRDefault="00B305A3" w:rsidP="00D20048">
      <w:pPr>
        <w:spacing w:after="0" w:line="240" w:lineRule="auto"/>
        <w:jc w:val="left"/>
      </w:pPr>
      <w:r>
        <w:rPr>
          <w:noProof/>
          <w:lang w:eastAsia="en-AU"/>
        </w:rPr>
        <w:drawing>
          <wp:inline distT="0" distB="0" distL="0" distR="0">
            <wp:extent cx="2736000" cy="1764000"/>
            <wp:effectExtent l="0" t="0" r="7620" b="8255"/>
            <wp:docPr id="65"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zone1site1Burgess.JPG"/>
                    <pic:cNvPicPr/>
                  </pic:nvPicPr>
                  <pic:blipFill rotWithShape="1">
                    <a:blip r:embed="rId3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736000" cy="1764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9B3AEF">
        <w:rPr>
          <w:noProof/>
          <w:lang w:eastAsia="en-AU"/>
        </w:rPr>
        <w:t xml:space="preserve"> </w:t>
      </w:r>
      <w:r w:rsidR="009B3AEF">
        <w:rPr>
          <w:noProof/>
          <w:lang w:eastAsia="en-AU"/>
        </w:rPr>
        <w:drawing>
          <wp:inline distT="0" distB="0" distL="0" distR="0">
            <wp:extent cx="2736000" cy="1764000"/>
            <wp:effectExtent l="0" t="0" r="7620" b="8255"/>
            <wp:docPr id="6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Z1S1_March_2015.JPG"/>
                    <pic:cNvPicPr/>
                  </pic:nvPicPr>
                  <pic:blipFill rotWithShape="1">
                    <a:blip r:embed="rId3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736000" cy="1764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C2AB8" w:rsidRPr="009B3AEF" w:rsidRDefault="009C2AB8" w:rsidP="00D20048">
      <w:pPr>
        <w:spacing w:after="0" w:line="240" w:lineRule="auto"/>
        <w:jc w:val="left"/>
        <w:rPr>
          <w:sz w:val="20"/>
        </w:rPr>
      </w:pPr>
      <w:r w:rsidRPr="009B3AEF">
        <w:rPr>
          <w:sz w:val="20"/>
        </w:rPr>
        <w:t xml:space="preserve">Yallakool Creek </w:t>
      </w:r>
      <w:r w:rsidR="00A063B5">
        <w:rPr>
          <w:sz w:val="20"/>
        </w:rPr>
        <w:t>11</w:t>
      </w:r>
      <w:r w:rsidR="009B3AEF" w:rsidRPr="009B3AEF">
        <w:rPr>
          <w:sz w:val="20"/>
        </w:rPr>
        <w:t>/11/</w:t>
      </w:r>
      <w:r w:rsidR="00AD22B8">
        <w:rPr>
          <w:sz w:val="20"/>
        </w:rPr>
        <w:t>2014, 496</w:t>
      </w:r>
      <w:r w:rsidR="00C844FE">
        <w:rPr>
          <w:sz w:val="20"/>
        </w:rPr>
        <w:t xml:space="preserve"> ML</w:t>
      </w:r>
      <w:r w:rsidR="009B3AEF" w:rsidRPr="009B3AEF">
        <w:rPr>
          <w:sz w:val="20"/>
        </w:rPr>
        <w:t>/day</w:t>
      </w:r>
      <w:r w:rsidR="007A0298">
        <w:rPr>
          <w:sz w:val="20"/>
        </w:rPr>
        <w:t xml:space="preserve"> (e-flow)</w:t>
      </w:r>
      <w:r w:rsidR="00AD22B8">
        <w:rPr>
          <w:sz w:val="20"/>
        </w:rPr>
        <w:tab/>
      </w:r>
      <w:r w:rsidR="00AD22B8">
        <w:rPr>
          <w:sz w:val="20"/>
        </w:rPr>
        <w:tab/>
        <w:t>2/3/2015, 335</w:t>
      </w:r>
      <w:r w:rsidR="009B3AEF" w:rsidRPr="009B3AEF">
        <w:rPr>
          <w:sz w:val="20"/>
        </w:rPr>
        <w:t xml:space="preserve"> ML/day</w:t>
      </w:r>
      <w:r w:rsidR="007A0298">
        <w:rPr>
          <w:sz w:val="20"/>
        </w:rPr>
        <w:t xml:space="preserve"> (no e-flow)</w:t>
      </w:r>
    </w:p>
    <w:p w:rsidR="009C2AB8" w:rsidRDefault="009C2AB8" w:rsidP="009C2AB8">
      <w:pPr>
        <w:spacing w:after="0" w:line="240" w:lineRule="auto"/>
        <w:jc w:val="left"/>
      </w:pPr>
      <w:r>
        <w:rPr>
          <w:noProof/>
          <w:lang w:eastAsia="en-AU"/>
        </w:rPr>
        <w:drawing>
          <wp:inline distT="0" distB="0" distL="0" distR="0">
            <wp:extent cx="2736000" cy="1764000"/>
            <wp:effectExtent l="0" t="0" r="7620" b="8255"/>
            <wp:docPr id="67"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zone2site1wragges.JPG"/>
                    <pic:cNvPicPr/>
                  </pic:nvPicPr>
                  <pic:blipFill rotWithShape="1">
                    <a:blip r:embed="rId3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702"/>
                    <a:stretch/>
                  </pic:blipFill>
                  <pic:spPr bwMode="auto">
                    <a:xfrm>
                      <a:off x="0" y="0"/>
                      <a:ext cx="2736000" cy="1764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t xml:space="preserve"> </w:t>
      </w:r>
      <w:r>
        <w:rPr>
          <w:noProof/>
          <w:lang w:eastAsia="en-AU"/>
        </w:rPr>
        <w:drawing>
          <wp:inline distT="0" distB="0" distL="0" distR="0">
            <wp:extent cx="2736000" cy="1764000"/>
            <wp:effectExtent l="0" t="0" r="7620" b="8255"/>
            <wp:docPr id="68"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Z2S1_March_2015.JPG"/>
                    <pic:cNvPicPr/>
                  </pic:nvPicPr>
                  <pic:blipFill>
                    <a:blip r:embed="rId3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36000" cy="1764000"/>
                    </a:xfrm>
                    <a:prstGeom prst="rect">
                      <a:avLst/>
                    </a:prstGeom>
                  </pic:spPr>
                </pic:pic>
              </a:graphicData>
            </a:graphic>
          </wp:inline>
        </w:drawing>
      </w:r>
    </w:p>
    <w:p w:rsidR="00D20048" w:rsidRPr="009B3AEF" w:rsidRDefault="00D20048" w:rsidP="009C2AB8">
      <w:pPr>
        <w:spacing w:after="0" w:line="240" w:lineRule="auto"/>
        <w:jc w:val="left"/>
        <w:rPr>
          <w:sz w:val="20"/>
        </w:rPr>
      </w:pPr>
      <w:r w:rsidRPr="009B3AEF">
        <w:rPr>
          <w:sz w:val="20"/>
        </w:rPr>
        <w:t xml:space="preserve">Wakool River </w:t>
      </w:r>
      <w:r w:rsidR="00AD22B8">
        <w:rPr>
          <w:sz w:val="20"/>
        </w:rPr>
        <w:t>(</w:t>
      </w:r>
      <w:r w:rsidRPr="009B3AEF">
        <w:rPr>
          <w:sz w:val="20"/>
        </w:rPr>
        <w:t>zone 2</w:t>
      </w:r>
      <w:r w:rsidR="00AD22B8">
        <w:rPr>
          <w:sz w:val="20"/>
        </w:rPr>
        <w:t>)</w:t>
      </w:r>
      <w:r w:rsidR="009B3AEF" w:rsidRPr="009B3AEF">
        <w:rPr>
          <w:sz w:val="20"/>
        </w:rPr>
        <w:t xml:space="preserve"> </w:t>
      </w:r>
      <w:r w:rsidR="00A063B5">
        <w:rPr>
          <w:sz w:val="20"/>
        </w:rPr>
        <w:t>11</w:t>
      </w:r>
      <w:r w:rsidR="009B3AEF" w:rsidRPr="009B3AEF">
        <w:rPr>
          <w:sz w:val="20"/>
        </w:rPr>
        <w:t xml:space="preserve">/11/2014, </w:t>
      </w:r>
      <w:r w:rsidR="00C844FE">
        <w:rPr>
          <w:sz w:val="20"/>
        </w:rPr>
        <w:t>92 ML</w:t>
      </w:r>
      <w:r w:rsidR="00AD22B8">
        <w:rPr>
          <w:sz w:val="20"/>
        </w:rPr>
        <w:t>/day</w:t>
      </w:r>
      <w:r w:rsidR="007A0298">
        <w:rPr>
          <w:sz w:val="20"/>
        </w:rPr>
        <w:t xml:space="preserve"> (no e-flow)</w:t>
      </w:r>
      <w:r w:rsidR="007A0298">
        <w:rPr>
          <w:sz w:val="20"/>
        </w:rPr>
        <w:tab/>
      </w:r>
      <w:r w:rsidR="00AD22B8">
        <w:rPr>
          <w:sz w:val="20"/>
        </w:rPr>
        <w:t>2/3/2015, 69</w:t>
      </w:r>
      <w:r w:rsidR="009B3AEF" w:rsidRPr="009B3AEF">
        <w:rPr>
          <w:sz w:val="20"/>
        </w:rPr>
        <w:t xml:space="preserve"> ML/day</w:t>
      </w:r>
      <w:r w:rsidR="007A0298">
        <w:rPr>
          <w:sz w:val="20"/>
        </w:rPr>
        <w:t xml:space="preserve"> (no e-flow)</w:t>
      </w:r>
    </w:p>
    <w:p w:rsidR="00D20048" w:rsidRDefault="009C2AB8" w:rsidP="00D20048">
      <w:pPr>
        <w:spacing w:after="0" w:line="240" w:lineRule="auto"/>
        <w:jc w:val="left"/>
        <w:rPr>
          <w:noProof/>
          <w:lang w:eastAsia="en-AU"/>
        </w:rPr>
      </w:pPr>
      <w:r>
        <w:rPr>
          <w:noProof/>
          <w:lang w:eastAsia="en-AU"/>
        </w:rPr>
        <w:drawing>
          <wp:inline distT="0" distB="0" distL="0" distR="0">
            <wp:extent cx="2736000" cy="1764000"/>
            <wp:effectExtent l="0" t="0" r="7620" b="8255"/>
            <wp:docPr id="6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zone3site1.JPG"/>
                    <pic:cNvPicPr/>
                  </pic:nvPicPr>
                  <pic:blipFill rotWithShape="1">
                    <a:blip r:embed="rId3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736000" cy="1764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D20048">
        <w:rPr>
          <w:noProof/>
          <w:lang w:eastAsia="en-AU"/>
        </w:rPr>
        <w:t xml:space="preserve"> </w:t>
      </w:r>
      <w:r>
        <w:rPr>
          <w:noProof/>
          <w:lang w:eastAsia="en-AU"/>
        </w:rPr>
        <w:drawing>
          <wp:inline distT="0" distB="0" distL="0" distR="0">
            <wp:extent cx="2736000" cy="1764000"/>
            <wp:effectExtent l="0" t="0" r="7620" b="8255"/>
            <wp:docPr id="70"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Z3S1_March_2015.JPG"/>
                    <pic:cNvPicPr/>
                  </pic:nvPicPr>
                  <pic:blipFill rotWithShape="1">
                    <a:blip r:embed="rId3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736000" cy="1764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C2AB8" w:rsidRPr="009B3AEF" w:rsidRDefault="00D20048" w:rsidP="00B305A3">
      <w:pPr>
        <w:spacing w:after="0" w:line="240" w:lineRule="auto"/>
        <w:jc w:val="left"/>
        <w:rPr>
          <w:sz w:val="20"/>
        </w:rPr>
      </w:pPr>
      <w:r w:rsidRPr="009B3AEF">
        <w:rPr>
          <w:sz w:val="20"/>
        </w:rPr>
        <w:t>Wakool R</w:t>
      </w:r>
      <w:r w:rsidR="009C2AB8" w:rsidRPr="009B3AEF">
        <w:rPr>
          <w:sz w:val="20"/>
        </w:rPr>
        <w:t xml:space="preserve">iver </w:t>
      </w:r>
      <w:r w:rsidR="00AD22B8">
        <w:rPr>
          <w:sz w:val="20"/>
        </w:rPr>
        <w:t>(</w:t>
      </w:r>
      <w:r w:rsidR="009C2AB8" w:rsidRPr="009B3AEF">
        <w:rPr>
          <w:sz w:val="20"/>
        </w:rPr>
        <w:t>zone 3</w:t>
      </w:r>
      <w:r w:rsidR="00AD22B8">
        <w:rPr>
          <w:sz w:val="20"/>
        </w:rPr>
        <w:t>)</w:t>
      </w:r>
      <w:r w:rsidR="007A0298">
        <w:rPr>
          <w:sz w:val="20"/>
        </w:rPr>
        <w:t xml:space="preserve"> </w:t>
      </w:r>
      <w:r w:rsidR="00A063B5">
        <w:rPr>
          <w:sz w:val="20"/>
        </w:rPr>
        <w:t>10</w:t>
      </w:r>
      <w:r w:rsidR="009B3AEF" w:rsidRPr="009B3AEF">
        <w:rPr>
          <w:sz w:val="20"/>
        </w:rPr>
        <w:t xml:space="preserve">/11/2014, </w:t>
      </w:r>
      <w:r w:rsidR="00C844FE">
        <w:rPr>
          <w:sz w:val="20"/>
        </w:rPr>
        <w:t>441 ML</w:t>
      </w:r>
      <w:r w:rsidR="00AD22B8">
        <w:rPr>
          <w:sz w:val="20"/>
        </w:rPr>
        <w:t xml:space="preserve">/day </w:t>
      </w:r>
      <w:r w:rsidR="007A0298">
        <w:rPr>
          <w:sz w:val="20"/>
        </w:rPr>
        <w:t>(e-flow)</w:t>
      </w:r>
      <w:r w:rsidR="007A0298">
        <w:rPr>
          <w:sz w:val="20"/>
        </w:rPr>
        <w:tab/>
      </w:r>
      <w:r w:rsidR="00A15EFE">
        <w:rPr>
          <w:sz w:val="20"/>
        </w:rPr>
        <w:t>3/3/2015, 222</w:t>
      </w:r>
      <w:r w:rsidR="009B3AEF" w:rsidRPr="009B3AEF">
        <w:rPr>
          <w:sz w:val="20"/>
        </w:rPr>
        <w:t xml:space="preserve"> ML/day</w:t>
      </w:r>
      <w:r w:rsidR="007A0298">
        <w:rPr>
          <w:sz w:val="20"/>
        </w:rPr>
        <w:t xml:space="preserve"> (no e-flow)</w:t>
      </w:r>
    </w:p>
    <w:p w:rsidR="009C2AB8" w:rsidRDefault="00B305A3" w:rsidP="009B3AEF">
      <w:pPr>
        <w:spacing w:after="0" w:line="240" w:lineRule="auto"/>
        <w:jc w:val="left"/>
      </w:pPr>
      <w:r>
        <w:rPr>
          <w:noProof/>
          <w:lang w:eastAsia="en-AU"/>
        </w:rPr>
        <w:drawing>
          <wp:inline distT="0" distB="0" distL="0" distR="0">
            <wp:extent cx="2735580" cy="1764000"/>
            <wp:effectExtent l="0" t="0" r="7620" b="8255"/>
            <wp:docPr id="1047" name="Picture 10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7" name="zone4site2natpark#2.JPG"/>
                    <pic:cNvPicPr/>
                  </pic:nvPicPr>
                  <pic:blipFill rotWithShape="1">
                    <a:blip r:embed="rId3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735580" cy="1764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t xml:space="preserve"> </w:t>
      </w:r>
      <w:r>
        <w:rPr>
          <w:noProof/>
          <w:lang w:eastAsia="en-AU"/>
        </w:rPr>
        <w:drawing>
          <wp:inline distT="0" distB="0" distL="0" distR="0">
            <wp:extent cx="2734888" cy="1764000"/>
            <wp:effectExtent l="0" t="0" r="8890" b="8255"/>
            <wp:docPr id="1048" name="Picture 1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8" name="Z4S2-March-2015.JPG"/>
                    <pic:cNvPicPr/>
                  </pic:nvPicPr>
                  <pic:blipFill rotWithShape="1">
                    <a:blip r:embed="rId3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2734888" cy="1764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20048" w:rsidRPr="009B3AEF" w:rsidRDefault="00D20048" w:rsidP="007A0298">
      <w:pPr>
        <w:spacing w:after="120" w:line="240" w:lineRule="auto"/>
        <w:jc w:val="left"/>
        <w:rPr>
          <w:sz w:val="20"/>
        </w:rPr>
      </w:pPr>
      <w:r w:rsidRPr="009B3AEF">
        <w:rPr>
          <w:sz w:val="20"/>
        </w:rPr>
        <w:t xml:space="preserve">Wakool River </w:t>
      </w:r>
      <w:r w:rsidR="00AD22B8">
        <w:rPr>
          <w:sz w:val="20"/>
        </w:rPr>
        <w:t>(</w:t>
      </w:r>
      <w:r w:rsidRPr="009B3AEF">
        <w:rPr>
          <w:sz w:val="20"/>
        </w:rPr>
        <w:t>zone 4</w:t>
      </w:r>
      <w:r w:rsidR="00AD22B8">
        <w:rPr>
          <w:sz w:val="20"/>
        </w:rPr>
        <w:t>)</w:t>
      </w:r>
      <w:r w:rsidR="009B3AEF" w:rsidRPr="009B3AEF">
        <w:rPr>
          <w:sz w:val="20"/>
        </w:rPr>
        <w:t xml:space="preserve"> </w:t>
      </w:r>
      <w:r w:rsidR="00A063B5">
        <w:rPr>
          <w:sz w:val="20"/>
        </w:rPr>
        <w:t>10</w:t>
      </w:r>
      <w:r w:rsidR="009B3AEF" w:rsidRPr="009B3AEF">
        <w:rPr>
          <w:sz w:val="20"/>
        </w:rPr>
        <w:t xml:space="preserve">/11/2014, </w:t>
      </w:r>
      <w:r w:rsidR="00C844FE">
        <w:rPr>
          <w:sz w:val="20"/>
        </w:rPr>
        <w:t>402 ML</w:t>
      </w:r>
      <w:r w:rsidR="00AD22B8">
        <w:rPr>
          <w:sz w:val="20"/>
        </w:rPr>
        <w:t xml:space="preserve">/day </w:t>
      </w:r>
      <w:r w:rsidR="007A0298">
        <w:rPr>
          <w:sz w:val="20"/>
        </w:rPr>
        <w:t>(e-flow)</w:t>
      </w:r>
      <w:r w:rsidR="007A0298">
        <w:rPr>
          <w:sz w:val="20"/>
        </w:rPr>
        <w:tab/>
      </w:r>
      <w:r w:rsidR="00AD22B8">
        <w:rPr>
          <w:sz w:val="20"/>
        </w:rPr>
        <w:t>2/3/2015, 217</w:t>
      </w:r>
      <w:r w:rsidR="009B3AEF" w:rsidRPr="009B3AEF">
        <w:rPr>
          <w:sz w:val="20"/>
        </w:rPr>
        <w:t xml:space="preserve"> ML/day</w:t>
      </w:r>
      <w:r w:rsidR="007A0298">
        <w:rPr>
          <w:sz w:val="20"/>
        </w:rPr>
        <w:t xml:space="preserve"> (no e-flow)</w:t>
      </w:r>
    </w:p>
    <w:p w:rsidR="00334EED" w:rsidRPr="00AC61FE" w:rsidRDefault="00D20048" w:rsidP="008E3E2A">
      <w:pPr>
        <w:pStyle w:val="FigureCaption0"/>
        <w:rPr>
          <w:b w:val="0"/>
          <w:highlight w:val="yellow"/>
        </w:rPr>
      </w:pPr>
      <w:bookmarkStart w:id="39" w:name="_Toc450164290"/>
      <w:r w:rsidRPr="00E8333E">
        <w:t xml:space="preserve">Figure </w:t>
      </w:r>
      <w:r>
        <w:t>3.2</w:t>
      </w:r>
      <w:r w:rsidRPr="00E8333E">
        <w:t xml:space="preserve">. </w:t>
      </w:r>
      <w:r w:rsidRPr="00AC61FE">
        <w:rPr>
          <w:b w:val="0"/>
        </w:rPr>
        <w:t>Photos of study sites in the four hydrological zone</w:t>
      </w:r>
      <w:r w:rsidR="009B3AEF" w:rsidRPr="00AC61FE">
        <w:rPr>
          <w:b w:val="0"/>
        </w:rPr>
        <w:t xml:space="preserve">s in November 2014 </w:t>
      </w:r>
      <w:r w:rsidR="007A0298" w:rsidRPr="00AC61FE">
        <w:rPr>
          <w:b w:val="0"/>
        </w:rPr>
        <w:t xml:space="preserve">during the environmental watering (zones 1, 3 and 4) </w:t>
      </w:r>
      <w:r w:rsidR="009B3AEF" w:rsidRPr="00AC61FE">
        <w:rPr>
          <w:b w:val="0"/>
        </w:rPr>
        <w:t xml:space="preserve">and </w:t>
      </w:r>
      <w:r w:rsidR="007A0298" w:rsidRPr="00AC61FE">
        <w:rPr>
          <w:b w:val="0"/>
        </w:rPr>
        <w:t xml:space="preserve">in </w:t>
      </w:r>
      <w:r w:rsidR="009B3AEF" w:rsidRPr="00AC61FE">
        <w:rPr>
          <w:b w:val="0"/>
        </w:rPr>
        <w:t>March 2015</w:t>
      </w:r>
      <w:r w:rsidR="007A0298" w:rsidRPr="00AC61FE">
        <w:rPr>
          <w:b w:val="0"/>
        </w:rPr>
        <w:t xml:space="preserve"> during operational flows</w:t>
      </w:r>
      <w:r w:rsidR="00545D81" w:rsidRPr="00AC61FE">
        <w:rPr>
          <w:b w:val="0"/>
        </w:rPr>
        <w:t>.</w:t>
      </w:r>
      <w:r w:rsidRPr="00AC61FE">
        <w:rPr>
          <w:b w:val="0"/>
        </w:rPr>
        <w:t xml:space="preserve"> Yallakool Creek (zone 1), Wakool River (zone 2) Wakool River upstream of Thule Creek (zone 3) and Wakool River dow</w:t>
      </w:r>
      <w:r w:rsidR="00545D81" w:rsidRPr="00AC61FE">
        <w:rPr>
          <w:b w:val="0"/>
        </w:rPr>
        <w:t>nstream of Thule Creek (zone 4).</w:t>
      </w:r>
      <w:bookmarkEnd w:id="39"/>
    </w:p>
    <w:p w:rsidR="00F83FB9" w:rsidRPr="00E8333E" w:rsidRDefault="00F83FB9" w:rsidP="000A269E">
      <w:pPr>
        <w:tabs>
          <w:tab w:val="left" w:pos="9071"/>
        </w:tabs>
        <w:spacing w:after="120" w:line="280" w:lineRule="exact"/>
        <w:sectPr w:rsidR="00F83FB9" w:rsidRPr="00E8333E">
          <w:pgSz w:w="11906" w:h="16838"/>
          <w:pgMar w:top="1440" w:right="1440" w:bottom="1440" w:left="1440" w:header="708" w:footer="708" w:gutter="0"/>
          <w:cols w:space="708"/>
          <w:docGrid w:linePitch="360"/>
        </w:sectPr>
      </w:pPr>
    </w:p>
    <w:p w:rsidR="00F83FB9" w:rsidRPr="00DC76D6" w:rsidRDefault="00F83FB9" w:rsidP="008E3E2A">
      <w:pPr>
        <w:pStyle w:val="TableCaption"/>
        <w:rPr>
          <w:b w:val="0"/>
        </w:rPr>
      </w:pPr>
      <w:r w:rsidRPr="00F83FB9">
        <w:t xml:space="preserve">Table 3.2. </w:t>
      </w:r>
      <w:r w:rsidRPr="00DC76D6">
        <w:rPr>
          <w:b w:val="0"/>
        </w:rPr>
        <w:t xml:space="preserve">Summary of monitoring to be undertaken in the Edward-Wakool system for the Long Term Intervention Monitoring Project from 2014-2019 </w:t>
      </w: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60"/>
        <w:gridCol w:w="937"/>
        <w:gridCol w:w="2367"/>
        <w:gridCol w:w="2282"/>
        <w:gridCol w:w="6379"/>
      </w:tblGrid>
      <w:tr w:rsidR="00F83FB9" w:rsidTr="00E8333E">
        <w:trPr>
          <w:trHeight w:val="588"/>
        </w:trPr>
        <w:tc>
          <w:tcPr>
            <w:tcW w:w="2460" w:type="dxa"/>
            <w:shd w:val="clear" w:color="auto" w:fill="D6E3BC" w:themeFill="accent3" w:themeFillTint="66"/>
          </w:tcPr>
          <w:p w:rsidR="00F83FB9" w:rsidRPr="00F83FB9" w:rsidRDefault="00F83FB9" w:rsidP="006F1AD3">
            <w:pPr>
              <w:pStyle w:val="Default"/>
              <w:rPr>
                <w:rFonts w:asciiTheme="minorHAnsi" w:hAnsiTheme="minorHAnsi"/>
              </w:rPr>
            </w:pPr>
            <w:r w:rsidRPr="00F83FB9">
              <w:rPr>
                <w:rFonts w:asciiTheme="minorHAnsi" w:hAnsiTheme="minorHAnsi"/>
                <w:b/>
                <w:bCs/>
              </w:rPr>
              <w:t xml:space="preserve">Indicator </w:t>
            </w:r>
          </w:p>
        </w:tc>
        <w:tc>
          <w:tcPr>
            <w:tcW w:w="937" w:type="dxa"/>
            <w:shd w:val="clear" w:color="auto" w:fill="D6E3BC" w:themeFill="accent3" w:themeFillTint="66"/>
          </w:tcPr>
          <w:p w:rsidR="00F83FB9" w:rsidRPr="00F83FB9" w:rsidRDefault="00F83FB9" w:rsidP="006F1AD3">
            <w:pPr>
              <w:pStyle w:val="Default"/>
              <w:rPr>
                <w:rFonts w:asciiTheme="minorHAnsi" w:hAnsiTheme="minorHAnsi"/>
              </w:rPr>
            </w:pPr>
            <w:r w:rsidRPr="00F83FB9">
              <w:rPr>
                <w:rFonts w:asciiTheme="minorHAnsi" w:hAnsiTheme="minorHAnsi"/>
                <w:b/>
                <w:bCs/>
              </w:rPr>
              <w:t xml:space="preserve">Zone </w:t>
            </w:r>
          </w:p>
        </w:tc>
        <w:tc>
          <w:tcPr>
            <w:tcW w:w="2367" w:type="dxa"/>
            <w:shd w:val="clear" w:color="auto" w:fill="D6E3BC" w:themeFill="accent3" w:themeFillTint="66"/>
          </w:tcPr>
          <w:p w:rsidR="00F83FB9" w:rsidRPr="00F83FB9" w:rsidRDefault="00F83FB9" w:rsidP="006F1AD3">
            <w:pPr>
              <w:pStyle w:val="Default"/>
              <w:rPr>
                <w:rFonts w:asciiTheme="minorHAnsi" w:hAnsiTheme="minorHAnsi"/>
                <w:sz w:val="20"/>
                <w:szCs w:val="20"/>
              </w:rPr>
            </w:pPr>
            <w:r w:rsidRPr="00F83FB9">
              <w:rPr>
                <w:rFonts w:asciiTheme="minorHAnsi" w:hAnsiTheme="minorHAnsi"/>
                <w:b/>
                <w:bCs/>
                <w:sz w:val="20"/>
                <w:szCs w:val="20"/>
              </w:rPr>
              <w:t xml:space="preserve">Evaluation of responses to Commonwealth environmental watering in the Edward-Wakool Selected Area </w:t>
            </w:r>
          </w:p>
        </w:tc>
        <w:tc>
          <w:tcPr>
            <w:tcW w:w="2282" w:type="dxa"/>
            <w:shd w:val="clear" w:color="auto" w:fill="D6E3BC" w:themeFill="accent3" w:themeFillTint="66"/>
          </w:tcPr>
          <w:p w:rsidR="00F83FB9" w:rsidRPr="00F83FB9" w:rsidRDefault="00F83FB9" w:rsidP="006F1AD3">
            <w:pPr>
              <w:pStyle w:val="Default"/>
              <w:rPr>
                <w:rFonts w:asciiTheme="minorHAnsi" w:hAnsiTheme="minorHAnsi"/>
                <w:sz w:val="20"/>
                <w:szCs w:val="20"/>
              </w:rPr>
            </w:pPr>
            <w:r w:rsidRPr="00F83FB9">
              <w:rPr>
                <w:rFonts w:asciiTheme="minorHAnsi" w:hAnsiTheme="minorHAnsi"/>
                <w:b/>
                <w:bCs/>
                <w:sz w:val="20"/>
                <w:szCs w:val="20"/>
              </w:rPr>
              <w:t xml:space="preserve">Data will contribute to evaluation of responses to Commonwealth environmental watering at whole of Basin-scale </w:t>
            </w:r>
          </w:p>
        </w:tc>
        <w:tc>
          <w:tcPr>
            <w:tcW w:w="6379" w:type="dxa"/>
            <w:shd w:val="clear" w:color="auto" w:fill="D6E3BC" w:themeFill="accent3" w:themeFillTint="66"/>
          </w:tcPr>
          <w:p w:rsidR="00F83FB9" w:rsidRDefault="00F83FB9" w:rsidP="006F1AD3">
            <w:pPr>
              <w:pStyle w:val="Default"/>
              <w:rPr>
                <w:sz w:val="22"/>
                <w:szCs w:val="22"/>
              </w:rPr>
            </w:pPr>
            <w:r w:rsidRPr="000A269E">
              <w:rPr>
                <w:rFonts w:asciiTheme="minorHAnsi" w:hAnsiTheme="minorHAnsi"/>
                <w:b/>
                <w:bCs/>
              </w:rPr>
              <w:t>Notes</w:t>
            </w:r>
            <w:r>
              <w:rPr>
                <w:b/>
                <w:bCs/>
                <w:sz w:val="22"/>
                <w:szCs w:val="22"/>
              </w:rPr>
              <w:t xml:space="preserve"> </w:t>
            </w:r>
          </w:p>
        </w:tc>
      </w:tr>
      <w:tr w:rsidR="00F83FB9" w:rsidTr="00E8333E">
        <w:trPr>
          <w:trHeight w:val="100"/>
        </w:trPr>
        <w:tc>
          <w:tcPr>
            <w:tcW w:w="2460" w:type="dxa"/>
          </w:tcPr>
          <w:p w:rsidR="00F83FB9" w:rsidRPr="00F83FB9" w:rsidRDefault="00F83FB9" w:rsidP="006F1AD3">
            <w:pPr>
              <w:pStyle w:val="Default"/>
              <w:rPr>
                <w:rFonts w:asciiTheme="minorHAnsi" w:hAnsiTheme="minorHAnsi"/>
                <w:sz w:val="20"/>
                <w:szCs w:val="20"/>
              </w:rPr>
            </w:pPr>
            <w:r w:rsidRPr="00F83FB9">
              <w:rPr>
                <w:rFonts w:asciiTheme="minorHAnsi" w:hAnsiTheme="minorHAnsi"/>
                <w:sz w:val="20"/>
                <w:szCs w:val="20"/>
              </w:rPr>
              <w:t xml:space="preserve">River hydrology </w:t>
            </w:r>
          </w:p>
        </w:tc>
        <w:tc>
          <w:tcPr>
            <w:tcW w:w="937" w:type="dxa"/>
          </w:tcPr>
          <w:p w:rsidR="00F83FB9" w:rsidRPr="00F83FB9" w:rsidRDefault="00F83FB9" w:rsidP="006F1AD3">
            <w:pPr>
              <w:pStyle w:val="Default"/>
              <w:rPr>
                <w:rFonts w:asciiTheme="minorHAnsi" w:hAnsiTheme="minorHAnsi"/>
                <w:sz w:val="18"/>
                <w:szCs w:val="18"/>
              </w:rPr>
            </w:pPr>
            <w:r w:rsidRPr="00F83FB9">
              <w:rPr>
                <w:rFonts w:asciiTheme="minorHAnsi" w:hAnsiTheme="minorHAnsi"/>
                <w:sz w:val="18"/>
                <w:szCs w:val="18"/>
              </w:rPr>
              <w:t xml:space="preserve">1,2,3,4 </w:t>
            </w:r>
          </w:p>
        </w:tc>
        <w:tc>
          <w:tcPr>
            <w:tcW w:w="2367" w:type="dxa"/>
          </w:tcPr>
          <w:p w:rsidR="00F83FB9" w:rsidRPr="00F83FB9" w:rsidRDefault="00E8333E" w:rsidP="006F1AD3">
            <w:pPr>
              <w:pStyle w:val="Default"/>
              <w:jc w:val="center"/>
              <w:rPr>
                <w:rFonts w:asciiTheme="minorHAnsi" w:hAnsiTheme="minorHAnsi" w:cs="Wingdings"/>
                <w:sz w:val="20"/>
                <w:szCs w:val="20"/>
              </w:rPr>
            </w:pPr>
            <w:r>
              <w:rPr>
                <w:rFonts w:ascii="Wingdings" w:hAnsi="Wingdings" w:cs="Wingdings"/>
                <w:sz w:val="20"/>
                <w:szCs w:val="20"/>
              </w:rPr>
              <w:t></w:t>
            </w:r>
          </w:p>
        </w:tc>
        <w:tc>
          <w:tcPr>
            <w:tcW w:w="2282" w:type="dxa"/>
          </w:tcPr>
          <w:p w:rsidR="00F83FB9" w:rsidRPr="00F83FB9" w:rsidRDefault="00E8333E" w:rsidP="006F1AD3">
            <w:pPr>
              <w:pStyle w:val="Default"/>
              <w:jc w:val="center"/>
              <w:rPr>
                <w:rFonts w:asciiTheme="minorHAnsi" w:hAnsiTheme="minorHAnsi" w:cs="Wingdings"/>
                <w:sz w:val="20"/>
                <w:szCs w:val="20"/>
              </w:rPr>
            </w:pPr>
            <w:r>
              <w:rPr>
                <w:rFonts w:ascii="Wingdings" w:hAnsi="Wingdings" w:cs="Wingdings"/>
                <w:sz w:val="20"/>
                <w:szCs w:val="20"/>
              </w:rPr>
              <w:t></w:t>
            </w:r>
            <w:r w:rsidRPr="00F83FB9">
              <w:rPr>
                <w:rFonts w:asciiTheme="minorHAnsi" w:hAnsiTheme="minorHAnsi"/>
                <w:sz w:val="18"/>
                <w:szCs w:val="18"/>
              </w:rPr>
              <w:t xml:space="preserve"> </w:t>
            </w:r>
            <w:r w:rsidR="009F4D23">
              <w:rPr>
                <w:rFonts w:asciiTheme="minorHAnsi" w:hAnsiTheme="minorHAnsi"/>
                <w:sz w:val="18"/>
                <w:szCs w:val="18"/>
              </w:rPr>
              <w:t>(z</w:t>
            </w:r>
            <w:r w:rsidR="00F83FB9" w:rsidRPr="00F83FB9">
              <w:rPr>
                <w:rFonts w:asciiTheme="minorHAnsi" w:hAnsiTheme="minorHAnsi"/>
                <w:sz w:val="18"/>
                <w:szCs w:val="18"/>
              </w:rPr>
              <w:t>one 3)</w:t>
            </w:r>
          </w:p>
        </w:tc>
        <w:tc>
          <w:tcPr>
            <w:tcW w:w="6379" w:type="dxa"/>
          </w:tcPr>
          <w:p w:rsidR="00F83FB9" w:rsidRPr="00F83FB9" w:rsidRDefault="00F83FB9" w:rsidP="00281A59">
            <w:pPr>
              <w:pStyle w:val="Default"/>
              <w:rPr>
                <w:rFonts w:asciiTheme="minorHAnsi" w:hAnsiTheme="minorHAnsi"/>
                <w:sz w:val="20"/>
                <w:szCs w:val="20"/>
              </w:rPr>
            </w:pPr>
            <w:r w:rsidRPr="00F83FB9">
              <w:rPr>
                <w:rFonts w:asciiTheme="minorHAnsi" w:hAnsiTheme="minorHAnsi"/>
                <w:sz w:val="20"/>
                <w:szCs w:val="20"/>
              </w:rPr>
              <w:t xml:space="preserve">Discharge data </w:t>
            </w:r>
            <w:r w:rsidR="00281A59">
              <w:rPr>
                <w:rFonts w:asciiTheme="minorHAnsi" w:hAnsiTheme="minorHAnsi"/>
                <w:sz w:val="20"/>
                <w:szCs w:val="20"/>
              </w:rPr>
              <w:t>will be obtained from NOW website. Changes in water depth will be monitored using depth loggers and staff gauges</w:t>
            </w:r>
          </w:p>
        </w:tc>
      </w:tr>
      <w:tr w:rsidR="00F83FB9" w:rsidTr="00E8333E">
        <w:trPr>
          <w:trHeight w:val="343"/>
        </w:trPr>
        <w:tc>
          <w:tcPr>
            <w:tcW w:w="2460" w:type="dxa"/>
          </w:tcPr>
          <w:p w:rsidR="00F83FB9" w:rsidRPr="00F83FB9" w:rsidRDefault="00F83FB9" w:rsidP="006F1AD3">
            <w:pPr>
              <w:pStyle w:val="Default"/>
              <w:rPr>
                <w:rFonts w:asciiTheme="minorHAnsi" w:hAnsiTheme="minorHAnsi"/>
                <w:sz w:val="20"/>
                <w:szCs w:val="20"/>
              </w:rPr>
            </w:pPr>
            <w:r w:rsidRPr="00F83FB9">
              <w:rPr>
                <w:rFonts w:asciiTheme="minorHAnsi" w:hAnsiTheme="minorHAnsi"/>
                <w:sz w:val="20"/>
                <w:szCs w:val="20"/>
              </w:rPr>
              <w:t xml:space="preserve">Hydraulic modelling </w:t>
            </w:r>
          </w:p>
        </w:tc>
        <w:tc>
          <w:tcPr>
            <w:tcW w:w="937" w:type="dxa"/>
          </w:tcPr>
          <w:p w:rsidR="00F83FB9" w:rsidRPr="00F83FB9" w:rsidRDefault="00F83FB9" w:rsidP="006F1AD3">
            <w:pPr>
              <w:pStyle w:val="Default"/>
              <w:rPr>
                <w:rFonts w:asciiTheme="minorHAnsi" w:hAnsiTheme="minorHAnsi"/>
                <w:sz w:val="18"/>
                <w:szCs w:val="18"/>
              </w:rPr>
            </w:pPr>
            <w:r w:rsidRPr="00F83FB9">
              <w:rPr>
                <w:rFonts w:asciiTheme="minorHAnsi" w:hAnsiTheme="minorHAnsi"/>
                <w:sz w:val="18"/>
                <w:szCs w:val="18"/>
              </w:rPr>
              <w:t xml:space="preserve">1,2,3,4 </w:t>
            </w:r>
          </w:p>
        </w:tc>
        <w:tc>
          <w:tcPr>
            <w:tcW w:w="2367" w:type="dxa"/>
          </w:tcPr>
          <w:p w:rsidR="00F83FB9" w:rsidRPr="00F83FB9" w:rsidRDefault="00E8333E" w:rsidP="006F1AD3">
            <w:pPr>
              <w:pStyle w:val="Default"/>
              <w:jc w:val="center"/>
              <w:rPr>
                <w:rFonts w:asciiTheme="minorHAnsi" w:hAnsiTheme="minorHAnsi" w:cs="Wingdings"/>
                <w:sz w:val="20"/>
                <w:szCs w:val="20"/>
              </w:rPr>
            </w:pPr>
            <w:r>
              <w:rPr>
                <w:rFonts w:ascii="Wingdings" w:hAnsi="Wingdings" w:cs="Wingdings"/>
                <w:sz w:val="20"/>
                <w:szCs w:val="20"/>
              </w:rPr>
              <w:t></w:t>
            </w:r>
          </w:p>
        </w:tc>
        <w:tc>
          <w:tcPr>
            <w:tcW w:w="2282" w:type="dxa"/>
          </w:tcPr>
          <w:p w:rsidR="00F83FB9" w:rsidRPr="00F83FB9" w:rsidRDefault="00F83FB9" w:rsidP="006F1AD3">
            <w:pPr>
              <w:pStyle w:val="Default"/>
              <w:jc w:val="center"/>
              <w:rPr>
                <w:rFonts w:asciiTheme="minorHAnsi" w:hAnsiTheme="minorHAnsi" w:cs="Wingdings"/>
                <w:sz w:val="20"/>
                <w:szCs w:val="20"/>
              </w:rPr>
            </w:pPr>
          </w:p>
        </w:tc>
        <w:tc>
          <w:tcPr>
            <w:tcW w:w="6379" w:type="dxa"/>
          </w:tcPr>
          <w:p w:rsidR="00F83FB9" w:rsidRPr="00F83FB9" w:rsidRDefault="00F83FB9" w:rsidP="006F1AD3">
            <w:pPr>
              <w:pStyle w:val="Default"/>
              <w:rPr>
                <w:rFonts w:asciiTheme="minorHAnsi" w:hAnsiTheme="minorHAnsi"/>
                <w:sz w:val="20"/>
                <w:szCs w:val="20"/>
              </w:rPr>
            </w:pPr>
            <w:r w:rsidRPr="00F83FB9">
              <w:rPr>
                <w:rFonts w:asciiTheme="minorHAnsi" w:hAnsiTheme="minorHAnsi"/>
                <w:sz w:val="20"/>
                <w:szCs w:val="20"/>
              </w:rPr>
              <w:t xml:space="preserve">The extent of within channel inundation of geomorphic features under </w:t>
            </w:r>
            <w:r w:rsidR="00A57FAE">
              <w:rPr>
                <w:rFonts w:asciiTheme="minorHAnsi" w:hAnsiTheme="minorHAnsi"/>
                <w:sz w:val="20"/>
                <w:szCs w:val="20"/>
              </w:rPr>
              <w:t xml:space="preserve">a range of </w:t>
            </w:r>
            <w:r w:rsidRPr="00F83FB9">
              <w:rPr>
                <w:rFonts w:asciiTheme="minorHAnsi" w:hAnsiTheme="minorHAnsi"/>
                <w:sz w:val="20"/>
                <w:szCs w:val="20"/>
              </w:rPr>
              <w:t>different discharge</w:t>
            </w:r>
            <w:r w:rsidR="00A57FAE">
              <w:rPr>
                <w:rFonts w:asciiTheme="minorHAnsi" w:hAnsiTheme="minorHAnsi"/>
                <w:sz w:val="20"/>
                <w:szCs w:val="20"/>
              </w:rPr>
              <w:t>s</w:t>
            </w:r>
            <w:r w:rsidRPr="00F83FB9">
              <w:rPr>
                <w:rFonts w:asciiTheme="minorHAnsi" w:hAnsiTheme="minorHAnsi"/>
                <w:sz w:val="20"/>
                <w:szCs w:val="20"/>
              </w:rPr>
              <w:t xml:space="preserve"> will be modelled. Ground truthing of the model and an acoustic doppler survey </w:t>
            </w:r>
            <w:r w:rsidR="00281A59">
              <w:rPr>
                <w:rFonts w:asciiTheme="minorHAnsi" w:hAnsiTheme="minorHAnsi"/>
                <w:sz w:val="20"/>
                <w:szCs w:val="20"/>
              </w:rPr>
              <w:t xml:space="preserve">will be </w:t>
            </w:r>
            <w:r w:rsidRPr="00F83FB9">
              <w:rPr>
                <w:rFonts w:asciiTheme="minorHAnsi" w:hAnsiTheme="minorHAnsi"/>
                <w:sz w:val="20"/>
                <w:szCs w:val="20"/>
              </w:rPr>
              <w:t xml:space="preserve">undertaken at selected sites </w:t>
            </w:r>
          </w:p>
        </w:tc>
      </w:tr>
      <w:tr w:rsidR="00F83FB9" w:rsidTr="00E8333E">
        <w:trPr>
          <w:trHeight w:val="465"/>
        </w:trPr>
        <w:tc>
          <w:tcPr>
            <w:tcW w:w="2460" w:type="dxa"/>
          </w:tcPr>
          <w:p w:rsidR="00F83FB9" w:rsidRPr="00F83FB9" w:rsidRDefault="00F83FB9" w:rsidP="006F1AD3">
            <w:pPr>
              <w:pStyle w:val="Default"/>
              <w:rPr>
                <w:rFonts w:asciiTheme="minorHAnsi" w:hAnsiTheme="minorHAnsi"/>
                <w:sz w:val="20"/>
                <w:szCs w:val="20"/>
              </w:rPr>
            </w:pPr>
            <w:r w:rsidRPr="00F83FB9">
              <w:rPr>
                <w:rFonts w:asciiTheme="minorHAnsi" w:hAnsiTheme="minorHAnsi"/>
                <w:sz w:val="20"/>
                <w:szCs w:val="20"/>
              </w:rPr>
              <w:t xml:space="preserve">Stream metabolism and instream primary productivity </w:t>
            </w:r>
          </w:p>
        </w:tc>
        <w:tc>
          <w:tcPr>
            <w:tcW w:w="937" w:type="dxa"/>
          </w:tcPr>
          <w:p w:rsidR="00F83FB9" w:rsidRPr="00F83FB9" w:rsidRDefault="00F83FB9" w:rsidP="006F1AD3">
            <w:pPr>
              <w:pStyle w:val="Default"/>
              <w:rPr>
                <w:rFonts w:asciiTheme="minorHAnsi" w:hAnsiTheme="minorHAnsi"/>
                <w:sz w:val="18"/>
                <w:szCs w:val="18"/>
              </w:rPr>
            </w:pPr>
            <w:r w:rsidRPr="00F83FB9">
              <w:rPr>
                <w:rFonts w:asciiTheme="minorHAnsi" w:hAnsiTheme="minorHAnsi"/>
                <w:sz w:val="18"/>
                <w:szCs w:val="18"/>
              </w:rPr>
              <w:t xml:space="preserve">1,2,3,4 </w:t>
            </w:r>
          </w:p>
        </w:tc>
        <w:tc>
          <w:tcPr>
            <w:tcW w:w="2367" w:type="dxa"/>
          </w:tcPr>
          <w:p w:rsidR="00F83FB9" w:rsidRPr="00F83FB9" w:rsidRDefault="00E8333E" w:rsidP="006F1AD3">
            <w:pPr>
              <w:pStyle w:val="Default"/>
              <w:jc w:val="center"/>
              <w:rPr>
                <w:rFonts w:asciiTheme="minorHAnsi" w:hAnsiTheme="minorHAnsi" w:cs="Wingdings"/>
                <w:sz w:val="20"/>
                <w:szCs w:val="20"/>
              </w:rPr>
            </w:pPr>
            <w:r>
              <w:rPr>
                <w:rFonts w:ascii="Wingdings" w:hAnsi="Wingdings" w:cs="Wingdings"/>
                <w:sz w:val="20"/>
                <w:szCs w:val="20"/>
              </w:rPr>
              <w:t></w:t>
            </w:r>
          </w:p>
        </w:tc>
        <w:tc>
          <w:tcPr>
            <w:tcW w:w="2282" w:type="dxa"/>
          </w:tcPr>
          <w:p w:rsidR="00F83FB9" w:rsidRPr="00F83FB9" w:rsidRDefault="00E8333E" w:rsidP="006F1AD3">
            <w:pPr>
              <w:pStyle w:val="Default"/>
              <w:jc w:val="center"/>
              <w:rPr>
                <w:rFonts w:asciiTheme="minorHAnsi" w:hAnsiTheme="minorHAnsi" w:cs="Wingdings"/>
                <w:sz w:val="20"/>
                <w:szCs w:val="20"/>
              </w:rPr>
            </w:pPr>
            <w:r>
              <w:rPr>
                <w:rFonts w:ascii="Wingdings" w:hAnsi="Wingdings" w:cs="Wingdings"/>
                <w:sz w:val="20"/>
                <w:szCs w:val="20"/>
              </w:rPr>
              <w:t></w:t>
            </w:r>
            <w:r w:rsidRPr="00F83FB9">
              <w:rPr>
                <w:rFonts w:asciiTheme="minorHAnsi" w:hAnsiTheme="minorHAnsi"/>
                <w:sz w:val="18"/>
                <w:szCs w:val="18"/>
              </w:rPr>
              <w:t xml:space="preserve"> </w:t>
            </w:r>
            <w:r w:rsidR="009F4D23">
              <w:rPr>
                <w:rFonts w:asciiTheme="minorHAnsi" w:hAnsiTheme="minorHAnsi"/>
                <w:sz w:val="18"/>
                <w:szCs w:val="18"/>
              </w:rPr>
              <w:t>(z</w:t>
            </w:r>
            <w:r w:rsidR="00F83FB9" w:rsidRPr="00F83FB9">
              <w:rPr>
                <w:rFonts w:asciiTheme="minorHAnsi" w:hAnsiTheme="minorHAnsi"/>
                <w:sz w:val="18"/>
                <w:szCs w:val="18"/>
              </w:rPr>
              <w:t>one 3)</w:t>
            </w:r>
          </w:p>
        </w:tc>
        <w:tc>
          <w:tcPr>
            <w:tcW w:w="6379" w:type="dxa"/>
          </w:tcPr>
          <w:p w:rsidR="00F83FB9" w:rsidRPr="00F83FB9" w:rsidRDefault="00F83FB9" w:rsidP="00CF6CD7">
            <w:pPr>
              <w:pStyle w:val="Default"/>
              <w:rPr>
                <w:rFonts w:asciiTheme="minorHAnsi" w:hAnsiTheme="minorHAnsi"/>
                <w:sz w:val="20"/>
                <w:szCs w:val="20"/>
              </w:rPr>
            </w:pPr>
            <w:r w:rsidRPr="00F83FB9">
              <w:rPr>
                <w:rFonts w:asciiTheme="minorHAnsi" w:hAnsiTheme="minorHAnsi"/>
                <w:sz w:val="20"/>
                <w:szCs w:val="20"/>
              </w:rPr>
              <w:t xml:space="preserve">Dissolved oxygen and light will be logged continuously in each zone between August and March. Nutrients and carbon samples will be collected monthly and spot water quality monitored fortnightly. </w:t>
            </w:r>
          </w:p>
        </w:tc>
      </w:tr>
      <w:tr w:rsidR="00F83FB9" w:rsidTr="00E8333E">
        <w:trPr>
          <w:trHeight w:val="344"/>
        </w:trPr>
        <w:tc>
          <w:tcPr>
            <w:tcW w:w="2460" w:type="dxa"/>
          </w:tcPr>
          <w:p w:rsidR="00F83FB9" w:rsidRPr="00F83FB9" w:rsidRDefault="00F83FB9" w:rsidP="006F1AD3">
            <w:pPr>
              <w:pStyle w:val="Default"/>
              <w:rPr>
                <w:rFonts w:asciiTheme="minorHAnsi" w:hAnsiTheme="minorHAnsi"/>
                <w:sz w:val="20"/>
                <w:szCs w:val="20"/>
              </w:rPr>
            </w:pPr>
            <w:r w:rsidRPr="00F83FB9">
              <w:rPr>
                <w:rFonts w:asciiTheme="minorHAnsi" w:hAnsiTheme="minorHAnsi"/>
                <w:sz w:val="20"/>
                <w:szCs w:val="20"/>
              </w:rPr>
              <w:t xml:space="preserve">Characterisation of carbon during blackwater and poor water quality events </w:t>
            </w:r>
          </w:p>
        </w:tc>
        <w:tc>
          <w:tcPr>
            <w:tcW w:w="937" w:type="dxa"/>
          </w:tcPr>
          <w:p w:rsidR="00F83FB9" w:rsidRPr="00F83FB9" w:rsidRDefault="00F83FB9" w:rsidP="006F1AD3">
            <w:pPr>
              <w:pStyle w:val="Default"/>
              <w:rPr>
                <w:rFonts w:asciiTheme="minorHAnsi" w:hAnsiTheme="minorHAnsi"/>
                <w:sz w:val="18"/>
                <w:szCs w:val="18"/>
              </w:rPr>
            </w:pPr>
            <w:r w:rsidRPr="00F83FB9">
              <w:rPr>
                <w:rFonts w:asciiTheme="minorHAnsi" w:hAnsiTheme="minorHAnsi"/>
                <w:sz w:val="18"/>
                <w:szCs w:val="18"/>
              </w:rPr>
              <w:t xml:space="preserve">1,2,3,4 </w:t>
            </w:r>
          </w:p>
        </w:tc>
        <w:tc>
          <w:tcPr>
            <w:tcW w:w="2367" w:type="dxa"/>
          </w:tcPr>
          <w:p w:rsidR="00F83FB9" w:rsidRPr="00F83FB9" w:rsidRDefault="00E8333E" w:rsidP="006F1AD3">
            <w:pPr>
              <w:pStyle w:val="Default"/>
              <w:jc w:val="center"/>
              <w:rPr>
                <w:rFonts w:asciiTheme="minorHAnsi" w:hAnsiTheme="minorHAnsi" w:cs="Wingdings"/>
                <w:sz w:val="20"/>
                <w:szCs w:val="20"/>
              </w:rPr>
            </w:pPr>
            <w:r>
              <w:rPr>
                <w:rFonts w:ascii="Wingdings" w:hAnsi="Wingdings" w:cs="Wingdings"/>
                <w:sz w:val="20"/>
                <w:szCs w:val="20"/>
              </w:rPr>
              <w:t></w:t>
            </w:r>
          </w:p>
        </w:tc>
        <w:tc>
          <w:tcPr>
            <w:tcW w:w="2282" w:type="dxa"/>
          </w:tcPr>
          <w:p w:rsidR="00F83FB9" w:rsidRPr="00F83FB9" w:rsidRDefault="00F83FB9" w:rsidP="006F1AD3">
            <w:pPr>
              <w:pStyle w:val="Default"/>
              <w:jc w:val="center"/>
              <w:rPr>
                <w:rFonts w:asciiTheme="minorHAnsi" w:hAnsiTheme="minorHAnsi" w:cs="Wingdings"/>
                <w:sz w:val="20"/>
                <w:szCs w:val="20"/>
              </w:rPr>
            </w:pPr>
          </w:p>
        </w:tc>
        <w:tc>
          <w:tcPr>
            <w:tcW w:w="6379" w:type="dxa"/>
          </w:tcPr>
          <w:p w:rsidR="00F83FB9" w:rsidRPr="00F83FB9" w:rsidRDefault="00F83FB9" w:rsidP="00CF6CD7">
            <w:pPr>
              <w:pStyle w:val="Default"/>
              <w:rPr>
                <w:rFonts w:asciiTheme="minorHAnsi" w:hAnsiTheme="minorHAnsi"/>
                <w:sz w:val="20"/>
                <w:szCs w:val="20"/>
              </w:rPr>
            </w:pPr>
            <w:r w:rsidRPr="00F83FB9">
              <w:rPr>
                <w:rFonts w:asciiTheme="minorHAnsi" w:hAnsiTheme="minorHAnsi"/>
                <w:sz w:val="20"/>
                <w:szCs w:val="20"/>
              </w:rPr>
              <w:t xml:space="preserve">The type and source of carbon will be monitored monthly between August and March. There is an option for CEWO to fund additional sampling during blackwater or </w:t>
            </w:r>
            <w:r w:rsidR="00281A59">
              <w:rPr>
                <w:rFonts w:asciiTheme="minorHAnsi" w:hAnsiTheme="minorHAnsi"/>
                <w:sz w:val="20"/>
                <w:szCs w:val="20"/>
              </w:rPr>
              <w:t>other poor water quality events</w:t>
            </w:r>
          </w:p>
        </w:tc>
      </w:tr>
      <w:tr w:rsidR="00F83FB9" w:rsidTr="00E8333E">
        <w:trPr>
          <w:trHeight w:val="343"/>
        </w:trPr>
        <w:tc>
          <w:tcPr>
            <w:tcW w:w="2460" w:type="dxa"/>
          </w:tcPr>
          <w:p w:rsidR="00F83FB9" w:rsidRPr="00F83FB9" w:rsidRDefault="00F83FB9" w:rsidP="006F1AD3">
            <w:pPr>
              <w:pStyle w:val="Default"/>
              <w:rPr>
                <w:rFonts w:asciiTheme="minorHAnsi" w:hAnsiTheme="minorHAnsi"/>
                <w:sz w:val="20"/>
                <w:szCs w:val="20"/>
              </w:rPr>
            </w:pPr>
            <w:r w:rsidRPr="00F83FB9">
              <w:rPr>
                <w:rFonts w:asciiTheme="minorHAnsi" w:hAnsiTheme="minorHAnsi"/>
                <w:sz w:val="20"/>
                <w:szCs w:val="20"/>
              </w:rPr>
              <w:t xml:space="preserve">Riverbank and aquatic vegetation </w:t>
            </w:r>
          </w:p>
        </w:tc>
        <w:tc>
          <w:tcPr>
            <w:tcW w:w="937" w:type="dxa"/>
          </w:tcPr>
          <w:p w:rsidR="00F83FB9" w:rsidRPr="00F83FB9" w:rsidRDefault="00F83FB9" w:rsidP="006F1AD3">
            <w:pPr>
              <w:pStyle w:val="Default"/>
              <w:rPr>
                <w:rFonts w:asciiTheme="minorHAnsi" w:hAnsiTheme="minorHAnsi"/>
                <w:sz w:val="18"/>
                <w:szCs w:val="18"/>
              </w:rPr>
            </w:pPr>
            <w:r w:rsidRPr="00F83FB9">
              <w:rPr>
                <w:rFonts w:asciiTheme="minorHAnsi" w:hAnsiTheme="minorHAnsi"/>
                <w:sz w:val="18"/>
                <w:szCs w:val="18"/>
              </w:rPr>
              <w:t xml:space="preserve">1,2,3,4 </w:t>
            </w:r>
          </w:p>
        </w:tc>
        <w:tc>
          <w:tcPr>
            <w:tcW w:w="2367" w:type="dxa"/>
          </w:tcPr>
          <w:p w:rsidR="00F83FB9" w:rsidRPr="00F83FB9" w:rsidRDefault="00E8333E" w:rsidP="006F1AD3">
            <w:pPr>
              <w:pStyle w:val="Default"/>
              <w:jc w:val="center"/>
              <w:rPr>
                <w:rFonts w:asciiTheme="minorHAnsi" w:hAnsiTheme="minorHAnsi" w:cs="Wingdings"/>
                <w:sz w:val="20"/>
                <w:szCs w:val="20"/>
              </w:rPr>
            </w:pPr>
            <w:r>
              <w:rPr>
                <w:rFonts w:ascii="Wingdings" w:hAnsi="Wingdings" w:cs="Wingdings"/>
                <w:sz w:val="20"/>
                <w:szCs w:val="20"/>
              </w:rPr>
              <w:t></w:t>
            </w:r>
          </w:p>
        </w:tc>
        <w:tc>
          <w:tcPr>
            <w:tcW w:w="2282" w:type="dxa"/>
          </w:tcPr>
          <w:p w:rsidR="00F83FB9" w:rsidRPr="00F83FB9" w:rsidRDefault="00F83FB9" w:rsidP="006F1AD3">
            <w:pPr>
              <w:pStyle w:val="Default"/>
              <w:jc w:val="center"/>
              <w:rPr>
                <w:rFonts w:asciiTheme="minorHAnsi" w:hAnsiTheme="minorHAnsi" w:cs="Wingdings"/>
                <w:sz w:val="20"/>
                <w:szCs w:val="20"/>
              </w:rPr>
            </w:pPr>
          </w:p>
        </w:tc>
        <w:tc>
          <w:tcPr>
            <w:tcW w:w="6379" w:type="dxa"/>
          </w:tcPr>
          <w:p w:rsidR="00F83FB9" w:rsidRPr="00F83FB9" w:rsidRDefault="00F83FB9" w:rsidP="00CF6CD7">
            <w:pPr>
              <w:pStyle w:val="Default"/>
              <w:rPr>
                <w:rFonts w:asciiTheme="minorHAnsi" w:hAnsiTheme="minorHAnsi"/>
                <w:sz w:val="20"/>
                <w:szCs w:val="20"/>
              </w:rPr>
            </w:pPr>
            <w:r w:rsidRPr="00F83FB9">
              <w:rPr>
                <w:rFonts w:asciiTheme="minorHAnsi" w:hAnsiTheme="minorHAnsi"/>
                <w:sz w:val="20"/>
                <w:szCs w:val="20"/>
              </w:rPr>
              <w:t xml:space="preserve">The composition and percent cover of riverbank and aquatic vegetation will be monitored monthly. </w:t>
            </w:r>
          </w:p>
        </w:tc>
      </w:tr>
      <w:tr w:rsidR="00F83FB9" w:rsidTr="00E8333E">
        <w:trPr>
          <w:trHeight w:val="466"/>
        </w:trPr>
        <w:tc>
          <w:tcPr>
            <w:tcW w:w="2460" w:type="dxa"/>
          </w:tcPr>
          <w:p w:rsidR="00F83FB9" w:rsidRPr="00F83FB9" w:rsidRDefault="00F83FB9" w:rsidP="006F1AD3">
            <w:pPr>
              <w:pStyle w:val="Default"/>
              <w:rPr>
                <w:rFonts w:asciiTheme="minorHAnsi" w:hAnsiTheme="minorHAnsi"/>
                <w:sz w:val="20"/>
                <w:szCs w:val="20"/>
              </w:rPr>
            </w:pPr>
            <w:r w:rsidRPr="00F83FB9">
              <w:rPr>
                <w:rFonts w:asciiTheme="minorHAnsi" w:hAnsiTheme="minorHAnsi"/>
                <w:sz w:val="20"/>
                <w:szCs w:val="20"/>
              </w:rPr>
              <w:t xml:space="preserve">Fish reproduction </w:t>
            </w:r>
          </w:p>
          <w:p w:rsidR="00F83FB9" w:rsidRPr="00F83FB9" w:rsidRDefault="00F83FB9" w:rsidP="006F1AD3">
            <w:pPr>
              <w:pStyle w:val="Default"/>
              <w:rPr>
                <w:rFonts w:asciiTheme="minorHAnsi" w:hAnsiTheme="minorHAnsi"/>
                <w:sz w:val="20"/>
                <w:szCs w:val="20"/>
              </w:rPr>
            </w:pPr>
            <w:r w:rsidRPr="00F83FB9">
              <w:rPr>
                <w:rFonts w:asciiTheme="minorHAnsi" w:hAnsiTheme="minorHAnsi"/>
                <w:sz w:val="20"/>
                <w:szCs w:val="20"/>
              </w:rPr>
              <w:t xml:space="preserve">(larvae) </w:t>
            </w:r>
          </w:p>
        </w:tc>
        <w:tc>
          <w:tcPr>
            <w:tcW w:w="937" w:type="dxa"/>
          </w:tcPr>
          <w:p w:rsidR="00F83FB9" w:rsidRPr="00F83FB9" w:rsidRDefault="00F83FB9" w:rsidP="006F1AD3">
            <w:pPr>
              <w:pStyle w:val="Default"/>
              <w:rPr>
                <w:rFonts w:asciiTheme="minorHAnsi" w:hAnsiTheme="minorHAnsi"/>
                <w:sz w:val="18"/>
                <w:szCs w:val="18"/>
              </w:rPr>
            </w:pPr>
            <w:r w:rsidRPr="00F83FB9">
              <w:rPr>
                <w:rFonts w:asciiTheme="minorHAnsi" w:hAnsiTheme="minorHAnsi"/>
                <w:sz w:val="18"/>
                <w:szCs w:val="18"/>
              </w:rPr>
              <w:t xml:space="preserve">1,2,3,4 </w:t>
            </w:r>
          </w:p>
        </w:tc>
        <w:tc>
          <w:tcPr>
            <w:tcW w:w="2367" w:type="dxa"/>
          </w:tcPr>
          <w:p w:rsidR="00F83FB9" w:rsidRPr="00F83FB9" w:rsidRDefault="00E8333E" w:rsidP="006F1AD3">
            <w:pPr>
              <w:pStyle w:val="Default"/>
              <w:jc w:val="center"/>
              <w:rPr>
                <w:rFonts w:asciiTheme="minorHAnsi" w:hAnsiTheme="minorHAnsi" w:cs="Wingdings"/>
                <w:sz w:val="20"/>
                <w:szCs w:val="20"/>
              </w:rPr>
            </w:pPr>
            <w:r>
              <w:rPr>
                <w:rFonts w:ascii="Wingdings" w:hAnsi="Wingdings" w:cs="Wingdings"/>
                <w:sz w:val="20"/>
                <w:szCs w:val="20"/>
              </w:rPr>
              <w:t></w:t>
            </w:r>
          </w:p>
        </w:tc>
        <w:tc>
          <w:tcPr>
            <w:tcW w:w="2282" w:type="dxa"/>
          </w:tcPr>
          <w:p w:rsidR="00F83FB9" w:rsidRPr="00F83FB9" w:rsidRDefault="00E8333E" w:rsidP="006F1AD3">
            <w:pPr>
              <w:pStyle w:val="Default"/>
              <w:jc w:val="center"/>
              <w:rPr>
                <w:rFonts w:asciiTheme="minorHAnsi" w:hAnsiTheme="minorHAnsi" w:cs="Wingdings"/>
                <w:sz w:val="20"/>
                <w:szCs w:val="20"/>
              </w:rPr>
            </w:pPr>
            <w:r>
              <w:rPr>
                <w:rFonts w:ascii="Wingdings" w:hAnsi="Wingdings" w:cs="Wingdings"/>
                <w:sz w:val="20"/>
                <w:szCs w:val="20"/>
              </w:rPr>
              <w:t></w:t>
            </w:r>
            <w:r w:rsidRPr="00F83FB9">
              <w:rPr>
                <w:rFonts w:asciiTheme="minorHAnsi" w:hAnsiTheme="minorHAnsi"/>
                <w:sz w:val="18"/>
                <w:szCs w:val="18"/>
              </w:rPr>
              <w:t xml:space="preserve"> </w:t>
            </w:r>
            <w:r w:rsidR="009F4D23">
              <w:rPr>
                <w:rFonts w:asciiTheme="minorHAnsi" w:hAnsiTheme="minorHAnsi"/>
                <w:sz w:val="18"/>
                <w:szCs w:val="18"/>
              </w:rPr>
              <w:t>(z</w:t>
            </w:r>
            <w:r w:rsidR="00F83FB9" w:rsidRPr="00F83FB9">
              <w:rPr>
                <w:rFonts w:asciiTheme="minorHAnsi" w:hAnsiTheme="minorHAnsi"/>
                <w:sz w:val="18"/>
                <w:szCs w:val="18"/>
              </w:rPr>
              <w:t>one 3)</w:t>
            </w:r>
          </w:p>
        </w:tc>
        <w:tc>
          <w:tcPr>
            <w:tcW w:w="6379" w:type="dxa"/>
          </w:tcPr>
          <w:p w:rsidR="00F83FB9" w:rsidRPr="00F83FB9" w:rsidRDefault="00F83FB9" w:rsidP="00CF6CD7">
            <w:pPr>
              <w:pStyle w:val="Default"/>
              <w:rPr>
                <w:rFonts w:asciiTheme="minorHAnsi" w:hAnsiTheme="minorHAnsi"/>
                <w:sz w:val="20"/>
                <w:szCs w:val="20"/>
              </w:rPr>
            </w:pPr>
            <w:r w:rsidRPr="00F83FB9">
              <w:rPr>
                <w:rFonts w:asciiTheme="minorHAnsi" w:hAnsiTheme="minorHAnsi"/>
                <w:sz w:val="20"/>
                <w:szCs w:val="20"/>
              </w:rPr>
              <w:t xml:space="preserve">The abundance and diversity of larval fish will be monitored fortnightly between September and March using light traps and drift nets. </w:t>
            </w:r>
          </w:p>
        </w:tc>
      </w:tr>
      <w:tr w:rsidR="00F83FB9" w:rsidTr="00E8333E">
        <w:trPr>
          <w:trHeight w:val="343"/>
        </w:trPr>
        <w:tc>
          <w:tcPr>
            <w:tcW w:w="2460" w:type="dxa"/>
          </w:tcPr>
          <w:p w:rsidR="00F83FB9" w:rsidRPr="00F83FB9" w:rsidRDefault="00F83FB9" w:rsidP="006F1AD3">
            <w:pPr>
              <w:pStyle w:val="Default"/>
              <w:rPr>
                <w:rFonts w:asciiTheme="minorHAnsi" w:hAnsiTheme="minorHAnsi"/>
                <w:sz w:val="20"/>
                <w:szCs w:val="20"/>
              </w:rPr>
            </w:pPr>
            <w:r w:rsidRPr="00F83FB9">
              <w:rPr>
                <w:rFonts w:asciiTheme="minorHAnsi" w:hAnsiTheme="minorHAnsi"/>
                <w:sz w:val="20"/>
                <w:szCs w:val="20"/>
              </w:rPr>
              <w:t>Fish recruitment</w:t>
            </w:r>
          </w:p>
        </w:tc>
        <w:tc>
          <w:tcPr>
            <w:tcW w:w="937" w:type="dxa"/>
          </w:tcPr>
          <w:p w:rsidR="00F83FB9" w:rsidRPr="00F83FB9" w:rsidRDefault="00F83FB9" w:rsidP="006F1AD3">
            <w:pPr>
              <w:pStyle w:val="Default"/>
              <w:rPr>
                <w:rFonts w:asciiTheme="minorHAnsi" w:hAnsiTheme="minorHAnsi"/>
                <w:sz w:val="18"/>
                <w:szCs w:val="18"/>
              </w:rPr>
            </w:pPr>
            <w:r w:rsidRPr="00F83FB9">
              <w:rPr>
                <w:rFonts w:asciiTheme="minorHAnsi" w:hAnsiTheme="minorHAnsi"/>
                <w:sz w:val="18"/>
                <w:szCs w:val="18"/>
              </w:rPr>
              <w:t xml:space="preserve">1,2,3.4 </w:t>
            </w:r>
          </w:p>
        </w:tc>
        <w:tc>
          <w:tcPr>
            <w:tcW w:w="2367" w:type="dxa"/>
          </w:tcPr>
          <w:p w:rsidR="00F83FB9" w:rsidRPr="00F83FB9" w:rsidRDefault="00E8333E" w:rsidP="006F1AD3">
            <w:pPr>
              <w:pStyle w:val="Default"/>
              <w:jc w:val="center"/>
              <w:rPr>
                <w:rFonts w:asciiTheme="minorHAnsi" w:hAnsiTheme="minorHAnsi" w:cs="Wingdings"/>
                <w:sz w:val="20"/>
                <w:szCs w:val="20"/>
              </w:rPr>
            </w:pPr>
            <w:r>
              <w:rPr>
                <w:rFonts w:ascii="Wingdings" w:hAnsi="Wingdings" w:cs="Wingdings"/>
                <w:sz w:val="20"/>
                <w:szCs w:val="20"/>
              </w:rPr>
              <w:t></w:t>
            </w:r>
          </w:p>
        </w:tc>
        <w:tc>
          <w:tcPr>
            <w:tcW w:w="2282" w:type="dxa"/>
          </w:tcPr>
          <w:p w:rsidR="00F83FB9" w:rsidRPr="00F83FB9" w:rsidRDefault="00F83FB9" w:rsidP="006F1AD3">
            <w:pPr>
              <w:pStyle w:val="Default"/>
              <w:jc w:val="center"/>
              <w:rPr>
                <w:rFonts w:asciiTheme="minorHAnsi" w:hAnsiTheme="minorHAnsi" w:cs="Wingdings"/>
                <w:sz w:val="20"/>
                <w:szCs w:val="20"/>
              </w:rPr>
            </w:pPr>
          </w:p>
        </w:tc>
        <w:tc>
          <w:tcPr>
            <w:tcW w:w="6379" w:type="dxa"/>
          </w:tcPr>
          <w:p w:rsidR="00F83FB9" w:rsidRPr="00F83FB9" w:rsidRDefault="00F83FB9" w:rsidP="0065658F">
            <w:pPr>
              <w:pStyle w:val="Default"/>
              <w:rPr>
                <w:rFonts w:asciiTheme="minorHAnsi" w:hAnsiTheme="minorHAnsi"/>
                <w:sz w:val="20"/>
                <w:szCs w:val="20"/>
              </w:rPr>
            </w:pPr>
            <w:r w:rsidRPr="00F83FB9">
              <w:rPr>
                <w:rFonts w:asciiTheme="minorHAnsi" w:hAnsiTheme="minorHAnsi"/>
                <w:sz w:val="20"/>
                <w:szCs w:val="20"/>
              </w:rPr>
              <w:t xml:space="preserve">Targeted capture of young-of-year fish will be undertaken by back-pack </w:t>
            </w:r>
            <w:r w:rsidRPr="0065658F">
              <w:rPr>
                <w:rFonts w:asciiTheme="minorHAnsi" w:hAnsiTheme="minorHAnsi"/>
                <w:sz w:val="20"/>
                <w:szCs w:val="20"/>
              </w:rPr>
              <w:t xml:space="preserve">electrofishing </w:t>
            </w:r>
            <w:r w:rsidR="0065658F" w:rsidRPr="0065658F">
              <w:rPr>
                <w:rFonts w:asciiTheme="minorHAnsi" w:hAnsiTheme="minorHAnsi"/>
                <w:sz w:val="20"/>
                <w:szCs w:val="20"/>
              </w:rPr>
              <w:t>and set lines in February and March to develop growth</w:t>
            </w:r>
            <w:r w:rsidR="0065658F" w:rsidRPr="0065658F">
              <w:rPr>
                <w:rFonts w:asciiTheme="minorHAnsi" w:hAnsiTheme="minorHAnsi"/>
              </w:rPr>
              <w:t xml:space="preserve"> </w:t>
            </w:r>
            <w:r w:rsidR="0065658F" w:rsidRPr="0065658F">
              <w:rPr>
                <w:rFonts w:asciiTheme="minorHAnsi" w:hAnsiTheme="minorHAnsi"/>
                <w:sz w:val="20"/>
                <w:szCs w:val="20"/>
              </w:rPr>
              <w:t>and recruitment indices for young-of-year (YOY) and age-class 1 (1+) Murray cod, silver perch and golden perch</w:t>
            </w:r>
          </w:p>
        </w:tc>
      </w:tr>
      <w:tr w:rsidR="00F83FB9" w:rsidTr="00E8333E">
        <w:trPr>
          <w:trHeight w:val="344"/>
        </w:trPr>
        <w:tc>
          <w:tcPr>
            <w:tcW w:w="2460" w:type="dxa"/>
          </w:tcPr>
          <w:p w:rsidR="00F83FB9" w:rsidRPr="00F83FB9" w:rsidRDefault="00F83FB9" w:rsidP="00A57FAE">
            <w:pPr>
              <w:pStyle w:val="Default"/>
              <w:rPr>
                <w:rFonts w:asciiTheme="minorHAnsi" w:hAnsiTheme="minorHAnsi"/>
                <w:sz w:val="20"/>
                <w:szCs w:val="20"/>
              </w:rPr>
            </w:pPr>
            <w:r w:rsidRPr="00F83FB9">
              <w:rPr>
                <w:rFonts w:asciiTheme="minorHAnsi" w:hAnsiTheme="minorHAnsi"/>
                <w:sz w:val="20"/>
                <w:szCs w:val="20"/>
              </w:rPr>
              <w:t xml:space="preserve">Fish </w:t>
            </w:r>
            <w:r w:rsidR="00A57FAE">
              <w:rPr>
                <w:rFonts w:asciiTheme="minorHAnsi" w:hAnsiTheme="minorHAnsi"/>
                <w:sz w:val="20"/>
                <w:szCs w:val="20"/>
              </w:rPr>
              <w:t>community</w:t>
            </w:r>
            <w:r w:rsidRPr="00F83FB9">
              <w:rPr>
                <w:rFonts w:asciiTheme="minorHAnsi" w:hAnsiTheme="minorHAnsi"/>
                <w:sz w:val="20"/>
                <w:szCs w:val="20"/>
              </w:rPr>
              <w:t xml:space="preserve"> survey </w:t>
            </w:r>
          </w:p>
        </w:tc>
        <w:tc>
          <w:tcPr>
            <w:tcW w:w="937" w:type="dxa"/>
          </w:tcPr>
          <w:p w:rsidR="00F83FB9" w:rsidRPr="00F83FB9" w:rsidRDefault="00CF3D33" w:rsidP="006F1AD3">
            <w:pPr>
              <w:pStyle w:val="Default"/>
              <w:rPr>
                <w:rFonts w:asciiTheme="minorHAnsi" w:hAnsiTheme="minorHAnsi"/>
                <w:sz w:val="18"/>
                <w:szCs w:val="18"/>
              </w:rPr>
            </w:pPr>
            <w:r>
              <w:rPr>
                <w:rFonts w:asciiTheme="minorHAnsi" w:hAnsiTheme="minorHAnsi"/>
                <w:sz w:val="18"/>
                <w:szCs w:val="18"/>
              </w:rPr>
              <w:t>3 (plus 15</w:t>
            </w:r>
            <w:r w:rsidR="00F83FB9" w:rsidRPr="00F83FB9">
              <w:rPr>
                <w:rFonts w:asciiTheme="minorHAnsi" w:hAnsiTheme="minorHAnsi"/>
                <w:sz w:val="18"/>
                <w:szCs w:val="18"/>
              </w:rPr>
              <w:t xml:space="preserve"> sites in yr 1 and 5) </w:t>
            </w:r>
          </w:p>
        </w:tc>
        <w:tc>
          <w:tcPr>
            <w:tcW w:w="2367" w:type="dxa"/>
          </w:tcPr>
          <w:p w:rsidR="00F83FB9" w:rsidRPr="00F83FB9" w:rsidRDefault="00CF6CD7" w:rsidP="006F1AD3">
            <w:pPr>
              <w:pStyle w:val="Default"/>
              <w:jc w:val="center"/>
              <w:rPr>
                <w:rFonts w:asciiTheme="minorHAnsi" w:hAnsiTheme="minorHAnsi" w:cs="Wingdings"/>
                <w:sz w:val="20"/>
                <w:szCs w:val="20"/>
              </w:rPr>
            </w:pPr>
            <w:r>
              <w:rPr>
                <w:rFonts w:ascii="Wingdings" w:hAnsi="Wingdings" w:cs="Wingdings"/>
                <w:sz w:val="20"/>
                <w:szCs w:val="20"/>
              </w:rPr>
              <w:t></w:t>
            </w:r>
          </w:p>
        </w:tc>
        <w:tc>
          <w:tcPr>
            <w:tcW w:w="2282" w:type="dxa"/>
          </w:tcPr>
          <w:p w:rsidR="00F83FB9" w:rsidRPr="00F83FB9" w:rsidRDefault="00E8333E" w:rsidP="006F1AD3">
            <w:pPr>
              <w:pStyle w:val="Default"/>
              <w:jc w:val="center"/>
              <w:rPr>
                <w:rFonts w:asciiTheme="minorHAnsi" w:hAnsiTheme="minorHAnsi" w:cs="Wingdings"/>
                <w:sz w:val="20"/>
                <w:szCs w:val="20"/>
              </w:rPr>
            </w:pPr>
            <w:r>
              <w:rPr>
                <w:rFonts w:ascii="Wingdings" w:hAnsi="Wingdings" w:cs="Wingdings"/>
                <w:sz w:val="20"/>
                <w:szCs w:val="20"/>
              </w:rPr>
              <w:t></w:t>
            </w:r>
            <w:r w:rsidRPr="00F83FB9">
              <w:rPr>
                <w:rFonts w:asciiTheme="minorHAnsi" w:hAnsiTheme="minorHAnsi"/>
                <w:sz w:val="18"/>
                <w:szCs w:val="18"/>
              </w:rPr>
              <w:t xml:space="preserve"> </w:t>
            </w:r>
            <w:r w:rsidR="009F4D23">
              <w:rPr>
                <w:rFonts w:asciiTheme="minorHAnsi" w:hAnsiTheme="minorHAnsi"/>
                <w:sz w:val="18"/>
                <w:szCs w:val="18"/>
              </w:rPr>
              <w:t>(z</w:t>
            </w:r>
            <w:r w:rsidR="00F83FB9" w:rsidRPr="00F83FB9">
              <w:rPr>
                <w:rFonts w:asciiTheme="minorHAnsi" w:hAnsiTheme="minorHAnsi"/>
                <w:sz w:val="18"/>
                <w:szCs w:val="18"/>
              </w:rPr>
              <w:t>one 3)</w:t>
            </w:r>
          </w:p>
        </w:tc>
        <w:tc>
          <w:tcPr>
            <w:tcW w:w="6379" w:type="dxa"/>
          </w:tcPr>
          <w:p w:rsidR="00F83FB9" w:rsidRPr="00F83FB9" w:rsidRDefault="00F83FB9" w:rsidP="00A57FAE">
            <w:pPr>
              <w:pStyle w:val="Default"/>
              <w:rPr>
                <w:rFonts w:asciiTheme="minorHAnsi" w:hAnsiTheme="minorHAnsi"/>
                <w:sz w:val="20"/>
                <w:szCs w:val="20"/>
              </w:rPr>
            </w:pPr>
            <w:r w:rsidRPr="00F83FB9">
              <w:rPr>
                <w:rFonts w:asciiTheme="minorHAnsi" w:hAnsiTheme="minorHAnsi"/>
                <w:sz w:val="20"/>
                <w:szCs w:val="20"/>
              </w:rPr>
              <w:t xml:space="preserve">Fish </w:t>
            </w:r>
            <w:r w:rsidR="00A57FAE">
              <w:rPr>
                <w:rFonts w:asciiTheme="minorHAnsi" w:hAnsiTheme="minorHAnsi"/>
                <w:sz w:val="20"/>
                <w:szCs w:val="20"/>
              </w:rPr>
              <w:t>community</w:t>
            </w:r>
            <w:r w:rsidRPr="00F83FB9">
              <w:rPr>
                <w:rFonts w:asciiTheme="minorHAnsi" w:hAnsiTheme="minorHAnsi"/>
                <w:sz w:val="20"/>
                <w:szCs w:val="20"/>
              </w:rPr>
              <w:t xml:space="preserve"> surveys will be undertaken once annually in the focal area between March and May. An additional 15 sites throughout the system will be surveyed in years 1 and 5 to report on long-term change in the fish community</w:t>
            </w:r>
            <w:r w:rsidR="0065658F">
              <w:rPr>
                <w:rFonts w:asciiTheme="minorHAnsi" w:hAnsiTheme="minorHAnsi"/>
                <w:sz w:val="20"/>
                <w:szCs w:val="20"/>
              </w:rPr>
              <w:t xml:space="preserve">. </w:t>
            </w:r>
          </w:p>
        </w:tc>
      </w:tr>
      <w:tr w:rsidR="00F83FB9" w:rsidTr="00E8333E">
        <w:trPr>
          <w:trHeight w:val="220"/>
        </w:trPr>
        <w:tc>
          <w:tcPr>
            <w:tcW w:w="2460" w:type="dxa"/>
          </w:tcPr>
          <w:p w:rsidR="00F83FB9" w:rsidRPr="00F83FB9" w:rsidRDefault="00F83FB9" w:rsidP="006F1AD3">
            <w:pPr>
              <w:pStyle w:val="Default"/>
              <w:rPr>
                <w:rFonts w:asciiTheme="minorHAnsi" w:hAnsiTheme="minorHAnsi"/>
                <w:sz w:val="20"/>
                <w:szCs w:val="20"/>
              </w:rPr>
            </w:pPr>
            <w:r w:rsidRPr="00F83FB9">
              <w:rPr>
                <w:rFonts w:asciiTheme="minorHAnsi" w:hAnsiTheme="minorHAnsi"/>
                <w:sz w:val="20"/>
                <w:szCs w:val="20"/>
              </w:rPr>
              <w:t xml:space="preserve">Fish movement </w:t>
            </w:r>
          </w:p>
        </w:tc>
        <w:tc>
          <w:tcPr>
            <w:tcW w:w="937" w:type="dxa"/>
          </w:tcPr>
          <w:p w:rsidR="00F83FB9" w:rsidRPr="00F83FB9" w:rsidRDefault="00F83FB9" w:rsidP="006F1AD3">
            <w:pPr>
              <w:pStyle w:val="Default"/>
              <w:rPr>
                <w:rFonts w:asciiTheme="minorHAnsi" w:hAnsiTheme="minorHAnsi"/>
                <w:sz w:val="18"/>
                <w:szCs w:val="18"/>
              </w:rPr>
            </w:pPr>
            <w:r w:rsidRPr="00F83FB9">
              <w:rPr>
                <w:rFonts w:asciiTheme="minorHAnsi" w:hAnsiTheme="minorHAnsi"/>
                <w:sz w:val="18"/>
                <w:szCs w:val="18"/>
              </w:rPr>
              <w:t xml:space="preserve">1,2,3,4 </w:t>
            </w:r>
          </w:p>
        </w:tc>
        <w:tc>
          <w:tcPr>
            <w:tcW w:w="2367" w:type="dxa"/>
          </w:tcPr>
          <w:p w:rsidR="00F83FB9" w:rsidRPr="00F83FB9" w:rsidRDefault="00E8333E" w:rsidP="006F1AD3">
            <w:pPr>
              <w:pStyle w:val="Default"/>
              <w:jc w:val="center"/>
              <w:rPr>
                <w:rFonts w:asciiTheme="minorHAnsi" w:hAnsiTheme="minorHAnsi" w:cs="Wingdings"/>
                <w:sz w:val="20"/>
                <w:szCs w:val="20"/>
              </w:rPr>
            </w:pPr>
            <w:r>
              <w:rPr>
                <w:rFonts w:ascii="Wingdings" w:hAnsi="Wingdings" w:cs="Wingdings"/>
                <w:sz w:val="20"/>
                <w:szCs w:val="20"/>
              </w:rPr>
              <w:t></w:t>
            </w:r>
          </w:p>
        </w:tc>
        <w:tc>
          <w:tcPr>
            <w:tcW w:w="2282" w:type="dxa"/>
          </w:tcPr>
          <w:p w:rsidR="00F83FB9" w:rsidRPr="00F83FB9" w:rsidRDefault="00F83FB9" w:rsidP="006F1AD3">
            <w:pPr>
              <w:pStyle w:val="Default"/>
              <w:jc w:val="center"/>
              <w:rPr>
                <w:rFonts w:asciiTheme="minorHAnsi" w:hAnsiTheme="minorHAnsi" w:cs="Wingdings"/>
                <w:sz w:val="20"/>
                <w:szCs w:val="20"/>
              </w:rPr>
            </w:pPr>
          </w:p>
        </w:tc>
        <w:tc>
          <w:tcPr>
            <w:tcW w:w="6379" w:type="dxa"/>
          </w:tcPr>
          <w:p w:rsidR="00F83FB9" w:rsidRPr="00F83FB9" w:rsidRDefault="00F83FB9" w:rsidP="006F1AD3">
            <w:pPr>
              <w:pStyle w:val="Default"/>
              <w:rPr>
                <w:rFonts w:asciiTheme="minorHAnsi" w:hAnsiTheme="minorHAnsi"/>
                <w:sz w:val="20"/>
                <w:szCs w:val="20"/>
              </w:rPr>
            </w:pPr>
            <w:r w:rsidRPr="00F83FB9">
              <w:rPr>
                <w:rFonts w:asciiTheme="minorHAnsi" w:hAnsiTheme="minorHAnsi"/>
                <w:sz w:val="20"/>
                <w:szCs w:val="20"/>
              </w:rPr>
              <w:t xml:space="preserve">Movement of golden perch and silver perch will be monitored commencing in </w:t>
            </w:r>
            <w:r w:rsidR="00281A59">
              <w:rPr>
                <w:rFonts w:asciiTheme="minorHAnsi" w:hAnsiTheme="minorHAnsi"/>
                <w:sz w:val="20"/>
                <w:szCs w:val="20"/>
              </w:rPr>
              <w:t xml:space="preserve">spring </w:t>
            </w:r>
            <w:r w:rsidRPr="00F83FB9">
              <w:rPr>
                <w:rFonts w:asciiTheme="minorHAnsi" w:hAnsiTheme="minorHAnsi"/>
                <w:sz w:val="20"/>
                <w:szCs w:val="20"/>
              </w:rPr>
              <w:t>2015</w:t>
            </w:r>
          </w:p>
        </w:tc>
      </w:tr>
    </w:tbl>
    <w:p w:rsidR="00F83FB9" w:rsidRDefault="00F83FB9" w:rsidP="00AC21D0">
      <w:pPr>
        <w:tabs>
          <w:tab w:val="left" w:pos="9071"/>
        </w:tabs>
        <w:spacing w:after="120"/>
        <w:rPr>
          <w:highlight w:val="yellow"/>
        </w:rPr>
        <w:sectPr w:rsidR="00F83FB9" w:rsidSect="00F83FB9">
          <w:pgSz w:w="16838" w:h="11906" w:orient="landscape"/>
          <w:pgMar w:top="1440" w:right="1440" w:bottom="1440" w:left="1440" w:header="708" w:footer="708" w:gutter="0"/>
          <w:cols w:space="708"/>
          <w:docGrid w:linePitch="360"/>
        </w:sectPr>
      </w:pPr>
    </w:p>
    <w:p w:rsidR="00006AA2" w:rsidRPr="00E8333E" w:rsidRDefault="00006AA2" w:rsidP="00006AA2">
      <w:pPr>
        <w:spacing w:after="0" w:line="240" w:lineRule="auto"/>
      </w:pPr>
    </w:p>
    <w:p w:rsidR="000A269E" w:rsidRDefault="00AC61FE" w:rsidP="00006AA2">
      <w:pPr>
        <w:pStyle w:val="FigureCaption0"/>
      </w:pPr>
      <w:bookmarkStart w:id="40" w:name="_Toc385637840"/>
      <w:r>
        <w:rPr>
          <w:noProof/>
          <w:lang w:eastAsia="en-AU"/>
        </w:rPr>
        <w:drawing>
          <wp:inline distT="0" distB="0" distL="0" distR="0">
            <wp:extent cx="5731510" cy="5164339"/>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5164339"/>
                    </a:xfrm>
                    <a:prstGeom prst="rect">
                      <a:avLst/>
                    </a:prstGeom>
                    <a:noFill/>
                  </pic:spPr>
                </pic:pic>
              </a:graphicData>
            </a:graphic>
          </wp:inline>
        </w:drawing>
      </w:r>
    </w:p>
    <w:p w:rsidR="000A269E" w:rsidRPr="008E3E2A" w:rsidRDefault="00006AA2" w:rsidP="008E3E2A">
      <w:pPr>
        <w:pStyle w:val="FigureCaption0"/>
      </w:pPr>
      <w:bookmarkStart w:id="41" w:name="_Toc450164291"/>
      <w:r w:rsidRPr="008E3E2A">
        <w:t>Figure</w:t>
      </w:r>
      <w:r w:rsidR="00407A94" w:rsidRPr="008E3E2A">
        <w:t xml:space="preserve"> </w:t>
      </w:r>
      <w:r w:rsidR="000A269E" w:rsidRPr="008E3E2A">
        <w:t>3.3</w:t>
      </w:r>
      <w:r w:rsidRPr="008E3E2A">
        <w:t xml:space="preserve">.  </w:t>
      </w:r>
      <w:r w:rsidRPr="00AC61FE">
        <w:rPr>
          <w:b w:val="0"/>
        </w:rPr>
        <w:t>Conceptual</w:t>
      </w:r>
      <w:r w:rsidR="00524F8A" w:rsidRPr="00AC61FE">
        <w:rPr>
          <w:b w:val="0"/>
        </w:rPr>
        <w:t xml:space="preserve"> diagram illustrating the </w:t>
      </w:r>
      <w:r w:rsidRPr="00AC61FE">
        <w:rPr>
          <w:b w:val="0"/>
        </w:rPr>
        <w:t>linkages</w:t>
      </w:r>
      <w:r w:rsidR="008173A6" w:rsidRPr="00AC61FE">
        <w:rPr>
          <w:b w:val="0"/>
        </w:rPr>
        <w:t xml:space="preserve"> among indicators and links</w:t>
      </w:r>
      <w:r w:rsidRPr="00AC61FE">
        <w:rPr>
          <w:b w:val="0"/>
        </w:rPr>
        <w:t xml:space="preserve"> different types of environmental watering </w:t>
      </w:r>
      <w:r w:rsidR="008173A6" w:rsidRPr="00AC61FE">
        <w:rPr>
          <w:b w:val="0"/>
        </w:rPr>
        <w:t xml:space="preserve">(freshes, overbank flows, low flows) </w:t>
      </w:r>
      <w:r w:rsidRPr="00AC61FE">
        <w:rPr>
          <w:b w:val="0"/>
        </w:rPr>
        <w:t xml:space="preserve">to fish populations. </w:t>
      </w:r>
      <w:bookmarkStart w:id="42" w:name="_Toc362347844"/>
      <w:bookmarkEnd w:id="40"/>
      <w:r w:rsidR="000A269E" w:rsidRPr="00AC61FE">
        <w:rPr>
          <w:b w:val="0"/>
        </w:rPr>
        <w:t>Indicators shown in blue a</w:t>
      </w:r>
      <w:r w:rsidR="00CF6CD7" w:rsidRPr="00AC61FE">
        <w:rPr>
          <w:b w:val="0"/>
        </w:rPr>
        <w:t>re monitored by the Edward-W</w:t>
      </w:r>
      <w:r w:rsidR="000A269E" w:rsidRPr="00AC61FE">
        <w:rPr>
          <w:b w:val="0"/>
        </w:rPr>
        <w:t>akool LTIM Project.</w:t>
      </w:r>
      <w:bookmarkEnd w:id="41"/>
    </w:p>
    <w:p w:rsidR="00CF6CD7" w:rsidRDefault="00CF6CD7" w:rsidP="00CF6CD7">
      <w:pPr>
        <w:tabs>
          <w:tab w:val="left" w:pos="9071"/>
        </w:tabs>
        <w:spacing w:after="120"/>
        <w:rPr>
          <w:b/>
          <w:color w:val="4F6228" w:themeColor="accent3" w:themeShade="80"/>
          <w:sz w:val="24"/>
          <w:szCs w:val="24"/>
        </w:rPr>
      </w:pPr>
      <w:r w:rsidRPr="000A269E">
        <w:rPr>
          <w:b/>
          <w:color w:val="4F6228" w:themeColor="accent3" w:themeShade="80"/>
          <w:sz w:val="24"/>
          <w:szCs w:val="24"/>
        </w:rPr>
        <w:t>References</w:t>
      </w:r>
    </w:p>
    <w:p w:rsidR="00B137CB" w:rsidRPr="00B137CB" w:rsidRDefault="00B137CB" w:rsidP="00A11665">
      <w:pPr>
        <w:spacing w:after="120" w:line="280" w:lineRule="exact"/>
        <w:ind w:left="567" w:hanging="567"/>
        <w:jc w:val="left"/>
        <w:rPr>
          <w:szCs w:val="22"/>
        </w:rPr>
      </w:pPr>
      <w:r w:rsidRPr="00B137CB">
        <w:rPr>
          <w:szCs w:val="22"/>
        </w:rPr>
        <w:t>Hale, J., Stoffels, R., Butcher, R., Shackleton, M., Brooks, S. and Gawne, B. (2014) Commonwealth Environmental Water Office Long Term Intervention Monitoring Project – Standard Methods. Final Report prepared for the Commonwealth Environmental Water Office by The Murray-Darling Freshwater Research Centre, MDFRC Publication 29.2/2014, January, 182 pp.</w:t>
      </w:r>
    </w:p>
    <w:p w:rsidR="000A269E" w:rsidRDefault="00CF6CD7" w:rsidP="00A672D2">
      <w:pPr>
        <w:pStyle w:val="FigureCaption0"/>
        <w:ind w:left="567" w:hanging="567"/>
        <w:rPr>
          <w:b w:val="0"/>
          <w:smallCaps/>
          <w:noProof/>
          <w:color w:val="4F6228"/>
          <w:spacing w:val="5"/>
          <w:sz w:val="40"/>
          <w:szCs w:val="40"/>
          <w:lang w:val="en-US" w:eastAsia="en-AU"/>
        </w:rPr>
      </w:pPr>
      <w:bookmarkStart w:id="43" w:name="_Toc450164292"/>
      <w:r w:rsidRPr="00B137CB">
        <w:rPr>
          <w:rFonts w:cstheme="minorHAnsi"/>
          <w:b w:val="0"/>
          <w:bCs/>
          <w:sz w:val="22"/>
          <w:szCs w:val="22"/>
        </w:rPr>
        <w:t>Watts, R.J., McCasker, N., Baumgartner, L., Bond, N., Bowen, P., Conallin, A., Grace, M., Healy, S., Howitt, J.A., Kopf, R.K., Scott, N., Thiem, J., Wooden I.</w:t>
      </w:r>
      <w:r w:rsidRPr="00B137CB">
        <w:rPr>
          <w:b w:val="0"/>
          <w:sz w:val="22"/>
          <w:szCs w:val="22"/>
        </w:rPr>
        <w:t xml:space="preserve"> (2014) Monitoring and Evaluation Plan for the Edward-Wakool Selected Area, Commonwealth of Australia 2014</w:t>
      </w:r>
      <w:bookmarkEnd w:id="43"/>
      <w:r w:rsidR="000A269E">
        <w:br w:type="page"/>
      </w:r>
    </w:p>
    <w:p w:rsidR="00F13819" w:rsidRPr="00221973" w:rsidRDefault="00EB70F1" w:rsidP="00ED6D80">
      <w:pPr>
        <w:pStyle w:val="MurrumH1"/>
      </w:pPr>
      <w:bookmarkStart w:id="44" w:name="_Toc450199549"/>
      <w:r>
        <w:t>H</w:t>
      </w:r>
      <w:r w:rsidR="00F13819" w:rsidRPr="00221973">
        <w:t>ydrolog</w:t>
      </w:r>
      <w:r w:rsidR="009875DA" w:rsidRPr="00221973">
        <w:t>ical responses</w:t>
      </w:r>
      <w:r w:rsidR="00DC3EE8">
        <w:t xml:space="preserve"> to Commonwealth environmental w</w:t>
      </w:r>
      <w:r w:rsidR="00F13819" w:rsidRPr="00221973">
        <w:t>atering</w:t>
      </w:r>
      <w:bookmarkEnd w:id="44"/>
    </w:p>
    <w:p w:rsidR="0053151A" w:rsidRDefault="00F671D2" w:rsidP="0053151A">
      <w:pPr>
        <w:rPr>
          <w:highlight w:val="yellow"/>
        </w:rPr>
      </w:pPr>
      <w:r w:rsidRPr="00F671D2">
        <w:rPr>
          <w:b/>
          <w:noProof/>
          <w:color w:val="4F6228"/>
          <w:sz w:val="32"/>
          <w:szCs w:val="32"/>
          <w:lang w:eastAsia="en-AU"/>
        </w:rPr>
        <w:pict>
          <v:shape id="Text Box 195" o:spid="_x0000_s1027" type="#_x0000_t202" style="position:absolute;left:0;text-align:left;margin-left:1625.8pt;margin-top:.85pt;width:449.25pt;height:592.5pt;z-index:251721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" fillcolor="#d6e3bc [1302]">
            <v:textbox>
              <w:txbxContent>
                <w:p w:rsidR="0097684C" w:rsidRPr="00C35985" w:rsidRDefault="0097684C" w:rsidP="00984CDE">
                  <w:pPr>
                    <w:shd w:val="clear" w:color="auto" w:fill="D6E3BC" w:themeFill="accent3" w:themeFillTint="66"/>
                    <w:spacing w:after="0" w:line="240" w:lineRule="auto"/>
                    <w:rPr>
                      <w:b/>
                      <w:sz w:val="16"/>
                      <w:szCs w:val="16"/>
                    </w:rPr>
                  </w:pPr>
                </w:p>
                <w:p w:rsidR="0097684C" w:rsidRDefault="0097684C" w:rsidP="00D255DC">
                  <w:pPr>
                    <w:pStyle w:val="Style2"/>
                    <w:ind w:left="1276"/>
                    <w:jc w:val="center"/>
                  </w:pPr>
                  <w:r>
                    <w:rPr>
                      <w:noProof/>
                      <w:lang w:eastAsia="en-AU"/>
                    </w:rPr>
                    <w:drawing>
                      <wp:inline distT="0" distB="0" distL="0" distR="0">
                        <wp:extent cx="3333750" cy="1628775"/>
                        <wp:effectExtent l="0" t="0" r="0" b="9525"/>
                        <wp:docPr id="808" name="Picture 808" descr="yallakool releases 21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llakool releases 210114"/>
                                <pic:cNvPicPr>
                                  <a:picLocks noChangeAspect="1" noChangeArrowheads="1"/>
                                </pic:cNvPicPr>
                              </pic:nvPicPr>
                              <pic:blipFill rotWithShape="1">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 b="34982"/>
                                <a:stretch/>
                              </pic:blipFill>
                              <pic:spPr bwMode="auto">
                                <a:xfrm>
                                  <a:off x="0" y="0"/>
                                  <a:ext cx="3333750" cy="16287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7684C" w:rsidRPr="00DC185B" w:rsidRDefault="0097684C" w:rsidP="00A9018E">
                  <w:pPr>
                    <w:pStyle w:val="Style2"/>
                    <w:ind w:left="709"/>
                    <w:jc w:val="center"/>
                  </w:pPr>
                  <w:r>
                    <w:t xml:space="preserve">          Weir at the regulator on Yallakool Creek (Photo: Robyn Watts)</w:t>
                  </w:r>
                </w:p>
                <w:p w:rsidR="0097684C" w:rsidRPr="00C35985" w:rsidRDefault="0097684C" w:rsidP="00A9018E">
                  <w:pPr>
                    <w:spacing w:after="0" w:line="240" w:lineRule="auto"/>
                    <w:ind w:left="1843"/>
                    <w:rPr>
                      <w:sz w:val="16"/>
                      <w:szCs w:val="16"/>
                    </w:rPr>
                  </w:pPr>
                </w:p>
                <w:p w:rsidR="0097684C" w:rsidRPr="00DE0598" w:rsidRDefault="0097684C" w:rsidP="00984CDE">
                  <w:pPr>
                    <w:shd w:val="clear" w:color="auto" w:fill="D6E3BC" w:themeFill="accent3" w:themeFillTint="66"/>
                    <w:spacing w:after="0" w:line="240" w:lineRule="auto"/>
                    <w:rPr>
                      <w:b/>
                    </w:rPr>
                  </w:pPr>
                  <w:r>
                    <w:rPr>
                      <w:b/>
                    </w:rPr>
                    <w:t>Summary</w:t>
                  </w:r>
                </w:p>
                <w:p w:rsidR="0097684C" w:rsidRPr="00FB1D0A" w:rsidRDefault="0097684C" w:rsidP="00984CDE">
                  <w:pPr>
                    <w:pStyle w:val="NoSpacing"/>
                    <w:numPr>
                      <w:ilvl w:val="0"/>
                      <w:numId w:val="33"/>
                    </w:numPr>
                    <w:spacing w:after="120"/>
                    <w:ind w:left="357" w:hanging="357"/>
                    <w:rPr>
                      <w:kern w:val="32"/>
                      <w:szCs w:val="22"/>
                    </w:rPr>
                  </w:pPr>
                  <w:r>
                    <w:t>A Commonwealth environmental watering action undertaken in Yallakool Creek between August 2014 and January 2015 was monitored and is evaluated in this report.</w:t>
                  </w:r>
                </w:p>
                <w:p w:rsidR="0097684C" w:rsidRPr="008E2F2E" w:rsidRDefault="0097684C" w:rsidP="0015022D">
                  <w:pPr>
                    <w:pStyle w:val="NoSpacing"/>
                    <w:numPr>
                      <w:ilvl w:val="0"/>
                      <w:numId w:val="33"/>
                    </w:numPr>
                    <w:spacing w:after="120"/>
                    <w:rPr>
                      <w:kern w:val="32"/>
                      <w:szCs w:val="22"/>
                    </w:rPr>
                  </w:pPr>
                  <w:r>
                    <w:t xml:space="preserve">Daily discharge data for automated gauges in zones 1, 2 and 4 was obtained from New South Wales Office of Water website. Discharge data for the Wakool escape and daily usage of Commonwealth environmental water were obtained from WaterNSW. </w:t>
                  </w:r>
                </w:p>
                <w:p w:rsidR="0097684C" w:rsidRPr="0064569F" w:rsidRDefault="0097684C" w:rsidP="0015022D">
                  <w:pPr>
                    <w:pStyle w:val="NoSpacing"/>
                    <w:numPr>
                      <w:ilvl w:val="0"/>
                      <w:numId w:val="33"/>
                    </w:numPr>
                    <w:spacing w:after="120"/>
                    <w:rPr>
                      <w:kern w:val="32"/>
                      <w:szCs w:val="22"/>
                    </w:rPr>
                  </w:pPr>
                  <w:r>
                    <w:t>There were three different hydrological regimes observed the focal area in 2014-15:</w:t>
                  </w:r>
                </w:p>
                <w:p w:rsidR="0097684C" w:rsidRDefault="0097684C" w:rsidP="00984CDE">
                  <w:pPr>
                    <w:pStyle w:val="NoSpacing"/>
                    <w:numPr>
                      <w:ilvl w:val="0"/>
                      <w:numId w:val="34"/>
                    </w:numPr>
                    <w:ind w:left="1134" w:hanging="380"/>
                  </w:pPr>
                  <w:r w:rsidRPr="00C16D7C">
                    <w:rPr>
                      <w:kern w:val="32"/>
                      <w:szCs w:val="22"/>
                    </w:rPr>
                    <w:t xml:space="preserve">In Yallakool </w:t>
                  </w:r>
                  <w:r>
                    <w:rPr>
                      <w:kern w:val="32"/>
                      <w:szCs w:val="22"/>
                    </w:rPr>
                    <w:t xml:space="preserve">Creek </w:t>
                  </w:r>
                  <w:r w:rsidRPr="00C16D7C">
                    <w:rPr>
                      <w:kern w:val="32"/>
                      <w:szCs w:val="22"/>
                    </w:rPr>
                    <w:t xml:space="preserve">zone 1 there was </w:t>
                  </w:r>
                  <w:r>
                    <w:t>extended in-channel fresh of approximately 500 ML/day from August until 16 December 2014, followed by a recession of about 40cm over 30 days until it reached operational flows in the range of 200 to 240 ML/day.</w:t>
                  </w:r>
                </w:p>
                <w:p w:rsidR="0097684C" w:rsidRDefault="0097684C" w:rsidP="00984CDE">
                  <w:pPr>
                    <w:pStyle w:val="NoSpacing"/>
                    <w:numPr>
                      <w:ilvl w:val="0"/>
                      <w:numId w:val="34"/>
                    </w:numPr>
                    <w:ind w:left="1134" w:hanging="380"/>
                    <w:rPr>
                      <w:kern w:val="32"/>
                      <w:szCs w:val="22"/>
                    </w:rPr>
                  </w:pPr>
                  <w:r>
                    <w:t xml:space="preserve">In Wakool River zone 2 there was an extended period of base operational flows in the range of 50 to 100 ML/day between August and March followed by an operational </w:t>
                  </w:r>
                  <w:r w:rsidRPr="00C16D7C">
                    <w:rPr>
                      <w:rFonts w:cs="Courier New"/>
                      <w:color w:val="000000"/>
                    </w:rPr>
                    <w:t>fresh in March and April 2014 of approximately 300 to 330 ML/day that had both a steep rise and rece</w:t>
                  </w:r>
                  <w:r>
                    <w:rPr>
                      <w:rFonts w:cs="Courier New"/>
                      <w:color w:val="000000"/>
                    </w:rPr>
                    <w:t>ssion</w:t>
                  </w:r>
                </w:p>
                <w:p w:rsidR="0097684C" w:rsidRPr="005B27DD" w:rsidRDefault="0097684C" w:rsidP="0015022D">
                  <w:pPr>
                    <w:pStyle w:val="NoSpacing"/>
                    <w:numPr>
                      <w:ilvl w:val="0"/>
                      <w:numId w:val="34"/>
                    </w:numPr>
                    <w:spacing w:after="120"/>
                    <w:ind w:left="1134" w:hanging="380"/>
                    <w:rPr>
                      <w:kern w:val="32"/>
                      <w:szCs w:val="22"/>
                    </w:rPr>
                  </w:pPr>
                  <w:r w:rsidRPr="005B27DD">
                    <w:rPr>
                      <w:rFonts w:cs="Courier New"/>
                      <w:color w:val="000000"/>
                    </w:rPr>
                    <w:t>In zone</w:t>
                  </w:r>
                  <w:r>
                    <w:rPr>
                      <w:rFonts w:cs="Courier New"/>
                      <w:color w:val="000000"/>
                    </w:rPr>
                    <w:t>s</w:t>
                  </w:r>
                  <w:r w:rsidRPr="005B27DD">
                    <w:rPr>
                      <w:rFonts w:cs="Courier New"/>
                      <w:color w:val="000000"/>
                    </w:rPr>
                    <w:t xml:space="preserve"> 3 and 4 in </w:t>
                  </w:r>
                  <w:r>
                    <w:rPr>
                      <w:rFonts w:cs="Courier New"/>
                      <w:color w:val="000000"/>
                    </w:rPr>
                    <w:t xml:space="preserve">the </w:t>
                  </w:r>
                  <w:r w:rsidRPr="005B27DD">
                    <w:rPr>
                      <w:rFonts w:cs="Courier New"/>
                      <w:color w:val="000000"/>
                    </w:rPr>
                    <w:t xml:space="preserve">Wakool River there was </w:t>
                  </w:r>
                  <w:r>
                    <w:t xml:space="preserve">an extended in-channel fresh of approximately 450 ML/day from August until the end of December followed by a recession to operational flows in the range of 200 to 240 ML/day. This was </w:t>
                  </w:r>
                  <w:r w:rsidRPr="005B27DD">
                    <w:t xml:space="preserve">followed by an operational </w:t>
                  </w:r>
                  <w:r w:rsidRPr="005B27DD">
                    <w:rPr>
                      <w:rFonts w:cs="Courier New"/>
                      <w:color w:val="000000"/>
                    </w:rPr>
                    <w:t>fresh in March and April 2014 of approximately 300 to 330 ML/day that had both a steep rise and recession</w:t>
                  </w:r>
                </w:p>
                <w:p w:rsidR="0097684C" w:rsidRDefault="0097684C" w:rsidP="00984CDE">
                  <w:pPr>
                    <w:pStyle w:val="ListParagraph"/>
                    <w:numPr>
                      <w:ilvl w:val="0"/>
                      <w:numId w:val="35"/>
                    </w:numPr>
                    <w:shd w:val="clear" w:color="auto" w:fill="D6E3BC" w:themeFill="accent3" w:themeFillTint="66"/>
                    <w:spacing w:after="120" w:line="240" w:lineRule="auto"/>
                    <w:ind w:left="357" w:hanging="357"/>
                  </w:pPr>
                  <w:r>
                    <w:t>The Commonwealth environmental w</w:t>
                  </w:r>
                  <w:r w:rsidRPr="0041619F">
                    <w:t>ater</w:t>
                  </w:r>
                  <w:r w:rsidRPr="0041619F">
                    <w:rPr>
                      <w:szCs w:val="22"/>
                    </w:rPr>
                    <w:t xml:space="preserve"> increased the maximum, mean, median and coefficient</w:t>
                  </w:r>
                  <w:r w:rsidRPr="0041619F">
                    <w:t xml:space="preserve"> of variation of discharge in Yallakool Creek and the Wakool River zones 3 and 4. The watering action achieved the primary hydrological objective set by the CEWO of creating a maintenance flow in Yallakool Creek and the Wakool River zones 3 and 4 of about 500 ML/day through to end of the Murray cod spawning season.</w:t>
                  </w:r>
                </w:p>
                <w:p w:rsidR="0097684C" w:rsidRPr="0041619F" w:rsidRDefault="0097684C" w:rsidP="00984CDE">
                  <w:pPr>
                    <w:pStyle w:val="ListParagraph"/>
                    <w:numPr>
                      <w:ilvl w:val="0"/>
                      <w:numId w:val="35"/>
                    </w:numPr>
                    <w:shd w:val="clear" w:color="auto" w:fill="D6E3BC" w:themeFill="accent3" w:themeFillTint="66"/>
                    <w:spacing w:after="120" w:line="240" w:lineRule="auto"/>
                    <w:ind w:left="357" w:hanging="357"/>
                  </w:pPr>
                  <w:r>
                    <w:t>The Commonwealth environmental watering action in Yallakool Creek contributed to longitudinal connectivity in the upper and mid sections of the Wakool River, influencing the downstream hydrograph as far as Gee Gee Bridge. However the influence of Commonwealth environmental water was diminished at Coonamit and Stoney Crossing gauges, as these reaches are more strongly influenced by flows from the River Murray.</w:t>
                  </w:r>
                </w:p>
              </w:txbxContent>
            </v:textbox>
            <w10:wrap anchorx="margin"/>
          </v:shape>
        </w:pict>
      </w:r>
    </w:p>
    <w:p w:rsidR="00C46627" w:rsidRPr="004C258B" w:rsidRDefault="00C46627" w:rsidP="00C46627">
      <w:pPr>
        <w:rPr>
          <w:b/>
          <w:sz w:val="24"/>
          <w:szCs w:val="24"/>
        </w:rPr>
      </w:pPr>
      <w:r w:rsidRPr="0092698E">
        <w:rPr>
          <w:b/>
          <w:color w:val="4F6228"/>
          <w:sz w:val="32"/>
          <w:szCs w:val="32"/>
        </w:rPr>
        <w:t xml:space="preserve"> </w:t>
      </w:r>
      <w:r>
        <w:br w:type="page"/>
      </w:r>
      <w:r w:rsidRPr="004C258B">
        <w:rPr>
          <w:b/>
          <w:color w:val="4F6228" w:themeColor="accent3" w:themeShade="80"/>
          <w:sz w:val="24"/>
          <w:szCs w:val="24"/>
        </w:rPr>
        <w:t>4.1 Background</w:t>
      </w:r>
    </w:p>
    <w:p w:rsidR="00C46627" w:rsidRDefault="00C46627" w:rsidP="00A11665">
      <w:pPr>
        <w:spacing w:after="240"/>
        <w:jc w:val="left"/>
      </w:pPr>
      <w:r>
        <w:t>The hydrological regime of the Edward-Wakool system was described in section one of this report. The natural flow regime of this system is strongly seasonal, with high flows occurring typically from July to November. Flow regulation has resulted in a marked reduction in winter high flows, including both extreme high flow events and average daily flows during the winter period, and an increase in daily flows during the low-flow months (see section 1.3).</w:t>
      </w:r>
    </w:p>
    <w:p w:rsidR="00C46627" w:rsidRDefault="004B47A1" w:rsidP="00A11665">
      <w:pPr>
        <w:spacing w:after="240"/>
        <w:jc w:val="left"/>
      </w:pPr>
      <w:r>
        <w:t>Commonwealth environmental water</w:t>
      </w:r>
      <w:r w:rsidR="00C46627">
        <w:t xml:space="preserve"> </w:t>
      </w:r>
      <w:r w:rsidR="00C46627" w:rsidRPr="00072C97">
        <w:t xml:space="preserve">has been delivered to rivers in the Edward-Wakool system since 2010. Over that </w:t>
      </w:r>
      <w:r w:rsidR="00C46627">
        <w:t>time</w:t>
      </w:r>
      <w:r w:rsidR="00C46627" w:rsidRPr="00072C97">
        <w:t xml:space="preserve"> instream freshes </w:t>
      </w:r>
      <w:r w:rsidR="00C46627">
        <w:t>were</w:t>
      </w:r>
      <w:r w:rsidR="00C46627" w:rsidRPr="00072C97">
        <w:t xml:space="preserve"> delivered to Yal</w:t>
      </w:r>
      <w:r w:rsidR="00C46627">
        <w:t xml:space="preserve">lakool Creek and Colligen Creek in 2011-12, 2012-13 and 2013-14 </w:t>
      </w:r>
      <w:r w:rsidR="00C46627" w:rsidRPr="00072C97">
        <w:t>(Watts et al. 2013a; 2013b</w:t>
      </w:r>
      <w:r>
        <w:t>, 2014). In addition, Commonwealth environmental water</w:t>
      </w:r>
      <w:r w:rsidR="00C46627">
        <w:t xml:space="preserve"> was </w:t>
      </w:r>
      <w:r w:rsidR="00C46627" w:rsidRPr="00072C97">
        <w:t xml:space="preserve">delivered from the Edward River and/or from irrigation escapes </w:t>
      </w:r>
      <w:r w:rsidR="00C46627">
        <w:t xml:space="preserve">on several occasions </w:t>
      </w:r>
      <w:r w:rsidR="00C46627" w:rsidRPr="00072C97">
        <w:t>to improve water quality and create refuge during poor water quality events.</w:t>
      </w:r>
    </w:p>
    <w:p w:rsidR="00C46627" w:rsidRPr="00EB70F1" w:rsidRDefault="00C46627" w:rsidP="00A11665">
      <w:pPr>
        <w:spacing w:after="240"/>
        <w:jc w:val="left"/>
        <w:rPr>
          <w:b/>
          <w:color w:val="4F6228" w:themeColor="accent3" w:themeShade="80"/>
          <w:sz w:val="24"/>
          <w:szCs w:val="24"/>
        </w:rPr>
      </w:pPr>
      <w:r w:rsidRPr="00EB70F1">
        <w:rPr>
          <w:b/>
          <w:color w:val="4F6228" w:themeColor="accent3" w:themeShade="80"/>
          <w:sz w:val="24"/>
          <w:szCs w:val="24"/>
        </w:rPr>
        <w:t>4.2 Questi</w:t>
      </w:r>
      <w:r w:rsidR="00D253DA" w:rsidRPr="00EB70F1">
        <w:rPr>
          <w:b/>
          <w:color w:val="4F6228" w:themeColor="accent3" w:themeShade="80"/>
          <w:sz w:val="24"/>
          <w:szCs w:val="24"/>
        </w:rPr>
        <w:t>o</w:t>
      </w:r>
      <w:r w:rsidRPr="00EB70F1">
        <w:rPr>
          <w:b/>
          <w:color w:val="4F6228" w:themeColor="accent3" w:themeShade="80"/>
          <w:sz w:val="24"/>
          <w:szCs w:val="24"/>
        </w:rPr>
        <w:t>ns</w:t>
      </w:r>
    </w:p>
    <w:p w:rsidR="004B47A1" w:rsidRDefault="004B47A1" w:rsidP="00A11665">
      <w:pPr>
        <w:spacing w:after="0"/>
        <w:jc w:val="left"/>
        <w:rPr>
          <w:szCs w:val="22"/>
        </w:rPr>
      </w:pPr>
      <w:r>
        <w:rPr>
          <w:szCs w:val="22"/>
        </w:rPr>
        <w:t xml:space="preserve">Evaluation of hydrological responses to Commonwealth environmental watering is being undertaken in the Edward-Wakool River system at the i) Selected Area scale (Watts et al. 2014), and ii) Basin scale (Hale et al. 2014). The Basin Scale evaluation involves the integration of multiple datasets from a number of different catchments, and this will be undertaken by the Murray-Darling Freshwater Research Centre and will be evaluated in a separate report. </w:t>
      </w:r>
      <w:r w:rsidR="00C35985">
        <w:rPr>
          <w:szCs w:val="22"/>
        </w:rPr>
        <w:t>As</w:t>
      </w:r>
      <w:r>
        <w:rPr>
          <w:szCs w:val="22"/>
        </w:rPr>
        <w:t xml:space="preserve"> this is the first year of a multi-year monitoring project, this report will only evaluate short-term response questions specific to the Edward-Wakool selected area. </w:t>
      </w:r>
    </w:p>
    <w:p w:rsidR="004B47A1" w:rsidRDefault="004B47A1" w:rsidP="00A11665">
      <w:pPr>
        <w:spacing w:after="0"/>
        <w:jc w:val="left"/>
        <w:rPr>
          <w:szCs w:val="22"/>
        </w:rPr>
      </w:pPr>
    </w:p>
    <w:p w:rsidR="00B77FE2" w:rsidRDefault="00B77FE2" w:rsidP="00A11665">
      <w:pPr>
        <w:spacing w:after="240"/>
        <w:jc w:val="left"/>
        <w:rPr>
          <w:rFonts w:asciiTheme="minorHAnsi" w:hAnsiTheme="minorHAnsi" w:cs="Courier New"/>
          <w:color w:val="000000"/>
        </w:rPr>
      </w:pPr>
      <w:r>
        <w:rPr>
          <w:rFonts w:asciiTheme="minorHAnsi" w:hAnsiTheme="minorHAnsi" w:cs="Courier New"/>
          <w:color w:val="000000"/>
        </w:rPr>
        <w:t>The effects of the Yallakool Creek environmental watering action (described in section 2) on the hydrology of Yallakool Creek and the Wakool River will be examined in this report.</w:t>
      </w:r>
    </w:p>
    <w:p w:rsidR="004B47A1" w:rsidRPr="004B47A1" w:rsidRDefault="004B47A1" w:rsidP="00A11665">
      <w:pPr>
        <w:spacing w:after="120"/>
        <w:jc w:val="left"/>
      </w:pPr>
      <w:r>
        <w:t>The following questions will be assessed:</w:t>
      </w:r>
    </w:p>
    <w:p w:rsidR="00C46627" w:rsidRPr="00EB70F1" w:rsidRDefault="004B47A1" w:rsidP="00A11665">
      <w:pPr>
        <w:spacing w:after="240"/>
        <w:jc w:val="left"/>
        <w:rPr>
          <w:i/>
        </w:rPr>
      </w:pPr>
      <w:r>
        <w:t xml:space="preserve">Q1: </w:t>
      </w:r>
      <w:r w:rsidR="00C46627" w:rsidRPr="00EB70F1">
        <w:rPr>
          <w:i/>
        </w:rPr>
        <w:t xml:space="preserve">What is the effect of Commonwealth </w:t>
      </w:r>
      <w:r w:rsidR="007A073E">
        <w:rPr>
          <w:i/>
        </w:rPr>
        <w:t>e</w:t>
      </w:r>
      <w:r w:rsidR="00C46627" w:rsidRPr="00EB70F1">
        <w:rPr>
          <w:i/>
        </w:rPr>
        <w:t xml:space="preserve">nvironmental </w:t>
      </w:r>
      <w:r w:rsidR="007A073E">
        <w:rPr>
          <w:i/>
        </w:rPr>
        <w:t>w</w:t>
      </w:r>
      <w:r w:rsidR="00C46627" w:rsidRPr="00EB70F1">
        <w:rPr>
          <w:i/>
        </w:rPr>
        <w:t>ater on the hydrology of the four zones in the Edward-Wakool system that were monitored for the Long Term Intervention Monitoring project?</w:t>
      </w:r>
    </w:p>
    <w:p w:rsidR="00C46627" w:rsidRDefault="004B47A1" w:rsidP="00A11665">
      <w:pPr>
        <w:jc w:val="left"/>
      </w:pPr>
      <w:r>
        <w:t xml:space="preserve">Q2: </w:t>
      </w:r>
      <w:r w:rsidR="00C46627" w:rsidRPr="00EB70F1">
        <w:rPr>
          <w:i/>
        </w:rPr>
        <w:t>What did Commonwealth environmental water contribute to hydrological connectivity</w:t>
      </w:r>
      <w:r w:rsidR="00C46627" w:rsidRPr="003B0BD4">
        <w:t>?</w:t>
      </w:r>
    </w:p>
    <w:p w:rsidR="007D5DD5" w:rsidRDefault="007D5DD5">
      <w:pPr>
        <w:spacing w:after="0" w:line="240" w:lineRule="auto"/>
        <w:jc w:val="left"/>
        <w:rPr>
          <w:b/>
          <w:color w:val="4F6228" w:themeColor="accent3" w:themeShade="80"/>
          <w:sz w:val="24"/>
          <w:szCs w:val="24"/>
        </w:rPr>
      </w:pPr>
      <w:r>
        <w:rPr>
          <w:b/>
          <w:color w:val="4F6228" w:themeColor="accent3" w:themeShade="80"/>
          <w:sz w:val="24"/>
          <w:szCs w:val="24"/>
        </w:rPr>
        <w:br w:type="page"/>
      </w:r>
    </w:p>
    <w:p w:rsidR="00C46627" w:rsidRPr="00EB70F1" w:rsidRDefault="00C46627" w:rsidP="00AC63AE">
      <w:pPr>
        <w:spacing w:after="240"/>
        <w:rPr>
          <w:rFonts w:asciiTheme="minorHAnsi" w:hAnsiTheme="minorHAnsi" w:cs="Courier New"/>
          <w:b/>
          <w:color w:val="4F6228" w:themeColor="accent3" w:themeShade="80"/>
          <w:sz w:val="24"/>
          <w:szCs w:val="24"/>
        </w:rPr>
      </w:pPr>
      <w:r w:rsidRPr="00EB70F1">
        <w:rPr>
          <w:b/>
          <w:color w:val="4F6228" w:themeColor="accent3" w:themeShade="80"/>
          <w:sz w:val="24"/>
          <w:szCs w:val="24"/>
        </w:rPr>
        <w:t>4.</w:t>
      </w:r>
      <w:r w:rsidRPr="00EB70F1">
        <w:rPr>
          <w:rFonts w:asciiTheme="minorHAnsi" w:hAnsiTheme="minorHAnsi" w:cs="Courier New"/>
          <w:b/>
          <w:color w:val="4F6228" w:themeColor="accent3" w:themeShade="80"/>
          <w:sz w:val="24"/>
          <w:szCs w:val="24"/>
        </w:rPr>
        <w:t>3 Methods</w:t>
      </w:r>
    </w:p>
    <w:p w:rsidR="00345436" w:rsidRDefault="00C46627" w:rsidP="00A11665">
      <w:pPr>
        <w:pStyle w:val="NoSpacing"/>
        <w:spacing w:after="240" w:line="360" w:lineRule="auto"/>
        <w:jc w:val="left"/>
        <w:rPr>
          <w:rFonts w:asciiTheme="minorHAnsi" w:hAnsiTheme="minorHAnsi" w:cs="Courier New"/>
          <w:color w:val="000000"/>
          <w:szCs w:val="22"/>
        </w:rPr>
      </w:pPr>
      <w:r w:rsidRPr="00AD1FA0">
        <w:rPr>
          <w:rFonts w:asciiTheme="minorHAnsi" w:hAnsiTheme="minorHAnsi" w:cs="Courier New"/>
          <w:color w:val="000000"/>
          <w:szCs w:val="22"/>
        </w:rPr>
        <w:t xml:space="preserve">Daily discharge data for automated gauges was </w:t>
      </w:r>
      <w:r w:rsidR="00C35985">
        <w:rPr>
          <w:rFonts w:asciiTheme="minorHAnsi" w:hAnsiTheme="minorHAnsi" w:cs="Courier New"/>
          <w:color w:val="000000"/>
          <w:szCs w:val="22"/>
        </w:rPr>
        <w:t>obtained</w:t>
      </w:r>
      <w:r w:rsidRPr="00AD1FA0">
        <w:rPr>
          <w:rFonts w:asciiTheme="minorHAnsi" w:hAnsiTheme="minorHAnsi" w:cs="Courier New"/>
          <w:color w:val="000000"/>
          <w:szCs w:val="22"/>
        </w:rPr>
        <w:t xml:space="preserve"> from </w:t>
      </w:r>
      <w:r w:rsidR="00C35985">
        <w:rPr>
          <w:rFonts w:asciiTheme="minorHAnsi" w:hAnsiTheme="minorHAnsi" w:cs="Courier New"/>
          <w:color w:val="000000"/>
          <w:szCs w:val="22"/>
        </w:rPr>
        <w:t xml:space="preserve">the </w:t>
      </w:r>
      <w:r w:rsidR="00C35985">
        <w:t>New South Wales Office of Water website</w:t>
      </w:r>
      <w:r w:rsidRPr="00AD1FA0">
        <w:rPr>
          <w:rFonts w:asciiTheme="minorHAnsi" w:hAnsiTheme="minorHAnsi" w:cs="Courier New"/>
          <w:color w:val="000000"/>
          <w:szCs w:val="22"/>
        </w:rPr>
        <w:t>. Daily discharge data from the Wakool escape a</w:t>
      </w:r>
      <w:r>
        <w:rPr>
          <w:rFonts w:asciiTheme="minorHAnsi" w:hAnsiTheme="minorHAnsi" w:cs="Courier New"/>
          <w:color w:val="000000"/>
          <w:szCs w:val="22"/>
        </w:rPr>
        <w:t>nd daily usage of Commonwealth Environmental W</w:t>
      </w:r>
      <w:r w:rsidRPr="00AD1FA0">
        <w:rPr>
          <w:rFonts w:asciiTheme="minorHAnsi" w:hAnsiTheme="minorHAnsi" w:cs="Courier New"/>
          <w:color w:val="000000"/>
          <w:szCs w:val="22"/>
        </w:rPr>
        <w:t>ater were obtained from WaterNSW.</w:t>
      </w:r>
      <w:r w:rsidR="00B77FE2">
        <w:rPr>
          <w:rFonts w:asciiTheme="minorHAnsi" w:hAnsiTheme="minorHAnsi" w:cs="Courier New"/>
          <w:color w:val="000000"/>
          <w:szCs w:val="22"/>
        </w:rPr>
        <w:t xml:space="preserve"> </w:t>
      </w:r>
    </w:p>
    <w:p w:rsidR="00C46627" w:rsidRDefault="00C46627" w:rsidP="00A11665">
      <w:pPr>
        <w:pStyle w:val="NoSpacing"/>
        <w:spacing w:after="240" w:line="360" w:lineRule="auto"/>
        <w:jc w:val="left"/>
        <w:rPr>
          <w:rFonts w:asciiTheme="minorHAnsi" w:hAnsiTheme="minorHAnsi" w:cs="Courier New"/>
          <w:color w:val="000000"/>
          <w:szCs w:val="22"/>
        </w:rPr>
      </w:pPr>
      <w:r w:rsidRPr="00AD1FA0">
        <w:rPr>
          <w:rFonts w:asciiTheme="minorHAnsi" w:hAnsiTheme="minorHAnsi" w:cs="Courier New"/>
          <w:color w:val="000000"/>
          <w:szCs w:val="22"/>
        </w:rPr>
        <w:t xml:space="preserve">The hydrograph for Yallakool Creek </w:t>
      </w:r>
      <w:r>
        <w:rPr>
          <w:rFonts w:asciiTheme="minorHAnsi" w:hAnsiTheme="minorHAnsi" w:cs="Courier New"/>
          <w:color w:val="000000"/>
          <w:szCs w:val="22"/>
        </w:rPr>
        <w:t>(</w:t>
      </w:r>
      <w:r w:rsidRPr="00AD1FA0">
        <w:rPr>
          <w:rFonts w:asciiTheme="minorHAnsi" w:hAnsiTheme="minorHAnsi" w:cs="Courier New"/>
          <w:color w:val="000000"/>
          <w:szCs w:val="22"/>
        </w:rPr>
        <w:t>zone 1</w:t>
      </w:r>
      <w:r>
        <w:rPr>
          <w:rFonts w:asciiTheme="minorHAnsi" w:hAnsiTheme="minorHAnsi" w:cs="Courier New"/>
          <w:color w:val="000000"/>
          <w:szCs w:val="22"/>
        </w:rPr>
        <w:t>)</w:t>
      </w:r>
      <w:r w:rsidRPr="00AD1FA0">
        <w:rPr>
          <w:rFonts w:asciiTheme="minorHAnsi" w:hAnsiTheme="minorHAnsi" w:cs="Courier New"/>
          <w:color w:val="000000"/>
          <w:szCs w:val="22"/>
        </w:rPr>
        <w:t xml:space="preserve"> is based on daily discharge data from gauge 409020 Yallakool Creek @ Offtake. The hydrograph for the Wakool River zone 2 is based on discharge data </w:t>
      </w:r>
      <w:r w:rsidR="00BA1332">
        <w:rPr>
          <w:rFonts w:asciiTheme="minorHAnsi" w:hAnsiTheme="minorHAnsi" w:cs="Courier New"/>
          <w:color w:val="000000"/>
          <w:szCs w:val="22"/>
        </w:rPr>
        <w:t>from gauge 409019 Wakool River o</w:t>
      </w:r>
      <w:r w:rsidRPr="00AD1FA0">
        <w:rPr>
          <w:rFonts w:asciiTheme="minorHAnsi" w:hAnsiTheme="minorHAnsi" w:cs="Courier New"/>
          <w:color w:val="000000"/>
          <w:szCs w:val="22"/>
        </w:rPr>
        <w:t xml:space="preserve">fftake regulator added to the daily discharge data from the Wakool escape. The daily discharge data for Wakool River zone 3 was estimated by combining daily discharge data from Yallakool Creek regulator, the Wakool offtake and the Wakool escape with an adjustment to account for travel time (4 days) and estimated 20% losses </w:t>
      </w:r>
      <w:r w:rsidR="00BA1332">
        <w:rPr>
          <w:rFonts w:asciiTheme="minorHAnsi" w:hAnsiTheme="minorHAnsi" w:cs="Courier New"/>
          <w:color w:val="000000"/>
          <w:szCs w:val="22"/>
        </w:rPr>
        <w:t xml:space="preserve">(V. Kelly, WaterNSW pers. comm.) </w:t>
      </w:r>
      <w:r w:rsidRPr="00AD1FA0">
        <w:rPr>
          <w:rFonts w:asciiTheme="minorHAnsi" w:hAnsiTheme="minorHAnsi" w:cs="Courier New"/>
          <w:color w:val="000000"/>
          <w:szCs w:val="22"/>
        </w:rPr>
        <w:t xml:space="preserve">between the regulators and the confluence of Yallakool Creek and the Wakool River. The daily discharge data for Wakool River zone 4 were obtained from gauge 409045 Wakool River </w:t>
      </w:r>
      <w:r w:rsidR="00AC63AE">
        <w:rPr>
          <w:rFonts w:asciiTheme="minorHAnsi" w:hAnsiTheme="minorHAnsi" w:cs="Courier New"/>
          <w:color w:val="000000"/>
          <w:szCs w:val="22"/>
        </w:rPr>
        <w:t>at Wakool-Barham Road</w:t>
      </w:r>
      <w:r w:rsidR="00BA1332">
        <w:rPr>
          <w:rFonts w:asciiTheme="minorHAnsi" w:hAnsiTheme="minorHAnsi" w:cs="Courier New"/>
          <w:color w:val="000000"/>
          <w:szCs w:val="22"/>
        </w:rPr>
        <w:t>.</w:t>
      </w:r>
    </w:p>
    <w:p w:rsidR="00C46627" w:rsidRDefault="00C46627" w:rsidP="00A11665">
      <w:pPr>
        <w:pStyle w:val="NoSpacing"/>
        <w:spacing w:after="240" w:line="360" w:lineRule="auto"/>
        <w:jc w:val="left"/>
        <w:rPr>
          <w:rFonts w:asciiTheme="minorHAnsi" w:hAnsiTheme="minorHAnsi" w:cs="Courier New"/>
          <w:color w:val="000000"/>
          <w:szCs w:val="22"/>
        </w:rPr>
      </w:pPr>
      <w:r>
        <w:rPr>
          <w:rFonts w:asciiTheme="minorHAnsi" w:hAnsiTheme="minorHAnsi" w:cs="Courier New"/>
          <w:color w:val="000000"/>
          <w:szCs w:val="22"/>
        </w:rPr>
        <w:t>Details of</w:t>
      </w:r>
      <w:r w:rsidRPr="00AD1FA0">
        <w:rPr>
          <w:rFonts w:asciiTheme="minorHAnsi" w:hAnsiTheme="minorHAnsi" w:cs="Courier New"/>
          <w:color w:val="000000"/>
          <w:szCs w:val="22"/>
        </w:rPr>
        <w:t xml:space="preserve"> the daily v</w:t>
      </w:r>
      <w:r>
        <w:rPr>
          <w:rFonts w:asciiTheme="minorHAnsi" w:hAnsiTheme="minorHAnsi" w:cs="Courier New"/>
          <w:color w:val="000000"/>
          <w:szCs w:val="22"/>
        </w:rPr>
        <w:t>olume of water (ML/day)</w:t>
      </w:r>
      <w:r w:rsidRPr="00AD1FA0">
        <w:rPr>
          <w:rFonts w:asciiTheme="minorHAnsi" w:hAnsiTheme="minorHAnsi" w:cs="Courier New"/>
          <w:color w:val="000000"/>
          <w:szCs w:val="22"/>
        </w:rPr>
        <w:t xml:space="preserve"> accounted for as Commonwealth </w:t>
      </w:r>
      <w:r w:rsidR="007A073E">
        <w:rPr>
          <w:rFonts w:asciiTheme="minorHAnsi" w:hAnsiTheme="minorHAnsi" w:cs="Courier New"/>
          <w:color w:val="000000"/>
          <w:szCs w:val="22"/>
        </w:rPr>
        <w:t>e</w:t>
      </w:r>
      <w:r w:rsidRPr="00AD1FA0">
        <w:rPr>
          <w:rFonts w:asciiTheme="minorHAnsi" w:hAnsiTheme="minorHAnsi" w:cs="Courier New"/>
          <w:color w:val="000000"/>
          <w:szCs w:val="22"/>
        </w:rPr>
        <w:t xml:space="preserve">nvironmental </w:t>
      </w:r>
      <w:r w:rsidR="007A073E">
        <w:rPr>
          <w:rFonts w:asciiTheme="minorHAnsi" w:hAnsiTheme="minorHAnsi" w:cs="Courier New"/>
          <w:color w:val="000000"/>
          <w:szCs w:val="22"/>
        </w:rPr>
        <w:t>w</w:t>
      </w:r>
      <w:r w:rsidRPr="00AD1FA0">
        <w:rPr>
          <w:rFonts w:asciiTheme="minorHAnsi" w:hAnsiTheme="minorHAnsi" w:cs="Courier New"/>
          <w:color w:val="000000"/>
          <w:szCs w:val="22"/>
        </w:rPr>
        <w:t xml:space="preserve">ater was provided by WaterNSW and the Commonwealth Environmental Water Office. These data were used to produce the hydrographs that show the overall daily discharge and the proportion of that flow that is </w:t>
      </w:r>
      <w:r w:rsidR="007A073E" w:rsidRPr="00AD1FA0">
        <w:rPr>
          <w:rFonts w:asciiTheme="minorHAnsi" w:hAnsiTheme="minorHAnsi" w:cs="Courier New"/>
          <w:color w:val="000000"/>
          <w:szCs w:val="22"/>
        </w:rPr>
        <w:t xml:space="preserve">Commonwealth </w:t>
      </w:r>
      <w:r w:rsidR="007A073E">
        <w:rPr>
          <w:rFonts w:asciiTheme="minorHAnsi" w:hAnsiTheme="minorHAnsi" w:cs="Courier New"/>
          <w:color w:val="000000"/>
          <w:szCs w:val="22"/>
        </w:rPr>
        <w:t>e</w:t>
      </w:r>
      <w:r w:rsidR="007A073E" w:rsidRPr="00AD1FA0">
        <w:rPr>
          <w:rFonts w:asciiTheme="minorHAnsi" w:hAnsiTheme="minorHAnsi" w:cs="Courier New"/>
          <w:color w:val="000000"/>
          <w:szCs w:val="22"/>
        </w:rPr>
        <w:t xml:space="preserve">nvironmental </w:t>
      </w:r>
      <w:r w:rsidR="007A073E">
        <w:rPr>
          <w:rFonts w:asciiTheme="minorHAnsi" w:hAnsiTheme="minorHAnsi" w:cs="Courier New"/>
          <w:color w:val="000000"/>
          <w:szCs w:val="22"/>
        </w:rPr>
        <w:t>w</w:t>
      </w:r>
      <w:r w:rsidR="007A073E" w:rsidRPr="00AD1FA0">
        <w:rPr>
          <w:rFonts w:asciiTheme="minorHAnsi" w:hAnsiTheme="minorHAnsi" w:cs="Courier New"/>
          <w:color w:val="000000"/>
          <w:szCs w:val="22"/>
        </w:rPr>
        <w:t>ater</w:t>
      </w:r>
      <w:r w:rsidRPr="00AD1FA0">
        <w:rPr>
          <w:rFonts w:asciiTheme="minorHAnsi" w:hAnsiTheme="minorHAnsi" w:cs="Courier New"/>
          <w:color w:val="000000"/>
          <w:szCs w:val="22"/>
        </w:rPr>
        <w:t xml:space="preserve"> for the four hydrological zones in 2014-15.</w:t>
      </w:r>
      <w:r>
        <w:rPr>
          <w:rFonts w:asciiTheme="minorHAnsi" w:hAnsiTheme="minorHAnsi" w:cs="Courier New"/>
          <w:color w:val="000000"/>
          <w:szCs w:val="22"/>
        </w:rPr>
        <w:t xml:space="preserve"> The maximum, minimum, median, mean and coefficient of variation (SD/mean) of the daily discharge was calculated with and without </w:t>
      </w:r>
      <w:r w:rsidR="007A073E" w:rsidRPr="00AD1FA0">
        <w:rPr>
          <w:rFonts w:asciiTheme="minorHAnsi" w:hAnsiTheme="minorHAnsi" w:cs="Courier New"/>
          <w:color w:val="000000"/>
          <w:szCs w:val="22"/>
        </w:rPr>
        <w:t xml:space="preserve">Commonwealth </w:t>
      </w:r>
      <w:r w:rsidR="007A073E">
        <w:rPr>
          <w:rFonts w:asciiTheme="minorHAnsi" w:hAnsiTheme="minorHAnsi" w:cs="Courier New"/>
          <w:color w:val="000000"/>
          <w:szCs w:val="22"/>
        </w:rPr>
        <w:t>e</w:t>
      </w:r>
      <w:r w:rsidR="007A073E" w:rsidRPr="00AD1FA0">
        <w:rPr>
          <w:rFonts w:asciiTheme="minorHAnsi" w:hAnsiTheme="minorHAnsi" w:cs="Courier New"/>
          <w:color w:val="000000"/>
          <w:szCs w:val="22"/>
        </w:rPr>
        <w:t xml:space="preserve">nvironmental </w:t>
      </w:r>
      <w:r w:rsidR="007A073E">
        <w:rPr>
          <w:rFonts w:asciiTheme="minorHAnsi" w:hAnsiTheme="minorHAnsi" w:cs="Courier New"/>
          <w:color w:val="000000"/>
          <w:szCs w:val="22"/>
        </w:rPr>
        <w:t>w</w:t>
      </w:r>
      <w:r w:rsidR="007A073E" w:rsidRPr="00AD1FA0">
        <w:rPr>
          <w:rFonts w:asciiTheme="minorHAnsi" w:hAnsiTheme="minorHAnsi" w:cs="Courier New"/>
          <w:color w:val="000000"/>
          <w:szCs w:val="22"/>
        </w:rPr>
        <w:t>ater</w:t>
      </w:r>
      <w:r>
        <w:rPr>
          <w:rFonts w:asciiTheme="minorHAnsi" w:hAnsiTheme="minorHAnsi" w:cs="Courier New"/>
          <w:color w:val="000000"/>
          <w:szCs w:val="22"/>
        </w:rPr>
        <w:t>.</w:t>
      </w:r>
    </w:p>
    <w:p w:rsidR="00345436" w:rsidRDefault="00345436" w:rsidP="00345436">
      <w:pPr>
        <w:jc w:val="left"/>
      </w:pPr>
      <w:r>
        <w:rPr>
          <w:rFonts w:asciiTheme="minorHAnsi" w:hAnsiTheme="minorHAnsi" w:cs="Courier New"/>
          <w:color w:val="000000"/>
          <w:szCs w:val="22"/>
        </w:rPr>
        <w:t xml:space="preserve">To evaluate to what extent </w:t>
      </w:r>
      <w:r w:rsidRPr="00345436">
        <w:t>Commonwealth environmental water contributed to hydrological connectivity</w:t>
      </w:r>
      <w:r>
        <w:t xml:space="preserve"> the hydrographs for the Wakool River at Gee Gee Bridge site 05_02 (gauge 409062), Coonamit, near site 05_03 (gauge 409061) and Stoney Crossing, site 06_01 (gauge 409013) were plotted and visually compared to the shape of the hydrographs upstream that received Commonwealth environmental water.</w:t>
      </w:r>
    </w:p>
    <w:p w:rsidR="00C46627" w:rsidRPr="00EB70F1" w:rsidRDefault="00C46627" w:rsidP="00A11665">
      <w:pPr>
        <w:spacing w:after="240"/>
        <w:rPr>
          <w:b/>
          <w:color w:val="4F6228" w:themeColor="accent3" w:themeShade="80"/>
          <w:sz w:val="24"/>
          <w:szCs w:val="24"/>
        </w:rPr>
      </w:pPr>
      <w:r w:rsidRPr="00EB70F1">
        <w:rPr>
          <w:b/>
          <w:color w:val="4F6228" w:themeColor="accent3" w:themeShade="80"/>
          <w:sz w:val="24"/>
          <w:szCs w:val="24"/>
        </w:rPr>
        <w:t>4.4. Results</w:t>
      </w:r>
    </w:p>
    <w:p w:rsidR="00C46627" w:rsidRPr="00A9018E" w:rsidRDefault="00C46627" w:rsidP="00A11665">
      <w:pPr>
        <w:pStyle w:val="ListNumber"/>
        <w:numPr>
          <w:ilvl w:val="0"/>
          <w:numId w:val="0"/>
        </w:numPr>
        <w:spacing w:after="240" w:line="360" w:lineRule="auto"/>
        <w:rPr>
          <w:rFonts w:asciiTheme="minorHAnsi" w:hAnsiTheme="minorHAnsi"/>
        </w:rPr>
      </w:pPr>
      <w:r w:rsidRPr="00A9018E">
        <w:rPr>
          <w:rFonts w:ascii="Calibri" w:hAnsi="Calibri" w:cs="Times New Roman"/>
          <w:lang w:eastAsia="en-US"/>
        </w:rPr>
        <w:t>The 2014–15 water year started with a small unregulated flow event in August 2014</w:t>
      </w:r>
      <w:r w:rsidR="00A10213">
        <w:rPr>
          <w:rFonts w:ascii="Calibri" w:hAnsi="Calibri" w:cs="Times New Roman"/>
          <w:lang w:eastAsia="en-US"/>
        </w:rPr>
        <w:t xml:space="preserve"> that was contained within the channel</w:t>
      </w:r>
      <w:r w:rsidRPr="00A9018E">
        <w:rPr>
          <w:rFonts w:ascii="Calibri" w:hAnsi="Calibri" w:cs="Times New Roman"/>
          <w:lang w:eastAsia="en-US"/>
        </w:rPr>
        <w:t xml:space="preserve">. The Commonwealth environmental watering action followed on immediately after the unregulated event. </w:t>
      </w:r>
      <w:r w:rsidRPr="00A9018E">
        <w:rPr>
          <w:rFonts w:asciiTheme="minorHAnsi" w:hAnsiTheme="minorHAnsi"/>
        </w:rPr>
        <w:t>There were three different hydrological regimes in the focal monitoring area in 2014-15; a) Yallakool Creek (zone 1), b) Wakool riv</w:t>
      </w:r>
      <w:r w:rsidR="009F4D23">
        <w:rPr>
          <w:rFonts w:asciiTheme="minorHAnsi" w:hAnsiTheme="minorHAnsi"/>
        </w:rPr>
        <w:t>er Zone 2, and c) Wakool River z</w:t>
      </w:r>
      <w:r w:rsidRPr="00A9018E">
        <w:rPr>
          <w:rFonts w:asciiTheme="minorHAnsi" w:hAnsiTheme="minorHAnsi"/>
        </w:rPr>
        <w:t>one 3 and 4 were similar because there were no inflows to the system from Thule Creek in 2014-15.</w:t>
      </w:r>
    </w:p>
    <w:p w:rsidR="00C46627" w:rsidRDefault="00C46627" w:rsidP="00A11665">
      <w:pPr>
        <w:spacing w:after="240"/>
        <w:jc w:val="left"/>
      </w:pPr>
      <w:r w:rsidRPr="002F742F">
        <w:rPr>
          <w:rFonts w:asciiTheme="minorHAnsi" w:hAnsiTheme="minorHAnsi"/>
        </w:rPr>
        <w:t>In Yallakool Creek</w:t>
      </w:r>
      <w:r w:rsidR="00D253DA" w:rsidRPr="002F742F">
        <w:rPr>
          <w:rFonts w:asciiTheme="minorHAnsi" w:hAnsiTheme="minorHAnsi"/>
        </w:rPr>
        <w:t xml:space="preserve"> </w:t>
      </w:r>
      <w:r w:rsidR="001C3469" w:rsidRPr="002F742F">
        <w:rPr>
          <w:rFonts w:asciiTheme="minorHAnsi" w:hAnsiTheme="minorHAnsi"/>
        </w:rPr>
        <w:t>(</w:t>
      </w:r>
      <w:r w:rsidR="009F4D23" w:rsidRPr="002F742F">
        <w:rPr>
          <w:rFonts w:asciiTheme="minorHAnsi" w:hAnsiTheme="minorHAnsi"/>
        </w:rPr>
        <w:t>z</w:t>
      </w:r>
      <w:r w:rsidRPr="002F742F">
        <w:rPr>
          <w:rFonts w:asciiTheme="minorHAnsi" w:hAnsiTheme="minorHAnsi"/>
        </w:rPr>
        <w:t>one 1) there was an extended in-channel fresh of approximately 500</w:t>
      </w:r>
      <w:r w:rsidRPr="002F742F">
        <w:t xml:space="preserve"> ML/day from August until the end of December 2014, </w:t>
      </w:r>
      <w:r w:rsidR="002F742F" w:rsidRPr="002F742F">
        <w:t>followed</w:t>
      </w:r>
      <w:r w:rsidR="002F742F">
        <w:t xml:space="preserve"> by a recession of about 40cm over 30 days until it reached operational flows in the range of 200 to 240 ML/day. </w:t>
      </w:r>
      <w:r>
        <w:t xml:space="preserve">In the absence of </w:t>
      </w:r>
      <w:r w:rsidR="00BA1332">
        <w:t>Commonwealth environmental water</w:t>
      </w:r>
      <w:r>
        <w:t xml:space="preserve"> there would have been a short-term fresh in early August followed by an extended period of operational flows of approximately 200 ML/day with several small peaks of approximately 300 ML/day (Figure 4.1a).</w:t>
      </w:r>
    </w:p>
    <w:p w:rsidR="00D253DA" w:rsidRDefault="00C46627" w:rsidP="00A11665">
      <w:pPr>
        <w:spacing w:after="240"/>
        <w:jc w:val="left"/>
        <w:rPr>
          <w:rFonts w:cs="Courier New"/>
          <w:color w:val="000000"/>
        </w:rPr>
      </w:pPr>
      <w:r>
        <w:t xml:space="preserve">The Wakool River zone 2 received no </w:t>
      </w:r>
      <w:r w:rsidR="007A073E" w:rsidRPr="00AD1FA0">
        <w:rPr>
          <w:rFonts w:asciiTheme="minorHAnsi" w:hAnsiTheme="minorHAnsi" w:cs="Courier New"/>
          <w:color w:val="000000"/>
          <w:szCs w:val="22"/>
        </w:rPr>
        <w:t xml:space="preserve">Commonwealth </w:t>
      </w:r>
      <w:r w:rsidR="007A073E">
        <w:rPr>
          <w:rFonts w:asciiTheme="minorHAnsi" w:hAnsiTheme="minorHAnsi" w:cs="Courier New"/>
          <w:color w:val="000000"/>
          <w:szCs w:val="22"/>
        </w:rPr>
        <w:t>e</w:t>
      </w:r>
      <w:r w:rsidR="007A073E" w:rsidRPr="00AD1FA0">
        <w:rPr>
          <w:rFonts w:asciiTheme="minorHAnsi" w:hAnsiTheme="minorHAnsi" w:cs="Courier New"/>
          <w:color w:val="000000"/>
          <w:szCs w:val="22"/>
        </w:rPr>
        <w:t xml:space="preserve">nvironmental </w:t>
      </w:r>
      <w:r w:rsidR="007A073E">
        <w:rPr>
          <w:rFonts w:asciiTheme="minorHAnsi" w:hAnsiTheme="minorHAnsi" w:cs="Courier New"/>
          <w:color w:val="000000"/>
          <w:szCs w:val="22"/>
        </w:rPr>
        <w:t>w</w:t>
      </w:r>
      <w:r w:rsidR="007A073E" w:rsidRPr="00AD1FA0">
        <w:rPr>
          <w:rFonts w:asciiTheme="minorHAnsi" w:hAnsiTheme="minorHAnsi" w:cs="Courier New"/>
          <w:color w:val="000000"/>
          <w:szCs w:val="22"/>
        </w:rPr>
        <w:t>ater</w:t>
      </w:r>
      <w:r>
        <w:t xml:space="preserve"> in 2014-15. There was an extended period of base operational flows in the range of 50 to 100 ML/day between August and March. </w:t>
      </w:r>
      <w:r w:rsidRPr="00580495">
        <w:rPr>
          <w:rFonts w:cs="Courier New"/>
          <w:color w:val="000000"/>
        </w:rPr>
        <w:t xml:space="preserve">In order to meet downstream demands in the lower Murray River the </w:t>
      </w:r>
      <w:r w:rsidR="00D253DA">
        <w:rPr>
          <w:rFonts w:asciiTheme="minorHAnsi" w:hAnsiTheme="minorHAnsi" w:cs="Courier New"/>
          <w:color w:val="000000"/>
        </w:rPr>
        <w:t>MDBA</w:t>
      </w:r>
      <w:r w:rsidR="00D253DA" w:rsidRPr="00874880">
        <w:rPr>
          <w:rFonts w:asciiTheme="minorHAnsi" w:hAnsiTheme="minorHAnsi" w:cs="Courier New"/>
          <w:color w:val="000000"/>
        </w:rPr>
        <w:t xml:space="preserve"> </w:t>
      </w:r>
      <w:r w:rsidRPr="00580495">
        <w:rPr>
          <w:rFonts w:cs="Courier New"/>
          <w:color w:val="000000"/>
        </w:rPr>
        <w:t xml:space="preserve">delivered </w:t>
      </w:r>
      <w:r>
        <w:rPr>
          <w:rFonts w:cs="Courier New"/>
          <w:color w:val="000000"/>
        </w:rPr>
        <w:t>an operational flow</w:t>
      </w:r>
      <w:r w:rsidRPr="00580495">
        <w:rPr>
          <w:rFonts w:cs="Courier New"/>
          <w:color w:val="000000"/>
        </w:rPr>
        <w:t xml:space="preserve"> into the Wakool system via</w:t>
      </w:r>
      <w:r>
        <w:rPr>
          <w:rFonts w:cs="Courier New"/>
          <w:color w:val="000000"/>
        </w:rPr>
        <w:t xml:space="preserve"> the irrigation channel network</w:t>
      </w:r>
      <w:r w:rsidR="00D253DA">
        <w:rPr>
          <w:rFonts w:cs="Courier New"/>
          <w:color w:val="000000"/>
        </w:rPr>
        <w:t xml:space="preserve"> (Wakool escape)</w:t>
      </w:r>
      <w:r>
        <w:rPr>
          <w:rFonts w:cs="Courier New"/>
          <w:color w:val="000000"/>
        </w:rPr>
        <w:t xml:space="preserve"> in March and April 2015</w:t>
      </w:r>
      <w:r w:rsidRPr="00580495">
        <w:rPr>
          <w:rFonts w:cs="Courier New"/>
          <w:color w:val="000000"/>
        </w:rPr>
        <w:t xml:space="preserve">. </w:t>
      </w:r>
      <w:r>
        <w:rPr>
          <w:rFonts w:cs="Courier New"/>
          <w:color w:val="000000"/>
        </w:rPr>
        <w:t>This resulted in a fresh in zone 2 in March and April 2014 of approximately 300 to 330 ML/day that had both a steep rise and recession (Figure 4.1b).</w:t>
      </w:r>
      <w:r w:rsidR="00D253DA">
        <w:rPr>
          <w:rFonts w:cs="Courier New"/>
          <w:color w:val="000000"/>
        </w:rPr>
        <w:t xml:space="preserve"> </w:t>
      </w:r>
    </w:p>
    <w:p w:rsidR="00BA1332" w:rsidRDefault="00BA1332" w:rsidP="00A11665">
      <w:pPr>
        <w:spacing w:after="240"/>
        <w:jc w:val="left"/>
      </w:pPr>
      <w:r>
        <w:rPr>
          <w:rFonts w:cs="Courier New"/>
          <w:color w:val="000000"/>
        </w:rPr>
        <w:t>The Wakool River zones 3 and 4 had similar hydrological regimes in 2014-15 because th</w:t>
      </w:r>
      <w:r w:rsidR="00B77FE2">
        <w:rPr>
          <w:rFonts w:cs="Courier New"/>
          <w:color w:val="000000"/>
        </w:rPr>
        <w:t>ere was no inflow</w:t>
      </w:r>
      <w:r>
        <w:rPr>
          <w:rFonts w:cs="Courier New"/>
          <w:color w:val="000000"/>
        </w:rPr>
        <w:t xml:space="preserve"> from Thule Creek. The delivery of Commonwealth environmental water to Yallakool Creek resulted in </w:t>
      </w:r>
      <w:r>
        <w:t xml:space="preserve">an extended in-channel fresh of approximately 450 ML/day in Wakool River zones 3 and 4 from August until the end of December 2014, followed by a recession to operational flows in the range of 200 to 240 ML/day. These two zones also received a fresh of approximately 450 ML/day in March and April resulting from the MDBA operational flow from the Wakool Escape from the Mulwala Canal (see Figure 3.1). </w:t>
      </w:r>
      <w:r w:rsidRPr="00B136C6">
        <w:rPr>
          <w:rFonts w:asciiTheme="minorHAnsi" w:hAnsiTheme="minorHAnsi" w:cs="Courier New"/>
          <w:color w:val="000000"/>
        </w:rPr>
        <w:t xml:space="preserve">The effect of </w:t>
      </w:r>
      <w:r>
        <w:rPr>
          <w:rFonts w:asciiTheme="minorHAnsi" w:hAnsiTheme="minorHAnsi" w:cs="Courier New"/>
          <w:color w:val="000000"/>
        </w:rPr>
        <w:t>this operational flow</w:t>
      </w:r>
      <w:r w:rsidRPr="00B136C6">
        <w:rPr>
          <w:rFonts w:asciiTheme="minorHAnsi" w:hAnsiTheme="minorHAnsi" w:cs="Courier New"/>
          <w:color w:val="000000"/>
        </w:rPr>
        <w:t xml:space="preserve"> is that </w:t>
      </w:r>
      <w:r>
        <w:rPr>
          <w:rFonts w:asciiTheme="minorHAnsi" w:hAnsiTheme="minorHAnsi" w:cs="Courier New"/>
          <w:color w:val="000000"/>
        </w:rPr>
        <w:t>the discharge</w:t>
      </w:r>
      <w:r w:rsidRPr="00B136C6">
        <w:rPr>
          <w:rFonts w:asciiTheme="minorHAnsi" w:hAnsiTheme="minorHAnsi" w:cs="Courier New"/>
          <w:color w:val="000000"/>
        </w:rPr>
        <w:t xml:space="preserve"> </w:t>
      </w:r>
      <w:r>
        <w:rPr>
          <w:rFonts w:asciiTheme="minorHAnsi" w:hAnsiTheme="minorHAnsi" w:cs="Courier New"/>
          <w:color w:val="000000"/>
        </w:rPr>
        <w:t xml:space="preserve">in the Wakool River </w:t>
      </w:r>
      <w:r w:rsidRPr="00B136C6">
        <w:rPr>
          <w:rFonts w:asciiTheme="minorHAnsi" w:hAnsiTheme="minorHAnsi" w:cs="Courier New"/>
          <w:color w:val="000000"/>
        </w:rPr>
        <w:t xml:space="preserve">at Wakool-Barham Road </w:t>
      </w:r>
      <w:r>
        <w:rPr>
          <w:rFonts w:asciiTheme="minorHAnsi" w:hAnsiTheme="minorHAnsi" w:cs="Courier New"/>
          <w:color w:val="000000"/>
        </w:rPr>
        <w:t xml:space="preserve">(zone 3) </w:t>
      </w:r>
      <w:r w:rsidRPr="00B136C6">
        <w:rPr>
          <w:rFonts w:asciiTheme="minorHAnsi" w:hAnsiTheme="minorHAnsi" w:cs="Courier New"/>
          <w:color w:val="000000"/>
        </w:rPr>
        <w:t xml:space="preserve">increased from approximately 210 </w:t>
      </w:r>
      <w:r>
        <w:rPr>
          <w:rFonts w:asciiTheme="minorHAnsi" w:hAnsiTheme="minorHAnsi" w:cs="Courier New"/>
          <w:color w:val="000000"/>
        </w:rPr>
        <w:t>to</w:t>
      </w:r>
      <w:r w:rsidRPr="00B136C6">
        <w:rPr>
          <w:rFonts w:asciiTheme="minorHAnsi" w:hAnsiTheme="minorHAnsi" w:cs="Courier New"/>
          <w:color w:val="000000"/>
        </w:rPr>
        <w:t xml:space="preserve"> 240 ML/day in February to approximately 400 ML/day by the end of March (Figure </w:t>
      </w:r>
      <w:r>
        <w:rPr>
          <w:rFonts w:asciiTheme="minorHAnsi" w:hAnsiTheme="minorHAnsi" w:cs="Courier New"/>
          <w:color w:val="000000"/>
        </w:rPr>
        <w:t>4.</w:t>
      </w:r>
      <w:r w:rsidRPr="00B136C6">
        <w:rPr>
          <w:rFonts w:asciiTheme="minorHAnsi" w:hAnsiTheme="minorHAnsi" w:cs="Courier New"/>
          <w:color w:val="000000"/>
        </w:rPr>
        <w:t>1) and 500 ML/day by mid April 2015</w:t>
      </w:r>
      <w:r>
        <w:rPr>
          <w:rFonts w:asciiTheme="minorHAnsi" w:hAnsiTheme="minorHAnsi" w:cs="Courier New"/>
          <w:color w:val="000000"/>
        </w:rPr>
        <w:t xml:space="preserve">. </w:t>
      </w:r>
      <w:r w:rsidR="00B77FE2">
        <w:t>In the absence of Commonwealth environmental water</w:t>
      </w:r>
      <w:r>
        <w:t xml:space="preserve"> there would have been a short-lived fresh in early August followed by an extended period of flows of approximately 150 to 200 ML/day followed by a fresh of approximately 450 ML/day in March an</w:t>
      </w:r>
      <w:r w:rsidR="00C752DB">
        <w:t>d April (Figure 4.1c and 4.1d).</w:t>
      </w:r>
    </w:p>
    <w:p w:rsidR="00C46627" w:rsidRDefault="00C46627" w:rsidP="00C46627">
      <w:pPr>
        <w:spacing w:after="0" w:line="240" w:lineRule="auto"/>
      </w:pPr>
      <w:r w:rsidRPr="00EE2589">
        <w:rPr>
          <w:noProof/>
          <w:lang w:eastAsia="en-AU"/>
        </w:rPr>
        <w:drawing>
          <wp:inline distT="0" distB="0" distL="0" distR="0">
            <wp:extent cx="3449697" cy="79920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9697" cy="7992000"/>
                    </a:xfrm>
                    <a:prstGeom prst="rect">
                      <a:avLst/>
                    </a:prstGeom>
                    <a:noFill/>
                    <a:ln>
                      <a:noFill/>
                    </a:ln>
                  </pic:spPr>
                </pic:pic>
              </a:graphicData>
            </a:graphic>
          </wp:inline>
        </w:drawing>
      </w:r>
    </w:p>
    <w:p w:rsidR="00C46627" w:rsidRPr="00605296" w:rsidRDefault="00C46627" w:rsidP="00C46627">
      <w:pPr>
        <w:spacing w:after="0" w:line="240" w:lineRule="auto"/>
        <w:rPr>
          <w:rFonts w:cs="Calibri"/>
          <w:sz w:val="20"/>
          <w:lang w:val="en-GB"/>
        </w:rPr>
      </w:pPr>
      <w:r w:rsidRPr="00605296">
        <w:rPr>
          <w:rFonts w:cs="Calibri"/>
          <w:b/>
          <w:sz w:val="20"/>
          <w:lang w:val="en-GB"/>
        </w:rPr>
        <w:t>Figure 4.1</w:t>
      </w:r>
      <w:r w:rsidRPr="00605296">
        <w:rPr>
          <w:rFonts w:cs="Calibri"/>
          <w:sz w:val="20"/>
          <w:lang w:val="en-GB"/>
        </w:rPr>
        <w:t xml:space="preserve">. Hydrographs of zones 1 Yallakool Creek, and zones 2, 3 and 4 in the Wakool River for the period </w:t>
      </w:r>
      <w:r>
        <w:rPr>
          <w:rFonts w:cs="Calibri"/>
          <w:sz w:val="20"/>
          <w:lang w:val="en-GB"/>
        </w:rPr>
        <w:t xml:space="preserve">from </w:t>
      </w:r>
      <w:r w:rsidRPr="00605296">
        <w:rPr>
          <w:rFonts w:cs="Calibri"/>
          <w:sz w:val="20"/>
          <w:lang w:val="en-GB"/>
        </w:rPr>
        <w:t xml:space="preserve">1 July 2014 to 30 June 2015. The portion of the hydrographs coloured </w:t>
      </w:r>
      <w:r>
        <w:rPr>
          <w:rFonts w:cs="Calibri"/>
          <w:sz w:val="20"/>
          <w:lang w:val="en-GB"/>
        </w:rPr>
        <w:t>black is attributed to the delivery of Commonwealth Environmental W</w:t>
      </w:r>
      <w:r w:rsidRPr="00605296">
        <w:rPr>
          <w:rFonts w:cs="Calibri"/>
          <w:sz w:val="20"/>
          <w:lang w:val="en-GB"/>
        </w:rPr>
        <w:t>ater</w:t>
      </w:r>
      <w:r w:rsidR="00A10213">
        <w:rPr>
          <w:rFonts w:cs="Calibri"/>
          <w:sz w:val="20"/>
          <w:lang w:val="en-GB"/>
        </w:rPr>
        <w:t xml:space="preserve"> (CEW)</w:t>
      </w:r>
      <w:r w:rsidRPr="00605296">
        <w:rPr>
          <w:rFonts w:cs="Calibri"/>
          <w:sz w:val="20"/>
          <w:lang w:val="en-GB"/>
        </w:rPr>
        <w:t xml:space="preserve">. </w:t>
      </w:r>
      <w:r w:rsidR="00BA1332">
        <w:rPr>
          <w:rFonts w:cs="Calibri"/>
          <w:sz w:val="20"/>
          <w:lang w:val="en-GB"/>
        </w:rPr>
        <w:t>There was an unregulated flow in zones 1, 3 and 4 in August. The MDBA operational flow from the Wakool Escape is evident in the hydrograph of zones 2, 3 and 4 in March.</w:t>
      </w:r>
    </w:p>
    <w:p w:rsidR="00345436" w:rsidRPr="00C20864" w:rsidRDefault="00345436" w:rsidP="00345436">
      <w:pPr>
        <w:spacing w:after="0"/>
        <w:jc w:val="left"/>
        <w:rPr>
          <w:rFonts w:cs="Calibri"/>
          <w:lang w:val="en-GB"/>
        </w:rPr>
      </w:pPr>
      <w:r w:rsidRPr="00035167">
        <w:rPr>
          <w:rFonts w:cs="Calibri"/>
          <w:lang w:val="en-GB"/>
        </w:rPr>
        <w:t xml:space="preserve">A summary of hydrological statistics for 2014-15 </w:t>
      </w:r>
      <w:r>
        <w:rPr>
          <w:rFonts w:cs="Calibri"/>
          <w:lang w:val="en-GB"/>
        </w:rPr>
        <w:t>(</w:t>
      </w:r>
      <w:r w:rsidRPr="00035167">
        <w:rPr>
          <w:rFonts w:cs="Calibri"/>
          <w:lang w:val="en-GB"/>
        </w:rPr>
        <w:t>Table</w:t>
      </w:r>
      <w:r>
        <w:rPr>
          <w:rFonts w:cs="Calibri"/>
          <w:lang w:val="en-GB"/>
        </w:rPr>
        <w:t xml:space="preserve"> 4.1) compares</w:t>
      </w:r>
      <w:r w:rsidRPr="00035167">
        <w:rPr>
          <w:rFonts w:cs="Calibri"/>
          <w:lang w:val="en-GB"/>
        </w:rPr>
        <w:t xml:space="preserve"> </w:t>
      </w:r>
      <w:r>
        <w:rPr>
          <w:rFonts w:cs="Calibri"/>
          <w:lang w:val="en-GB"/>
        </w:rPr>
        <w:t>hydrological</w:t>
      </w:r>
      <w:r w:rsidRPr="00035167">
        <w:rPr>
          <w:rFonts w:cs="Calibri"/>
          <w:lang w:val="en-GB"/>
        </w:rPr>
        <w:t xml:space="preserve"> variables fo</w:t>
      </w:r>
      <w:r>
        <w:rPr>
          <w:rFonts w:cs="Calibri"/>
          <w:lang w:val="en-GB"/>
        </w:rPr>
        <w:t>r each zone with and without Commonwealth environmental water</w:t>
      </w:r>
      <w:r w:rsidRPr="00035167">
        <w:rPr>
          <w:rFonts w:cs="Calibri"/>
          <w:lang w:val="en-GB"/>
        </w:rPr>
        <w:t xml:space="preserve">. </w:t>
      </w:r>
      <w:r>
        <w:rPr>
          <w:rFonts w:cs="Calibri"/>
          <w:lang w:val="en-GB"/>
        </w:rPr>
        <w:t xml:space="preserve">The main findings are: </w:t>
      </w:r>
    </w:p>
    <w:p w:rsidR="00345436" w:rsidRPr="00862A0B" w:rsidRDefault="00345436" w:rsidP="00345436">
      <w:pPr>
        <w:pStyle w:val="ListParagraph"/>
        <w:numPr>
          <w:ilvl w:val="0"/>
          <w:numId w:val="32"/>
        </w:numPr>
        <w:spacing w:after="0"/>
        <w:ind w:left="851" w:hanging="425"/>
        <w:jc w:val="left"/>
        <w:rPr>
          <w:rFonts w:cs="Calibri"/>
          <w:szCs w:val="22"/>
          <w:lang w:val="en-GB"/>
        </w:rPr>
      </w:pPr>
      <w:r w:rsidRPr="00C20864">
        <w:rPr>
          <w:rFonts w:cs="Calibri"/>
          <w:szCs w:val="22"/>
          <w:lang w:val="en-GB"/>
        </w:rPr>
        <w:t xml:space="preserve">The </w:t>
      </w:r>
      <w:r>
        <w:rPr>
          <w:rFonts w:cs="Calibri"/>
          <w:szCs w:val="22"/>
          <w:lang w:val="en-GB"/>
        </w:rPr>
        <w:t>Commonwealth environmental water</w:t>
      </w:r>
      <w:r w:rsidRPr="00C20864">
        <w:rPr>
          <w:rFonts w:cs="Calibri"/>
          <w:szCs w:val="22"/>
          <w:lang w:val="en-GB"/>
        </w:rPr>
        <w:t xml:space="preserve"> increased the maximum</w:t>
      </w:r>
      <w:r>
        <w:rPr>
          <w:rFonts w:cs="Calibri"/>
          <w:szCs w:val="22"/>
          <w:lang w:val="en-GB"/>
        </w:rPr>
        <w:t xml:space="preserve">, mean, </w:t>
      </w:r>
      <w:r w:rsidRPr="00C20864">
        <w:rPr>
          <w:rFonts w:cs="Calibri"/>
          <w:szCs w:val="22"/>
          <w:lang w:val="en-GB"/>
        </w:rPr>
        <w:t xml:space="preserve">median </w:t>
      </w:r>
      <w:r>
        <w:rPr>
          <w:rFonts w:cs="Calibri"/>
          <w:szCs w:val="22"/>
          <w:lang w:val="en-GB"/>
        </w:rPr>
        <w:t xml:space="preserve">and coefficient of variation of </w:t>
      </w:r>
      <w:r w:rsidRPr="00C20864">
        <w:rPr>
          <w:rFonts w:cs="Calibri"/>
          <w:szCs w:val="22"/>
          <w:lang w:val="en-GB"/>
        </w:rPr>
        <w:t>discharge</w:t>
      </w:r>
      <w:r w:rsidRPr="00C20864">
        <w:rPr>
          <w:rFonts w:cs="Calibri"/>
          <w:szCs w:val="22"/>
          <w:vertAlign w:val="subscript"/>
          <w:lang w:val="en-GB"/>
        </w:rPr>
        <w:t xml:space="preserve"> </w:t>
      </w:r>
      <w:r w:rsidRPr="00C20864">
        <w:rPr>
          <w:rFonts w:cs="Calibri"/>
          <w:szCs w:val="22"/>
          <w:lang w:val="en-GB"/>
        </w:rPr>
        <w:t xml:space="preserve">in Yallakool Creek, </w:t>
      </w:r>
      <w:r>
        <w:rPr>
          <w:rFonts w:cs="Calibri"/>
          <w:szCs w:val="22"/>
          <w:lang w:val="en-GB"/>
        </w:rPr>
        <w:t xml:space="preserve">and </w:t>
      </w:r>
      <w:r w:rsidRPr="00C20864">
        <w:rPr>
          <w:rFonts w:cs="Calibri"/>
          <w:szCs w:val="22"/>
          <w:lang w:val="en-GB"/>
        </w:rPr>
        <w:t xml:space="preserve">Wakool River zones 3 and 4 </w:t>
      </w:r>
      <w:r w:rsidRPr="00862A0B">
        <w:rPr>
          <w:rFonts w:cs="Calibri"/>
          <w:szCs w:val="22"/>
          <w:lang w:val="en-GB"/>
        </w:rPr>
        <w:t xml:space="preserve">that received the environmental water. </w:t>
      </w:r>
    </w:p>
    <w:p w:rsidR="00345436" w:rsidRPr="00862A0B" w:rsidRDefault="00345436" w:rsidP="00345436">
      <w:pPr>
        <w:pStyle w:val="ListParagraph"/>
        <w:numPr>
          <w:ilvl w:val="0"/>
          <w:numId w:val="32"/>
        </w:numPr>
        <w:spacing w:after="0"/>
        <w:ind w:left="851" w:hanging="425"/>
        <w:jc w:val="left"/>
        <w:rPr>
          <w:rFonts w:cs="Calibri"/>
          <w:szCs w:val="22"/>
          <w:lang w:val="en-GB"/>
        </w:rPr>
      </w:pPr>
      <w:r w:rsidRPr="00862A0B">
        <w:rPr>
          <w:rFonts w:cs="Calibri"/>
          <w:szCs w:val="22"/>
          <w:lang w:val="en-GB"/>
        </w:rPr>
        <w:t xml:space="preserve">The maximum, mean and median discharge in Wakool River zone 2 that did not receive environmental water was lower than in all of the other rivers. </w:t>
      </w:r>
    </w:p>
    <w:p w:rsidR="00345436" w:rsidRPr="00345436" w:rsidRDefault="00345436" w:rsidP="00345436">
      <w:pPr>
        <w:pStyle w:val="ListParagraph"/>
        <w:numPr>
          <w:ilvl w:val="0"/>
          <w:numId w:val="32"/>
        </w:numPr>
        <w:spacing w:after="0"/>
        <w:ind w:left="851" w:hanging="425"/>
        <w:jc w:val="left"/>
        <w:rPr>
          <w:rFonts w:cs="Calibri"/>
          <w:sz w:val="20"/>
          <w:lang w:val="en-GB"/>
        </w:rPr>
      </w:pPr>
      <w:r w:rsidRPr="00862A0B">
        <w:rPr>
          <w:rFonts w:cs="Calibri"/>
          <w:szCs w:val="22"/>
          <w:lang w:val="en-GB"/>
        </w:rPr>
        <w:t>The coefficient of variation of daily discharge was v</w:t>
      </w:r>
      <w:r>
        <w:rPr>
          <w:rFonts w:cs="Calibri"/>
          <w:szCs w:val="22"/>
          <w:lang w:val="en-GB"/>
        </w:rPr>
        <w:t xml:space="preserve">ery high in Wakool River zone 2 </w:t>
      </w:r>
      <w:r w:rsidRPr="00862A0B">
        <w:rPr>
          <w:rFonts w:cs="Calibri"/>
          <w:szCs w:val="22"/>
          <w:lang w:val="en-GB"/>
        </w:rPr>
        <w:t xml:space="preserve">that did not receive any environmental water </w:t>
      </w:r>
      <w:r>
        <w:rPr>
          <w:rFonts w:cs="Calibri"/>
          <w:szCs w:val="22"/>
          <w:lang w:val="en-GB"/>
        </w:rPr>
        <w:t>but did receive</w:t>
      </w:r>
      <w:r w:rsidRPr="00862A0B">
        <w:rPr>
          <w:rFonts w:cs="Calibri"/>
          <w:szCs w:val="22"/>
          <w:lang w:val="en-GB"/>
        </w:rPr>
        <w:t xml:space="preserve"> the MDBA operat</w:t>
      </w:r>
      <w:r>
        <w:rPr>
          <w:rFonts w:cs="Calibri"/>
          <w:szCs w:val="22"/>
          <w:lang w:val="en-GB"/>
        </w:rPr>
        <w:t>ional flow in March/April 2015 that had a steep rise and fast recession.</w:t>
      </w:r>
    </w:p>
    <w:p w:rsidR="00345436" w:rsidRPr="007D5DD5" w:rsidRDefault="00345436" w:rsidP="007D5DD5">
      <w:pPr>
        <w:spacing w:after="0"/>
        <w:ind w:left="426"/>
        <w:jc w:val="left"/>
        <w:rPr>
          <w:rFonts w:cs="Calibri"/>
          <w:sz w:val="20"/>
          <w:lang w:val="en-GB"/>
        </w:rPr>
      </w:pPr>
    </w:p>
    <w:p w:rsidR="00A9018E" w:rsidRPr="00A9018E" w:rsidRDefault="00A9018E" w:rsidP="00A9018E">
      <w:pPr>
        <w:spacing w:after="0" w:line="240" w:lineRule="auto"/>
        <w:rPr>
          <w:bCs/>
          <w:sz w:val="20"/>
        </w:rPr>
      </w:pPr>
      <w:r w:rsidRPr="00A9018E">
        <w:rPr>
          <w:b/>
          <w:bCs/>
          <w:sz w:val="20"/>
        </w:rPr>
        <w:t>Table 4.</w:t>
      </w:r>
      <w:r w:rsidR="00AC63AE">
        <w:rPr>
          <w:b/>
          <w:bCs/>
          <w:sz w:val="20"/>
        </w:rPr>
        <w:t>1</w:t>
      </w:r>
      <w:r w:rsidRPr="00A9018E">
        <w:rPr>
          <w:b/>
          <w:bCs/>
          <w:sz w:val="20"/>
        </w:rPr>
        <w:t xml:space="preserve">. </w:t>
      </w:r>
      <w:r w:rsidRPr="00A9018E">
        <w:rPr>
          <w:bCs/>
          <w:sz w:val="20"/>
        </w:rPr>
        <w:t>Summary hydrological statistics</w:t>
      </w:r>
      <w:r w:rsidR="001F6A6B">
        <w:rPr>
          <w:bCs/>
          <w:sz w:val="20"/>
        </w:rPr>
        <w:t xml:space="preserve"> (ML/day)</w:t>
      </w:r>
      <w:r w:rsidRPr="00A9018E">
        <w:rPr>
          <w:bCs/>
          <w:sz w:val="20"/>
        </w:rPr>
        <w:t xml:space="preserve"> for four hydrological zones in the Edward-Wakool system for the 2014-15 water year (1/7/14 to 30/6/2015). Statistics are shown for each zone with and without Commonwealth Environmental Water</w:t>
      </w:r>
      <w:r w:rsidR="00866FD3">
        <w:rPr>
          <w:bCs/>
          <w:sz w:val="20"/>
        </w:rPr>
        <w:t xml:space="preserve"> (CEW)</w:t>
      </w:r>
      <w:r w:rsidRPr="00A9018E">
        <w:rPr>
          <w:bCs/>
          <w:sz w:val="20"/>
        </w:rPr>
        <w:t>.</w:t>
      </w:r>
    </w:p>
    <w:tbl>
      <w:tblPr>
        <w:tblW w:w="8861" w:type="dxa"/>
        <w:tblInd w:w="70" w:type="dxa"/>
        <w:tblLayout w:type="fixed"/>
        <w:tblLook w:val="04A0"/>
      </w:tblPr>
      <w:tblGrid>
        <w:gridCol w:w="1631"/>
        <w:gridCol w:w="985"/>
        <w:gridCol w:w="858"/>
        <w:gridCol w:w="1134"/>
        <w:gridCol w:w="992"/>
        <w:gridCol w:w="993"/>
        <w:gridCol w:w="283"/>
        <w:gridCol w:w="992"/>
        <w:gridCol w:w="993"/>
      </w:tblGrid>
      <w:tr w:rsidR="00A9018E" w:rsidRPr="00CB4561" w:rsidTr="00573A30">
        <w:trPr>
          <w:trHeight w:val="290"/>
        </w:trPr>
        <w:tc>
          <w:tcPr>
            <w:tcW w:w="1631" w:type="dxa"/>
            <w:tcBorders>
              <w:top w:val="single" w:sz="4" w:space="0" w:color="auto"/>
            </w:tcBorders>
            <w:shd w:val="clear" w:color="auto" w:fill="EAF1DD"/>
            <w:hideMark/>
          </w:tcPr>
          <w:p w:rsidR="00A9018E" w:rsidRPr="00EE76E9" w:rsidRDefault="00A9018E" w:rsidP="00573A30">
            <w:pPr>
              <w:autoSpaceDE w:val="0"/>
              <w:autoSpaceDN w:val="0"/>
              <w:adjustRightInd w:val="0"/>
              <w:spacing w:after="0" w:line="240" w:lineRule="auto"/>
              <w:rPr>
                <w:rFonts w:cs="Calibri"/>
                <w:b/>
                <w:color w:val="000000"/>
                <w:lang w:eastAsia="en-AU"/>
              </w:rPr>
            </w:pPr>
            <w:r w:rsidRPr="00EE76E9">
              <w:rPr>
                <w:rFonts w:cs="Calibri"/>
                <w:b/>
                <w:color w:val="000000"/>
                <w:lang w:eastAsia="en-AU"/>
              </w:rPr>
              <w:t>Flow variable</w:t>
            </w:r>
          </w:p>
        </w:tc>
        <w:tc>
          <w:tcPr>
            <w:tcW w:w="1843" w:type="dxa"/>
            <w:gridSpan w:val="2"/>
            <w:tcBorders>
              <w:top w:val="single" w:sz="4" w:space="0" w:color="auto"/>
              <w:bottom w:val="single" w:sz="4" w:space="0" w:color="auto"/>
            </w:tcBorders>
            <w:shd w:val="clear" w:color="auto" w:fill="EAF1DD"/>
            <w:hideMark/>
          </w:tcPr>
          <w:p w:rsidR="00A9018E" w:rsidRPr="00EE76E9" w:rsidRDefault="00A9018E" w:rsidP="00573A30">
            <w:pPr>
              <w:autoSpaceDE w:val="0"/>
              <w:autoSpaceDN w:val="0"/>
              <w:adjustRightInd w:val="0"/>
              <w:spacing w:after="0" w:line="240" w:lineRule="auto"/>
              <w:rPr>
                <w:rFonts w:cs="Calibri"/>
                <w:b/>
                <w:color w:val="000000"/>
                <w:lang w:eastAsia="en-AU"/>
              </w:rPr>
            </w:pPr>
            <w:r w:rsidRPr="00EE76E9">
              <w:rPr>
                <w:rFonts w:cs="Calibri"/>
                <w:b/>
                <w:color w:val="000000"/>
                <w:lang w:eastAsia="en-AU"/>
              </w:rPr>
              <w:t>Yallakool Ck</w:t>
            </w:r>
          </w:p>
        </w:tc>
        <w:tc>
          <w:tcPr>
            <w:tcW w:w="1134" w:type="dxa"/>
            <w:tcBorders>
              <w:top w:val="single" w:sz="4" w:space="0" w:color="auto"/>
            </w:tcBorders>
            <w:shd w:val="clear" w:color="auto" w:fill="EAF1DD"/>
            <w:hideMark/>
          </w:tcPr>
          <w:p w:rsidR="00A9018E" w:rsidRPr="00EE76E9" w:rsidRDefault="00A9018E" w:rsidP="00573A30">
            <w:pPr>
              <w:autoSpaceDE w:val="0"/>
              <w:autoSpaceDN w:val="0"/>
              <w:adjustRightInd w:val="0"/>
              <w:spacing w:after="0" w:line="240" w:lineRule="auto"/>
              <w:rPr>
                <w:rFonts w:cs="Calibri"/>
                <w:b/>
                <w:color w:val="000000"/>
                <w:lang w:eastAsia="en-AU"/>
              </w:rPr>
            </w:pPr>
            <w:r w:rsidRPr="00EE76E9">
              <w:rPr>
                <w:rFonts w:cs="Calibri"/>
                <w:b/>
                <w:color w:val="000000"/>
                <w:lang w:eastAsia="en-AU"/>
              </w:rPr>
              <w:t>Wakool R zone2</w:t>
            </w:r>
          </w:p>
        </w:tc>
        <w:tc>
          <w:tcPr>
            <w:tcW w:w="1985" w:type="dxa"/>
            <w:gridSpan w:val="2"/>
            <w:tcBorders>
              <w:top w:val="single" w:sz="4" w:space="0" w:color="auto"/>
              <w:bottom w:val="single" w:sz="4" w:space="0" w:color="auto"/>
            </w:tcBorders>
            <w:shd w:val="clear" w:color="auto" w:fill="EAF1DD"/>
            <w:hideMark/>
          </w:tcPr>
          <w:p w:rsidR="00A9018E" w:rsidRPr="00EE76E9" w:rsidRDefault="00A9018E" w:rsidP="00573A30">
            <w:pPr>
              <w:autoSpaceDE w:val="0"/>
              <w:autoSpaceDN w:val="0"/>
              <w:adjustRightInd w:val="0"/>
              <w:spacing w:after="0" w:line="240" w:lineRule="auto"/>
              <w:rPr>
                <w:rFonts w:cs="Calibri"/>
                <w:b/>
                <w:color w:val="000000"/>
                <w:lang w:eastAsia="en-AU"/>
              </w:rPr>
            </w:pPr>
            <w:r w:rsidRPr="00EE76E9">
              <w:rPr>
                <w:rFonts w:cs="Calibri"/>
                <w:b/>
                <w:color w:val="000000"/>
                <w:lang w:eastAsia="en-AU"/>
              </w:rPr>
              <w:t>Wakool R zone 3</w:t>
            </w:r>
          </w:p>
        </w:tc>
        <w:tc>
          <w:tcPr>
            <w:tcW w:w="283" w:type="dxa"/>
            <w:tcBorders>
              <w:top w:val="single" w:sz="4" w:space="0" w:color="auto"/>
            </w:tcBorders>
            <w:shd w:val="clear" w:color="auto" w:fill="EAF1DD"/>
          </w:tcPr>
          <w:p w:rsidR="00A9018E" w:rsidRPr="00EE76E9" w:rsidRDefault="00A9018E" w:rsidP="00573A30">
            <w:pPr>
              <w:autoSpaceDE w:val="0"/>
              <w:autoSpaceDN w:val="0"/>
              <w:adjustRightInd w:val="0"/>
              <w:spacing w:after="0" w:line="240" w:lineRule="auto"/>
              <w:rPr>
                <w:rFonts w:cs="Calibri"/>
                <w:b/>
                <w:color w:val="000000"/>
                <w:lang w:eastAsia="en-AU"/>
              </w:rPr>
            </w:pPr>
          </w:p>
        </w:tc>
        <w:tc>
          <w:tcPr>
            <w:tcW w:w="1985" w:type="dxa"/>
            <w:gridSpan w:val="2"/>
            <w:tcBorders>
              <w:top w:val="single" w:sz="4" w:space="0" w:color="auto"/>
              <w:bottom w:val="single" w:sz="4" w:space="0" w:color="auto"/>
            </w:tcBorders>
            <w:shd w:val="clear" w:color="auto" w:fill="EAF1DD"/>
            <w:hideMark/>
          </w:tcPr>
          <w:p w:rsidR="00A9018E" w:rsidRPr="00EE76E9" w:rsidRDefault="00A9018E" w:rsidP="00573A30">
            <w:pPr>
              <w:autoSpaceDE w:val="0"/>
              <w:autoSpaceDN w:val="0"/>
              <w:adjustRightInd w:val="0"/>
              <w:spacing w:after="0" w:line="240" w:lineRule="auto"/>
              <w:rPr>
                <w:rFonts w:cs="Calibri"/>
                <w:b/>
                <w:color w:val="000000"/>
                <w:lang w:eastAsia="en-AU"/>
              </w:rPr>
            </w:pPr>
            <w:r w:rsidRPr="00EE76E9">
              <w:rPr>
                <w:rFonts w:cs="Calibri"/>
                <w:b/>
                <w:color w:val="000000"/>
                <w:lang w:eastAsia="en-AU"/>
              </w:rPr>
              <w:t>Wakool R zone 4</w:t>
            </w:r>
          </w:p>
        </w:tc>
      </w:tr>
      <w:tr w:rsidR="00A9018E" w:rsidRPr="00CB4561" w:rsidTr="00573A30">
        <w:trPr>
          <w:trHeight w:val="290"/>
        </w:trPr>
        <w:tc>
          <w:tcPr>
            <w:tcW w:w="1631" w:type="dxa"/>
            <w:tcBorders>
              <w:bottom w:val="single" w:sz="4" w:space="0" w:color="auto"/>
            </w:tcBorders>
          </w:tcPr>
          <w:p w:rsidR="00A9018E" w:rsidRPr="00EE76E9" w:rsidRDefault="00A9018E" w:rsidP="00573A30">
            <w:pPr>
              <w:autoSpaceDE w:val="0"/>
              <w:autoSpaceDN w:val="0"/>
              <w:adjustRightInd w:val="0"/>
              <w:spacing w:after="0" w:line="240" w:lineRule="auto"/>
              <w:rPr>
                <w:rFonts w:cs="Calibri"/>
                <w:color w:val="000000"/>
                <w:lang w:eastAsia="en-AU"/>
              </w:rPr>
            </w:pPr>
          </w:p>
        </w:tc>
        <w:tc>
          <w:tcPr>
            <w:tcW w:w="985" w:type="dxa"/>
            <w:tcBorders>
              <w:top w:val="single" w:sz="4" w:space="0" w:color="auto"/>
              <w:bottom w:val="single" w:sz="4" w:space="0" w:color="auto"/>
            </w:tcBorders>
          </w:tcPr>
          <w:p w:rsidR="00A9018E" w:rsidRPr="009F7038" w:rsidRDefault="00A9018E" w:rsidP="00573A30">
            <w:pPr>
              <w:autoSpaceDE w:val="0"/>
              <w:autoSpaceDN w:val="0"/>
              <w:adjustRightInd w:val="0"/>
              <w:spacing w:after="0" w:line="240" w:lineRule="auto"/>
              <w:jc w:val="center"/>
              <w:rPr>
                <w:rFonts w:cs="Calibri"/>
                <w:color w:val="000000"/>
                <w:sz w:val="20"/>
                <w:lang w:eastAsia="en-AU"/>
              </w:rPr>
            </w:pPr>
            <w:r w:rsidRPr="009F7038">
              <w:rPr>
                <w:rFonts w:cs="Calibri"/>
                <w:color w:val="000000"/>
                <w:sz w:val="20"/>
                <w:lang w:eastAsia="en-AU"/>
              </w:rPr>
              <w:t>Without CEW</w:t>
            </w:r>
          </w:p>
        </w:tc>
        <w:tc>
          <w:tcPr>
            <w:tcW w:w="858" w:type="dxa"/>
            <w:tcBorders>
              <w:top w:val="single" w:sz="4" w:space="0" w:color="auto"/>
              <w:bottom w:val="single" w:sz="4" w:space="0" w:color="auto"/>
            </w:tcBorders>
          </w:tcPr>
          <w:p w:rsidR="00A9018E" w:rsidRPr="009F7038" w:rsidRDefault="00A9018E" w:rsidP="00573A30">
            <w:pPr>
              <w:autoSpaceDE w:val="0"/>
              <w:autoSpaceDN w:val="0"/>
              <w:adjustRightInd w:val="0"/>
              <w:spacing w:after="0" w:line="240" w:lineRule="auto"/>
              <w:jc w:val="center"/>
              <w:rPr>
                <w:rFonts w:cs="Calibri"/>
                <w:color w:val="000000"/>
                <w:sz w:val="20"/>
                <w:lang w:eastAsia="en-AU"/>
              </w:rPr>
            </w:pPr>
            <w:r w:rsidRPr="009F7038">
              <w:rPr>
                <w:rFonts w:cs="Calibri"/>
                <w:color w:val="000000"/>
                <w:sz w:val="20"/>
                <w:lang w:eastAsia="en-AU"/>
              </w:rPr>
              <w:t>With CEW</w:t>
            </w:r>
          </w:p>
        </w:tc>
        <w:tc>
          <w:tcPr>
            <w:tcW w:w="1134" w:type="dxa"/>
            <w:tcBorders>
              <w:bottom w:val="single" w:sz="4" w:space="0" w:color="auto"/>
            </w:tcBorders>
          </w:tcPr>
          <w:p w:rsidR="00A9018E" w:rsidRPr="00EE76E9" w:rsidRDefault="00A9018E" w:rsidP="00573A30">
            <w:pPr>
              <w:autoSpaceDE w:val="0"/>
              <w:autoSpaceDN w:val="0"/>
              <w:adjustRightInd w:val="0"/>
              <w:spacing w:after="0" w:line="240" w:lineRule="auto"/>
              <w:jc w:val="center"/>
              <w:rPr>
                <w:rFonts w:cs="Calibri"/>
                <w:color w:val="000000"/>
                <w:lang w:eastAsia="en-AU"/>
              </w:rPr>
            </w:pPr>
          </w:p>
        </w:tc>
        <w:tc>
          <w:tcPr>
            <w:tcW w:w="992" w:type="dxa"/>
            <w:tcBorders>
              <w:top w:val="single" w:sz="4" w:space="0" w:color="auto"/>
              <w:bottom w:val="single" w:sz="4" w:space="0" w:color="auto"/>
            </w:tcBorders>
          </w:tcPr>
          <w:p w:rsidR="00A9018E" w:rsidRPr="00EE76E9" w:rsidRDefault="00A9018E" w:rsidP="00573A30">
            <w:pPr>
              <w:autoSpaceDE w:val="0"/>
              <w:autoSpaceDN w:val="0"/>
              <w:adjustRightInd w:val="0"/>
              <w:spacing w:after="0" w:line="240" w:lineRule="auto"/>
              <w:jc w:val="center"/>
              <w:rPr>
                <w:rFonts w:cs="Calibri"/>
                <w:color w:val="000000"/>
                <w:lang w:eastAsia="en-AU"/>
              </w:rPr>
            </w:pPr>
            <w:r w:rsidRPr="009F7038">
              <w:rPr>
                <w:rFonts w:cs="Calibri"/>
                <w:color w:val="000000"/>
                <w:sz w:val="20"/>
                <w:lang w:eastAsia="en-AU"/>
              </w:rPr>
              <w:t>Without CEW</w:t>
            </w:r>
          </w:p>
        </w:tc>
        <w:tc>
          <w:tcPr>
            <w:tcW w:w="993" w:type="dxa"/>
            <w:tcBorders>
              <w:top w:val="single" w:sz="4" w:space="0" w:color="auto"/>
              <w:bottom w:val="single" w:sz="4" w:space="0" w:color="auto"/>
            </w:tcBorders>
          </w:tcPr>
          <w:p w:rsidR="00A9018E" w:rsidRPr="00EE76E9" w:rsidRDefault="00A9018E" w:rsidP="00573A30">
            <w:pPr>
              <w:autoSpaceDE w:val="0"/>
              <w:autoSpaceDN w:val="0"/>
              <w:adjustRightInd w:val="0"/>
              <w:spacing w:after="0" w:line="240" w:lineRule="auto"/>
              <w:jc w:val="center"/>
              <w:rPr>
                <w:rFonts w:cs="Calibri"/>
                <w:color w:val="000000"/>
                <w:lang w:eastAsia="en-AU"/>
              </w:rPr>
            </w:pPr>
            <w:r w:rsidRPr="009F7038">
              <w:rPr>
                <w:rFonts w:cs="Calibri"/>
                <w:color w:val="000000"/>
                <w:sz w:val="20"/>
                <w:lang w:eastAsia="en-AU"/>
              </w:rPr>
              <w:t>With CEW</w:t>
            </w:r>
          </w:p>
        </w:tc>
        <w:tc>
          <w:tcPr>
            <w:tcW w:w="283" w:type="dxa"/>
            <w:tcBorders>
              <w:bottom w:val="single" w:sz="4" w:space="0" w:color="auto"/>
            </w:tcBorders>
          </w:tcPr>
          <w:p w:rsidR="00A9018E" w:rsidRPr="009F7038" w:rsidRDefault="00A9018E" w:rsidP="00573A30">
            <w:pPr>
              <w:autoSpaceDE w:val="0"/>
              <w:autoSpaceDN w:val="0"/>
              <w:adjustRightInd w:val="0"/>
              <w:spacing w:after="0" w:line="240" w:lineRule="auto"/>
              <w:jc w:val="center"/>
              <w:rPr>
                <w:rFonts w:cs="Calibri"/>
                <w:color w:val="000000"/>
                <w:sz w:val="20"/>
                <w:lang w:eastAsia="en-AU"/>
              </w:rPr>
            </w:pPr>
          </w:p>
        </w:tc>
        <w:tc>
          <w:tcPr>
            <w:tcW w:w="992" w:type="dxa"/>
            <w:tcBorders>
              <w:top w:val="single" w:sz="4" w:space="0" w:color="auto"/>
              <w:bottom w:val="single" w:sz="4" w:space="0" w:color="auto"/>
            </w:tcBorders>
          </w:tcPr>
          <w:p w:rsidR="00A9018E" w:rsidRPr="00EE76E9" w:rsidRDefault="00A9018E" w:rsidP="00573A30">
            <w:pPr>
              <w:autoSpaceDE w:val="0"/>
              <w:autoSpaceDN w:val="0"/>
              <w:adjustRightInd w:val="0"/>
              <w:spacing w:after="0" w:line="240" w:lineRule="auto"/>
              <w:jc w:val="center"/>
              <w:rPr>
                <w:rFonts w:cs="Calibri"/>
                <w:color w:val="000000"/>
                <w:lang w:eastAsia="en-AU"/>
              </w:rPr>
            </w:pPr>
            <w:r w:rsidRPr="009F7038">
              <w:rPr>
                <w:rFonts w:cs="Calibri"/>
                <w:color w:val="000000"/>
                <w:sz w:val="20"/>
                <w:lang w:eastAsia="en-AU"/>
              </w:rPr>
              <w:t>Without CEW</w:t>
            </w:r>
          </w:p>
        </w:tc>
        <w:tc>
          <w:tcPr>
            <w:tcW w:w="993" w:type="dxa"/>
            <w:tcBorders>
              <w:top w:val="single" w:sz="4" w:space="0" w:color="auto"/>
              <w:bottom w:val="single" w:sz="4" w:space="0" w:color="auto"/>
            </w:tcBorders>
          </w:tcPr>
          <w:p w:rsidR="00A9018E" w:rsidRPr="00EE76E9" w:rsidRDefault="00A9018E" w:rsidP="00573A30">
            <w:pPr>
              <w:autoSpaceDE w:val="0"/>
              <w:autoSpaceDN w:val="0"/>
              <w:adjustRightInd w:val="0"/>
              <w:spacing w:after="0" w:line="240" w:lineRule="auto"/>
              <w:jc w:val="center"/>
              <w:rPr>
                <w:rFonts w:cs="Calibri"/>
                <w:color w:val="000000"/>
                <w:lang w:eastAsia="en-AU"/>
              </w:rPr>
            </w:pPr>
            <w:r w:rsidRPr="009F7038">
              <w:rPr>
                <w:rFonts w:cs="Calibri"/>
                <w:color w:val="000000"/>
                <w:sz w:val="20"/>
                <w:lang w:eastAsia="en-AU"/>
              </w:rPr>
              <w:t>With CEW</w:t>
            </w:r>
          </w:p>
        </w:tc>
      </w:tr>
      <w:tr w:rsidR="00A9018E" w:rsidRPr="00CB4561" w:rsidTr="00573A30">
        <w:trPr>
          <w:trHeight w:val="290"/>
        </w:trPr>
        <w:tc>
          <w:tcPr>
            <w:tcW w:w="1631" w:type="dxa"/>
            <w:tcBorders>
              <w:top w:val="single" w:sz="4" w:space="0" w:color="auto"/>
            </w:tcBorders>
            <w:hideMark/>
          </w:tcPr>
          <w:p w:rsidR="00A9018E" w:rsidRPr="00EE76E9" w:rsidRDefault="00A9018E" w:rsidP="00AC63AE">
            <w:pPr>
              <w:autoSpaceDE w:val="0"/>
              <w:autoSpaceDN w:val="0"/>
              <w:adjustRightInd w:val="0"/>
              <w:spacing w:after="0" w:line="280" w:lineRule="exact"/>
              <w:rPr>
                <w:rFonts w:cs="Calibri"/>
                <w:color w:val="000000"/>
                <w:lang w:eastAsia="en-AU"/>
              </w:rPr>
            </w:pPr>
            <w:r w:rsidRPr="00EE76E9">
              <w:rPr>
                <w:rFonts w:cs="Calibri"/>
                <w:color w:val="000000"/>
                <w:lang w:eastAsia="en-AU"/>
              </w:rPr>
              <w:t>Q</w:t>
            </w:r>
            <w:r w:rsidRPr="00EE76E9">
              <w:rPr>
                <w:rFonts w:cs="Calibri"/>
                <w:color w:val="000000"/>
                <w:vertAlign w:val="subscript"/>
                <w:lang w:eastAsia="en-AU"/>
              </w:rPr>
              <w:t>min</w:t>
            </w:r>
          </w:p>
        </w:tc>
        <w:tc>
          <w:tcPr>
            <w:tcW w:w="985" w:type="dxa"/>
            <w:tcBorders>
              <w:top w:val="single" w:sz="4" w:space="0" w:color="auto"/>
            </w:tcBorders>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858" w:type="dxa"/>
            <w:tcBorders>
              <w:top w:val="single" w:sz="4" w:space="0" w:color="auto"/>
            </w:tcBorders>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1134" w:type="dxa"/>
            <w:tcBorders>
              <w:top w:val="single" w:sz="4" w:space="0" w:color="auto"/>
            </w:tcBorders>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992" w:type="dxa"/>
            <w:tcBorders>
              <w:top w:val="single" w:sz="4" w:space="0" w:color="auto"/>
            </w:tcBorders>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993" w:type="dxa"/>
            <w:tcBorders>
              <w:top w:val="single" w:sz="4" w:space="0" w:color="auto"/>
            </w:tcBorders>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283" w:type="dxa"/>
            <w:tcBorders>
              <w:top w:val="single" w:sz="4" w:space="0" w:color="auto"/>
            </w:tcBorders>
          </w:tcPr>
          <w:p w:rsidR="00A9018E" w:rsidRDefault="00A9018E" w:rsidP="00AC63AE">
            <w:pPr>
              <w:autoSpaceDE w:val="0"/>
              <w:autoSpaceDN w:val="0"/>
              <w:adjustRightInd w:val="0"/>
              <w:spacing w:after="0" w:line="280" w:lineRule="exact"/>
              <w:jc w:val="right"/>
              <w:rPr>
                <w:rFonts w:cs="Calibri"/>
                <w:color w:val="000000"/>
                <w:lang w:eastAsia="en-AU"/>
              </w:rPr>
            </w:pPr>
          </w:p>
        </w:tc>
        <w:tc>
          <w:tcPr>
            <w:tcW w:w="992" w:type="dxa"/>
            <w:tcBorders>
              <w:top w:val="single" w:sz="4" w:space="0" w:color="auto"/>
            </w:tcBorders>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4.7</w:t>
            </w:r>
          </w:p>
        </w:tc>
        <w:tc>
          <w:tcPr>
            <w:tcW w:w="993" w:type="dxa"/>
            <w:tcBorders>
              <w:top w:val="single" w:sz="4" w:space="0" w:color="auto"/>
            </w:tcBorders>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4.7</w:t>
            </w:r>
          </w:p>
        </w:tc>
      </w:tr>
      <w:tr w:rsidR="00A9018E" w:rsidRPr="00CB4561" w:rsidTr="00573A30">
        <w:trPr>
          <w:trHeight w:val="290"/>
        </w:trPr>
        <w:tc>
          <w:tcPr>
            <w:tcW w:w="1631" w:type="dxa"/>
            <w:hideMark/>
          </w:tcPr>
          <w:p w:rsidR="00A9018E" w:rsidRPr="00EE76E9" w:rsidRDefault="00A9018E" w:rsidP="00AC63AE">
            <w:pPr>
              <w:autoSpaceDE w:val="0"/>
              <w:autoSpaceDN w:val="0"/>
              <w:adjustRightInd w:val="0"/>
              <w:spacing w:after="0" w:line="280" w:lineRule="exact"/>
              <w:rPr>
                <w:rFonts w:cs="Calibri"/>
                <w:color w:val="000000"/>
                <w:lang w:eastAsia="en-AU"/>
              </w:rPr>
            </w:pPr>
            <w:r w:rsidRPr="00EE76E9">
              <w:rPr>
                <w:rFonts w:cs="Calibri"/>
                <w:color w:val="000000"/>
                <w:lang w:eastAsia="en-AU"/>
              </w:rPr>
              <w:t>Q</w:t>
            </w:r>
            <w:r w:rsidRPr="00EE76E9">
              <w:rPr>
                <w:rFonts w:cs="Calibri"/>
                <w:color w:val="000000"/>
                <w:vertAlign w:val="subscript"/>
                <w:lang w:eastAsia="en-AU"/>
              </w:rPr>
              <w:t>max</w:t>
            </w:r>
          </w:p>
        </w:tc>
        <w:tc>
          <w:tcPr>
            <w:tcW w:w="985" w:type="dxa"/>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508.6</w:t>
            </w:r>
          </w:p>
        </w:tc>
        <w:tc>
          <w:tcPr>
            <w:tcW w:w="858" w:type="dxa"/>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546.5</w:t>
            </w:r>
          </w:p>
        </w:tc>
        <w:tc>
          <w:tcPr>
            <w:tcW w:w="1134" w:type="dxa"/>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370.2</w:t>
            </w:r>
          </w:p>
        </w:tc>
        <w:tc>
          <w:tcPr>
            <w:tcW w:w="992" w:type="dxa"/>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478.1</w:t>
            </w:r>
          </w:p>
        </w:tc>
        <w:tc>
          <w:tcPr>
            <w:tcW w:w="993" w:type="dxa"/>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539.6</w:t>
            </w:r>
          </w:p>
        </w:tc>
        <w:tc>
          <w:tcPr>
            <w:tcW w:w="283" w:type="dxa"/>
          </w:tcPr>
          <w:p w:rsidR="00A9018E" w:rsidRDefault="00A9018E" w:rsidP="00AC63AE">
            <w:pPr>
              <w:autoSpaceDE w:val="0"/>
              <w:autoSpaceDN w:val="0"/>
              <w:adjustRightInd w:val="0"/>
              <w:spacing w:after="0" w:line="280" w:lineRule="exact"/>
              <w:jc w:val="right"/>
              <w:rPr>
                <w:rFonts w:cs="Calibri"/>
                <w:color w:val="000000"/>
                <w:lang w:eastAsia="en-AU"/>
              </w:rPr>
            </w:pPr>
          </w:p>
        </w:tc>
        <w:tc>
          <w:tcPr>
            <w:tcW w:w="992" w:type="dxa"/>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484.6</w:t>
            </w:r>
          </w:p>
        </w:tc>
        <w:tc>
          <w:tcPr>
            <w:tcW w:w="993" w:type="dxa"/>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514.0</w:t>
            </w:r>
          </w:p>
        </w:tc>
      </w:tr>
      <w:tr w:rsidR="00A9018E" w:rsidRPr="00CB4561" w:rsidTr="00573A30">
        <w:trPr>
          <w:trHeight w:val="290"/>
        </w:trPr>
        <w:tc>
          <w:tcPr>
            <w:tcW w:w="1631" w:type="dxa"/>
            <w:hideMark/>
          </w:tcPr>
          <w:p w:rsidR="00A9018E" w:rsidRPr="00EE76E9" w:rsidRDefault="00A9018E" w:rsidP="00AC63AE">
            <w:pPr>
              <w:autoSpaceDE w:val="0"/>
              <w:autoSpaceDN w:val="0"/>
              <w:adjustRightInd w:val="0"/>
              <w:spacing w:after="0" w:line="280" w:lineRule="exact"/>
              <w:rPr>
                <w:rFonts w:cs="Calibri"/>
                <w:color w:val="000000"/>
                <w:lang w:eastAsia="en-AU"/>
              </w:rPr>
            </w:pPr>
            <w:r w:rsidRPr="00EE76E9">
              <w:rPr>
                <w:rFonts w:cs="Calibri"/>
                <w:color w:val="000000"/>
                <w:sz w:val="20"/>
                <w:lang w:eastAsia="en-AU"/>
              </w:rPr>
              <w:t>mean</w:t>
            </w:r>
            <w:r w:rsidRPr="00EE76E9">
              <w:rPr>
                <w:rFonts w:cs="Calibri"/>
                <w:color w:val="000000"/>
                <w:lang w:eastAsia="en-AU"/>
              </w:rPr>
              <w:t xml:space="preserve"> (Q</w:t>
            </w:r>
            <w:r w:rsidRPr="00EE76E9">
              <w:rPr>
                <w:rFonts w:cs="Calibri"/>
                <w:color w:val="000000"/>
                <w:vertAlign w:val="subscript"/>
                <w:lang w:eastAsia="en-AU"/>
              </w:rPr>
              <w:t>mean</w:t>
            </w:r>
            <w:r w:rsidRPr="00EE76E9">
              <w:rPr>
                <w:rFonts w:cs="Calibri"/>
                <w:color w:val="000000"/>
                <w:lang w:eastAsia="en-AU"/>
              </w:rPr>
              <w:t>)</w:t>
            </w:r>
          </w:p>
        </w:tc>
        <w:tc>
          <w:tcPr>
            <w:tcW w:w="985" w:type="dxa"/>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229.9</w:t>
            </w:r>
          </w:p>
        </w:tc>
        <w:tc>
          <w:tcPr>
            <w:tcW w:w="858" w:type="dxa"/>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323.9</w:t>
            </w:r>
          </w:p>
        </w:tc>
        <w:tc>
          <w:tcPr>
            <w:tcW w:w="1134" w:type="dxa"/>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91.0</w:t>
            </w:r>
          </w:p>
        </w:tc>
        <w:tc>
          <w:tcPr>
            <w:tcW w:w="992" w:type="dxa"/>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215.9</w:t>
            </w:r>
          </w:p>
        </w:tc>
        <w:tc>
          <w:tcPr>
            <w:tcW w:w="993" w:type="dxa"/>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335.6</w:t>
            </w:r>
          </w:p>
        </w:tc>
        <w:tc>
          <w:tcPr>
            <w:tcW w:w="283" w:type="dxa"/>
          </w:tcPr>
          <w:p w:rsidR="00A9018E" w:rsidRDefault="00A9018E" w:rsidP="00AC63AE">
            <w:pPr>
              <w:autoSpaceDE w:val="0"/>
              <w:autoSpaceDN w:val="0"/>
              <w:adjustRightInd w:val="0"/>
              <w:spacing w:after="0" w:line="280" w:lineRule="exact"/>
              <w:jc w:val="right"/>
              <w:rPr>
                <w:rFonts w:cs="Calibri"/>
                <w:color w:val="000000"/>
                <w:lang w:eastAsia="en-AU"/>
              </w:rPr>
            </w:pPr>
          </w:p>
        </w:tc>
        <w:tc>
          <w:tcPr>
            <w:tcW w:w="992" w:type="dxa"/>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193.9</w:t>
            </w:r>
          </w:p>
        </w:tc>
        <w:tc>
          <w:tcPr>
            <w:tcW w:w="993" w:type="dxa"/>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325.0</w:t>
            </w:r>
          </w:p>
        </w:tc>
      </w:tr>
      <w:tr w:rsidR="00A9018E" w:rsidRPr="00CB4561" w:rsidTr="00573A30">
        <w:trPr>
          <w:trHeight w:val="290"/>
        </w:trPr>
        <w:tc>
          <w:tcPr>
            <w:tcW w:w="1631" w:type="dxa"/>
            <w:hideMark/>
          </w:tcPr>
          <w:p w:rsidR="00A9018E" w:rsidRPr="00EE76E9" w:rsidRDefault="00A9018E" w:rsidP="00AC63AE">
            <w:pPr>
              <w:autoSpaceDE w:val="0"/>
              <w:autoSpaceDN w:val="0"/>
              <w:adjustRightInd w:val="0"/>
              <w:spacing w:after="0" w:line="280" w:lineRule="exact"/>
              <w:rPr>
                <w:rFonts w:cs="Calibri"/>
                <w:color w:val="000000"/>
                <w:lang w:eastAsia="en-AU"/>
              </w:rPr>
            </w:pPr>
            <w:r w:rsidRPr="00EE76E9">
              <w:rPr>
                <w:rFonts w:cs="Calibri"/>
                <w:color w:val="000000"/>
                <w:sz w:val="20"/>
                <w:lang w:eastAsia="en-AU"/>
              </w:rPr>
              <w:t xml:space="preserve">median </w:t>
            </w:r>
            <w:r w:rsidRPr="00EE76E9">
              <w:rPr>
                <w:rFonts w:cs="Calibri"/>
                <w:color w:val="000000"/>
                <w:lang w:eastAsia="en-AU"/>
              </w:rPr>
              <w:t>(Q</w:t>
            </w:r>
            <w:r w:rsidRPr="00EE76E9">
              <w:rPr>
                <w:rFonts w:cs="Calibri"/>
                <w:color w:val="000000"/>
                <w:vertAlign w:val="subscript"/>
                <w:lang w:eastAsia="en-AU"/>
              </w:rPr>
              <w:t>50</w:t>
            </w:r>
            <w:r w:rsidRPr="00EE76E9">
              <w:rPr>
                <w:rFonts w:cs="Calibri"/>
                <w:color w:val="000000"/>
                <w:lang w:eastAsia="en-AU"/>
              </w:rPr>
              <w:t>)</w:t>
            </w:r>
          </w:p>
        </w:tc>
        <w:tc>
          <w:tcPr>
            <w:tcW w:w="985" w:type="dxa"/>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231.0</w:t>
            </w:r>
          </w:p>
        </w:tc>
        <w:tc>
          <w:tcPr>
            <w:tcW w:w="858" w:type="dxa"/>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324.6</w:t>
            </w:r>
          </w:p>
        </w:tc>
        <w:tc>
          <w:tcPr>
            <w:tcW w:w="1134" w:type="dxa"/>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77.8</w:t>
            </w:r>
          </w:p>
        </w:tc>
        <w:tc>
          <w:tcPr>
            <w:tcW w:w="992" w:type="dxa"/>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197.9</w:t>
            </w:r>
          </w:p>
        </w:tc>
        <w:tc>
          <w:tcPr>
            <w:tcW w:w="993" w:type="dxa"/>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389.5</w:t>
            </w:r>
          </w:p>
        </w:tc>
        <w:tc>
          <w:tcPr>
            <w:tcW w:w="283" w:type="dxa"/>
          </w:tcPr>
          <w:p w:rsidR="00A9018E" w:rsidRDefault="00A9018E" w:rsidP="00AC63AE">
            <w:pPr>
              <w:autoSpaceDE w:val="0"/>
              <w:autoSpaceDN w:val="0"/>
              <w:adjustRightInd w:val="0"/>
              <w:spacing w:after="0" w:line="280" w:lineRule="exact"/>
              <w:jc w:val="right"/>
              <w:rPr>
                <w:rFonts w:cs="Calibri"/>
                <w:color w:val="000000"/>
                <w:lang w:eastAsia="en-AU"/>
              </w:rPr>
            </w:pPr>
          </w:p>
        </w:tc>
        <w:tc>
          <w:tcPr>
            <w:tcW w:w="992" w:type="dxa"/>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157.3</w:t>
            </w:r>
          </w:p>
        </w:tc>
        <w:tc>
          <w:tcPr>
            <w:tcW w:w="993" w:type="dxa"/>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336.6</w:t>
            </w:r>
          </w:p>
        </w:tc>
      </w:tr>
      <w:tr w:rsidR="00A9018E" w:rsidRPr="00CB4561" w:rsidTr="00573A30">
        <w:trPr>
          <w:trHeight w:val="290"/>
        </w:trPr>
        <w:tc>
          <w:tcPr>
            <w:tcW w:w="1631" w:type="dxa"/>
            <w:tcBorders>
              <w:bottom w:val="single" w:sz="4" w:space="0" w:color="auto"/>
            </w:tcBorders>
            <w:hideMark/>
          </w:tcPr>
          <w:p w:rsidR="00A9018E" w:rsidRPr="00EE76E9" w:rsidRDefault="00A9018E" w:rsidP="00AC63AE">
            <w:pPr>
              <w:autoSpaceDE w:val="0"/>
              <w:autoSpaceDN w:val="0"/>
              <w:adjustRightInd w:val="0"/>
              <w:spacing w:after="0" w:line="280" w:lineRule="exact"/>
              <w:rPr>
                <w:rFonts w:cs="Calibri"/>
                <w:color w:val="000000"/>
                <w:sz w:val="20"/>
                <w:lang w:eastAsia="en-AU"/>
              </w:rPr>
            </w:pPr>
            <w:r w:rsidRPr="00EE76E9">
              <w:rPr>
                <w:rFonts w:cs="Calibri"/>
                <w:color w:val="000000"/>
                <w:sz w:val="20"/>
                <w:lang w:eastAsia="en-AU"/>
              </w:rPr>
              <w:t>Coefficient of variation (CV)</w:t>
            </w:r>
          </w:p>
        </w:tc>
        <w:tc>
          <w:tcPr>
            <w:tcW w:w="985" w:type="dxa"/>
            <w:tcBorders>
              <w:bottom w:val="single" w:sz="4" w:space="0" w:color="auto"/>
            </w:tcBorders>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0.421</w:t>
            </w:r>
          </w:p>
        </w:tc>
        <w:tc>
          <w:tcPr>
            <w:tcW w:w="858" w:type="dxa"/>
            <w:tcBorders>
              <w:bottom w:val="single" w:sz="4" w:space="0" w:color="auto"/>
            </w:tcBorders>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0.511</w:t>
            </w:r>
          </w:p>
        </w:tc>
        <w:tc>
          <w:tcPr>
            <w:tcW w:w="1134" w:type="dxa"/>
            <w:tcBorders>
              <w:bottom w:val="single" w:sz="4" w:space="0" w:color="auto"/>
            </w:tcBorders>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0.912</w:t>
            </w:r>
          </w:p>
        </w:tc>
        <w:tc>
          <w:tcPr>
            <w:tcW w:w="992" w:type="dxa"/>
            <w:tcBorders>
              <w:bottom w:val="single" w:sz="4" w:space="0" w:color="auto"/>
            </w:tcBorders>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0.456</w:t>
            </w:r>
          </w:p>
        </w:tc>
        <w:tc>
          <w:tcPr>
            <w:tcW w:w="993" w:type="dxa"/>
            <w:tcBorders>
              <w:bottom w:val="single" w:sz="4" w:space="0" w:color="auto"/>
            </w:tcBorders>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0.515</w:t>
            </w:r>
          </w:p>
        </w:tc>
        <w:tc>
          <w:tcPr>
            <w:tcW w:w="283" w:type="dxa"/>
            <w:tcBorders>
              <w:bottom w:val="single" w:sz="4" w:space="0" w:color="auto"/>
            </w:tcBorders>
          </w:tcPr>
          <w:p w:rsidR="00A9018E" w:rsidRDefault="00A9018E" w:rsidP="00AC63AE">
            <w:pPr>
              <w:autoSpaceDE w:val="0"/>
              <w:autoSpaceDN w:val="0"/>
              <w:adjustRightInd w:val="0"/>
              <w:spacing w:after="0" w:line="280" w:lineRule="exact"/>
              <w:jc w:val="right"/>
              <w:rPr>
                <w:rFonts w:cs="Calibri"/>
                <w:color w:val="000000"/>
                <w:lang w:eastAsia="en-AU"/>
              </w:rPr>
            </w:pPr>
          </w:p>
        </w:tc>
        <w:tc>
          <w:tcPr>
            <w:tcW w:w="992" w:type="dxa"/>
            <w:tcBorders>
              <w:bottom w:val="single" w:sz="4" w:space="0" w:color="auto"/>
            </w:tcBorders>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0.426</w:t>
            </w:r>
          </w:p>
        </w:tc>
        <w:tc>
          <w:tcPr>
            <w:tcW w:w="993" w:type="dxa"/>
            <w:tcBorders>
              <w:bottom w:val="single" w:sz="4" w:space="0" w:color="auto"/>
            </w:tcBorders>
          </w:tcPr>
          <w:p w:rsidR="00A9018E" w:rsidRPr="00EE76E9" w:rsidRDefault="00A9018E" w:rsidP="00AC63AE">
            <w:pPr>
              <w:autoSpaceDE w:val="0"/>
              <w:autoSpaceDN w:val="0"/>
              <w:adjustRightInd w:val="0"/>
              <w:spacing w:after="0" w:line="280" w:lineRule="exact"/>
              <w:jc w:val="right"/>
              <w:rPr>
                <w:rFonts w:cs="Calibri"/>
                <w:color w:val="000000"/>
                <w:lang w:eastAsia="en-AU"/>
              </w:rPr>
            </w:pPr>
            <w:r>
              <w:rPr>
                <w:rFonts w:cs="Calibri"/>
                <w:color w:val="000000"/>
                <w:lang w:eastAsia="en-AU"/>
              </w:rPr>
              <w:t>0.541</w:t>
            </w:r>
          </w:p>
        </w:tc>
      </w:tr>
    </w:tbl>
    <w:p w:rsidR="00AC63AE" w:rsidRDefault="00AC63AE">
      <w:pPr>
        <w:spacing w:after="0" w:line="240" w:lineRule="auto"/>
        <w:jc w:val="left"/>
        <w:rPr>
          <w:sz w:val="24"/>
          <w:szCs w:val="24"/>
        </w:rPr>
      </w:pPr>
    </w:p>
    <w:p w:rsidR="0018318A" w:rsidRDefault="0018318A">
      <w:pPr>
        <w:spacing w:after="0" w:line="240" w:lineRule="auto"/>
        <w:jc w:val="left"/>
        <w:rPr>
          <w:sz w:val="24"/>
          <w:szCs w:val="24"/>
        </w:rPr>
      </w:pPr>
    </w:p>
    <w:p w:rsidR="00345436" w:rsidRPr="00345436" w:rsidRDefault="00345436" w:rsidP="00345436">
      <w:pPr>
        <w:spacing w:after="240"/>
        <w:rPr>
          <w:szCs w:val="22"/>
        </w:rPr>
      </w:pPr>
      <w:r w:rsidRPr="00345436">
        <w:rPr>
          <w:szCs w:val="22"/>
        </w:rPr>
        <w:t>The hydrographs for Gee Ge</w:t>
      </w:r>
      <w:r>
        <w:rPr>
          <w:szCs w:val="22"/>
        </w:rPr>
        <w:t>e B</w:t>
      </w:r>
      <w:r w:rsidRPr="00345436">
        <w:rPr>
          <w:szCs w:val="22"/>
        </w:rPr>
        <w:t xml:space="preserve">ridge, Coonamit and Stoney Crossing on the Wakool River are presented in Figure 4.2. </w:t>
      </w:r>
      <w:r>
        <w:rPr>
          <w:szCs w:val="22"/>
        </w:rPr>
        <w:t xml:space="preserve">It is evident that the hydrograph at Gee Gee Bridge is very similar to </w:t>
      </w:r>
      <w:r w:rsidR="002F742F">
        <w:rPr>
          <w:szCs w:val="22"/>
        </w:rPr>
        <w:t>that</w:t>
      </w:r>
      <w:r>
        <w:rPr>
          <w:szCs w:val="22"/>
        </w:rPr>
        <w:t xml:space="preserve"> for Yallakool Creek and the Wakool River zones 3 and 4 (Figure 4.1). However, the </w:t>
      </w:r>
      <w:r w:rsidR="00690332">
        <w:rPr>
          <w:szCs w:val="22"/>
        </w:rPr>
        <w:t>shape of the hydrographs for Coo</w:t>
      </w:r>
      <w:r>
        <w:rPr>
          <w:szCs w:val="22"/>
        </w:rPr>
        <w:t xml:space="preserve">namit and Stoney Crossing </w:t>
      </w:r>
      <w:r w:rsidR="0018318A">
        <w:rPr>
          <w:szCs w:val="22"/>
        </w:rPr>
        <w:t xml:space="preserve">have considerably higher discharge and </w:t>
      </w:r>
      <w:r w:rsidR="00690332">
        <w:rPr>
          <w:szCs w:val="22"/>
        </w:rPr>
        <w:t xml:space="preserve">differ from those </w:t>
      </w:r>
      <w:r w:rsidR="0018318A">
        <w:rPr>
          <w:szCs w:val="22"/>
        </w:rPr>
        <w:t>for zones 1, 3 and 4. T</w:t>
      </w:r>
      <w:r w:rsidR="00690332">
        <w:rPr>
          <w:szCs w:val="22"/>
        </w:rPr>
        <w:t xml:space="preserve">hese reaches </w:t>
      </w:r>
      <w:r w:rsidR="002F742F">
        <w:rPr>
          <w:szCs w:val="22"/>
        </w:rPr>
        <w:t>were</w:t>
      </w:r>
      <w:r w:rsidR="00690332">
        <w:rPr>
          <w:szCs w:val="22"/>
        </w:rPr>
        <w:t xml:space="preserve"> </w:t>
      </w:r>
      <w:r w:rsidR="002F742F">
        <w:rPr>
          <w:szCs w:val="22"/>
        </w:rPr>
        <w:t xml:space="preserve">more </w:t>
      </w:r>
      <w:r w:rsidR="00690332">
        <w:rPr>
          <w:szCs w:val="22"/>
        </w:rPr>
        <w:t xml:space="preserve">strongly influenced by </w:t>
      </w:r>
      <w:r w:rsidR="002F742F">
        <w:rPr>
          <w:szCs w:val="22"/>
        </w:rPr>
        <w:t>in</w:t>
      </w:r>
      <w:r w:rsidR="00690332">
        <w:rPr>
          <w:szCs w:val="22"/>
        </w:rPr>
        <w:t xml:space="preserve">flows from the River </w:t>
      </w:r>
      <w:r w:rsidR="0018318A">
        <w:rPr>
          <w:szCs w:val="22"/>
        </w:rPr>
        <w:t xml:space="preserve">Murray </w:t>
      </w:r>
      <w:r w:rsidR="00690332">
        <w:rPr>
          <w:szCs w:val="22"/>
        </w:rPr>
        <w:t xml:space="preserve">than </w:t>
      </w:r>
      <w:r w:rsidR="0018318A">
        <w:rPr>
          <w:szCs w:val="22"/>
        </w:rPr>
        <w:t>flows</w:t>
      </w:r>
      <w:r w:rsidR="00690332">
        <w:rPr>
          <w:szCs w:val="22"/>
        </w:rPr>
        <w:t xml:space="preserve"> delivered via Yallakool Creek and Wakool River regulators from Stevens Weir.</w:t>
      </w:r>
    </w:p>
    <w:p w:rsidR="00CE28D8" w:rsidRDefault="00690332">
      <w:pPr>
        <w:spacing w:after="0" w:line="240" w:lineRule="auto"/>
        <w:jc w:val="left"/>
        <w:rPr>
          <w:sz w:val="24"/>
          <w:szCs w:val="24"/>
        </w:rPr>
      </w:pPr>
      <w:r>
        <w:rPr>
          <w:noProof/>
          <w:sz w:val="24"/>
          <w:szCs w:val="24"/>
          <w:lang w:eastAsia="en-AU"/>
        </w:rPr>
        <w:drawing>
          <wp:inline distT="0" distB="0" distL="0" distR="0">
            <wp:extent cx="4152900" cy="4800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63728" cy="4813117"/>
                    </a:xfrm>
                    <a:prstGeom prst="rect">
                      <a:avLst/>
                    </a:prstGeom>
                    <a:noFill/>
                  </pic:spPr>
                </pic:pic>
              </a:graphicData>
            </a:graphic>
          </wp:inline>
        </w:drawing>
      </w:r>
    </w:p>
    <w:p w:rsidR="00690332" w:rsidRPr="00605296" w:rsidRDefault="00690332" w:rsidP="00690332">
      <w:pPr>
        <w:spacing w:after="0" w:line="240" w:lineRule="auto"/>
        <w:rPr>
          <w:rFonts w:cs="Calibri"/>
          <w:sz w:val="20"/>
          <w:lang w:val="en-GB"/>
        </w:rPr>
      </w:pPr>
      <w:r w:rsidRPr="00605296">
        <w:rPr>
          <w:rFonts w:cs="Calibri"/>
          <w:b/>
          <w:sz w:val="20"/>
          <w:lang w:val="en-GB"/>
        </w:rPr>
        <w:t>Figure 4.</w:t>
      </w:r>
      <w:r>
        <w:rPr>
          <w:rFonts w:cs="Calibri"/>
          <w:b/>
          <w:sz w:val="20"/>
          <w:lang w:val="en-GB"/>
        </w:rPr>
        <w:t>2</w:t>
      </w:r>
      <w:r w:rsidRPr="00605296">
        <w:rPr>
          <w:rFonts w:cs="Calibri"/>
          <w:sz w:val="20"/>
          <w:lang w:val="en-GB"/>
        </w:rPr>
        <w:t xml:space="preserve">. Hydrographs </w:t>
      </w:r>
      <w:r>
        <w:rPr>
          <w:rFonts w:cs="Calibri"/>
          <w:sz w:val="20"/>
          <w:lang w:val="en-GB"/>
        </w:rPr>
        <w:t>for</w:t>
      </w:r>
      <w:r w:rsidRPr="00605296">
        <w:rPr>
          <w:rFonts w:cs="Calibri"/>
          <w:sz w:val="20"/>
          <w:lang w:val="en-GB"/>
        </w:rPr>
        <w:t xml:space="preserve"> </w:t>
      </w:r>
      <w:r w:rsidR="0018318A">
        <w:rPr>
          <w:rFonts w:cs="Calibri"/>
          <w:sz w:val="20"/>
          <w:lang w:val="en-GB"/>
        </w:rPr>
        <w:t xml:space="preserve">the Wakool River at </w:t>
      </w:r>
      <w:r>
        <w:rPr>
          <w:rFonts w:cs="Calibri"/>
          <w:sz w:val="20"/>
          <w:lang w:val="en-GB"/>
        </w:rPr>
        <w:t xml:space="preserve">Gee Gee Bridge (gauge </w:t>
      </w:r>
      <w:r w:rsidR="0018318A">
        <w:rPr>
          <w:rFonts w:cs="Calibri"/>
          <w:sz w:val="20"/>
          <w:lang w:val="en-GB"/>
        </w:rPr>
        <w:t xml:space="preserve">409062), Coonamit (gauge 409061) and Stoney Crossing (gauge 409013) </w:t>
      </w:r>
      <w:r w:rsidRPr="00605296">
        <w:rPr>
          <w:rFonts w:cs="Calibri"/>
          <w:sz w:val="20"/>
          <w:lang w:val="en-GB"/>
        </w:rPr>
        <w:t xml:space="preserve">for the period </w:t>
      </w:r>
      <w:r>
        <w:rPr>
          <w:rFonts w:cs="Calibri"/>
          <w:sz w:val="20"/>
          <w:lang w:val="en-GB"/>
        </w:rPr>
        <w:t xml:space="preserve">from </w:t>
      </w:r>
      <w:r w:rsidRPr="00605296">
        <w:rPr>
          <w:rFonts w:cs="Calibri"/>
          <w:sz w:val="20"/>
          <w:lang w:val="en-GB"/>
        </w:rPr>
        <w:t xml:space="preserve">1 July 2014 to 30 June 2015. </w:t>
      </w:r>
      <w:r w:rsidR="0018318A">
        <w:rPr>
          <w:rFonts w:cs="Calibri"/>
          <w:sz w:val="20"/>
          <w:lang w:val="en-GB"/>
        </w:rPr>
        <w:t>Note the different y axis units for Coonamit and Stoney Crossing</w:t>
      </w:r>
      <w:r w:rsidR="00AC5BB7">
        <w:rPr>
          <w:rFonts w:cs="Calibri"/>
          <w:sz w:val="20"/>
          <w:lang w:val="en-GB"/>
        </w:rPr>
        <w:t xml:space="preserve"> graphs</w:t>
      </w:r>
      <w:r w:rsidR="0018318A">
        <w:rPr>
          <w:rFonts w:cs="Calibri"/>
          <w:sz w:val="20"/>
          <w:lang w:val="en-GB"/>
        </w:rPr>
        <w:t xml:space="preserve">. </w:t>
      </w:r>
      <w:r w:rsidRPr="00605296">
        <w:rPr>
          <w:rFonts w:cs="Calibri"/>
          <w:sz w:val="20"/>
          <w:lang w:val="en-GB"/>
        </w:rPr>
        <w:t xml:space="preserve">The </w:t>
      </w:r>
      <w:r w:rsidR="0018318A">
        <w:rPr>
          <w:rFonts w:cs="Calibri"/>
          <w:sz w:val="20"/>
          <w:lang w:val="en-GB"/>
        </w:rPr>
        <w:t>Yallakool Creek environmental w</w:t>
      </w:r>
      <w:r w:rsidRPr="00605296">
        <w:rPr>
          <w:rFonts w:cs="Calibri"/>
          <w:sz w:val="20"/>
          <w:lang w:val="en-GB"/>
        </w:rPr>
        <w:t>ater</w:t>
      </w:r>
      <w:r w:rsidR="0018318A">
        <w:rPr>
          <w:rFonts w:cs="Calibri"/>
          <w:sz w:val="20"/>
          <w:lang w:val="en-GB"/>
        </w:rPr>
        <w:t xml:space="preserve"> action from August through to mid-December and the MDBA operational flow from the Wakool Escape </w:t>
      </w:r>
      <w:r w:rsidR="00AC5BB7">
        <w:rPr>
          <w:rFonts w:cs="Calibri"/>
          <w:sz w:val="20"/>
          <w:lang w:val="en-GB"/>
        </w:rPr>
        <w:t xml:space="preserve">in March and April 2015 </w:t>
      </w:r>
      <w:r w:rsidR="0018318A">
        <w:rPr>
          <w:rFonts w:cs="Calibri"/>
          <w:sz w:val="20"/>
          <w:lang w:val="en-GB"/>
        </w:rPr>
        <w:t>is evident in the shape of the hydrograph for Gee Gee Bridge</w:t>
      </w:r>
      <w:r w:rsidRPr="00605296">
        <w:rPr>
          <w:rFonts w:cs="Calibri"/>
          <w:sz w:val="20"/>
          <w:lang w:val="en-GB"/>
        </w:rPr>
        <w:t xml:space="preserve">. </w:t>
      </w:r>
      <w:r w:rsidR="0018318A">
        <w:rPr>
          <w:rFonts w:cs="Calibri"/>
          <w:sz w:val="20"/>
          <w:lang w:val="en-GB"/>
        </w:rPr>
        <w:t>The Yallakool Creek environmental watering action is not evident in the Coonamit and Stoney Crossing hydrographs, as these reaches are more strongly influenced by flows from the Murray River.</w:t>
      </w:r>
    </w:p>
    <w:p w:rsidR="00CE28D8" w:rsidRPr="00CE28D8" w:rsidRDefault="00CE28D8">
      <w:pPr>
        <w:spacing w:after="0" w:line="240" w:lineRule="auto"/>
        <w:jc w:val="left"/>
        <w:rPr>
          <w:sz w:val="24"/>
          <w:szCs w:val="24"/>
        </w:rPr>
      </w:pPr>
    </w:p>
    <w:p w:rsidR="00C46627" w:rsidRPr="00EB70F1" w:rsidRDefault="00A9018E" w:rsidP="00AC5BB7">
      <w:pPr>
        <w:spacing w:after="240"/>
        <w:rPr>
          <w:b/>
          <w:color w:val="4F6228" w:themeColor="accent3" w:themeShade="80"/>
          <w:sz w:val="24"/>
          <w:szCs w:val="24"/>
        </w:rPr>
      </w:pPr>
      <w:r w:rsidRPr="00EB70F1">
        <w:rPr>
          <w:b/>
          <w:color w:val="4F6228" w:themeColor="accent3" w:themeShade="80"/>
          <w:sz w:val="24"/>
          <w:szCs w:val="24"/>
        </w:rPr>
        <w:t>4</w:t>
      </w:r>
      <w:r w:rsidR="00C46627" w:rsidRPr="00EB70F1">
        <w:rPr>
          <w:b/>
          <w:color w:val="4F6228" w:themeColor="accent3" w:themeShade="80"/>
          <w:sz w:val="24"/>
          <w:szCs w:val="24"/>
        </w:rPr>
        <w:t>.5 Discussion</w:t>
      </w:r>
    </w:p>
    <w:p w:rsidR="00C46627" w:rsidRDefault="00C46627" w:rsidP="00A11665">
      <w:pPr>
        <w:spacing w:after="240"/>
        <w:jc w:val="left"/>
        <w:rPr>
          <w:rFonts w:cs="Calibri"/>
        </w:rPr>
      </w:pPr>
      <w:r>
        <w:rPr>
          <w:rFonts w:cs="Calibri"/>
        </w:rPr>
        <w:t>Returning to the two questions associated with the impact of the Yallakool Creek Commonwealth environmental watering action in 2014-15 on the hydrology of the study area.</w:t>
      </w:r>
    </w:p>
    <w:p w:rsidR="00C46627" w:rsidRPr="003B0BD4" w:rsidRDefault="00CE28D8" w:rsidP="00A11665">
      <w:pPr>
        <w:spacing w:after="240"/>
        <w:jc w:val="left"/>
        <w:rPr>
          <w:i/>
        </w:rPr>
      </w:pPr>
      <w:r>
        <w:t xml:space="preserve">Q1: </w:t>
      </w:r>
      <w:r w:rsidR="00C46627" w:rsidRPr="003B0BD4">
        <w:rPr>
          <w:i/>
        </w:rPr>
        <w:t>What is the effect of Commonwealth Environmental Water on the hydrology of the four zones in the Edward-Wakool system that were monitored for the Long Term Intervention Monitoring project?</w:t>
      </w:r>
    </w:p>
    <w:p w:rsidR="00C46627" w:rsidRDefault="00C46627" w:rsidP="00A11665">
      <w:pPr>
        <w:spacing w:after="240"/>
        <w:jc w:val="left"/>
        <w:rPr>
          <w:rFonts w:asciiTheme="minorHAnsi" w:hAnsiTheme="minorHAnsi" w:cs="Courier New"/>
          <w:color w:val="000000"/>
        </w:rPr>
      </w:pPr>
      <w:r>
        <w:rPr>
          <w:rFonts w:asciiTheme="minorHAnsi" w:hAnsiTheme="minorHAnsi" w:cs="Courier New"/>
          <w:color w:val="000000"/>
        </w:rPr>
        <w:t xml:space="preserve">The </w:t>
      </w:r>
      <w:r w:rsidRPr="00091CBD">
        <w:rPr>
          <w:rFonts w:asciiTheme="minorHAnsi" w:hAnsiTheme="minorHAnsi" w:cs="Courier New"/>
          <w:color w:val="000000"/>
        </w:rPr>
        <w:t>Comm</w:t>
      </w:r>
      <w:r>
        <w:rPr>
          <w:rFonts w:asciiTheme="minorHAnsi" w:hAnsiTheme="minorHAnsi" w:cs="Courier New"/>
          <w:color w:val="000000"/>
        </w:rPr>
        <w:t>onwealth Environmental Water</w:t>
      </w:r>
      <w:r w:rsidRPr="00091CBD">
        <w:rPr>
          <w:rFonts w:cs="Calibri"/>
          <w:szCs w:val="22"/>
          <w:lang w:val="en-GB"/>
        </w:rPr>
        <w:t xml:space="preserve"> increased the maximum, mean, median and coefficient of variation of discharge</w:t>
      </w:r>
      <w:r w:rsidRPr="00091CBD">
        <w:rPr>
          <w:rFonts w:cs="Calibri"/>
          <w:szCs w:val="22"/>
          <w:vertAlign w:val="subscript"/>
          <w:lang w:val="en-GB"/>
        </w:rPr>
        <w:t xml:space="preserve"> </w:t>
      </w:r>
      <w:r w:rsidRPr="00091CBD">
        <w:rPr>
          <w:rFonts w:cs="Calibri"/>
          <w:szCs w:val="22"/>
          <w:lang w:val="en-GB"/>
        </w:rPr>
        <w:t>in Yallakool Creek, Wakool River zone</w:t>
      </w:r>
      <w:r>
        <w:rPr>
          <w:rFonts w:cs="Calibri"/>
          <w:lang w:val="en-GB"/>
        </w:rPr>
        <w:t>s 3 and 4</w:t>
      </w:r>
      <w:r w:rsidRPr="00091CBD">
        <w:rPr>
          <w:rFonts w:cs="Calibri"/>
          <w:szCs w:val="22"/>
          <w:lang w:val="en-GB"/>
        </w:rPr>
        <w:t xml:space="preserve">. </w:t>
      </w:r>
      <w:r w:rsidR="00AC5BB7">
        <w:rPr>
          <w:rFonts w:cs="Calibri"/>
          <w:szCs w:val="22"/>
          <w:lang w:val="en-GB"/>
        </w:rPr>
        <w:t xml:space="preserve"> </w:t>
      </w:r>
      <w:r>
        <w:t xml:space="preserve">The watering action achieved the primary hydrological objective set by the CEWO of creating a maintenance flow in Yallakool Creek and the Wakool River zones 3 and 4 of </w:t>
      </w:r>
      <w:r w:rsidR="00AC5BB7">
        <w:rPr>
          <w:rFonts w:asciiTheme="minorHAnsi" w:hAnsiTheme="minorHAnsi" w:cs="Courier New"/>
          <w:color w:val="000000"/>
        </w:rPr>
        <w:t xml:space="preserve">about 500 ML/day </w:t>
      </w:r>
      <w:r w:rsidRPr="00B136C6">
        <w:rPr>
          <w:rFonts w:asciiTheme="minorHAnsi" w:hAnsiTheme="minorHAnsi" w:cs="Courier New"/>
          <w:color w:val="000000"/>
        </w:rPr>
        <w:t>in Yallakool Creek through to end of the Murray cod spawning season</w:t>
      </w:r>
      <w:r>
        <w:t xml:space="preserve">. In Yallakool Creek, in the absence of </w:t>
      </w:r>
      <w:r w:rsidR="00855BC3">
        <w:t>Commonwealth environmental water</w:t>
      </w:r>
      <w:r>
        <w:t xml:space="preserve"> </w:t>
      </w:r>
      <w:r w:rsidR="00AC5BB7">
        <w:t xml:space="preserve">there </w:t>
      </w:r>
      <w:r>
        <w:t xml:space="preserve">would have </w:t>
      </w:r>
      <w:r w:rsidR="00AC5BB7">
        <w:t>been</w:t>
      </w:r>
      <w:r>
        <w:t xml:space="preserve"> a short-term fresh in early August followed by an extended period of operational flows of approximately 200 ML/day with several small peaks of approximately 300 ML/day. Similarly in the Wakool River zones 3 and 4 in the absence of </w:t>
      </w:r>
      <w:r w:rsidR="00855BC3">
        <w:t xml:space="preserve">Commonwealth environmental water </w:t>
      </w:r>
      <w:r>
        <w:t>there would have been a short-lived fresh in early August followed by an extended period of operational flows of approximately 150 to 200 ML/day followed by a fresh of approximately 450 ML/day in March and April that had steep rise and reces</w:t>
      </w:r>
      <w:r w:rsidRPr="00E54396">
        <w:t>sion. The</w:t>
      </w:r>
      <w:r w:rsidRPr="00E54396">
        <w:rPr>
          <w:rFonts w:asciiTheme="minorHAnsi" w:hAnsiTheme="minorHAnsi" w:cs="Courier New"/>
          <w:color w:val="000000"/>
        </w:rPr>
        <w:t xml:space="preserve"> </w:t>
      </w:r>
      <w:r w:rsidR="0053375F" w:rsidRPr="00E54396">
        <w:rPr>
          <w:rFonts w:asciiTheme="minorHAnsi" w:hAnsiTheme="minorHAnsi" w:cs="Courier New"/>
          <w:color w:val="000000"/>
        </w:rPr>
        <w:t xml:space="preserve">desired slower </w:t>
      </w:r>
      <w:r w:rsidRPr="00E54396">
        <w:rPr>
          <w:rFonts w:asciiTheme="minorHAnsi" w:hAnsiTheme="minorHAnsi" w:cs="Courier New"/>
          <w:color w:val="000000"/>
        </w:rPr>
        <w:t>recession from 16 December 2014 until the action was completed on 15 January 2015 was also achieved.</w:t>
      </w:r>
    </w:p>
    <w:p w:rsidR="00C46627" w:rsidRDefault="00CE28D8" w:rsidP="00A11665">
      <w:pPr>
        <w:spacing w:after="240"/>
        <w:jc w:val="left"/>
        <w:rPr>
          <w:i/>
        </w:rPr>
      </w:pPr>
      <w:r>
        <w:t xml:space="preserve">Q2: </w:t>
      </w:r>
      <w:r w:rsidR="00C46627" w:rsidRPr="00C04C3D">
        <w:rPr>
          <w:i/>
        </w:rPr>
        <w:t>What did Commonwealth environmental water contribute to hydrological connectivity?</w:t>
      </w:r>
    </w:p>
    <w:p w:rsidR="005B57F4" w:rsidRDefault="00C46627" w:rsidP="00A11665">
      <w:pPr>
        <w:spacing w:after="240"/>
        <w:jc w:val="left"/>
      </w:pPr>
      <w:r>
        <w:t>A secondary objective of the Yallakool Creek watering action was to</w:t>
      </w:r>
      <w:r w:rsidRPr="00B136C6">
        <w:rPr>
          <w:rFonts w:asciiTheme="minorHAnsi" w:hAnsiTheme="minorHAnsi" w:cs="Courier New"/>
          <w:color w:val="000000"/>
        </w:rPr>
        <w:t xml:space="preserve"> </w:t>
      </w:r>
      <w:r w:rsidR="005B57F4">
        <w:rPr>
          <w:rFonts w:asciiTheme="minorHAnsi" w:hAnsiTheme="minorHAnsi" w:cs="Courier New"/>
          <w:color w:val="000000"/>
        </w:rPr>
        <w:t>evaluate the contribution</w:t>
      </w:r>
      <w:r w:rsidRPr="00B136C6">
        <w:rPr>
          <w:rFonts w:asciiTheme="minorHAnsi" w:hAnsiTheme="minorHAnsi" w:cs="Courier New"/>
          <w:color w:val="000000"/>
        </w:rPr>
        <w:t xml:space="preserve"> </w:t>
      </w:r>
      <w:r w:rsidR="005B57F4">
        <w:rPr>
          <w:rFonts w:asciiTheme="minorHAnsi" w:hAnsiTheme="minorHAnsi" w:cs="Courier New"/>
          <w:color w:val="000000"/>
        </w:rPr>
        <w:t xml:space="preserve">of Commonwealth environmental water </w:t>
      </w:r>
      <w:r w:rsidRPr="00B136C6">
        <w:rPr>
          <w:rFonts w:asciiTheme="minorHAnsi" w:hAnsiTheme="minorHAnsi" w:cs="Courier New"/>
          <w:color w:val="000000"/>
        </w:rPr>
        <w:t>to hydrological connectivity</w:t>
      </w:r>
      <w:r>
        <w:rPr>
          <w:rFonts w:asciiTheme="minorHAnsi" w:hAnsiTheme="minorHAnsi" w:cs="Courier New"/>
          <w:color w:val="000000"/>
        </w:rPr>
        <w:t>.</w:t>
      </w:r>
      <w:r>
        <w:t xml:space="preserve"> </w:t>
      </w:r>
      <w:r w:rsidR="0018318A">
        <w:t>By comparing the hydrograph</w:t>
      </w:r>
      <w:r w:rsidR="005B57F4">
        <w:t>s</w:t>
      </w:r>
      <w:r w:rsidR="0018318A">
        <w:t xml:space="preserve"> at downstream gauges (Gee Gee Bridge, Coonamit and Stoney Crossing) with those in the focal study area </w:t>
      </w:r>
      <w:r w:rsidR="005B57F4">
        <w:t xml:space="preserve">(e.g. Barham Rd Bridge, Yallakool Creek offtake) </w:t>
      </w:r>
      <w:r w:rsidR="0018318A">
        <w:t xml:space="preserve">it is evident that </w:t>
      </w:r>
      <w:r w:rsidR="005B57F4">
        <w:t>Commonwealth</w:t>
      </w:r>
      <w:r w:rsidR="00E54396">
        <w:t xml:space="preserve"> environmental water contributed</w:t>
      </w:r>
      <w:r w:rsidR="005B57F4">
        <w:t xml:space="preserve"> to longitudinal connectivity in the upper and mid sections of the Wakool River. T</w:t>
      </w:r>
      <w:r w:rsidR="0018318A">
        <w:t>he Commonweal</w:t>
      </w:r>
      <w:r w:rsidR="00E54396">
        <w:t>th environmental water influenced the hydrograph</w:t>
      </w:r>
      <w:r w:rsidR="0018318A">
        <w:t xml:space="preserve"> downstream </w:t>
      </w:r>
      <w:r w:rsidR="005B57F4">
        <w:t>as far as</w:t>
      </w:r>
      <w:r w:rsidR="0018318A">
        <w:t xml:space="preserve"> Gee Gee Bridge. However the influence of Com</w:t>
      </w:r>
      <w:r w:rsidR="00E54396">
        <w:t>monwealth environmental water was</w:t>
      </w:r>
      <w:r w:rsidR="0018318A">
        <w:t xml:space="preserve"> diminished at Coonamit and Stoney Crossing gauges, as these river reaches </w:t>
      </w:r>
      <w:r w:rsidR="00E54396">
        <w:t>were</w:t>
      </w:r>
      <w:r w:rsidR="0018318A">
        <w:t xml:space="preserve"> more strongly influenced by </w:t>
      </w:r>
      <w:r w:rsidR="005B57F4">
        <w:t>flows</w:t>
      </w:r>
      <w:r w:rsidR="00E54396">
        <w:t xml:space="preserve"> from the River Murray.</w:t>
      </w:r>
    </w:p>
    <w:p w:rsidR="00C46627" w:rsidRPr="00C46627" w:rsidRDefault="005B57F4" w:rsidP="00A11665">
      <w:pPr>
        <w:spacing w:after="240"/>
        <w:jc w:val="left"/>
        <w:rPr>
          <w:color w:val="4F6228" w:themeColor="accent3" w:themeShade="80"/>
        </w:rPr>
      </w:pPr>
      <w:r>
        <w:t>The influence of Commonwealth environmental water on lateral connectivity</w:t>
      </w:r>
      <w:r w:rsidR="00C46627">
        <w:t xml:space="preserve"> will be addressed in section 5 of this report where 2D-hydraulic modelling </w:t>
      </w:r>
      <w:r w:rsidR="00E54396">
        <w:t>was</w:t>
      </w:r>
      <w:r w:rsidR="00C46627">
        <w:t xml:space="preserve"> </w:t>
      </w:r>
      <w:r w:rsidR="00E54396">
        <w:t>undertaken</w:t>
      </w:r>
      <w:r w:rsidR="00C46627">
        <w:t xml:space="preserve"> to assess the extent of in-channel inundation under a number of flow </w:t>
      </w:r>
      <w:r w:rsidR="00C46627" w:rsidRPr="00A500B2">
        <w:t>scenarios.</w:t>
      </w:r>
    </w:p>
    <w:p w:rsidR="00C46627" w:rsidRPr="00C46627" w:rsidRDefault="00C46627" w:rsidP="00A11665">
      <w:pPr>
        <w:jc w:val="left"/>
        <w:rPr>
          <w:b/>
          <w:color w:val="4F6228" w:themeColor="accent3" w:themeShade="80"/>
          <w:sz w:val="24"/>
          <w:szCs w:val="24"/>
        </w:rPr>
      </w:pPr>
      <w:r w:rsidRPr="00C46627">
        <w:rPr>
          <w:b/>
          <w:color w:val="4F6228" w:themeColor="accent3" w:themeShade="80"/>
          <w:sz w:val="24"/>
          <w:szCs w:val="24"/>
        </w:rPr>
        <w:t>4.6 References</w:t>
      </w:r>
    </w:p>
    <w:p w:rsidR="00BC675D" w:rsidRPr="00BC675D" w:rsidRDefault="00BC675D" w:rsidP="00A11665">
      <w:pPr>
        <w:spacing w:after="0"/>
        <w:ind w:left="284" w:hanging="284"/>
        <w:jc w:val="left"/>
        <w:rPr>
          <w:rFonts w:cs="Calibri"/>
          <w:szCs w:val="22"/>
        </w:rPr>
      </w:pPr>
      <w:r w:rsidRPr="00BC675D">
        <w:rPr>
          <w:rFonts w:cs="Calibri"/>
          <w:szCs w:val="22"/>
        </w:rPr>
        <w:t>Watts, R.J., Kopf, R.K., Hladyz, S., Grace, M., Thompson, R., McCasker, N., Wassens, S., Howitt, J.A., A. Burns, and Conallin, J. (2013a) Monitoring of ecosystem responses to the delivery of environmental water in the Edward-Wakool system, 2011-2012. Institute for Land, Water and Society, Charles Sturt University, Report 2. Prepared for Commonwealth Environmental Water.</w:t>
      </w:r>
    </w:p>
    <w:p w:rsidR="00BC675D" w:rsidRPr="00BC675D" w:rsidRDefault="00BC675D" w:rsidP="00A11665">
      <w:pPr>
        <w:spacing w:after="0"/>
        <w:ind w:left="284" w:hanging="284"/>
        <w:jc w:val="left"/>
        <w:rPr>
          <w:rFonts w:asciiTheme="minorHAnsi" w:hAnsiTheme="minorHAnsi" w:cstheme="minorHAnsi"/>
          <w:szCs w:val="22"/>
        </w:rPr>
      </w:pPr>
      <w:r w:rsidRPr="00BC675D">
        <w:rPr>
          <w:rFonts w:asciiTheme="minorHAnsi" w:hAnsiTheme="minorHAnsi" w:cstheme="minorHAnsi"/>
          <w:szCs w:val="22"/>
        </w:rPr>
        <w:t>Watts, R.J., McCasker, N., Baumgartner, L., Bowen, P., Burns, A., Conallin, A., Dyer, J.G., Grace, M., Healy, S., Howitt, J.A., Kopf, R.K., Wassens, S., Watkins, S., Wooden I. (2013b) Monitoring the ecosystem responses to Commonwealth environmental water delivered to the Edward-Wakool river system, 2012-13. Institute for Land, Water and Society, Charles Sturt University, Final Report. Prepared for Commonwealth Environmental Water.</w:t>
      </w:r>
    </w:p>
    <w:p w:rsidR="00BC675D" w:rsidRPr="00BC675D" w:rsidRDefault="00BC675D" w:rsidP="00A11665">
      <w:pPr>
        <w:spacing w:after="0"/>
        <w:ind w:left="284" w:hanging="284"/>
        <w:jc w:val="left"/>
        <w:rPr>
          <w:rFonts w:asciiTheme="minorHAnsi" w:hAnsiTheme="minorHAnsi" w:cstheme="minorHAnsi"/>
          <w:szCs w:val="22"/>
        </w:rPr>
      </w:pPr>
      <w:r w:rsidRPr="00BC675D">
        <w:rPr>
          <w:rFonts w:asciiTheme="minorHAnsi" w:hAnsiTheme="minorHAnsi" w:cstheme="minorHAnsi"/>
          <w:szCs w:val="22"/>
        </w:rPr>
        <w:t>Watts, R.J., McCasker, N., Thiem, J., Howitt, J.A., Grace, M. Healy, S., Kopf, R.K., Dyer, J.G., Conallin, A., Wooden I., Baumgartner L., Bowen P. 2014. Monitoring the ecosystem responses to Commonwealth environmental water delivered to the Edward-Wakool river system, 2013-14. Institute for Land, Water and Society, Charles Sturt University, Final Report. Prepared for Commonwealth Environmental Water Office.</w:t>
      </w:r>
    </w:p>
    <w:p w:rsidR="00F13819" w:rsidRPr="00EB70F1" w:rsidRDefault="00524F8A" w:rsidP="00ED6D80">
      <w:pPr>
        <w:pStyle w:val="MurrumH1"/>
      </w:pPr>
      <w:r>
        <w:br w:type="page"/>
      </w:r>
      <w:bookmarkStart w:id="45" w:name="_Toc450199550"/>
      <w:bookmarkEnd w:id="42"/>
      <w:r w:rsidR="00F13819" w:rsidRPr="00EB70F1">
        <w:t>Changes in hydraulic habit</w:t>
      </w:r>
      <w:r w:rsidR="00EB70F1">
        <w:t>at in response to Commonwealth e</w:t>
      </w:r>
      <w:r w:rsidR="00F13819" w:rsidRPr="00EB70F1">
        <w:t>nvironmental watering</w:t>
      </w:r>
      <w:bookmarkEnd w:id="45"/>
    </w:p>
    <w:p w:rsidR="00F13819" w:rsidRDefault="00F671D2" w:rsidP="00221973">
      <w:r>
        <w:rPr>
          <w:noProof/>
          <w:lang w:eastAsia="en-AU"/>
        </w:rPr>
        <w:pict>
          <v:shape id="Text Box 469" o:spid="_x0000_s1028" type="#_x0000_t202" style="position:absolute;left:0;text-align:left;margin-left:1628.8pt;margin-top:14.25pt;width:450pt;height:574.5pt;z-index:251722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" fillcolor="#d6e3bc [1302]">
            <v:textbox>
              <w:txbxContent>
                <w:p w:rsidR="0097684C" w:rsidRPr="00953778" w:rsidRDefault="0097684C" w:rsidP="00984CDE">
                  <w:pPr>
                    <w:shd w:val="clear" w:color="auto" w:fill="D6E3BC" w:themeFill="accent3" w:themeFillTint="66"/>
                    <w:spacing w:after="0" w:line="240" w:lineRule="auto"/>
                    <w:rPr>
                      <w:b/>
                      <w:sz w:val="16"/>
                      <w:szCs w:val="16"/>
                    </w:rPr>
                  </w:pPr>
                </w:p>
                <w:p w:rsidR="0097684C" w:rsidRDefault="0097684C" w:rsidP="003423D9">
                  <w:pPr>
                    <w:pStyle w:val="Style2"/>
                    <w:ind w:left="709" w:right="1012"/>
                    <w:jc w:val="center"/>
                  </w:pPr>
                  <w:r>
                    <w:rPr>
                      <w:noProof/>
                      <w:lang w:eastAsia="en-AU"/>
                    </w:rPr>
                    <w:drawing>
                      <wp:inline distT="0" distB="0" distL="0" distR="0">
                        <wp:extent cx="3168917" cy="2085975"/>
                        <wp:effectExtent l="0" t="0" r="0" b="0"/>
                        <wp:docPr id="191" name="Picture 191" descr="Cumnock Patrk example heterogene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mnock Patrk example heterogeneity"/>
                                <pic:cNvPicPr>
                                  <a:picLocks noChangeAspect="1" noChangeArrowheads="1"/>
                                </pic:cNvPicPr>
                              </pic:nvPicPr>
                              <pic:blipFill rotWithShape="1">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1205" t="3138" r="6679" b="57351"/>
                                <a:stretch/>
                              </pic:blipFill>
                              <pic:spPr bwMode="auto">
                                <a:xfrm>
                                  <a:off x="0" y="0"/>
                                  <a:ext cx="3191211" cy="21006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7684C" w:rsidRPr="00984CDE" w:rsidRDefault="0097684C" w:rsidP="00984CDE">
                  <w:pPr>
                    <w:pStyle w:val="Style2"/>
                    <w:ind w:left="1701"/>
                    <w:jc w:val="left"/>
                    <w:rPr>
                      <w:rFonts w:eastAsia="Times New Roman"/>
                      <w:color w:val="000000"/>
                      <w:kern w:val="28"/>
                    </w:rPr>
                  </w:pPr>
                  <w:r w:rsidRPr="00984CDE">
                    <w:rPr>
                      <w:rFonts w:eastAsia="Times New Roman"/>
                      <w:color w:val="000000"/>
                      <w:kern w:val="28"/>
                    </w:rPr>
                    <w:t>Image:</w:t>
                  </w:r>
                  <w:r w:rsidRPr="00984CDE">
                    <w:t xml:space="preserve"> </w:t>
                  </w:r>
                  <w:r w:rsidRPr="00984CDE">
                    <w:rPr>
                      <w:rFonts w:eastAsia="Times New Roman"/>
                      <w:color w:val="000000"/>
                      <w:kern w:val="28"/>
                    </w:rPr>
                    <w:t>Map showing modelled representation of the spatial coverage of the water surface extent of slackwater (green), slow water (blue) and fast water (red) at ‘Cumnock Park’ on Yallakool Creek during the 500 MLd</w:t>
                  </w:r>
                  <w:r w:rsidRPr="00984CDE">
                    <w:rPr>
                      <w:rFonts w:eastAsia="Times New Roman"/>
                      <w:color w:val="000000"/>
                      <w:kern w:val="28"/>
                      <w:vertAlign w:val="superscript"/>
                    </w:rPr>
                    <w:t>-1</w:t>
                  </w:r>
                  <w:r w:rsidRPr="00984CDE">
                    <w:rPr>
                      <w:rFonts w:eastAsia="Times New Roman"/>
                      <w:color w:val="000000"/>
                      <w:kern w:val="28"/>
                    </w:rPr>
                    <w:t xml:space="preserve"> Yallakool </w:t>
                  </w:r>
                  <w:r w:rsidRPr="00984CDE">
                    <w:rPr>
                      <w:rFonts w:eastAsia="Times New Roman"/>
                      <w:color w:val="000000"/>
                      <w:kern w:val="28"/>
                      <w:shd w:val="clear" w:color="auto" w:fill="D6E3BC" w:themeFill="accent3" w:themeFillTint="66"/>
                    </w:rPr>
                    <w:t>Creek</w:t>
                  </w:r>
                  <w:r w:rsidRPr="00984CDE">
                    <w:rPr>
                      <w:rFonts w:eastAsia="Times New Roman"/>
                      <w:color w:val="000000"/>
                      <w:kern w:val="28"/>
                    </w:rPr>
                    <w:t xml:space="preserve"> Commonwealth environmental watering action in 2014-15.</w:t>
                  </w:r>
                </w:p>
                <w:p w:rsidR="0097684C" w:rsidRDefault="0097684C" w:rsidP="003423D9">
                  <w:pPr>
                    <w:pStyle w:val="Style2"/>
                    <w:ind w:left="709"/>
                    <w:jc w:val="left"/>
                  </w:pPr>
                </w:p>
                <w:p w:rsidR="0097684C" w:rsidRPr="00DE0598" w:rsidRDefault="0097684C" w:rsidP="00984CDE">
                  <w:pPr>
                    <w:shd w:val="clear" w:color="auto" w:fill="D6E3BC" w:themeFill="accent3" w:themeFillTint="66"/>
                    <w:spacing w:after="120" w:line="240" w:lineRule="auto"/>
                    <w:rPr>
                      <w:b/>
                    </w:rPr>
                  </w:pPr>
                  <w:r>
                    <w:rPr>
                      <w:b/>
                    </w:rPr>
                    <w:t>Summary</w:t>
                  </w:r>
                </w:p>
                <w:p w:rsidR="0097684C" w:rsidRPr="00AF3612" w:rsidRDefault="0097684C" w:rsidP="00953778">
                  <w:pPr>
                    <w:pStyle w:val="Default"/>
                    <w:numPr>
                      <w:ilvl w:val="0"/>
                      <w:numId w:val="38"/>
                    </w:numPr>
                    <w:spacing w:after="120"/>
                    <w:ind w:left="357" w:hanging="357"/>
                    <w:rPr>
                      <w:rFonts w:asciiTheme="minorHAnsi" w:hAnsiTheme="minorHAnsi"/>
                      <w:bCs/>
                      <w:sz w:val="22"/>
                      <w:szCs w:val="22"/>
                    </w:rPr>
                  </w:pPr>
                  <w:r>
                    <w:rPr>
                      <w:rFonts w:asciiTheme="minorHAnsi" w:hAnsiTheme="minorHAnsi"/>
                      <w:bCs/>
                      <w:sz w:val="22"/>
                      <w:szCs w:val="22"/>
                    </w:rPr>
                    <w:t xml:space="preserve">A two-dimensional hydraulic model was generated for </w:t>
                  </w:r>
                  <w:r w:rsidRPr="00767532">
                    <w:rPr>
                      <w:rFonts w:asciiTheme="minorHAnsi" w:hAnsiTheme="minorHAnsi"/>
                      <w:sz w:val="22"/>
                      <w:szCs w:val="22"/>
                    </w:rPr>
                    <w:t xml:space="preserve">nineteen reaches; </w:t>
                  </w:r>
                  <w:r>
                    <w:rPr>
                      <w:rFonts w:asciiTheme="minorHAnsi" w:hAnsiTheme="minorHAnsi"/>
                      <w:sz w:val="22"/>
                      <w:szCs w:val="22"/>
                    </w:rPr>
                    <w:t>five in Yallakool Creek</w:t>
                  </w:r>
                  <w:r w:rsidRPr="00767532">
                    <w:rPr>
                      <w:rFonts w:asciiTheme="minorHAnsi" w:hAnsiTheme="minorHAnsi"/>
                      <w:sz w:val="22"/>
                      <w:szCs w:val="22"/>
                    </w:rPr>
                    <w:t xml:space="preserve">, five in the Wakool River (zone 2), four in Wakool River upstream of Thule Creek (zone 3) and five in the Wakool River downstream of Thule Creek (zone 4). </w:t>
                  </w:r>
                  <w:r>
                    <w:rPr>
                      <w:rFonts w:asciiTheme="minorHAnsi" w:hAnsiTheme="minorHAnsi"/>
                      <w:sz w:val="22"/>
                      <w:szCs w:val="22"/>
                    </w:rPr>
                    <w:t>T</w:t>
                  </w:r>
                  <w:r w:rsidRPr="00767532">
                    <w:rPr>
                      <w:rFonts w:asciiTheme="minorHAnsi" w:hAnsiTheme="minorHAnsi"/>
                      <w:sz w:val="22"/>
                      <w:szCs w:val="22"/>
                    </w:rPr>
                    <w:t xml:space="preserve">he </w:t>
                  </w:r>
                  <w:r>
                    <w:rPr>
                      <w:rFonts w:asciiTheme="minorHAnsi" w:hAnsiTheme="minorHAnsi"/>
                      <w:sz w:val="22"/>
                      <w:szCs w:val="22"/>
                    </w:rPr>
                    <w:t xml:space="preserve">model was used to estimate the </w:t>
                  </w:r>
                  <w:r w:rsidRPr="00767532">
                    <w:rPr>
                      <w:rFonts w:asciiTheme="minorHAnsi" w:hAnsiTheme="minorHAnsi"/>
                      <w:sz w:val="22"/>
                      <w:szCs w:val="22"/>
                    </w:rPr>
                    <w:t xml:space="preserve">extent of wetted benthic surface area and the area of </w:t>
                  </w:r>
                  <w:r>
                    <w:rPr>
                      <w:rFonts w:asciiTheme="minorHAnsi" w:hAnsiTheme="minorHAnsi"/>
                      <w:sz w:val="22"/>
                      <w:szCs w:val="22"/>
                    </w:rPr>
                    <w:t xml:space="preserve">three </w:t>
                  </w:r>
                  <w:r w:rsidRPr="00767532">
                    <w:rPr>
                      <w:rFonts w:asciiTheme="minorHAnsi" w:hAnsiTheme="minorHAnsi"/>
                      <w:sz w:val="22"/>
                      <w:szCs w:val="22"/>
                    </w:rPr>
                    <w:t>velocity zones for seven discharge scenarios, ranging from low flows to bankfull flows.</w:t>
                  </w:r>
                </w:p>
                <w:p w:rsidR="0097684C" w:rsidRPr="003423D9" w:rsidRDefault="0097684C" w:rsidP="00953778">
                  <w:pPr>
                    <w:pStyle w:val="Default"/>
                    <w:numPr>
                      <w:ilvl w:val="0"/>
                      <w:numId w:val="38"/>
                    </w:numPr>
                    <w:spacing w:after="120"/>
                    <w:ind w:left="357" w:hanging="357"/>
                    <w:rPr>
                      <w:rFonts w:asciiTheme="minorHAnsi" w:hAnsiTheme="minorHAnsi"/>
                      <w:bCs/>
                      <w:sz w:val="22"/>
                      <w:szCs w:val="22"/>
                    </w:rPr>
                  </w:pPr>
                  <w:r w:rsidRPr="003423D9">
                    <w:rPr>
                      <w:rFonts w:asciiTheme="minorHAnsi" w:hAnsiTheme="minorHAnsi"/>
                      <w:bCs/>
                      <w:sz w:val="22"/>
                      <w:szCs w:val="22"/>
                    </w:rPr>
                    <w:t xml:space="preserve">There was variation in </w:t>
                  </w:r>
                  <w:r>
                    <w:rPr>
                      <w:rFonts w:asciiTheme="minorHAnsi" w:hAnsiTheme="minorHAnsi"/>
                      <w:bCs/>
                      <w:sz w:val="22"/>
                      <w:szCs w:val="22"/>
                    </w:rPr>
                    <w:t>the extent of</w:t>
                  </w:r>
                  <w:r w:rsidRPr="003423D9">
                    <w:rPr>
                      <w:rFonts w:asciiTheme="minorHAnsi" w:hAnsiTheme="minorHAnsi"/>
                      <w:bCs/>
                      <w:sz w:val="22"/>
                      <w:szCs w:val="22"/>
                    </w:rPr>
                    <w:t xml:space="preserve"> </w:t>
                  </w:r>
                  <w:r>
                    <w:rPr>
                      <w:rFonts w:asciiTheme="minorHAnsi" w:hAnsiTheme="minorHAnsi"/>
                      <w:bCs/>
                      <w:sz w:val="22"/>
                      <w:szCs w:val="22"/>
                    </w:rPr>
                    <w:t>in-channel inundation to Commonwealth environmental water</w:t>
                  </w:r>
                  <w:r w:rsidRPr="003423D9">
                    <w:rPr>
                      <w:rFonts w:asciiTheme="minorHAnsi" w:hAnsiTheme="minorHAnsi"/>
                      <w:bCs/>
                      <w:sz w:val="22"/>
                      <w:szCs w:val="22"/>
                    </w:rPr>
                    <w:t xml:space="preserve"> among sites, including variation among reaches within the same hydrological zone.</w:t>
                  </w:r>
                </w:p>
                <w:p w:rsidR="0097684C" w:rsidRPr="003423D9" w:rsidRDefault="0097684C" w:rsidP="00953778">
                  <w:pPr>
                    <w:pStyle w:val="Default"/>
                    <w:numPr>
                      <w:ilvl w:val="0"/>
                      <w:numId w:val="38"/>
                    </w:numPr>
                    <w:spacing w:after="120"/>
                    <w:ind w:left="357" w:hanging="357"/>
                    <w:rPr>
                      <w:rFonts w:asciiTheme="minorHAnsi" w:hAnsiTheme="minorHAnsi"/>
                      <w:bCs/>
                      <w:sz w:val="22"/>
                      <w:szCs w:val="22"/>
                    </w:rPr>
                  </w:pPr>
                  <w:r>
                    <w:rPr>
                      <w:rFonts w:asciiTheme="minorHAnsi" w:hAnsiTheme="minorHAnsi"/>
                      <w:bCs/>
                      <w:sz w:val="22"/>
                      <w:szCs w:val="22"/>
                    </w:rPr>
                    <w:t>Commonwealth environmental water</w:t>
                  </w:r>
                  <w:r w:rsidRPr="003423D9">
                    <w:rPr>
                      <w:rFonts w:asciiTheme="minorHAnsi" w:hAnsiTheme="minorHAnsi"/>
                      <w:bCs/>
                      <w:sz w:val="22"/>
                      <w:szCs w:val="22"/>
                    </w:rPr>
                    <w:t xml:space="preserve"> increased the wetted benthic area at all sites that received environmental water. The greatest increase was observed at ‘Barham Rd Bridge’ site in the Wakool river zone 3.</w:t>
                  </w:r>
                </w:p>
                <w:p w:rsidR="0097684C" w:rsidRPr="003423D9" w:rsidRDefault="0097684C" w:rsidP="00953778">
                  <w:pPr>
                    <w:pStyle w:val="Default"/>
                    <w:numPr>
                      <w:ilvl w:val="0"/>
                      <w:numId w:val="38"/>
                    </w:numPr>
                    <w:spacing w:after="120"/>
                    <w:ind w:left="357" w:hanging="357"/>
                    <w:rPr>
                      <w:rFonts w:asciiTheme="minorHAnsi" w:hAnsiTheme="minorHAnsi"/>
                      <w:bCs/>
                      <w:sz w:val="22"/>
                      <w:szCs w:val="22"/>
                    </w:rPr>
                  </w:pPr>
                  <w:r>
                    <w:rPr>
                      <w:rFonts w:asciiTheme="minorHAnsi" w:hAnsiTheme="minorHAnsi"/>
                      <w:bCs/>
                      <w:sz w:val="22"/>
                      <w:szCs w:val="22"/>
                    </w:rPr>
                    <w:t>Commonwealth environmental water</w:t>
                  </w:r>
                  <w:r w:rsidRPr="003423D9">
                    <w:rPr>
                      <w:rFonts w:asciiTheme="minorHAnsi" w:hAnsiTheme="minorHAnsi"/>
                      <w:bCs/>
                      <w:sz w:val="22"/>
                      <w:szCs w:val="22"/>
                    </w:rPr>
                    <w:t xml:space="preserve"> increased the area of slackwater (&lt; 0.02 ms</w:t>
                  </w:r>
                  <w:r w:rsidRPr="003423D9">
                    <w:rPr>
                      <w:rFonts w:asciiTheme="minorHAnsi" w:hAnsiTheme="minorHAnsi"/>
                      <w:bCs/>
                      <w:sz w:val="22"/>
                      <w:szCs w:val="22"/>
                      <w:vertAlign w:val="superscript"/>
                    </w:rPr>
                    <w:t>-1</w:t>
                  </w:r>
                  <w:r w:rsidRPr="003423D9">
                    <w:rPr>
                      <w:rFonts w:asciiTheme="minorHAnsi" w:hAnsiTheme="minorHAnsi"/>
                      <w:bCs/>
                      <w:sz w:val="22"/>
                      <w:szCs w:val="22"/>
                    </w:rPr>
                    <w:t>) and slow water (</w:t>
                  </w:r>
                  <w:r w:rsidRPr="003423D9">
                    <w:rPr>
                      <w:rFonts w:asciiTheme="minorHAnsi" w:hAnsiTheme="minorHAnsi"/>
                      <w:sz w:val="22"/>
                      <w:szCs w:val="22"/>
                    </w:rPr>
                    <w:t>0.02 – 0.3 ms</w:t>
                  </w:r>
                  <w:r w:rsidRPr="003423D9">
                    <w:rPr>
                      <w:rFonts w:asciiTheme="minorHAnsi" w:hAnsiTheme="minorHAnsi"/>
                      <w:sz w:val="22"/>
                      <w:szCs w:val="22"/>
                      <w:vertAlign w:val="superscript"/>
                    </w:rPr>
                    <w:t>-1</w:t>
                  </w:r>
                  <w:r w:rsidRPr="003423D9">
                    <w:rPr>
                      <w:rFonts w:asciiTheme="minorHAnsi" w:hAnsiTheme="minorHAnsi"/>
                      <w:sz w:val="22"/>
                      <w:szCs w:val="22"/>
                    </w:rPr>
                    <w:t xml:space="preserve">) </w:t>
                  </w:r>
                  <w:r w:rsidRPr="003423D9">
                    <w:rPr>
                      <w:rFonts w:asciiTheme="minorHAnsi" w:hAnsiTheme="minorHAnsi"/>
                      <w:bCs/>
                      <w:sz w:val="22"/>
                      <w:szCs w:val="22"/>
                    </w:rPr>
                    <w:t>at some of the reaches, whereas at other reaches there was a reduction in the area of slackwater and slow water and an increase in fast water under Commonwealth e</w:t>
                  </w:r>
                  <w:r>
                    <w:rPr>
                      <w:rFonts w:asciiTheme="minorHAnsi" w:hAnsiTheme="minorHAnsi"/>
                      <w:bCs/>
                      <w:sz w:val="22"/>
                      <w:szCs w:val="22"/>
                    </w:rPr>
                    <w:t>nvironmental watering. S</w:t>
                  </w:r>
                  <w:r w:rsidRPr="003423D9">
                    <w:rPr>
                      <w:rFonts w:asciiTheme="minorHAnsi" w:hAnsiTheme="minorHAnsi"/>
                      <w:bCs/>
                      <w:sz w:val="22"/>
                      <w:szCs w:val="22"/>
                    </w:rPr>
                    <w:t xml:space="preserve">lackwater and slow water </w:t>
                  </w:r>
                  <w:r>
                    <w:rPr>
                      <w:rFonts w:asciiTheme="minorHAnsi" w:hAnsiTheme="minorHAnsi"/>
                      <w:bCs/>
                      <w:sz w:val="22"/>
                      <w:szCs w:val="22"/>
                    </w:rPr>
                    <w:t xml:space="preserve">patches </w:t>
                  </w:r>
                  <w:r w:rsidRPr="003423D9">
                    <w:rPr>
                      <w:rFonts w:asciiTheme="minorHAnsi" w:hAnsiTheme="minorHAnsi"/>
                      <w:bCs/>
                      <w:sz w:val="22"/>
                      <w:szCs w:val="22"/>
                    </w:rPr>
                    <w:t>are important for the survival and growth of some aquatic organisms.</w:t>
                  </w:r>
                </w:p>
                <w:p w:rsidR="0097684C" w:rsidRPr="00953778" w:rsidRDefault="0097684C" w:rsidP="00953778">
                  <w:pPr>
                    <w:pStyle w:val="BodyText"/>
                    <w:numPr>
                      <w:ilvl w:val="0"/>
                      <w:numId w:val="38"/>
                    </w:numPr>
                    <w:spacing w:after="120" w:line="240" w:lineRule="auto"/>
                    <w:jc w:val="left"/>
                    <w:rPr>
                      <w:rFonts w:asciiTheme="minorHAnsi" w:hAnsiTheme="minorHAnsi" w:cs="Calibri"/>
                      <w:bCs/>
                      <w:sz w:val="22"/>
                    </w:rPr>
                  </w:pPr>
                  <w:r w:rsidRPr="003423D9">
                    <w:rPr>
                      <w:rFonts w:asciiTheme="minorHAnsi" w:hAnsiTheme="minorHAnsi" w:cs="Calibri"/>
                      <w:bCs/>
                      <w:sz w:val="22"/>
                    </w:rPr>
                    <w:t>The</w:t>
                  </w:r>
                  <w:r>
                    <w:rPr>
                      <w:rFonts w:asciiTheme="minorHAnsi" w:hAnsiTheme="minorHAnsi" w:cs="Calibri"/>
                      <w:bCs/>
                      <w:sz w:val="22"/>
                    </w:rPr>
                    <w:t xml:space="preserve">re was not a strong </w:t>
                  </w:r>
                  <w:r w:rsidRPr="003423D9">
                    <w:rPr>
                      <w:rFonts w:asciiTheme="minorHAnsi" w:hAnsiTheme="minorHAnsi" w:cs="Calibri"/>
                      <w:bCs/>
                      <w:sz w:val="22"/>
                    </w:rPr>
                    <w:t>relationship between discharge and wetted benthic area in these river reaches</w:t>
                  </w:r>
                  <w:r>
                    <w:rPr>
                      <w:rFonts w:asciiTheme="minorHAnsi" w:hAnsiTheme="minorHAnsi" w:cs="Calibri"/>
                      <w:bCs/>
                      <w:sz w:val="22"/>
                    </w:rPr>
                    <w:t xml:space="preserve"> because r</w:t>
                  </w:r>
                  <w:r w:rsidRPr="003423D9">
                    <w:rPr>
                      <w:rFonts w:asciiTheme="minorHAnsi" w:hAnsiTheme="minorHAnsi"/>
                      <w:bCs/>
                      <w:sz w:val="22"/>
                      <w:szCs w:val="22"/>
                    </w:rPr>
                    <w:t>iver geomorphology has a strong influence on the response to environmental watering actions</w:t>
                  </w:r>
                  <w:r>
                    <w:rPr>
                      <w:rFonts w:asciiTheme="minorHAnsi" w:hAnsiTheme="minorHAnsi"/>
                      <w:bCs/>
                      <w:sz w:val="22"/>
                      <w:szCs w:val="22"/>
                    </w:rPr>
                    <w:t xml:space="preserve">. </w:t>
                  </w:r>
                  <w:r w:rsidRPr="00953778">
                    <w:rPr>
                      <w:rFonts w:asciiTheme="minorHAnsi" w:hAnsiTheme="minorHAnsi"/>
                      <w:sz w:val="22"/>
                      <w:szCs w:val="22"/>
                    </w:rPr>
                    <w:t>The results suggest it may be more appropriate to examine the relationship between inundation area and ecosystem responses to in-channel flows rather than examining relationships with daily discharge.</w:t>
                  </w:r>
                </w:p>
              </w:txbxContent>
            </v:textbox>
            <w10:wrap anchorx="margin"/>
          </v:shape>
        </w:pict>
      </w:r>
    </w:p>
    <w:p w:rsidR="00767532" w:rsidRDefault="00767532">
      <w:pPr>
        <w:spacing w:after="0" w:line="240" w:lineRule="auto"/>
        <w:jc w:val="left"/>
        <w:rPr>
          <w:rFonts w:ascii="Arial" w:eastAsia="Times New Roman" w:hAnsi="Arial" w:cs="Arial"/>
          <w:b/>
          <w:bCs/>
          <w:color w:val="385623"/>
          <w:sz w:val="26"/>
          <w:szCs w:val="26"/>
          <w:lang w:eastAsia="en-AU"/>
        </w:rPr>
      </w:pPr>
      <w:r>
        <w:rPr>
          <w:b/>
          <w:bCs/>
          <w:color w:val="385623"/>
          <w:sz w:val="26"/>
          <w:szCs w:val="26"/>
        </w:rPr>
        <w:br w:type="page"/>
      </w:r>
    </w:p>
    <w:p w:rsidR="00767532" w:rsidRPr="00EB70F1" w:rsidRDefault="00767532" w:rsidP="00767532">
      <w:pPr>
        <w:pStyle w:val="Default"/>
        <w:spacing w:before="360" w:after="240"/>
        <w:rPr>
          <w:rFonts w:asciiTheme="minorHAnsi" w:hAnsiTheme="minorHAnsi"/>
          <w:b/>
          <w:bCs/>
          <w:color w:val="385623"/>
        </w:rPr>
      </w:pPr>
      <w:r w:rsidRPr="00EB70F1">
        <w:rPr>
          <w:rFonts w:asciiTheme="minorHAnsi" w:hAnsiTheme="minorHAnsi"/>
          <w:b/>
          <w:bCs/>
          <w:color w:val="385623"/>
        </w:rPr>
        <w:t>5.1 Background</w:t>
      </w:r>
    </w:p>
    <w:p w:rsidR="00767532" w:rsidRPr="00767532" w:rsidRDefault="00767532" w:rsidP="00A11665">
      <w:pPr>
        <w:pStyle w:val="Default"/>
        <w:spacing w:after="240" w:line="360" w:lineRule="auto"/>
        <w:rPr>
          <w:rFonts w:asciiTheme="minorHAnsi" w:hAnsiTheme="minorHAnsi"/>
          <w:sz w:val="22"/>
          <w:szCs w:val="22"/>
        </w:rPr>
      </w:pPr>
      <w:r w:rsidRPr="00767532">
        <w:rPr>
          <w:rFonts w:asciiTheme="minorHAnsi" w:hAnsiTheme="minorHAnsi"/>
          <w:sz w:val="22"/>
          <w:szCs w:val="22"/>
        </w:rPr>
        <w:t>Environmental watering actions that are wholly contained within the channel have the potential to inundate riverbanks and other in-channel geomorphic features and can create low flow zones (slackwaters) having low velocities and shallow depths. These habitats are important for river productivity and riverbank plants and can facilitate the survival of organisms, such as larval fish and larval shrimp, through provision of habitat and food.</w:t>
      </w:r>
    </w:p>
    <w:p w:rsidR="00767532" w:rsidRPr="00767532" w:rsidRDefault="00767532" w:rsidP="00A11665">
      <w:pPr>
        <w:pStyle w:val="Default"/>
        <w:spacing w:after="240" w:line="360" w:lineRule="auto"/>
        <w:rPr>
          <w:rFonts w:asciiTheme="minorHAnsi" w:hAnsiTheme="minorHAnsi"/>
          <w:sz w:val="22"/>
          <w:szCs w:val="22"/>
        </w:rPr>
      </w:pPr>
      <w:r w:rsidRPr="00767532">
        <w:rPr>
          <w:rFonts w:asciiTheme="minorHAnsi" w:hAnsiTheme="minorHAnsi"/>
          <w:sz w:val="22"/>
          <w:szCs w:val="22"/>
        </w:rPr>
        <w:t>Modelling is a useful method for comparing estimates of the extent of inundation under different discharge scenarios. In Australia previous studies have modelled river flow and floodplain inundation have been undertaken for wetlands on the Darling River (Shaikh et al. 2001), and floodplains on the Murrumbidgee River (Frazier et al. 2003) and the River Murray (Overton 2005; Overton et al. 2006). These studies have focussed on estimating floodplain inundation d</w:t>
      </w:r>
      <w:r w:rsidR="00AF3612">
        <w:rPr>
          <w:rFonts w:asciiTheme="minorHAnsi" w:hAnsiTheme="minorHAnsi"/>
          <w:sz w:val="22"/>
          <w:szCs w:val="22"/>
        </w:rPr>
        <w:t>uring overbank flows. I</w:t>
      </w:r>
      <w:r w:rsidRPr="00767532">
        <w:rPr>
          <w:rFonts w:asciiTheme="minorHAnsi" w:hAnsiTheme="minorHAnsi"/>
          <w:sz w:val="22"/>
          <w:szCs w:val="22"/>
        </w:rPr>
        <w:t xml:space="preserve">n </w:t>
      </w:r>
      <w:r w:rsidR="00AF3612">
        <w:rPr>
          <w:rFonts w:asciiTheme="minorHAnsi" w:hAnsiTheme="minorHAnsi"/>
          <w:sz w:val="22"/>
          <w:szCs w:val="22"/>
        </w:rPr>
        <w:t xml:space="preserve">river </w:t>
      </w:r>
      <w:r w:rsidRPr="00767532">
        <w:rPr>
          <w:rFonts w:asciiTheme="minorHAnsi" w:hAnsiTheme="minorHAnsi"/>
          <w:sz w:val="22"/>
          <w:szCs w:val="22"/>
        </w:rPr>
        <w:t xml:space="preserve">systems where environmental watering is contained </w:t>
      </w:r>
      <w:r w:rsidR="00B00B96">
        <w:rPr>
          <w:rFonts w:asciiTheme="minorHAnsi" w:hAnsiTheme="minorHAnsi"/>
          <w:sz w:val="22"/>
          <w:szCs w:val="22"/>
        </w:rPr>
        <w:t xml:space="preserve">wholly </w:t>
      </w:r>
      <w:r w:rsidRPr="00767532">
        <w:rPr>
          <w:rFonts w:asciiTheme="minorHAnsi" w:hAnsiTheme="minorHAnsi"/>
          <w:sz w:val="22"/>
          <w:szCs w:val="22"/>
        </w:rPr>
        <w:t>within the channel, digital elevation models can be used to create flow path assessments to compare the extent of in-</w:t>
      </w:r>
      <w:r w:rsidR="00AF3612">
        <w:rPr>
          <w:rFonts w:asciiTheme="minorHAnsi" w:hAnsiTheme="minorHAnsi"/>
          <w:sz w:val="22"/>
          <w:szCs w:val="22"/>
        </w:rPr>
        <w:t>stream</w:t>
      </w:r>
      <w:r w:rsidRPr="00767532">
        <w:rPr>
          <w:rFonts w:asciiTheme="minorHAnsi" w:hAnsiTheme="minorHAnsi"/>
          <w:sz w:val="22"/>
          <w:szCs w:val="22"/>
        </w:rPr>
        <w:t xml:space="preserve"> riverbank inundation under different discharge scenarios. Vietz et al. (2013) used two dimensional hydraulic modelling to examine the impacts of flow regulation on slackwaters in the Broken River, south-eastern Australia. They demonstrated that the area of slackwaters decreased with increasing discharge until inundation of higher-elevation bars and benches. </w:t>
      </w:r>
    </w:p>
    <w:p w:rsidR="00767532" w:rsidRPr="00767532" w:rsidRDefault="00767532" w:rsidP="00A11665">
      <w:pPr>
        <w:pStyle w:val="Default"/>
        <w:spacing w:after="240" w:line="360" w:lineRule="auto"/>
        <w:rPr>
          <w:rFonts w:asciiTheme="minorHAnsi" w:hAnsiTheme="minorHAnsi"/>
          <w:sz w:val="22"/>
          <w:szCs w:val="22"/>
        </w:rPr>
      </w:pPr>
      <w:r w:rsidRPr="00767532">
        <w:rPr>
          <w:rFonts w:asciiTheme="minorHAnsi" w:hAnsiTheme="minorHAnsi"/>
          <w:sz w:val="22"/>
          <w:szCs w:val="22"/>
        </w:rPr>
        <w:t xml:space="preserve">The aim of this project was to undertake 2D hydraulic modelling of river reaches in the Edward-Wakool system to estimate the extent of wetted benthic surface area and the area of </w:t>
      </w:r>
      <w:r w:rsidR="00B00B96">
        <w:rPr>
          <w:rFonts w:asciiTheme="minorHAnsi" w:hAnsiTheme="minorHAnsi"/>
          <w:sz w:val="22"/>
          <w:szCs w:val="22"/>
        </w:rPr>
        <w:t xml:space="preserve">three </w:t>
      </w:r>
      <w:r w:rsidRPr="00767532">
        <w:rPr>
          <w:rFonts w:asciiTheme="minorHAnsi" w:hAnsiTheme="minorHAnsi"/>
          <w:sz w:val="22"/>
          <w:szCs w:val="22"/>
        </w:rPr>
        <w:t>velocity zones for seven discharge scenarios, ranging from low flows to bankfull flows. Comparison of these parameters at discharges expected during operational flows (no environmental water) and during environmental watering was undertaken to assess the effect of Commonwealth environmental water on benthic wetted area and area of slackwater and slow flowing water. The modelling will assist the interpretation of ecological responses to flows, contribute to decision making regarding the magnitude of environmental watering and will assist the communication of likely outcomes of planned watering events with landholders.</w:t>
      </w:r>
    </w:p>
    <w:p w:rsidR="00767532" w:rsidRPr="00EB70F1" w:rsidRDefault="00767532" w:rsidP="00767532">
      <w:pPr>
        <w:pStyle w:val="Default"/>
        <w:spacing w:before="120" w:after="240"/>
        <w:rPr>
          <w:rFonts w:asciiTheme="minorHAnsi" w:hAnsiTheme="minorHAnsi"/>
          <w:b/>
          <w:bCs/>
          <w:color w:val="385623"/>
        </w:rPr>
      </w:pPr>
      <w:r w:rsidRPr="00EB70F1">
        <w:rPr>
          <w:rFonts w:asciiTheme="minorHAnsi" w:hAnsiTheme="minorHAnsi"/>
          <w:b/>
          <w:bCs/>
          <w:color w:val="385623"/>
        </w:rPr>
        <w:t>5.2 Questions</w:t>
      </w:r>
    </w:p>
    <w:p w:rsidR="00B00B96" w:rsidRDefault="00B00B96" w:rsidP="00B00B96">
      <w:pPr>
        <w:spacing w:after="0"/>
        <w:jc w:val="left"/>
        <w:rPr>
          <w:rFonts w:asciiTheme="minorHAnsi" w:hAnsiTheme="minorHAnsi" w:cs="Courier New"/>
          <w:color w:val="000000"/>
        </w:rPr>
      </w:pPr>
      <w:r>
        <w:rPr>
          <w:szCs w:val="22"/>
        </w:rPr>
        <w:t>Two dimensional hydraulic modelling was undertaken in the Edward-Wakool River system to evaluation the effect of Commonwealth environmental watering at the Selected Area scale (Watts et al. 2014). The following questions will be addressed:</w:t>
      </w:r>
    </w:p>
    <w:p w:rsidR="00767532" w:rsidRPr="00767532" w:rsidRDefault="00AF3612" w:rsidP="00767532">
      <w:pPr>
        <w:pStyle w:val="Default"/>
        <w:spacing w:line="360" w:lineRule="auto"/>
        <w:rPr>
          <w:rFonts w:asciiTheme="minorHAnsi" w:hAnsiTheme="minorHAnsi"/>
          <w:bCs/>
          <w:i/>
          <w:sz w:val="22"/>
          <w:szCs w:val="22"/>
        </w:rPr>
      </w:pPr>
      <w:r>
        <w:rPr>
          <w:rFonts w:asciiTheme="minorHAnsi" w:hAnsiTheme="minorHAnsi"/>
          <w:bCs/>
          <w:sz w:val="22"/>
          <w:szCs w:val="22"/>
        </w:rPr>
        <w:t xml:space="preserve">Q1: </w:t>
      </w:r>
      <w:r w:rsidR="00767532" w:rsidRPr="00767532">
        <w:rPr>
          <w:rFonts w:asciiTheme="minorHAnsi" w:hAnsiTheme="minorHAnsi"/>
          <w:bCs/>
          <w:i/>
          <w:sz w:val="22"/>
          <w:szCs w:val="22"/>
        </w:rPr>
        <w:t>What did Commonwealth environmental water contribute to the in-channel wetted benthic area?</w:t>
      </w:r>
    </w:p>
    <w:p w:rsidR="00767532" w:rsidRPr="00767532" w:rsidRDefault="00AF3612" w:rsidP="00767532">
      <w:pPr>
        <w:pStyle w:val="Default"/>
        <w:spacing w:line="360" w:lineRule="auto"/>
        <w:rPr>
          <w:rFonts w:asciiTheme="minorHAnsi" w:hAnsiTheme="minorHAnsi"/>
          <w:bCs/>
          <w:i/>
          <w:sz w:val="22"/>
          <w:szCs w:val="22"/>
        </w:rPr>
      </w:pPr>
      <w:r>
        <w:rPr>
          <w:rFonts w:asciiTheme="minorHAnsi" w:hAnsiTheme="minorHAnsi"/>
          <w:bCs/>
          <w:sz w:val="22"/>
          <w:szCs w:val="22"/>
        </w:rPr>
        <w:t xml:space="preserve">Q2: </w:t>
      </w:r>
      <w:r w:rsidR="00767532" w:rsidRPr="00767532">
        <w:rPr>
          <w:rFonts w:asciiTheme="minorHAnsi" w:hAnsiTheme="minorHAnsi"/>
          <w:bCs/>
          <w:i/>
          <w:sz w:val="22"/>
          <w:szCs w:val="22"/>
        </w:rPr>
        <w:t>What did Commonwealth environmental water contribute to the area of slackwater and slow flowing water?</w:t>
      </w:r>
    </w:p>
    <w:p w:rsidR="00767532" w:rsidRPr="00767532" w:rsidRDefault="00AF3612" w:rsidP="00B00B96">
      <w:pPr>
        <w:spacing w:after="240"/>
        <w:rPr>
          <w:rFonts w:asciiTheme="minorHAnsi" w:hAnsiTheme="minorHAnsi"/>
          <w:i/>
        </w:rPr>
      </w:pPr>
      <w:r>
        <w:rPr>
          <w:rFonts w:asciiTheme="minorHAnsi" w:hAnsiTheme="minorHAnsi"/>
        </w:rPr>
        <w:t xml:space="preserve">Q3: </w:t>
      </w:r>
      <w:r w:rsidR="00767532" w:rsidRPr="00767532">
        <w:rPr>
          <w:rFonts w:asciiTheme="minorHAnsi" w:hAnsiTheme="minorHAnsi"/>
          <w:i/>
        </w:rPr>
        <w:t>What did Commonwealth environmental water contribute to hydrological connectivity?</w:t>
      </w:r>
    </w:p>
    <w:p w:rsidR="00767532" w:rsidRDefault="00767532" w:rsidP="00EB70F1">
      <w:pPr>
        <w:pStyle w:val="Default"/>
        <w:spacing w:before="120" w:after="240"/>
        <w:rPr>
          <w:b/>
          <w:bCs/>
          <w:sz w:val="26"/>
          <w:szCs w:val="26"/>
        </w:rPr>
      </w:pPr>
      <w:r w:rsidRPr="00EB70F1">
        <w:rPr>
          <w:rFonts w:asciiTheme="minorHAnsi" w:hAnsiTheme="minorHAnsi"/>
          <w:b/>
          <w:bCs/>
          <w:color w:val="385623"/>
        </w:rPr>
        <w:t>5.3 Methods</w:t>
      </w:r>
    </w:p>
    <w:p w:rsidR="00767532" w:rsidRPr="00767532" w:rsidRDefault="00767532" w:rsidP="00F73829">
      <w:pPr>
        <w:pStyle w:val="Default"/>
        <w:spacing w:after="240" w:line="288" w:lineRule="auto"/>
        <w:rPr>
          <w:rFonts w:asciiTheme="minorHAnsi" w:hAnsiTheme="minorHAnsi"/>
          <w:i/>
          <w:sz w:val="22"/>
          <w:szCs w:val="22"/>
        </w:rPr>
      </w:pPr>
      <w:r w:rsidRPr="00767532">
        <w:rPr>
          <w:rFonts w:asciiTheme="minorHAnsi" w:hAnsiTheme="minorHAnsi"/>
          <w:i/>
          <w:sz w:val="22"/>
          <w:szCs w:val="22"/>
        </w:rPr>
        <w:t>Hydraulic modelling</w:t>
      </w:r>
    </w:p>
    <w:p w:rsidR="00767532" w:rsidRPr="00767532" w:rsidRDefault="00767532" w:rsidP="00A11665">
      <w:pPr>
        <w:pStyle w:val="Default"/>
        <w:spacing w:after="240" w:line="360" w:lineRule="auto"/>
        <w:rPr>
          <w:rFonts w:asciiTheme="minorHAnsi" w:hAnsiTheme="minorHAnsi"/>
          <w:sz w:val="22"/>
          <w:szCs w:val="22"/>
        </w:rPr>
      </w:pPr>
      <w:r w:rsidRPr="00767532">
        <w:rPr>
          <w:rFonts w:asciiTheme="minorHAnsi" w:hAnsiTheme="minorHAnsi"/>
          <w:sz w:val="22"/>
          <w:szCs w:val="22"/>
        </w:rPr>
        <w:t xml:space="preserve">Discharge scenarios were modelled for nineteen reaches; five in Yallakool Creek (zone 1), five in the Wakool River (zone 2), four in Wakool River upstream of Thule Creek (zone 3) and five in the Wakool River downstream of Thule Creek (zone 4). These are study reaches where water quality, fish reproduction, fish recruitment and aquatic and riverbank vegetation were monitored. Each reach extended over 4km; the upstream end of the modelled reach was 3.2 km upstream of the 400m larval fish study reach and extended 400 m downstream of the larval fish study reach (see </w:t>
      </w:r>
      <w:r w:rsidRPr="00F73829">
        <w:rPr>
          <w:rFonts w:asciiTheme="minorHAnsi" w:hAnsiTheme="minorHAnsi"/>
          <w:sz w:val="22"/>
          <w:szCs w:val="22"/>
        </w:rPr>
        <w:t xml:space="preserve">section </w:t>
      </w:r>
      <w:r w:rsidR="00F73829" w:rsidRPr="00F73829">
        <w:rPr>
          <w:rFonts w:asciiTheme="minorHAnsi" w:hAnsiTheme="minorHAnsi"/>
          <w:sz w:val="22"/>
          <w:szCs w:val="22"/>
        </w:rPr>
        <w:t>3</w:t>
      </w:r>
      <w:r w:rsidRPr="00F73829">
        <w:rPr>
          <w:rFonts w:asciiTheme="minorHAnsi" w:hAnsiTheme="minorHAnsi"/>
          <w:sz w:val="22"/>
          <w:szCs w:val="22"/>
        </w:rPr>
        <w:t>).</w:t>
      </w:r>
    </w:p>
    <w:p w:rsidR="00767532" w:rsidRPr="00767532" w:rsidRDefault="00767532" w:rsidP="00A11665">
      <w:pPr>
        <w:pStyle w:val="Default"/>
        <w:spacing w:after="240" w:line="360" w:lineRule="auto"/>
        <w:rPr>
          <w:rFonts w:asciiTheme="minorHAnsi" w:hAnsiTheme="minorHAnsi"/>
          <w:sz w:val="22"/>
          <w:szCs w:val="22"/>
        </w:rPr>
      </w:pPr>
      <w:r w:rsidRPr="00767532">
        <w:rPr>
          <w:rFonts w:asciiTheme="minorHAnsi" w:hAnsiTheme="minorHAnsi"/>
          <w:sz w:val="22"/>
          <w:szCs w:val="22"/>
        </w:rPr>
        <w:t>Each reach was represented within the hydraulic model using a digital elevation model (DEM) supplied under an agreement with the Murray Darling Basin Authority. Several minor artefacts were removed from the DEMs</w:t>
      </w:r>
      <w:r w:rsidR="00F73829">
        <w:rPr>
          <w:rFonts w:asciiTheme="minorHAnsi" w:hAnsiTheme="minorHAnsi"/>
          <w:sz w:val="22"/>
          <w:szCs w:val="22"/>
        </w:rPr>
        <w:t>,</w:t>
      </w:r>
      <w:r w:rsidRPr="00767532">
        <w:rPr>
          <w:rFonts w:asciiTheme="minorHAnsi" w:hAnsiTheme="minorHAnsi"/>
          <w:sz w:val="22"/>
          <w:szCs w:val="22"/>
        </w:rPr>
        <w:t xml:space="preserve"> typically from the areas around the joins between neighbouring DEM tiles. Prior to commencing model runs both the upstream (inflow) and downstream (sink) model boundaries were calibrated to ensure accurate water surface heights and velocities were achieved for each discharge value. For example when calibrating the flow characteristics of the model boundaries a temporary water source was placed ~400m upstream of the proposed boundary and a sink section placed ~400m downstream of the proposed model boundary. The static discharge flow was applied until the inflow rate matched the outflow rate and the river reached stable state flow. Water surface height and velocities at stable state were estimated for each discharge scenario and applied to model boundaries during model runs.</w:t>
      </w:r>
    </w:p>
    <w:p w:rsidR="00767532" w:rsidRPr="00767532" w:rsidRDefault="00767532" w:rsidP="00A11665">
      <w:pPr>
        <w:pStyle w:val="Default"/>
        <w:spacing w:after="240" w:line="360" w:lineRule="auto"/>
        <w:rPr>
          <w:rFonts w:asciiTheme="minorHAnsi" w:hAnsiTheme="minorHAnsi"/>
          <w:sz w:val="22"/>
          <w:szCs w:val="22"/>
        </w:rPr>
      </w:pPr>
      <w:r w:rsidRPr="00767532">
        <w:rPr>
          <w:rFonts w:asciiTheme="minorHAnsi" w:hAnsiTheme="minorHAnsi"/>
          <w:sz w:val="22"/>
          <w:szCs w:val="22"/>
        </w:rPr>
        <w:t>Six discharge scenarios were selected for each reach ranging from low flow to the maximum discharge observed between 2012 and 2015 (Table 5.1). For Yallakool Creek the discharge of 500 MLd</w:t>
      </w:r>
      <w:r w:rsidRPr="00767532">
        <w:rPr>
          <w:rFonts w:asciiTheme="minorHAnsi" w:hAnsiTheme="minorHAnsi"/>
          <w:sz w:val="22"/>
          <w:szCs w:val="22"/>
          <w:vertAlign w:val="superscript"/>
        </w:rPr>
        <w:t>-1</w:t>
      </w:r>
      <w:r w:rsidRPr="00767532">
        <w:rPr>
          <w:rFonts w:asciiTheme="minorHAnsi" w:hAnsiTheme="minorHAnsi"/>
          <w:sz w:val="22"/>
          <w:szCs w:val="22"/>
        </w:rPr>
        <w:t xml:space="preserve"> is similar to the discharge during the environmental watering action in Yallakool Creek between August 2014 and December 2014. This scenario was used to assess the effect of Commonwealth environmental watering on benthic wetted area and area of slackwater.</w:t>
      </w:r>
    </w:p>
    <w:p w:rsidR="00767532" w:rsidRPr="00767532" w:rsidRDefault="00767532" w:rsidP="00A11665">
      <w:pPr>
        <w:pStyle w:val="Default"/>
        <w:spacing w:after="240" w:line="360" w:lineRule="auto"/>
        <w:rPr>
          <w:rFonts w:asciiTheme="minorHAnsi" w:hAnsiTheme="minorHAnsi"/>
          <w:sz w:val="22"/>
          <w:szCs w:val="22"/>
        </w:rPr>
      </w:pPr>
      <w:r w:rsidRPr="00767532">
        <w:rPr>
          <w:rFonts w:asciiTheme="minorHAnsi" w:hAnsiTheme="minorHAnsi"/>
          <w:sz w:val="22"/>
          <w:szCs w:val="22"/>
        </w:rPr>
        <w:t xml:space="preserve">Each scenario was modelled assuming an initial dry starting condition with no residual water in the system. Surface friction coefficients, representing the amount of instream vegetation, </w:t>
      </w:r>
      <w:r w:rsidR="0053375F" w:rsidRPr="00767532">
        <w:rPr>
          <w:rFonts w:asciiTheme="minorHAnsi" w:hAnsiTheme="minorHAnsi"/>
          <w:sz w:val="22"/>
          <w:szCs w:val="22"/>
        </w:rPr>
        <w:t>w</w:t>
      </w:r>
      <w:r w:rsidR="0053375F">
        <w:rPr>
          <w:rFonts w:asciiTheme="minorHAnsi" w:hAnsiTheme="minorHAnsi"/>
          <w:sz w:val="22"/>
          <w:szCs w:val="22"/>
        </w:rPr>
        <w:t>ere</w:t>
      </w:r>
      <w:r w:rsidR="0053375F" w:rsidRPr="00767532">
        <w:rPr>
          <w:rFonts w:asciiTheme="minorHAnsi" w:hAnsiTheme="minorHAnsi"/>
          <w:sz w:val="22"/>
          <w:szCs w:val="22"/>
        </w:rPr>
        <w:t xml:space="preserve"> </w:t>
      </w:r>
      <w:r w:rsidRPr="00767532">
        <w:rPr>
          <w:rFonts w:asciiTheme="minorHAnsi" w:hAnsiTheme="minorHAnsi"/>
          <w:sz w:val="22"/>
          <w:szCs w:val="22"/>
        </w:rPr>
        <w:t xml:space="preserve">accounted for in each model using a standard Manning’s n value of 0.05. Scenarios were run until stable state flow was achieved whereby the instantaneous flow rate at the downstream boundary condition (sink) stabilised and matched the upstream inflow (source) flow rate. Inflow values were provide to the upstream source as a static value and did not varying over the duration of each model run. Discharge scenarios were modelled using Eonfusion Flood (Myriax Software) with model outputs post-processed using the Eonfusion v2.4.5 (Myriax Software) and Quantum GIS (v2.8.2). </w:t>
      </w:r>
    </w:p>
    <w:p w:rsidR="00A11665" w:rsidRPr="008D36A7" w:rsidRDefault="00A11665" w:rsidP="00A11665">
      <w:pPr>
        <w:pStyle w:val="Default"/>
        <w:spacing w:line="360" w:lineRule="auto"/>
        <w:rPr>
          <w:rFonts w:asciiTheme="minorHAnsi" w:hAnsiTheme="minorHAnsi"/>
          <w:sz w:val="22"/>
          <w:szCs w:val="22"/>
        </w:rPr>
      </w:pPr>
      <w:r w:rsidRPr="008D36A7">
        <w:rPr>
          <w:rFonts w:asciiTheme="minorHAnsi" w:hAnsiTheme="minorHAnsi"/>
          <w:sz w:val="22"/>
          <w:szCs w:val="22"/>
        </w:rPr>
        <w:t>Upon reaching stable state flow the water surface extent was captured in vector format comprised of individual point features, one per m</w:t>
      </w:r>
      <w:r w:rsidRPr="008D36A7">
        <w:rPr>
          <w:rFonts w:asciiTheme="minorHAnsi" w:hAnsiTheme="minorHAnsi"/>
          <w:sz w:val="22"/>
          <w:szCs w:val="22"/>
          <w:vertAlign w:val="superscript"/>
        </w:rPr>
        <w:t>2</w:t>
      </w:r>
      <w:r w:rsidRPr="008D36A7">
        <w:rPr>
          <w:rFonts w:asciiTheme="minorHAnsi" w:hAnsiTheme="minorHAnsi"/>
          <w:sz w:val="22"/>
          <w:szCs w:val="22"/>
        </w:rPr>
        <w:t xml:space="preserve">, with each point feature containing X/Y/Z geometry and attribute values for water depth, surface elevation (above bed) and velocity. The resulting point cloud allowed a 3D surface to be reconstructed and the wetted benthic surface area to be calculated. The 3D surface was also categorised by water velocity and sectioned into 3 discrete velocity zones to produce a series of water velocity map layers. The three velocity categories were: </w:t>
      </w:r>
    </w:p>
    <w:p w:rsidR="00A11665" w:rsidRDefault="00A11665" w:rsidP="00A11665">
      <w:pPr>
        <w:pStyle w:val="Default"/>
        <w:spacing w:after="240" w:line="360" w:lineRule="auto"/>
        <w:rPr>
          <w:rFonts w:asciiTheme="minorHAnsi" w:hAnsiTheme="minorHAnsi"/>
          <w:sz w:val="22"/>
          <w:szCs w:val="22"/>
        </w:rPr>
      </w:pPr>
      <w:r>
        <w:rPr>
          <w:rFonts w:asciiTheme="minorHAnsi" w:hAnsiTheme="minorHAnsi"/>
          <w:sz w:val="22"/>
          <w:szCs w:val="22"/>
        </w:rPr>
        <w:t>Slackwater (</w:t>
      </w:r>
      <w:r w:rsidRPr="008D36A7">
        <w:rPr>
          <w:rFonts w:asciiTheme="minorHAnsi" w:hAnsiTheme="minorHAnsi"/>
          <w:sz w:val="22"/>
          <w:szCs w:val="22"/>
        </w:rPr>
        <w:t>&lt; 0.02 ms</w:t>
      </w:r>
      <w:r w:rsidRPr="00E3073F">
        <w:rPr>
          <w:rFonts w:asciiTheme="minorHAnsi" w:hAnsiTheme="minorHAnsi"/>
          <w:sz w:val="22"/>
          <w:szCs w:val="22"/>
          <w:vertAlign w:val="superscript"/>
        </w:rPr>
        <w:t>-1</w:t>
      </w:r>
      <w:r>
        <w:rPr>
          <w:rFonts w:asciiTheme="minorHAnsi" w:hAnsiTheme="minorHAnsi"/>
          <w:sz w:val="22"/>
          <w:szCs w:val="22"/>
        </w:rPr>
        <w:t>), slow water (</w:t>
      </w:r>
      <w:r w:rsidRPr="008D36A7">
        <w:rPr>
          <w:rFonts w:asciiTheme="minorHAnsi" w:hAnsiTheme="minorHAnsi"/>
          <w:sz w:val="22"/>
          <w:szCs w:val="22"/>
        </w:rPr>
        <w:t>0.02 – 0.3 ms</w:t>
      </w:r>
      <w:r w:rsidRPr="00E3073F">
        <w:rPr>
          <w:rFonts w:asciiTheme="minorHAnsi" w:hAnsiTheme="minorHAnsi"/>
          <w:sz w:val="22"/>
          <w:szCs w:val="22"/>
          <w:vertAlign w:val="superscript"/>
        </w:rPr>
        <w:t>-1</w:t>
      </w:r>
      <w:r w:rsidRPr="008D36A7">
        <w:rPr>
          <w:rFonts w:asciiTheme="minorHAnsi" w:hAnsiTheme="minorHAnsi"/>
          <w:sz w:val="22"/>
          <w:szCs w:val="22"/>
        </w:rPr>
        <w:t xml:space="preserve">) </w:t>
      </w:r>
      <w:r>
        <w:rPr>
          <w:rFonts w:asciiTheme="minorHAnsi" w:hAnsiTheme="minorHAnsi"/>
          <w:sz w:val="22"/>
          <w:szCs w:val="22"/>
        </w:rPr>
        <w:t>and fast water (</w:t>
      </w:r>
      <w:r w:rsidRPr="008D36A7">
        <w:rPr>
          <w:rFonts w:asciiTheme="minorHAnsi" w:hAnsiTheme="minorHAnsi"/>
          <w:sz w:val="22"/>
          <w:szCs w:val="22"/>
        </w:rPr>
        <w:t>&gt;0.3 ms</w:t>
      </w:r>
      <w:r w:rsidRPr="00E3073F">
        <w:rPr>
          <w:rFonts w:asciiTheme="minorHAnsi" w:hAnsiTheme="minorHAnsi"/>
          <w:sz w:val="22"/>
          <w:szCs w:val="22"/>
          <w:vertAlign w:val="superscript"/>
        </w:rPr>
        <w:t>-1</w:t>
      </w:r>
      <w:r w:rsidRPr="008D36A7">
        <w:rPr>
          <w:rFonts w:asciiTheme="minorHAnsi" w:hAnsiTheme="minorHAnsi"/>
          <w:sz w:val="22"/>
          <w:szCs w:val="22"/>
        </w:rPr>
        <w:t>).</w:t>
      </w:r>
      <w:r>
        <w:rPr>
          <w:rFonts w:asciiTheme="minorHAnsi" w:hAnsiTheme="minorHAnsi"/>
          <w:sz w:val="22"/>
          <w:szCs w:val="22"/>
        </w:rPr>
        <w:t xml:space="preserve"> </w:t>
      </w:r>
      <w:r w:rsidRPr="008D36A7">
        <w:rPr>
          <w:rFonts w:asciiTheme="minorHAnsi" w:hAnsiTheme="minorHAnsi"/>
          <w:sz w:val="22"/>
          <w:szCs w:val="22"/>
        </w:rPr>
        <w:t xml:space="preserve">Post-processing, including surface area calculations, was achieved using Eonfusion v2.4.5 (Myriax Software), Quantum GIS and made distributable using the Google Earth KML file format. </w:t>
      </w:r>
    </w:p>
    <w:p w:rsidR="00A11665" w:rsidRPr="008D36A7" w:rsidRDefault="00A11665" w:rsidP="00A11665">
      <w:pPr>
        <w:pStyle w:val="BodyText"/>
        <w:jc w:val="left"/>
        <w:rPr>
          <w:rFonts w:asciiTheme="minorHAnsi" w:hAnsiTheme="minorHAnsi"/>
          <w:i/>
          <w:sz w:val="22"/>
          <w:szCs w:val="22"/>
        </w:rPr>
      </w:pPr>
      <w:r w:rsidRPr="008D36A7">
        <w:rPr>
          <w:rFonts w:asciiTheme="minorHAnsi" w:hAnsiTheme="minorHAnsi"/>
          <w:i/>
          <w:sz w:val="22"/>
          <w:szCs w:val="22"/>
        </w:rPr>
        <w:t>Statistical analysis</w:t>
      </w:r>
    </w:p>
    <w:p w:rsidR="00A11665" w:rsidRPr="008D36A7" w:rsidRDefault="00A11665" w:rsidP="00A11665">
      <w:pPr>
        <w:spacing w:before="120" w:after="120"/>
        <w:jc w:val="left"/>
        <w:rPr>
          <w:rFonts w:asciiTheme="minorHAnsi" w:hAnsiTheme="minorHAnsi" w:cs="Calibri"/>
          <w:szCs w:val="22"/>
        </w:rPr>
      </w:pPr>
      <w:r w:rsidRPr="008D36A7">
        <w:rPr>
          <w:rFonts w:asciiTheme="minorHAnsi" w:hAnsiTheme="minorHAnsi" w:cs="Calibri"/>
          <w:szCs w:val="22"/>
        </w:rPr>
        <w:t>The wetted benthic area under operational flows was compared among the four hydrological zones using one-way ANOVA (IBM SPSS Statistics v20). The increase in wetted benthic area f</w:t>
      </w:r>
      <w:r>
        <w:rPr>
          <w:rFonts w:asciiTheme="minorHAnsi" w:hAnsiTheme="minorHAnsi" w:cs="Calibri"/>
          <w:szCs w:val="22"/>
        </w:rPr>
        <w:t>or the three zones receiving Commonwealth environmental water</w:t>
      </w:r>
      <w:r w:rsidRPr="008D36A7">
        <w:rPr>
          <w:rFonts w:asciiTheme="minorHAnsi" w:hAnsiTheme="minorHAnsi" w:cs="Calibri"/>
          <w:szCs w:val="22"/>
        </w:rPr>
        <w:t xml:space="preserve"> was compared among the four zones using one-way ANOVA (IBM SPSS Statistics v20). P-values of &lt;0.05 were used to determine the significance of each ANOVA test. </w:t>
      </w:r>
    </w:p>
    <w:p w:rsidR="00A11665" w:rsidRPr="008D36A7" w:rsidRDefault="00A11665" w:rsidP="00A11665">
      <w:pPr>
        <w:spacing w:before="120" w:after="120"/>
        <w:jc w:val="left"/>
        <w:rPr>
          <w:rFonts w:asciiTheme="minorHAnsi" w:hAnsiTheme="minorHAnsi" w:cs="Calibri"/>
          <w:szCs w:val="22"/>
        </w:rPr>
      </w:pPr>
      <w:r w:rsidRPr="008D36A7">
        <w:rPr>
          <w:rFonts w:asciiTheme="minorHAnsi" w:hAnsiTheme="minorHAnsi" w:cs="Calibri"/>
          <w:szCs w:val="22"/>
        </w:rPr>
        <w:t>The area of slackwater, slow water and fast water under operational flows was compared among the four hydrological zones using one-way ANOVA (IBM SPSS Statistics v20).</w:t>
      </w:r>
    </w:p>
    <w:p w:rsidR="00A11665" w:rsidRDefault="00A11665" w:rsidP="00A11665">
      <w:pPr>
        <w:pStyle w:val="Default"/>
        <w:spacing w:after="120" w:line="360" w:lineRule="auto"/>
        <w:rPr>
          <w:sz w:val="22"/>
          <w:szCs w:val="22"/>
        </w:rPr>
        <w:sectPr w:rsidR="00A11665" w:rsidSect="00767532">
          <w:pgSz w:w="11906" w:h="16838"/>
          <w:pgMar w:top="1440" w:right="1440" w:bottom="1440" w:left="1440" w:header="708" w:footer="708" w:gutter="0"/>
          <w:cols w:space="708"/>
          <w:docGrid w:linePitch="360"/>
        </w:sectPr>
      </w:pPr>
    </w:p>
    <w:p w:rsidR="00767532" w:rsidRPr="0097453F" w:rsidRDefault="00767532" w:rsidP="00767532">
      <w:pPr>
        <w:spacing w:after="0" w:line="240" w:lineRule="auto"/>
        <w:rPr>
          <w:rFonts w:eastAsia="Times New Roman"/>
          <w:b/>
          <w:color w:val="000000"/>
          <w:kern w:val="28"/>
          <w:sz w:val="20"/>
        </w:rPr>
      </w:pPr>
      <w:r w:rsidRPr="0097453F">
        <w:rPr>
          <w:rFonts w:eastAsia="Times New Roman"/>
          <w:b/>
          <w:color w:val="000000"/>
          <w:kern w:val="28"/>
          <w:sz w:val="20"/>
        </w:rPr>
        <w:t xml:space="preserve">Table </w:t>
      </w:r>
      <w:r>
        <w:rPr>
          <w:rFonts w:eastAsia="Times New Roman"/>
          <w:b/>
          <w:color w:val="000000"/>
          <w:kern w:val="28"/>
          <w:sz w:val="20"/>
        </w:rPr>
        <w:t>5.</w:t>
      </w:r>
      <w:r w:rsidRPr="0097453F">
        <w:rPr>
          <w:rFonts w:eastAsia="Times New Roman"/>
          <w:b/>
          <w:color w:val="000000"/>
          <w:kern w:val="28"/>
          <w:sz w:val="20"/>
        </w:rPr>
        <w:t xml:space="preserve">1. </w:t>
      </w:r>
      <w:r w:rsidRPr="00642341">
        <w:rPr>
          <w:rFonts w:eastAsia="Times New Roman"/>
          <w:color w:val="000000"/>
          <w:kern w:val="28"/>
          <w:sz w:val="20"/>
        </w:rPr>
        <w:t xml:space="preserve">Summary of discharge scenarios </w:t>
      </w:r>
      <w:r>
        <w:rPr>
          <w:rFonts w:eastAsia="Times New Roman"/>
          <w:color w:val="000000"/>
          <w:kern w:val="28"/>
          <w:sz w:val="20"/>
        </w:rPr>
        <w:t>(MLd</w:t>
      </w:r>
      <w:r w:rsidRPr="00082D42">
        <w:rPr>
          <w:rFonts w:eastAsia="Times New Roman"/>
          <w:color w:val="000000"/>
          <w:kern w:val="28"/>
          <w:sz w:val="20"/>
          <w:vertAlign w:val="superscript"/>
        </w:rPr>
        <w:t>-1</w:t>
      </w:r>
      <w:r>
        <w:rPr>
          <w:rFonts w:eastAsia="Times New Roman"/>
          <w:color w:val="000000"/>
          <w:kern w:val="28"/>
          <w:sz w:val="20"/>
        </w:rPr>
        <w:t xml:space="preserve">) </w:t>
      </w:r>
      <w:r w:rsidRPr="00642341">
        <w:rPr>
          <w:rFonts w:eastAsia="Times New Roman"/>
          <w:color w:val="000000"/>
          <w:kern w:val="28"/>
          <w:sz w:val="20"/>
        </w:rPr>
        <w:t xml:space="preserve">modelled for </w:t>
      </w:r>
      <w:r>
        <w:rPr>
          <w:rFonts w:eastAsia="Times New Roman"/>
          <w:color w:val="000000"/>
          <w:kern w:val="28"/>
          <w:sz w:val="20"/>
        </w:rPr>
        <w:t xml:space="preserve">19 reaches across </w:t>
      </w:r>
      <w:r w:rsidRPr="00642341">
        <w:rPr>
          <w:rFonts w:eastAsia="Times New Roman"/>
          <w:color w:val="000000"/>
          <w:kern w:val="28"/>
          <w:sz w:val="20"/>
        </w:rPr>
        <w:t>four hydrological zones in the Edward-Wakool LTIM Selected Area; Yallakool Creek (zone 1), the Wakool River (zone 2), the Wakool River upstream of Thule Creek zone 3) and the Wakool River downstream of Thule Creek (zone 4).</w:t>
      </w:r>
      <w:r>
        <w:rPr>
          <w:rFonts w:eastAsia="Times New Roman"/>
          <w:color w:val="000000"/>
          <w:kern w:val="28"/>
          <w:sz w:val="20"/>
        </w:rPr>
        <w:t xml:space="preserve"> N/M = not modelled because environmental watering was not undertaken in the Wakool River zone 2. N/A= models for some sites were not achievable because discharge flows resulted</w:t>
      </w:r>
      <w:r w:rsidRPr="009302CD">
        <w:rPr>
          <w:rFonts w:eastAsia="Times New Roman"/>
          <w:color w:val="000000"/>
          <w:kern w:val="28"/>
          <w:sz w:val="20"/>
        </w:rPr>
        <w:t xml:space="preserve"> in breakout from the main channel and broad-scale overland flows </w:t>
      </w:r>
      <w:r>
        <w:rPr>
          <w:rFonts w:eastAsia="Times New Roman"/>
          <w:color w:val="000000"/>
          <w:kern w:val="28"/>
          <w:sz w:val="20"/>
        </w:rPr>
        <w:t>could</w:t>
      </w:r>
      <w:r w:rsidRPr="009302CD">
        <w:rPr>
          <w:rFonts w:eastAsia="Times New Roman"/>
          <w:color w:val="000000"/>
          <w:kern w:val="28"/>
          <w:sz w:val="20"/>
        </w:rPr>
        <w:t xml:space="preserve"> not </w:t>
      </w:r>
      <w:r w:rsidR="000F2AE2">
        <w:rPr>
          <w:rFonts w:eastAsia="Times New Roman"/>
          <w:color w:val="000000"/>
          <w:kern w:val="28"/>
          <w:sz w:val="20"/>
        </w:rPr>
        <w:t xml:space="preserve">be </w:t>
      </w:r>
      <w:r w:rsidRPr="009302CD">
        <w:rPr>
          <w:rFonts w:eastAsia="Times New Roman"/>
          <w:color w:val="000000"/>
          <w:kern w:val="28"/>
          <w:sz w:val="20"/>
        </w:rPr>
        <w:t>modelled</w:t>
      </w:r>
      <w:r>
        <w:rPr>
          <w:rFonts w:eastAsia="Times New Roman"/>
          <w:color w:val="000000"/>
          <w:kern w:val="28"/>
          <w:sz w:val="20"/>
        </w:rPr>
        <w:t xml:space="preserve"> </w:t>
      </w:r>
    </w:p>
    <w:tbl>
      <w:tblPr>
        <w:tblStyle w:val="GridTable2-Accent11"/>
        <w:tblW w:w="4901" w:type="pct"/>
        <w:tblInd w:w="108" w:type="dxa"/>
        <w:tblBorders>
          <w:top w:val="none" w:sz="0" w:space="0" w:color="auto"/>
          <w:bottom w:val="none" w:sz="0" w:space="0" w:color="auto"/>
          <w:insideH w:val="none" w:sz="0" w:space="0" w:color="auto"/>
          <w:insideV w:val="none" w:sz="0" w:space="0" w:color="auto"/>
        </w:tblBorders>
        <w:tblLayout w:type="fixed"/>
        <w:tblLook w:val="04A0"/>
      </w:tblPr>
      <w:tblGrid>
        <w:gridCol w:w="994"/>
        <w:gridCol w:w="1562"/>
        <w:gridCol w:w="1417"/>
        <w:gridCol w:w="1706"/>
        <w:gridCol w:w="1420"/>
        <w:gridCol w:w="1417"/>
        <w:gridCol w:w="1412"/>
        <w:gridCol w:w="1553"/>
        <w:gridCol w:w="2412"/>
      </w:tblGrid>
      <w:tr w:rsidR="00767532" w:rsidRPr="006E1439" w:rsidTr="00F73829">
        <w:trPr>
          <w:cnfStyle w:val="100000000000"/>
          <w:trHeight w:val="734"/>
        </w:trPr>
        <w:tc>
          <w:tcPr>
            <w:cnfStyle w:val="001000000000"/>
            <w:tcW w:w="358" w:type="pct"/>
            <w:tcBorders>
              <w:top w:val="single" w:sz="4" w:space="0" w:color="auto"/>
              <w:bottom w:val="single" w:sz="4" w:space="0" w:color="auto"/>
            </w:tcBorders>
            <w:shd w:val="clear" w:color="auto" w:fill="EAF1DD" w:themeFill="accent3" w:themeFillTint="33"/>
            <w:noWrap/>
            <w:hideMark/>
          </w:tcPr>
          <w:p w:rsidR="00767532" w:rsidRPr="00805432" w:rsidRDefault="00767532" w:rsidP="00767532">
            <w:pPr>
              <w:spacing w:after="0" w:line="240" w:lineRule="auto"/>
              <w:rPr>
                <w:rFonts w:asciiTheme="minorHAnsi" w:eastAsia="Times New Roman" w:hAnsiTheme="minorHAnsi"/>
                <w:color w:val="000000"/>
                <w:lang w:eastAsia="en-AU"/>
              </w:rPr>
            </w:pPr>
            <w:r w:rsidRPr="00805432">
              <w:rPr>
                <w:rFonts w:asciiTheme="minorHAnsi" w:eastAsia="Times New Roman" w:hAnsiTheme="minorHAnsi"/>
                <w:color w:val="000000"/>
                <w:lang w:eastAsia="en-AU"/>
              </w:rPr>
              <w:t>Zone</w:t>
            </w:r>
          </w:p>
        </w:tc>
        <w:tc>
          <w:tcPr>
            <w:tcW w:w="562" w:type="pct"/>
            <w:tcBorders>
              <w:top w:val="single" w:sz="4" w:space="0" w:color="auto"/>
              <w:bottom w:val="single" w:sz="4" w:space="0" w:color="auto"/>
            </w:tcBorders>
            <w:shd w:val="clear" w:color="auto" w:fill="EAF1DD" w:themeFill="accent3" w:themeFillTint="33"/>
            <w:noWrap/>
            <w:hideMark/>
          </w:tcPr>
          <w:p w:rsidR="00767532" w:rsidRPr="00805432" w:rsidRDefault="00767532" w:rsidP="00767532">
            <w:pPr>
              <w:spacing w:after="0" w:line="240" w:lineRule="auto"/>
              <w:cnfStyle w:val="1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Reach Name</w:t>
            </w:r>
          </w:p>
        </w:tc>
        <w:tc>
          <w:tcPr>
            <w:tcW w:w="510" w:type="pct"/>
            <w:tcBorders>
              <w:top w:val="single" w:sz="4" w:space="0" w:color="auto"/>
              <w:bottom w:val="single" w:sz="4" w:space="0" w:color="auto"/>
            </w:tcBorders>
            <w:shd w:val="clear" w:color="auto" w:fill="EAF1DD" w:themeFill="accent3" w:themeFillTint="33"/>
            <w:hideMark/>
          </w:tcPr>
          <w:p w:rsidR="00767532" w:rsidRPr="00805432" w:rsidRDefault="00767532" w:rsidP="00767532">
            <w:pPr>
              <w:spacing w:after="0" w:line="240" w:lineRule="auto"/>
              <w:jc w:val="center"/>
              <w:cnfStyle w:val="100000000000"/>
              <w:rPr>
                <w:rFonts w:asciiTheme="minorHAnsi" w:eastAsia="Times New Roman" w:hAnsiTheme="minorHAnsi"/>
                <w:color w:val="222222"/>
                <w:lang w:eastAsia="en-AU"/>
              </w:rPr>
            </w:pPr>
            <w:r w:rsidRPr="00805432">
              <w:rPr>
                <w:rFonts w:asciiTheme="minorHAnsi" w:eastAsia="Times New Roman" w:hAnsiTheme="minorHAnsi"/>
                <w:color w:val="222222"/>
                <w:lang w:eastAsia="en-AU"/>
              </w:rPr>
              <w:t xml:space="preserve">Scenario 1 </w:t>
            </w:r>
            <w:r w:rsidRPr="00805432">
              <w:rPr>
                <w:rFonts w:asciiTheme="minorHAnsi" w:eastAsia="Times New Roman" w:hAnsiTheme="minorHAnsi"/>
                <w:color w:val="222222"/>
                <w:lang w:eastAsia="en-AU"/>
              </w:rPr>
              <w:br/>
              <w:t xml:space="preserve">Low flow </w:t>
            </w:r>
            <w:r w:rsidRPr="00805432">
              <w:rPr>
                <w:rFonts w:asciiTheme="minorHAnsi" w:eastAsia="Times New Roman" w:hAnsiTheme="minorHAnsi"/>
                <w:color w:val="222222"/>
                <w:lang w:eastAsia="en-AU"/>
              </w:rPr>
              <w:br/>
            </w:r>
          </w:p>
        </w:tc>
        <w:tc>
          <w:tcPr>
            <w:tcW w:w="614" w:type="pct"/>
            <w:tcBorders>
              <w:top w:val="single" w:sz="4" w:space="0" w:color="auto"/>
              <w:bottom w:val="single" w:sz="4" w:space="0" w:color="auto"/>
            </w:tcBorders>
            <w:shd w:val="clear" w:color="auto" w:fill="EAF1DD" w:themeFill="accent3" w:themeFillTint="33"/>
            <w:hideMark/>
          </w:tcPr>
          <w:p w:rsidR="00767532" w:rsidRPr="00805432" w:rsidRDefault="00767532" w:rsidP="00767532">
            <w:pPr>
              <w:spacing w:after="0" w:line="240" w:lineRule="auto"/>
              <w:jc w:val="center"/>
              <w:cnfStyle w:val="100000000000"/>
              <w:rPr>
                <w:rFonts w:asciiTheme="minorHAnsi" w:eastAsia="Times New Roman" w:hAnsiTheme="minorHAnsi"/>
                <w:color w:val="222222"/>
                <w:lang w:eastAsia="en-AU"/>
              </w:rPr>
            </w:pPr>
            <w:r w:rsidRPr="00805432">
              <w:rPr>
                <w:rFonts w:asciiTheme="minorHAnsi" w:eastAsia="Times New Roman" w:hAnsiTheme="minorHAnsi"/>
                <w:color w:val="222222"/>
                <w:lang w:eastAsia="en-AU"/>
              </w:rPr>
              <w:t xml:space="preserve">Scenario 2 </w:t>
            </w:r>
            <w:r w:rsidRPr="00805432">
              <w:rPr>
                <w:rFonts w:asciiTheme="minorHAnsi" w:eastAsia="Times New Roman" w:hAnsiTheme="minorHAnsi"/>
                <w:color w:val="222222"/>
                <w:lang w:eastAsia="en-AU"/>
              </w:rPr>
              <w:br/>
              <w:t xml:space="preserve">Operational flow </w:t>
            </w:r>
          </w:p>
        </w:tc>
        <w:tc>
          <w:tcPr>
            <w:tcW w:w="511" w:type="pct"/>
            <w:tcBorders>
              <w:top w:val="single" w:sz="4" w:space="0" w:color="auto"/>
              <w:bottom w:val="single" w:sz="4" w:space="0" w:color="auto"/>
            </w:tcBorders>
            <w:shd w:val="clear" w:color="auto" w:fill="EAF1DD" w:themeFill="accent3" w:themeFillTint="33"/>
            <w:hideMark/>
          </w:tcPr>
          <w:p w:rsidR="00767532" w:rsidRPr="00805432" w:rsidRDefault="00767532" w:rsidP="00767532">
            <w:pPr>
              <w:spacing w:after="0" w:line="240" w:lineRule="auto"/>
              <w:jc w:val="center"/>
              <w:cnfStyle w:val="100000000000"/>
              <w:rPr>
                <w:rFonts w:asciiTheme="minorHAnsi" w:eastAsia="Times New Roman" w:hAnsiTheme="minorHAnsi"/>
                <w:color w:val="222222"/>
                <w:lang w:eastAsia="en-AU"/>
              </w:rPr>
            </w:pPr>
            <w:r w:rsidRPr="00805432">
              <w:rPr>
                <w:rFonts w:asciiTheme="minorHAnsi" w:eastAsia="Times New Roman" w:hAnsiTheme="minorHAnsi"/>
                <w:color w:val="222222"/>
                <w:lang w:eastAsia="en-AU"/>
              </w:rPr>
              <w:t xml:space="preserve">Scenario 3 </w:t>
            </w:r>
            <w:r w:rsidRPr="00805432">
              <w:rPr>
                <w:rFonts w:asciiTheme="minorHAnsi" w:eastAsia="Times New Roman" w:hAnsiTheme="minorHAnsi"/>
                <w:color w:val="222222"/>
                <w:lang w:eastAsia="en-AU"/>
              </w:rPr>
              <w:br/>
              <w:t xml:space="preserve">Yallakool Ck e-flow </w:t>
            </w:r>
          </w:p>
        </w:tc>
        <w:tc>
          <w:tcPr>
            <w:tcW w:w="510" w:type="pct"/>
            <w:tcBorders>
              <w:top w:val="single" w:sz="4" w:space="0" w:color="auto"/>
              <w:bottom w:val="single" w:sz="4" w:space="0" w:color="auto"/>
            </w:tcBorders>
            <w:shd w:val="clear" w:color="auto" w:fill="EAF1DD" w:themeFill="accent3" w:themeFillTint="33"/>
          </w:tcPr>
          <w:p w:rsidR="00767532" w:rsidRPr="00805432" w:rsidRDefault="00767532" w:rsidP="00767532">
            <w:pPr>
              <w:spacing w:after="0" w:line="240" w:lineRule="auto"/>
              <w:jc w:val="center"/>
              <w:cnfStyle w:val="100000000000"/>
              <w:rPr>
                <w:rFonts w:asciiTheme="minorHAnsi" w:eastAsia="Times New Roman" w:hAnsiTheme="minorHAnsi"/>
                <w:color w:val="222222"/>
                <w:lang w:eastAsia="en-AU"/>
              </w:rPr>
            </w:pPr>
            <w:r w:rsidRPr="00805432">
              <w:rPr>
                <w:rFonts w:asciiTheme="minorHAnsi" w:eastAsia="Times New Roman" w:hAnsiTheme="minorHAnsi"/>
                <w:color w:val="222222"/>
                <w:lang w:eastAsia="en-AU"/>
              </w:rPr>
              <w:t>Scenario 4</w:t>
            </w:r>
          </w:p>
          <w:p w:rsidR="00767532" w:rsidRPr="00805432" w:rsidRDefault="00767532" w:rsidP="00767532">
            <w:pPr>
              <w:spacing w:after="0" w:line="240" w:lineRule="auto"/>
              <w:jc w:val="center"/>
              <w:cnfStyle w:val="100000000000"/>
              <w:rPr>
                <w:rFonts w:asciiTheme="minorHAnsi" w:eastAsia="Times New Roman" w:hAnsiTheme="minorHAnsi"/>
                <w:color w:val="222222"/>
                <w:lang w:eastAsia="en-AU"/>
              </w:rPr>
            </w:pPr>
            <w:r w:rsidRPr="00805432">
              <w:rPr>
                <w:rFonts w:asciiTheme="minorHAnsi" w:eastAsia="Times New Roman" w:hAnsiTheme="minorHAnsi"/>
                <w:color w:val="222222"/>
                <w:lang w:eastAsia="en-AU"/>
              </w:rPr>
              <w:t>Additional scenario</w:t>
            </w:r>
          </w:p>
        </w:tc>
        <w:tc>
          <w:tcPr>
            <w:tcW w:w="508" w:type="pct"/>
            <w:tcBorders>
              <w:top w:val="single" w:sz="4" w:space="0" w:color="auto"/>
              <w:bottom w:val="single" w:sz="4" w:space="0" w:color="auto"/>
            </w:tcBorders>
            <w:shd w:val="clear" w:color="auto" w:fill="EAF1DD" w:themeFill="accent3" w:themeFillTint="33"/>
            <w:hideMark/>
          </w:tcPr>
          <w:p w:rsidR="00767532" w:rsidRPr="00805432" w:rsidRDefault="00767532" w:rsidP="00767532">
            <w:pPr>
              <w:spacing w:after="0" w:line="240" w:lineRule="auto"/>
              <w:jc w:val="center"/>
              <w:cnfStyle w:val="100000000000"/>
              <w:rPr>
                <w:rFonts w:asciiTheme="minorHAnsi" w:eastAsia="Times New Roman" w:hAnsiTheme="minorHAnsi"/>
                <w:color w:val="222222"/>
                <w:lang w:eastAsia="en-AU"/>
              </w:rPr>
            </w:pPr>
            <w:r w:rsidRPr="00805432">
              <w:rPr>
                <w:rFonts w:asciiTheme="minorHAnsi" w:eastAsia="Times New Roman" w:hAnsiTheme="minorHAnsi"/>
                <w:color w:val="222222"/>
                <w:lang w:eastAsia="en-AU"/>
              </w:rPr>
              <w:t>Scenario 5</w:t>
            </w:r>
          </w:p>
          <w:p w:rsidR="00767532" w:rsidRPr="00805432" w:rsidRDefault="00767532" w:rsidP="00767532">
            <w:pPr>
              <w:spacing w:after="0" w:line="240" w:lineRule="auto"/>
              <w:jc w:val="center"/>
              <w:cnfStyle w:val="100000000000"/>
              <w:rPr>
                <w:rFonts w:asciiTheme="minorHAnsi" w:eastAsia="Times New Roman" w:hAnsiTheme="minorHAnsi"/>
                <w:color w:val="222222"/>
                <w:lang w:eastAsia="en-AU"/>
              </w:rPr>
            </w:pPr>
            <w:r w:rsidRPr="00805432">
              <w:rPr>
                <w:rFonts w:asciiTheme="minorHAnsi" w:eastAsia="Times New Roman" w:hAnsiTheme="minorHAnsi"/>
                <w:color w:val="222222"/>
                <w:lang w:eastAsia="en-AU"/>
              </w:rPr>
              <w:t>Additional scenario</w:t>
            </w:r>
          </w:p>
        </w:tc>
        <w:tc>
          <w:tcPr>
            <w:tcW w:w="559" w:type="pct"/>
            <w:tcBorders>
              <w:top w:val="single" w:sz="4" w:space="0" w:color="auto"/>
              <w:bottom w:val="single" w:sz="4" w:space="0" w:color="auto"/>
            </w:tcBorders>
            <w:shd w:val="clear" w:color="auto" w:fill="EAF1DD" w:themeFill="accent3" w:themeFillTint="33"/>
            <w:hideMark/>
          </w:tcPr>
          <w:p w:rsidR="00767532" w:rsidRPr="00805432" w:rsidRDefault="00767532" w:rsidP="00767532">
            <w:pPr>
              <w:spacing w:after="0" w:line="240" w:lineRule="auto"/>
              <w:jc w:val="center"/>
              <w:cnfStyle w:val="100000000000"/>
              <w:rPr>
                <w:rFonts w:asciiTheme="minorHAnsi" w:eastAsia="Times New Roman" w:hAnsiTheme="minorHAnsi"/>
                <w:color w:val="222222"/>
                <w:lang w:eastAsia="en-AU"/>
              </w:rPr>
            </w:pPr>
            <w:r w:rsidRPr="00805432">
              <w:rPr>
                <w:rFonts w:asciiTheme="minorHAnsi" w:eastAsia="Times New Roman" w:hAnsiTheme="minorHAnsi"/>
                <w:color w:val="222222"/>
                <w:lang w:eastAsia="en-AU"/>
              </w:rPr>
              <w:t xml:space="preserve">Scenario 6 </w:t>
            </w:r>
            <w:r w:rsidRPr="00805432">
              <w:rPr>
                <w:rFonts w:asciiTheme="minorHAnsi" w:eastAsia="Times New Roman" w:hAnsiTheme="minorHAnsi"/>
                <w:color w:val="222222"/>
                <w:lang w:eastAsia="en-AU"/>
              </w:rPr>
              <w:br/>
              <w:t>Additional scenario</w:t>
            </w:r>
          </w:p>
        </w:tc>
        <w:tc>
          <w:tcPr>
            <w:tcW w:w="868" w:type="pct"/>
            <w:tcBorders>
              <w:top w:val="single" w:sz="4" w:space="0" w:color="auto"/>
              <w:bottom w:val="single" w:sz="4" w:space="0" w:color="auto"/>
            </w:tcBorders>
            <w:shd w:val="clear" w:color="auto" w:fill="EAF1DD" w:themeFill="accent3" w:themeFillTint="33"/>
            <w:hideMark/>
          </w:tcPr>
          <w:p w:rsidR="00767532" w:rsidRPr="00805432" w:rsidRDefault="00767532" w:rsidP="00767532">
            <w:pPr>
              <w:spacing w:after="0" w:line="240" w:lineRule="auto"/>
              <w:jc w:val="center"/>
              <w:cnfStyle w:val="100000000000"/>
              <w:rPr>
                <w:rFonts w:asciiTheme="minorHAnsi" w:eastAsia="Times New Roman" w:hAnsiTheme="minorHAnsi"/>
                <w:color w:val="222222"/>
                <w:lang w:eastAsia="en-AU"/>
              </w:rPr>
            </w:pPr>
            <w:r w:rsidRPr="00805432">
              <w:rPr>
                <w:rFonts w:asciiTheme="minorHAnsi" w:eastAsia="Times New Roman" w:hAnsiTheme="minorHAnsi"/>
                <w:color w:val="222222"/>
                <w:lang w:eastAsia="en-AU"/>
              </w:rPr>
              <w:t xml:space="preserve">Scenario 7 </w:t>
            </w:r>
            <w:r w:rsidRPr="00805432">
              <w:rPr>
                <w:rFonts w:asciiTheme="minorHAnsi" w:eastAsia="Times New Roman" w:hAnsiTheme="minorHAnsi"/>
                <w:color w:val="222222"/>
                <w:lang w:eastAsia="en-AU"/>
              </w:rPr>
              <w:br/>
              <w:t>Unregulated flows (max discharge 2012-15)</w:t>
            </w:r>
          </w:p>
        </w:tc>
      </w:tr>
      <w:tr w:rsidR="00767532" w:rsidRPr="006E1439" w:rsidTr="00767532">
        <w:trPr>
          <w:cnfStyle w:val="000000100000"/>
          <w:trHeight w:val="300"/>
        </w:trPr>
        <w:tc>
          <w:tcPr>
            <w:cnfStyle w:val="001000000000"/>
            <w:tcW w:w="358" w:type="pct"/>
            <w:tcBorders>
              <w:top w:val="single" w:sz="4" w:space="0" w:color="auto"/>
            </w:tcBorders>
            <w:shd w:val="clear" w:color="auto" w:fill="auto"/>
            <w:noWrap/>
            <w:hideMark/>
          </w:tcPr>
          <w:p w:rsidR="00767532" w:rsidRPr="00805432" w:rsidRDefault="00767532" w:rsidP="00767532">
            <w:pPr>
              <w:spacing w:after="0" w:line="240" w:lineRule="auto"/>
              <w:rPr>
                <w:rFonts w:asciiTheme="minorHAnsi" w:eastAsia="Times New Roman" w:hAnsiTheme="minorHAnsi"/>
                <w:b w:val="0"/>
                <w:color w:val="000000"/>
                <w:lang w:eastAsia="en-AU"/>
              </w:rPr>
            </w:pPr>
            <w:r w:rsidRPr="00805432">
              <w:rPr>
                <w:rFonts w:asciiTheme="minorHAnsi" w:eastAsia="Times New Roman" w:hAnsiTheme="minorHAnsi"/>
                <w:b w:val="0"/>
                <w:color w:val="000000"/>
                <w:lang w:eastAsia="en-AU"/>
              </w:rPr>
              <w:t>1</w:t>
            </w:r>
          </w:p>
        </w:tc>
        <w:tc>
          <w:tcPr>
            <w:tcW w:w="562" w:type="pct"/>
            <w:tcBorders>
              <w:top w:val="single" w:sz="4" w:space="0" w:color="auto"/>
            </w:tcBorders>
            <w:shd w:val="clear" w:color="auto" w:fill="auto"/>
            <w:noWrap/>
            <w:hideMark/>
          </w:tcPr>
          <w:p w:rsidR="00767532" w:rsidRPr="00805432" w:rsidRDefault="00767532" w:rsidP="00767532">
            <w:pPr>
              <w:spacing w:after="0" w:line="240" w:lineRule="auto"/>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Hopwood</w:t>
            </w:r>
          </w:p>
        </w:tc>
        <w:tc>
          <w:tcPr>
            <w:tcW w:w="510" w:type="pct"/>
            <w:tcBorders>
              <w:top w:val="single" w:sz="4" w:space="0" w:color="auto"/>
            </w:tcBorders>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30</w:t>
            </w:r>
          </w:p>
        </w:tc>
        <w:tc>
          <w:tcPr>
            <w:tcW w:w="614" w:type="pct"/>
            <w:tcBorders>
              <w:top w:val="single" w:sz="4" w:space="0" w:color="auto"/>
            </w:tcBorders>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240</w:t>
            </w:r>
          </w:p>
        </w:tc>
        <w:tc>
          <w:tcPr>
            <w:tcW w:w="511" w:type="pct"/>
            <w:tcBorders>
              <w:top w:val="single" w:sz="4" w:space="0" w:color="auto"/>
            </w:tcBorders>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500</w:t>
            </w:r>
          </w:p>
        </w:tc>
        <w:tc>
          <w:tcPr>
            <w:tcW w:w="510" w:type="pct"/>
            <w:tcBorders>
              <w:top w:val="single" w:sz="4" w:space="0" w:color="auto"/>
            </w:tcBorders>
            <w:shd w:val="clear" w:color="auto" w:fill="auto"/>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p>
        </w:tc>
        <w:tc>
          <w:tcPr>
            <w:tcW w:w="508" w:type="pct"/>
            <w:tcBorders>
              <w:top w:val="single" w:sz="4" w:space="0" w:color="auto"/>
            </w:tcBorders>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650</w:t>
            </w:r>
          </w:p>
        </w:tc>
        <w:tc>
          <w:tcPr>
            <w:tcW w:w="559" w:type="pct"/>
            <w:tcBorders>
              <w:top w:val="single" w:sz="4" w:space="0" w:color="auto"/>
            </w:tcBorders>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800</w:t>
            </w:r>
          </w:p>
        </w:tc>
        <w:tc>
          <w:tcPr>
            <w:tcW w:w="868" w:type="pct"/>
            <w:tcBorders>
              <w:top w:val="single" w:sz="4" w:space="0" w:color="auto"/>
            </w:tcBorders>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1913</w:t>
            </w:r>
          </w:p>
        </w:tc>
      </w:tr>
      <w:tr w:rsidR="00767532" w:rsidRPr="006E1439" w:rsidTr="00767532">
        <w:trPr>
          <w:trHeight w:val="300"/>
        </w:trPr>
        <w:tc>
          <w:tcPr>
            <w:cnfStyle w:val="001000000000"/>
            <w:tcW w:w="358" w:type="pct"/>
            <w:shd w:val="clear" w:color="auto" w:fill="auto"/>
            <w:noWrap/>
            <w:hideMark/>
          </w:tcPr>
          <w:p w:rsidR="00767532" w:rsidRPr="00805432" w:rsidRDefault="00767532" w:rsidP="00767532">
            <w:pPr>
              <w:spacing w:after="0" w:line="240" w:lineRule="auto"/>
              <w:rPr>
                <w:rFonts w:asciiTheme="minorHAnsi" w:eastAsia="Times New Roman" w:hAnsiTheme="minorHAnsi"/>
                <w:b w:val="0"/>
                <w:color w:val="000000"/>
                <w:lang w:eastAsia="en-AU"/>
              </w:rPr>
            </w:pPr>
            <w:r w:rsidRPr="00805432">
              <w:rPr>
                <w:rFonts w:asciiTheme="minorHAnsi" w:eastAsia="Times New Roman" w:hAnsiTheme="minorHAnsi"/>
                <w:b w:val="0"/>
                <w:color w:val="000000"/>
                <w:lang w:eastAsia="en-AU"/>
              </w:rPr>
              <w:t>1</w:t>
            </w:r>
          </w:p>
        </w:tc>
        <w:tc>
          <w:tcPr>
            <w:tcW w:w="562" w:type="pct"/>
            <w:shd w:val="clear" w:color="auto" w:fill="auto"/>
            <w:noWrap/>
            <w:hideMark/>
          </w:tcPr>
          <w:p w:rsidR="00767532" w:rsidRPr="00805432" w:rsidRDefault="00767532" w:rsidP="00767532">
            <w:pPr>
              <w:spacing w:after="0" w:line="240" w:lineRule="auto"/>
              <w:cnfStyle w:val="000000000000"/>
              <w:rPr>
                <w:rFonts w:asciiTheme="minorHAnsi" w:eastAsia="Times New Roman" w:hAnsiTheme="minorHAnsi"/>
                <w:lang w:eastAsia="en-AU"/>
              </w:rPr>
            </w:pPr>
            <w:r w:rsidRPr="00805432">
              <w:rPr>
                <w:rFonts w:asciiTheme="minorHAnsi" w:eastAsia="Times New Roman" w:hAnsiTheme="minorHAnsi"/>
                <w:lang w:eastAsia="en-AU"/>
              </w:rPr>
              <w:t>Cumnock</w:t>
            </w:r>
          </w:p>
        </w:tc>
        <w:tc>
          <w:tcPr>
            <w:tcW w:w="510"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30</w:t>
            </w:r>
          </w:p>
        </w:tc>
        <w:tc>
          <w:tcPr>
            <w:tcW w:w="614"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240</w:t>
            </w:r>
          </w:p>
        </w:tc>
        <w:tc>
          <w:tcPr>
            <w:tcW w:w="511"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500</w:t>
            </w:r>
          </w:p>
        </w:tc>
        <w:tc>
          <w:tcPr>
            <w:tcW w:w="510" w:type="pct"/>
            <w:shd w:val="clear" w:color="auto" w:fill="auto"/>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p>
        </w:tc>
        <w:tc>
          <w:tcPr>
            <w:tcW w:w="508"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650</w:t>
            </w:r>
          </w:p>
        </w:tc>
        <w:tc>
          <w:tcPr>
            <w:tcW w:w="559"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800</w:t>
            </w:r>
          </w:p>
        </w:tc>
        <w:tc>
          <w:tcPr>
            <w:tcW w:w="868"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1913</w:t>
            </w:r>
          </w:p>
        </w:tc>
      </w:tr>
      <w:tr w:rsidR="00767532" w:rsidRPr="006E1439" w:rsidTr="00767532">
        <w:trPr>
          <w:cnfStyle w:val="000000100000"/>
          <w:trHeight w:val="300"/>
        </w:trPr>
        <w:tc>
          <w:tcPr>
            <w:cnfStyle w:val="001000000000"/>
            <w:tcW w:w="358" w:type="pct"/>
            <w:shd w:val="clear" w:color="auto" w:fill="auto"/>
            <w:noWrap/>
            <w:hideMark/>
          </w:tcPr>
          <w:p w:rsidR="00767532" w:rsidRPr="00805432" w:rsidRDefault="00767532" w:rsidP="00767532">
            <w:pPr>
              <w:spacing w:after="0" w:line="240" w:lineRule="auto"/>
              <w:rPr>
                <w:rFonts w:asciiTheme="minorHAnsi" w:eastAsia="Times New Roman" w:hAnsiTheme="minorHAnsi"/>
                <w:b w:val="0"/>
                <w:color w:val="000000"/>
                <w:lang w:eastAsia="en-AU"/>
              </w:rPr>
            </w:pPr>
            <w:r w:rsidRPr="00805432">
              <w:rPr>
                <w:rFonts w:asciiTheme="minorHAnsi" w:eastAsia="Times New Roman" w:hAnsiTheme="minorHAnsi"/>
                <w:b w:val="0"/>
                <w:color w:val="000000"/>
                <w:lang w:eastAsia="en-AU"/>
              </w:rPr>
              <w:t>1</w:t>
            </w:r>
          </w:p>
        </w:tc>
        <w:tc>
          <w:tcPr>
            <w:tcW w:w="562" w:type="pct"/>
            <w:shd w:val="clear" w:color="auto" w:fill="auto"/>
            <w:noWrap/>
            <w:hideMark/>
          </w:tcPr>
          <w:p w:rsidR="00767532" w:rsidRPr="00805432" w:rsidRDefault="00767532" w:rsidP="00767532">
            <w:pPr>
              <w:spacing w:after="0" w:line="240" w:lineRule="auto"/>
              <w:cnfStyle w:val="000000100000"/>
              <w:rPr>
                <w:rFonts w:asciiTheme="minorHAnsi" w:eastAsia="Times New Roman" w:hAnsiTheme="minorHAnsi"/>
                <w:lang w:eastAsia="en-AU"/>
              </w:rPr>
            </w:pPr>
            <w:r w:rsidRPr="00805432">
              <w:rPr>
                <w:rFonts w:asciiTheme="minorHAnsi" w:eastAsia="Times New Roman" w:hAnsiTheme="minorHAnsi"/>
                <w:lang w:eastAsia="en-AU"/>
              </w:rPr>
              <w:t>Cumnock Park</w:t>
            </w:r>
          </w:p>
        </w:tc>
        <w:tc>
          <w:tcPr>
            <w:tcW w:w="510"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30</w:t>
            </w:r>
          </w:p>
        </w:tc>
        <w:tc>
          <w:tcPr>
            <w:tcW w:w="614"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240</w:t>
            </w:r>
          </w:p>
        </w:tc>
        <w:tc>
          <w:tcPr>
            <w:tcW w:w="511"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500</w:t>
            </w:r>
          </w:p>
        </w:tc>
        <w:tc>
          <w:tcPr>
            <w:tcW w:w="510" w:type="pct"/>
            <w:shd w:val="clear" w:color="auto" w:fill="auto"/>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p>
        </w:tc>
        <w:tc>
          <w:tcPr>
            <w:tcW w:w="508"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650</w:t>
            </w:r>
          </w:p>
        </w:tc>
        <w:tc>
          <w:tcPr>
            <w:tcW w:w="559"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800</w:t>
            </w:r>
          </w:p>
        </w:tc>
        <w:tc>
          <w:tcPr>
            <w:tcW w:w="868"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1913</w:t>
            </w:r>
          </w:p>
        </w:tc>
      </w:tr>
      <w:tr w:rsidR="00767532" w:rsidRPr="006E1439" w:rsidTr="00767532">
        <w:trPr>
          <w:trHeight w:val="300"/>
        </w:trPr>
        <w:tc>
          <w:tcPr>
            <w:cnfStyle w:val="001000000000"/>
            <w:tcW w:w="358" w:type="pct"/>
            <w:shd w:val="clear" w:color="auto" w:fill="auto"/>
            <w:noWrap/>
            <w:hideMark/>
          </w:tcPr>
          <w:p w:rsidR="00767532" w:rsidRPr="00805432" w:rsidRDefault="00767532" w:rsidP="00767532">
            <w:pPr>
              <w:spacing w:after="0" w:line="240" w:lineRule="auto"/>
              <w:rPr>
                <w:rFonts w:asciiTheme="minorHAnsi" w:eastAsia="Times New Roman" w:hAnsiTheme="minorHAnsi"/>
                <w:b w:val="0"/>
                <w:color w:val="000000"/>
                <w:lang w:eastAsia="en-AU"/>
              </w:rPr>
            </w:pPr>
            <w:r w:rsidRPr="00805432">
              <w:rPr>
                <w:rFonts w:asciiTheme="minorHAnsi" w:eastAsia="Times New Roman" w:hAnsiTheme="minorHAnsi"/>
                <w:b w:val="0"/>
                <w:color w:val="000000"/>
                <w:lang w:eastAsia="en-AU"/>
              </w:rPr>
              <w:t>1</w:t>
            </w:r>
          </w:p>
        </w:tc>
        <w:tc>
          <w:tcPr>
            <w:tcW w:w="562" w:type="pct"/>
            <w:shd w:val="clear" w:color="auto" w:fill="auto"/>
            <w:noWrap/>
            <w:hideMark/>
          </w:tcPr>
          <w:p w:rsidR="00767532" w:rsidRPr="00805432" w:rsidRDefault="00767532" w:rsidP="00767532">
            <w:pPr>
              <w:spacing w:after="0" w:line="240" w:lineRule="auto"/>
              <w:cnfStyle w:val="000000000000"/>
              <w:rPr>
                <w:rFonts w:asciiTheme="minorHAnsi" w:eastAsia="Times New Roman" w:hAnsiTheme="minorHAnsi"/>
                <w:lang w:eastAsia="en-AU"/>
              </w:rPr>
            </w:pPr>
            <w:r w:rsidRPr="00805432">
              <w:rPr>
                <w:rFonts w:asciiTheme="minorHAnsi" w:eastAsia="Times New Roman" w:hAnsiTheme="minorHAnsi"/>
                <w:lang w:eastAsia="en-AU"/>
              </w:rPr>
              <w:t>Mascott</w:t>
            </w:r>
          </w:p>
        </w:tc>
        <w:tc>
          <w:tcPr>
            <w:tcW w:w="510"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30</w:t>
            </w:r>
          </w:p>
        </w:tc>
        <w:tc>
          <w:tcPr>
            <w:tcW w:w="614"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240</w:t>
            </w:r>
          </w:p>
        </w:tc>
        <w:tc>
          <w:tcPr>
            <w:tcW w:w="511"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500</w:t>
            </w:r>
          </w:p>
        </w:tc>
        <w:tc>
          <w:tcPr>
            <w:tcW w:w="510" w:type="pct"/>
            <w:shd w:val="clear" w:color="auto" w:fill="auto"/>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p>
        </w:tc>
        <w:tc>
          <w:tcPr>
            <w:tcW w:w="508"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650</w:t>
            </w:r>
          </w:p>
        </w:tc>
        <w:tc>
          <w:tcPr>
            <w:tcW w:w="559"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800</w:t>
            </w:r>
          </w:p>
        </w:tc>
        <w:tc>
          <w:tcPr>
            <w:tcW w:w="868"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1913</w:t>
            </w:r>
          </w:p>
        </w:tc>
      </w:tr>
      <w:tr w:rsidR="00767532" w:rsidRPr="006E1439" w:rsidTr="00767532">
        <w:trPr>
          <w:cnfStyle w:val="000000100000"/>
          <w:trHeight w:val="300"/>
        </w:trPr>
        <w:tc>
          <w:tcPr>
            <w:cnfStyle w:val="001000000000"/>
            <w:tcW w:w="358" w:type="pct"/>
            <w:shd w:val="clear" w:color="auto" w:fill="auto"/>
            <w:noWrap/>
            <w:hideMark/>
          </w:tcPr>
          <w:p w:rsidR="00767532" w:rsidRPr="00805432" w:rsidRDefault="00767532" w:rsidP="00767532">
            <w:pPr>
              <w:spacing w:after="0" w:line="240" w:lineRule="auto"/>
              <w:rPr>
                <w:rFonts w:asciiTheme="minorHAnsi" w:eastAsia="Times New Roman" w:hAnsiTheme="minorHAnsi"/>
                <w:b w:val="0"/>
                <w:color w:val="000000"/>
                <w:lang w:eastAsia="en-AU"/>
              </w:rPr>
            </w:pPr>
            <w:r w:rsidRPr="00805432">
              <w:rPr>
                <w:rFonts w:asciiTheme="minorHAnsi" w:eastAsia="Times New Roman" w:hAnsiTheme="minorHAnsi"/>
                <w:b w:val="0"/>
                <w:color w:val="000000"/>
                <w:lang w:eastAsia="en-AU"/>
              </w:rPr>
              <w:t>1</w:t>
            </w:r>
          </w:p>
        </w:tc>
        <w:tc>
          <w:tcPr>
            <w:tcW w:w="562" w:type="pct"/>
            <w:shd w:val="clear" w:color="auto" w:fill="auto"/>
            <w:noWrap/>
            <w:hideMark/>
          </w:tcPr>
          <w:p w:rsidR="00767532" w:rsidRPr="00805432" w:rsidRDefault="00767532" w:rsidP="00767532">
            <w:pPr>
              <w:spacing w:after="0" w:line="240" w:lineRule="auto"/>
              <w:cnfStyle w:val="000000100000"/>
              <w:rPr>
                <w:rFonts w:asciiTheme="minorHAnsi" w:eastAsia="Times New Roman" w:hAnsiTheme="minorHAnsi"/>
                <w:lang w:eastAsia="en-AU"/>
              </w:rPr>
            </w:pPr>
            <w:r w:rsidRPr="00805432">
              <w:rPr>
                <w:rFonts w:asciiTheme="minorHAnsi" w:eastAsia="Times New Roman" w:hAnsiTheme="minorHAnsi"/>
                <w:lang w:eastAsia="en-AU"/>
              </w:rPr>
              <w:t>Windra Vale</w:t>
            </w:r>
          </w:p>
        </w:tc>
        <w:tc>
          <w:tcPr>
            <w:tcW w:w="510"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30</w:t>
            </w:r>
          </w:p>
        </w:tc>
        <w:tc>
          <w:tcPr>
            <w:tcW w:w="614"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240</w:t>
            </w:r>
          </w:p>
        </w:tc>
        <w:tc>
          <w:tcPr>
            <w:tcW w:w="511"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500</w:t>
            </w:r>
          </w:p>
        </w:tc>
        <w:tc>
          <w:tcPr>
            <w:tcW w:w="510" w:type="pct"/>
            <w:shd w:val="clear" w:color="auto" w:fill="auto"/>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p>
        </w:tc>
        <w:tc>
          <w:tcPr>
            <w:tcW w:w="508"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650</w:t>
            </w:r>
          </w:p>
        </w:tc>
        <w:tc>
          <w:tcPr>
            <w:tcW w:w="559"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800</w:t>
            </w:r>
          </w:p>
        </w:tc>
        <w:tc>
          <w:tcPr>
            <w:tcW w:w="868"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1913</w:t>
            </w:r>
          </w:p>
        </w:tc>
      </w:tr>
      <w:tr w:rsidR="00767532" w:rsidRPr="006E1439" w:rsidTr="00767532">
        <w:trPr>
          <w:trHeight w:val="300"/>
        </w:trPr>
        <w:tc>
          <w:tcPr>
            <w:cnfStyle w:val="001000000000"/>
            <w:tcW w:w="358" w:type="pct"/>
            <w:shd w:val="clear" w:color="auto" w:fill="auto"/>
            <w:noWrap/>
            <w:hideMark/>
          </w:tcPr>
          <w:p w:rsidR="00767532" w:rsidRPr="00805432" w:rsidRDefault="00767532" w:rsidP="00767532">
            <w:pPr>
              <w:spacing w:after="0" w:line="240" w:lineRule="auto"/>
              <w:rPr>
                <w:rFonts w:asciiTheme="minorHAnsi" w:eastAsia="Times New Roman" w:hAnsiTheme="minorHAnsi"/>
                <w:b w:val="0"/>
                <w:lang w:eastAsia="en-AU"/>
              </w:rPr>
            </w:pPr>
            <w:r w:rsidRPr="00805432">
              <w:rPr>
                <w:rFonts w:asciiTheme="minorHAnsi" w:eastAsia="Times New Roman" w:hAnsiTheme="minorHAnsi"/>
                <w:b w:val="0"/>
                <w:lang w:eastAsia="en-AU"/>
              </w:rPr>
              <w:t>2</w:t>
            </w:r>
          </w:p>
        </w:tc>
        <w:tc>
          <w:tcPr>
            <w:tcW w:w="562" w:type="pct"/>
            <w:shd w:val="clear" w:color="auto" w:fill="auto"/>
            <w:noWrap/>
            <w:hideMark/>
          </w:tcPr>
          <w:p w:rsidR="00767532" w:rsidRPr="00805432" w:rsidRDefault="00767532" w:rsidP="00767532">
            <w:pPr>
              <w:spacing w:after="0" w:line="240" w:lineRule="auto"/>
              <w:cnfStyle w:val="000000000000"/>
              <w:rPr>
                <w:rFonts w:asciiTheme="minorHAnsi" w:eastAsia="Times New Roman" w:hAnsiTheme="minorHAnsi"/>
                <w:lang w:eastAsia="en-AU"/>
              </w:rPr>
            </w:pPr>
            <w:r w:rsidRPr="00805432">
              <w:rPr>
                <w:rFonts w:asciiTheme="minorHAnsi" w:eastAsia="Times New Roman" w:hAnsiTheme="minorHAnsi"/>
                <w:lang w:eastAsia="en-AU"/>
              </w:rPr>
              <w:t>Yaloke</w:t>
            </w:r>
          </w:p>
        </w:tc>
        <w:tc>
          <w:tcPr>
            <w:tcW w:w="510"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222222"/>
                <w:lang w:eastAsia="en-AU"/>
              </w:rPr>
            </w:pPr>
            <w:r w:rsidRPr="00805432">
              <w:rPr>
                <w:rFonts w:asciiTheme="minorHAnsi" w:eastAsia="Times New Roman" w:hAnsiTheme="minorHAnsi"/>
                <w:color w:val="222222"/>
                <w:lang w:eastAsia="en-AU"/>
              </w:rPr>
              <w:t>25</w:t>
            </w:r>
          </w:p>
        </w:tc>
        <w:tc>
          <w:tcPr>
            <w:tcW w:w="614"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50</w:t>
            </w:r>
          </w:p>
        </w:tc>
        <w:tc>
          <w:tcPr>
            <w:tcW w:w="511" w:type="pct"/>
            <w:shd w:val="clear" w:color="auto" w:fill="auto"/>
            <w:noWrap/>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N/M</w:t>
            </w:r>
          </w:p>
        </w:tc>
        <w:tc>
          <w:tcPr>
            <w:tcW w:w="510" w:type="pct"/>
            <w:shd w:val="clear" w:color="auto" w:fill="auto"/>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100</w:t>
            </w:r>
          </w:p>
        </w:tc>
        <w:tc>
          <w:tcPr>
            <w:tcW w:w="508"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250</w:t>
            </w:r>
          </w:p>
        </w:tc>
        <w:tc>
          <w:tcPr>
            <w:tcW w:w="559"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500</w:t>
            </w:r>
          </w:p>
        </w:tc>
        <w:tc>
          <w:tcPr>
            <w:tcW w:w="868"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1439</w:t>
            </w:r>
          </w:p>
        </w:tc>
      </w:tr>
      <w:tr w:rsidR="00767532" w:rsidRPr="006E1439" w:rsidTr="00767532">
        <w:trPr>
          <w:cnfStyle w:val="000000100000"/>
          <w:trHeight w:val="300"/>
        </w:trPr>
        <w:tc>
          <w:tcPr>
            <w:cnfStyle w:val="001000000000"/>
            <w:tcW w:w="358" w:type="pct"/>
            <w:shd w:val="clear" w:color="auto" w:fill="auto"/>
            <w:noWrap/>
            <w:hideMark/>
          </w:tcPr>
          <w:p w:rsidR="00767532" w:rsidRPr="00805432" w:rsidRDefault="00767532" w:rsidP="00767532">
            <w:pPr>
              <w:spacing w:after="0" w:line="240" w:lineRule="auto"/>
              <w:rPr>
                <w:rFonts w:asciiTheme="minorHAnsi" w:eastAsia="Times New Roman" w:hAnsiTheme="minorHAnsi"/>
                <w:b w:val="0"/>
                <w:lang w:eastAsia="en-AU"/>
              </w:rPr>
            </w:pPr>
            <w:r w:rsidRPr="00805432">
              <w:rPr>
                <w:rFonts w:asciiTheme="minorHAnsi" w:eastAsia="Times New Roman" w:hAnsiTheme="minorHAnsi"/>
                <w:b w:val="0"/>
                <w:lang w:eastAsia="en-AU"/>
              </w:rPr>
              <w:t>2</w:t>
            </w:r>
          </w:p>
        </w:tc>
        <w:tc>
          <w:tcPr>
            <w:tcW w:w="562" w:type="pct"/>
            <w:shd w:val="clear" w:color="auto" w:fill="auto"/>
            <w:noWrap/>
            <w:hideMark/>
          </w:tcPr>
          <w:p w:rsidR="00767532" w:rsidRPr="00805432" w:rsidRDefault="00767532" w:rsidP="00767532">
            <w:pPr>
              <w:spacing w:after="0" w:line="240" w:lineRule="auto"/>
              <w:cnfStyle w:val="000000100000"/>
              <w:rPr>
                <w:rFonts w:asciiTheme="minorHAnsi" w:eastAsia="Times New Roman" w:hAnsiTheme="minorHAnsi"/>
                <w:lang w:eastAsia="en-AU"/>
              </w:rPr>
            </w:pPr>
            <w:r w:rsidRPr="00805432">
              <w:rPr>
                <w:rFonts w:asciiTheme="minorHAnsi" w:eastAsia="Times New Roman" w:hAnsiTheme="minorHAnsi"/>
                <w:lang w:eastAsia="en-AU"/>
              </w:rPr>
              <w:t xml:space="preserve">Carmathon </w:t>
            </w:r>
          </w:p>
        </w:tc>
        <w:tc>
          <w:tcPr>
            <w:tcW w:w="510"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222222"/>
                <w:lang w:eastAsia="en-AU"/>
              </w:rPr>
            </w:pPr>
            <w:r w:rsidRPr="00805432">
              <w:rPr>
                <w:rFonts w:asciiTheme="minorHAnsi" w:eastAsia="Times New Roman" w:hAnsiTheme="minorHAnsi"/>
                <w:color w:val="222222"/>
                <w:lang w:eastAsia="en-AU"/>
              </w:rPr>
              <w:t>25</w:t>
            </w:r>
          </w:p>
        </w:tc>
        <w:tc>
          <w:tcPr>
            <w:tcW w:w="614"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50</w:t>
            </w:r>
          </w:p>
        </w:tc>
        <w:tc>
          <w:tcPr>
            <w:tcW w:w="511" w:type="pct"/>
            <w:shd w:val="clear" w:color="auto" w:fill="auto"/>
            <w:noWrap/>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N/M</w:t>
            </w:r>
          </w:p>
        </w:tc>
        <w:tc>
          <w:tcPr>
            <w:tcW w:w="510" w:type="pct"/>
            <w:shd w:val="clear" w:color="auto" w:fill="auto"/>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100</w:t>
            </w:r>
          </w:p>
        </w:tc>
        <w:tc>
          <w:tcPr>
            <w:tcW w:w="508"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250</w:t>
            </w:r>
          </w:p>
        </w:tc>
        <w:tc>
          <w:tcPr>
            <w:tcW w:w="559"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500</w:t>
            </w:r>
          </w:p>
        </w:tc>
        <w:tc>
          <w:tcPr>
            <w:tcW w:w="868"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1439</w:t>
            </w:r>
          </w:p>
        </w:tc>
      </w:tr>
      <w:tr w:rsidR="00767532" w:rsidRPr="006E1439" w:rsidTr="00767532">
        <w:trPr>
          <w:trHeight w:val="300"/>
        </w:trPr>
        <w:tc>
          <w:tcPr>
            <w:cnfStyle w:val="001000000000"/>
            <w:tcW w:w="358" w:type="pct"/>
            <w:shd w:val="clear" w:color="auto" w:fill="auto"/>
            <w:noWrap/>
            <w:hideMark/>
          </w:tcPr>
          <w:p w:rsidR="00767532" w:rsidRPr="00805432" w:rsidRDefault="00767532" w:rsidP="00767532">
            <w:pPr>
              <w:spacing w:after="0" w:line="240" w:lineRule="auto"/>
              <w:rPr>
                <w:rFonts w:asciiTheme="minorHAnsi" w:eastAsia="Times New Roman" w:hAnsiTheme="minorHAnsi"/>
                <w:b w:val="0"/>
                <w:lang w:eastAsia="en-AU"/>
              </w:rPr>
            </w:pPr>
            <w:r w:rsidRPr="00805432">
              <w:rPr>
                <w:rFonts w:asciiTheme="minorHAnsi" w:eastAsia="Times New Roman" w:hAnsiTheme="minorHAnsi"/>
                <w:b w:val="0"/>
                <w:lang w:eastAsia="en-AU"/>
              </w:rPr>
              <w:t>2</w:t>
            </w:r>
          </w:p>
        </w:tc>
        <w:tc>
          <w:tcPr>
            <w:tcW w:w="562" w:type="pct"/>
            <w:shd w:val="clear" w:color="auto" w:fill="auto"/>
            <w:noWrap/>
            <w:hideMark/>
          </w:tcPr>
          <w:p w:rsidR="00767532" w:rsidRPr="00805432" w:rsidRDefault="00767532" w:rsidP="00767532">
            <w:pPr>
              <w:spacing w:after="0" w:line="240" w:lineRule="auto"/>
              <w:cnfStyle w:val="000000000000"/>
              <w:rPr>
                <w:rFonts w:asciiTheme="minorHAnsi" w:eastAsia="Times New Roman" w:hAnsiTheme="minorHAnsi"/>
                <w:lang w:eastAsia="en-AU"/>
              </w:rPr>
            </w:pPr>
            <w:r w:rsidRPr="00805432">
              <w:rPr>
                <w:rFonts w:asciiTheme="minorHAnsi" w:eastAsia="Times New Roman" w:hAnsiTheme="minorHAnsi"/>
                <w:lang w:eastAsia="en-AU"/>
              </w:rPr>
              <w:t>Emu Park</w:t>
            </w:r>
          </w:p>
        </w:tc>
        <w:tc>
          <w:tcPr>
            <w:tcW w:w="510"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222222"/>
                <w:lang w:eastAsia="en-AU"/>
              </w:rPr>
            </w:pPr>
            <w:r w:rsidRPr="00805432">
              <w:rPr>
                <w:rFonts w:asciiTheme="minorHAnsi" w:eastAsia="Times New Roman" w:hAnsiTheme="minorHAnsi"/>
                <w:color w:val="222222"/>
                <w:lang w:eastAsia="en-AU"/>
              </w:rPr>
              <w:t>25</w:t>
            </w:r>
          </w:p>
        </w:tc>
        <w:tc>
          <w:tcPr>
            <w:tcW w:w="614"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50</w:t>
            </w:r>
          </w:p>
        </w:tc>
        <w:tc>
          <w:tcPr>
            <w:tcW w:w="511" w:type="pct"/>
            <w:shd w:val="clear" w:color="auto" w:fill="auto"/>
            <w:noWrap/>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N/M</w:t>
            </w:r>
          </w:p>
        </w:tc>
        <w:tc>
          <w:tcPr>
            <w:tcW w:w="510" w:type="pct"/>
            <w:shd w:val="clear" w:color="auto" w:fill="auto"/>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100</w:t>
            </w:r>
          </w:p>
        </w:tc>
        <w:tc>
          <w:tcPr>
            <w:tcW w:w="508"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250</w:t>
            </w:r>
          </w:p>
        </w:tc>
        <w:tc>
          <w:tcPr>
            <w:tcW w:w="559"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500</w:t>
            </w:r>
          </w:p>
        </w:tc>
        <w:tc>
          <w:tcPr>
            <w:tcW w:w="868"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1439</w:t>
            </w:r>
          </w:p>
        </w:tc>
      </w:tr>
      <w:tr w:rsidR="00767532" w:rsidRPr="006E1439" w:rsidTr="00767532">
        <w:trPr>
          <w:cnfStyle w:val="000000100000"/>
          <w:trHeight w:val="300"/>
        </w:trPr>
        <w:tc>
          <w:tcPr>
            <w:cnfStyle w:val="001000000000"/>
            <w:tcW w:w="358" w:type="pct"/>
            <w:shd w:val="clear" w:color="auto" w:fill="auto"/>
            <w:noWrap/>
            <w:hideMark/>
          </w:tcPr>
          <w:p w:rsidR="00767532" w:rsidRPr="00805432" w:rsidRDefault="00767532" w:rsidP="00767532">
            <w:pPr>
              <w:spacing w:after="0" w:line="240" w:lineRule="auto"/>
              <w:rPr>
                <w:rFonts w:asciiTheme="minorHAnsi" w:eastAsia="Times New Roman" w:hAnsiTheme="minorHAnsi"/>
                <w:b w:val="0"/>
                <w:lang w:eastAsia="en-AU"/>
              </w:rPr>
            </w:pPr>
            <w:r w:rsidRPr="00805432">
              <w:rPr>
                <w:rFonts w:asciiTheme="minorHAnsi" w:eastAsia="Times New Roman" w:hAnsiTheme="minorHAnsi"/>
                <w:b w:val="0"/>
                <w:lang w:eastAsia="en-AU"/>
              </w:rPr>
              <w:t>2</w:t>
            </w:r>
          </w:p>
        </w:tc>
        <w:tc>
          <w:tcPr>
            <w:tcW w:w="562" w:type="pct"/>
            <w:shd w:val="clear" w:color="auto" w:fill="auto"/>
            <w:noWrap/>
            <w:hideMark/>
          </w:tcPr>
          <w:p w:rsidR="00767532" w:rsidRPr="00805432" w:rsidRDefault="00767532" w:rsidP="00767532">
            <w:pPr>
              <w:spacing w:after="0" w:line="240" w:lineRule="auto"/>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Widgee 1</w:t>
            </w:r>
          </w:p>
        </w:tc>
        <w:tc>
          <w:tcPr>
            <w:tcW w:w="510"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222222"/>
                <w:lang w:eastAsia="en-AU"/>
              </w:rPr>
            </w:pPr>
            <w:r w:rsidRPr="00805432">
              <w:rPr>
                <w:rFonts w:asciiTheme="minorHAnsi" w:eastAsia="Times New Roman" w:hAnsiTheme="minorHAnsi"/>
                <w:color w:val="222222"/>
                <w:lang w:eastAsia="en-AU"/>
              </w:rPr>
              <w:t>25</w:t>
            </w:r>
          </w:p>
        </w:tc>
        <w:tc>
          <w:tcPr>
            <w:tcW w:w="614"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50</w:t>
            </w:r>
          </w:p>
        </w:tc>
        <w:tc>
          <w:tcPr>
            <w:tcW w:w="511" w:type="pct"/>
            <w:shd w:val="clear" w:color="auto" w:fill="auto"/>
            <w:noWrap/>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N/M</w:t>
            </w:r>
          </w:p>
        </w:tc>
        <w:tc>
          <w:tcPr>
            <w:tcW w:w="510" w:type="pct"/>
            <w:shd w:val="clear" w:color="auto" w:fill="auto"/>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100</w:t>
            </w:r>
          </w:p>
        </w:tc>
        <w:tc>
          <w:tcPr>
            <w:tcW w:w="508"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250</w:t>
            </w:r>
          </w:p>
        </w:tc>
        <w:tc>
          <w:tcPr>
            <w:tcW w:w="559"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500</w:t>
            </w:r>
          </w:p>
        </w:tc>
        <w:tc>
          <w:tcPr>
            <w:tcW w:w="868"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N/A</w:t>
            </w:r>
          </w:p>
        </w:tc>
      </w:tr>
      <w:tr w:rsidR="00767532" w:rsidRPr="006E1439" w:rsidTr="00767532">
        <w:trPr>
          <w:trHeight w:val="300"/>
        </w:trPr>
        <w:tc>
          <w:tcPr>
            <w:cnfStyle w:val="001000000000"/>
            <w:tcW w:w="358" w:type="pct"/>
            <w:shd w:val="clear" w:color="auto" w:fill="auto"/>
            <w:noWrap/>
            <w:hideMark/>
          </w:tcPr>
          <w:p w:rsidR="00767532" w:rsidRPr="00805432" w:rsidRDefault="00767532" w:rsidP="00767532">
            <w:pPr>
              <w:spacing w:after="0" w:line="240" w:lineRule="auto"/>
              <w:rPr>
                <w:rFonts w:asciiTheme="minorHAnsi" w:eastAsia="Times New Roman" w:hAnsiTheme="minorHAnsi"/>
                <w:b w:val="0"/>
                <w:lang w:eastAsia="en-AU"/>
              </w:rPr>
            </w:pPr>
            <w:r w:rsidRPr="00805432">
              <w:rPr>
                <w:rFonts w:asciiTheme="minorHAnsi" w:eastAsia="Times New Roman" w:hAnsiTheme="minorHAnsi"/>
                <w:b w:val="0"/>
                <w:lang w:eastAsia="en-AU"/>
              </w:rPr>
              <w:t>2</w:t>
            </w:r>
          </w:p>
        </w:tc>
        <w:tc>
          <w:tcPr>
            <w:tcW w:w="562" w:type="pct"/>
            <w:shd w:val="clear" w:color="auto" w:fill="auto"/>
            <w:noWrap/>
            <w:hideMark/>
          </w:tcPr>
          <w:p w:rsidR="00767532" w:rsidRPr="00805432" w:rsidRDefault="00767532" w:rsidP="00767532">
            <w:pPr>
              <w:spacing w:after="0" w:line="240" w:lineRule="auto"/>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Widgee 2</w:t>
            </w:r>
          </w:p>
        </w:tc>
        <w:tc>
          <w:tcPr>
            <w:tcW w:w="510"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222222"/>
                <w:lang w:eastAsia="en-AU"/>
              </w:rPr>
            </w:pPr>
            <w:r w:rsidRPr="00805432">
              <w:rPr>
                <w:rFonts w:asciiTheme="minorHAnsi" w:eastAsia="Times New Roman" w:hAnsiTheme="minorHAnsi"/>
                <w:color w:val="222222"/>
                <w:lang w:eastAsia="en-AU"/>
              </w:rPr>
              <w:t>25</w:t>
            </w:r>
          </w:p>
        </w:tc>
        <w:tc>
          <w:tcPr>
            <w:tcW w:w="614"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50</w:t>
            </w:r>
          </w:p>
        </w:tc>
        <w:tc>
          <w:tcPr>
            <w:tcW w:w="511" w:type="pct"/>
            <w:shd w:val="clear" w:color="auto" w:fill="auto"/>
            <w:noWrap/>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N/M</w:t>
            </w:r>
          </w:p>
        </w:tc>
        <w:tc>
          <w:tcPr>
            <w:tcW w:w="510" w:type="pct"/>
            <w:shd w:val="clear" w:color="auto" w:fill="auto"/>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100</w:t>
            </w:r>
          </w:p>
        </w:tc>
        <w:tc>
          <w:tcPr>
            <w:tcW w:w="508"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250</w:t>
            </w:r>
          </w:p>
        </w:tc>
        <w:tc>
          <w:tcPr>
            <w:tcW w:w="559"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500</w:t>
            </w:r>
          </w:p>
        </w:tc>
        <w:tc>
          <w:tcPr>
            <w:tcW w:w="868"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1439</w:t>
            </w:r>
          </w:p>
        </w:tc>
      </w:tr>
      <w:tr w:rsidR="00767532" w:rsidRPr="006E1439" w:rsidTr="00767532">
        <w:trPr>
          <w:cnfStyle w:val="000000100000"/>
          <w:trHeight w:val="300"/>
        </w:trPr>
        <w:tc>
          <w:tcPr>
            <w:cnfStyle w:val="001000000000"/>
            <w:tcW w:w="358" w:type="pct"/>
            <w:shd w:val="clear" w:color="auto" w:fill="auto"/>
            <w:noWrap/>
            <w:hideMark/>
          </w:tcPr>
          <w:p w:rsidR="00767532" w:rsidRPr="00805432" w:rsidRDefault="00767532" w:rsidP="00767532">
            <w:pPr>
              <w:spacing w:after="0" w:line="240" w:lineRule="auto"/>
              <w:rPr>
                <w:rFonts w:asciiTheme="minorHAnsi" w:eastAsia="Times New Roman" w:hAnsiTheme="minorHAnsi"/>
                <w:b w:val="0"/>
                <w:color w:val="000000"/>
                <w:lang w:eastAsia="en-AU"/>
              </w:rPr>
            </w:pPr>
            <w:r w:rsidRPr="00805432">
              <w:rPr>
                <w:rFonts w:asciiTheme="minorHAnsi" w:eastAsia="Times New Roman" w:hAnsiTheme="minorHAnsi"/>
                <w:b w:val="0"/>
                <w:color w:val="000000"/>
                <w:lang w:eastAsia="en-AU"/>
              </w:rPr>
              <w:t>3</w:t>
            </w:r>
          </w:p>
        </w:tc>
        <w:tc>
          <w:tcPr>
            <w:tcW w:w="562" w:type="pct"/>
            <w:shd w:val="clear" w:color="auto" w:fill="auto"/>
            <w:noWrap/>
            <w:hideMark/>
          </w:tcPr>
          <w:p w:rsidR="00767532" w:rsidRPr="00805432" w:rsidRDefault="00767532" w:rsidP="00767532">
            <w:pPr>
              <w:spacing w:after="0" w:line="240" w:lineRule="auto"/>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Tralee</w:t>
            </w:r>
          </w:p>
        </w:tc>
        <w:tc>
          <w:tcPr>
            <w:tcW w:w="510"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222222"/>
                <w:lang w:eastAsia="en-AU"/>
              </w:rPr>
            </w:pPr>
            <w:r w:rsidRPr="00805432">
              <w:rPr>
                <w:rFonts w:asciiTheme="minorHAnsi" w:eastAsia="Times New Roman" w:hAnsiTheme="minorHAnsi"/>
                <w:color w:val="222222"/>
                <w:lang w:eastAsia="en-AU"/>
              </w:rPr>
              <w:t>30</w:t>
            </w:r>
          </w:p>
        </w:tc>
        <w:tc>
          <w:tcPr>
            <w:tcW w:w="614"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170</w:t>
            </w:r>
          </w:p>
        </w:tc>
        <w:tc>
          <w:tcPr>
            <w:tcW w:w="511"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500</w:t>
            </w:r>
          </w:p>
        </w:tc>
        <w:tc>
          <w:tcPr>
            <w:tcW w:w="510" w:type="pct"/>
            <w:shd w:val="clear" w:color="auto" w:fill="auto"/>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p>
        </w:tc>
        <w:tc>
          <w:tcPr>
            <w:tcW w:w="508"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650</w:t>
            </w:r>
          </w:p>
        </w:tc>
        <w:tc>
          <w:tcPr>
            <w:tcW w:w="559"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800</w:t>
            </w:r>
          </w:p>
        </w:tc>
        <w:tc>
          <w:tcPr>
            <w:tcW w:w="868"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3352</w:t>
            </w:r>
          </w:p>
        </w:tc>
      </w:tr>
      <w:tr w:rsidR="00767532" w:rsidRPr="006E1439" w:rsidTr="00767532">
        <w:trPr>
          <w:trHeight w:val="300"/>
        </w:trPr>
        <w:tc>
          <w:tcPr>
            <w:cnfStyle w:val="001000000000"/>
            <w:tcW w:w="358" w:type="pct"/>
            <w:shd w:val="clear" w:color="auto" w:fill="auto"/>
            <w:noWrap/>
            <w:hideMark/>
          </w:tcPr>
          <w:p w:rsidR="00767532" w:rsidRPr="00805432" w:rsidRDefault="00767532" w:rsidP="00767532">
            <w:pPr>
              <w:spacing w:after="0" w:line="240" w:lineRule="auto"/>
              <w:rPr>
                <w:rFonts w:asciiTheme="minorHAnsi" w:eastAsia="Times New Roman" w:hAnsiTheme="minorHAnsi"/>
                <w:b w:val="0"/>
                <w:color w:val="000000"/>
                <w:lang w:eastAsia="en-AU"/>
              </w:rPr>
            </w:pPr>
            <w:r w:rsidRPr="00805432">
              <w:rPr>
                <w:rFonts w:asciiTheme="minorHAnsi" w:eastAsia="Times New Roman" w:hAnsiTheme="minorHAnsi"/>
                <w:b w:val="0"/>
                <w:color w:val="000000"/>
                <w:lang w:eastAsia="en-AU"/>
              </w:rPr>
              <w:t>3</w:t>
            </w:r>
          </w:p>
        </w:tc>
        <w:tc>
          <w:tcPr>
            <w:tcW w:w="562" w:type="pct"/>
            <w:shd w:val="clear" w:color="auto" w:fill="auto"/>
            <w:noWrap/>
            <w:hideMark/>
          </w:tcPr>
          <w:p w:rsidR="00767532" w:rsidRPr="00805432" w:rsidRDefault="00767532" w:rsidP="00767532">
            <w:pPr>
              <w:spacing w:after="0" w:line="240" w:lineRule="auto"/>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Cummins</w:t>
            </w:r>
          </w:p>
        </w:tc>
        <w:tc>
          <w:tcPr>
            <w:tcW w:w="510"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222222"/>
                <w:lang w:eastAsia="en-AU"/>
              </w:rPr>
            </w:pPr>
            <w:r w:rsidRPr="00805432">
              <w:rPr>
                <w:rFonts w:asciiTheme="minorHAnsi" w:eastAsia="Times New Roman" w:hAnsiTheme="minorHAnsi"/>
                <w:color w:val="222222"/>
                <w:lang w:eastAsia="en-AU"/>
              </w:rPr>
              <w:t>30</w:t>
            </w:r>
          </w:p>
        </w:tc>
        <w:tc>
          <w:tcPr>
            <w:tcW w:w="614"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170</w:t>
            </w:r>
          </w:p>
        </w:tc>
        <w:tc>
          <w:tcPr>
            <w:tcW w:w="511"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500</w:t>
            </w:r>
          </w:p>
        </w:tc>
        <w:tc>
          <w:tcPr>
            <w:tcW w:w="510" w:type="pct"/>
            <w:shd w:val="clear" w:color="auto" w:fill="auto"/>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p>
        </w:tc>
        <w:tc>
          <w:tcPr>
            <w:tcW w:w="508"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650</w:t>
            </w:r>
          </w:p>
        </w:tc>
        <w:tc>
          <w:tcPr>
            <w:tcW w:w="559"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800</w:t>
            </w:r>
          </w:p>
        </w:tc>
        <w:tc>
          <w:tcPr>
            <w:tcW w:w="868"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N/A</w:t>
            </w:r>
          </w:p>
        </w:tc>
      </w:tr>
      <w:tr w:rsidR="00767532" w:rsidRPr="006E1439" w:rsidTr="00767532">
        <w:trPr>
          <w:cnfStyle w:val="000000100000"/>
          <w:trHeight w:val="300"/>
        </w:trPr>
        <w:tc>
          <w:tcPr>
            <w:cnfStyle w:val="001000000000"/>
            <w:tcW w:w="358" w:type="pct"/>
            <w:shd w:val="clear" w:color="auto" w:fill="auto"/>
            <w:noWrap/>
            <w:hideMark/>
          </w:tcPr>
          <w:p w:rsidR="00767532" w:rsidRPr="00805432" w:rsidRDefault="00767532" w:rsidP="00767532">
            <w:pPr>
              <w:spacing w:after="0" w:line="240" w:lineRule="auto"/>
              <w:rPr>
                <w:rFonts w:asciiTheme="minorHAnsi" w:eastAsia="Times New Roman" w:hAnsiTheme="minorHAnsi"/>
                <w:b w:val="0"/>
                <w:color w:val="000000"/>
                <w:lang w:eastAsia="en-AU"/>
              </w:rPr>
            </w:pPr>
            <w:r w:rsidRPr="00805432">
              <w:rPr>
                <w:rFonts w:asciiTheme="minorHAnsi" w:eastAsia="Times New Roman" w:hAnsiTheme="minorHAnsi"/>
                <w:b w:val="0"/>
                <w:color w:val="000000"/>
                <w:lang w:eastAsia="en-AU"/>
              </w:rPr>
              <w:t>3</w:t>
            </w:r>
          </w:p>
        </w:tc>
        <w:tc>
          <w:tcPr>
            <w:tcW w:w="562" w:type="pct"/>
            <w:shd w:val="clear" w:color="auto" w:fill="auto"/>
            <w:noWrap/>
            <w:hideMark/>
          </w:tcPr>
          <w:p w:rsidR="00767532" w:rsidRPr="00805432" w:rsidRDefault="00767532" w:rsidP="00767532">
            <w:pPr>
              <w:spacing w:after="0" w:line="240" w:lineRule="auto"/>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Ramley</w:t>
            </w:r>
          </w:p>
        </w:tc>
        <w:tc>
          <w:tcPr>
            <w:tcW w:w="510"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222222"/>
                <w:lang w:eastAsia="en-AU"/>
              </w:rPr>
            </w:pPr>
            <w:r w:rsidRPr="00805432">
              <w:rPr>
                <w:rFonts w:asciiTheme="minorHAnsi" w:eastAsia="Times New Roman" w:hAnsiTheme="minorHAnsi"/>
                <w:color w:val="222222"/>
                <w:lang w:eastAsia="en-AU"/>
              </w:rPr>
              <w:t>30</w:t>
            </w:r>
          </w:p>
        </w:tc>
        <w:tc>
          <w:tcPr>
            <w:tcW w:w="614"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170</w:t>
            </w:r>
          </w:p>
        </w:tc>
        <w:tc>
          <w:tcPr>
            <w:tcW w:w="511"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500</w:t>
            </w:r>
          </w:p>
        </w:tc>
        <w:tc>
          <w:tcPr>
            <w:tcW w:w="510" w:type="pct"/>
            <w:shd w:val="clear" w:color="auto" w:fill="auto"/>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p>
        </w:tc>
        <w:tc>
          <w:tcPr>
            <w:tcW w:w="508"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650</w:t>
            </w:r>
          </w:p>
        </w:tc>
        <w:tc>
          <w:tcPr>
            <w:tcW w:w="559"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800</w:t>
            </w:r>
          </w:p>
        </w:tc>
        <w:tc>
          <w:tcPr>
            <w:tcW w:w="868"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3352</w:t>
            </w:r>
          </w:p>
        </w:tc>
      </w:tr>
      <w:tr w:rsidR="00767532" w:rsidRPr="006E1439" w:rsidTr="00767532">
        <w:trPr>
          <w:trHeight w:val="300"/>
        </w:trPr>
        <w:tc>
          <w:tcPr>
            <w:cnfStyle w:val="001000000000"/>
            <w:tcW w:w="358" w:type="pct"/>
            <w:shd w:val="clear" w:color="auto" w:fill="auto"/>
            <w:noWrap/>
            <w:hideMark/>
          </w:tcPr>
          <w:p w:rsidR="00767532" w:rsidRPr="00805432" w:rsidRDefault="00767532" w:rsidP="00767532">
            <w:pPr>
              <w:spacing w:after="0" w:line="240" w:lineRule="auto"/>
              <w:rPr>
                <w:rFonts w:asciiTheme="minorHAnsi" w:eastAsia="Times New Roman" w:hAnsiTheme="minorHAnsi"/>
                <w:b w:val="0"/>
                <w:color w:val="000000"/>
                <w:lang w:eastAsia="en-AU"/>
              </w:rPr>
            </w:pPr>
            <w:r w:rsidRPr="00805432">
              <w:rPr>
                <w:rFonts w:asciiTheme="minorHAnsi" w:eastAsia="Times New Roman" w:hAnsiTheme="minorHAnsi"/>
                <w:b w:val="0"/>
                <w:color w:val="000000"/>
                <w:lang w:eastAsia="en-AU"/>
              </w:rPr>
              <w:t>3</w:t>
            </w:r>
          </w:p>
        </w:tc>
        <w:tc>
          <w:tcPr>
            <w:tcW w:w="562" w:type="pct"/>
            <w:shd w:val="clear" w:color="auto" w:fill="auto"/>
            <w:noWrap/>
            <w:hideMark/>
          </w:tcPr>
          <w:p w:rsidR="00767532" w:rsidRPr="00805432" w:rsidRDefault="00767532" w:rsidP="00767532">
            <w:pPr>
              <w:spacing w:after="0" w:line="240" w:lineRule="auto"/>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Llanos Park</w:t>
            </w:r>
          </w:p>
        </w:tc>
        <w:tc>
          <w:tcPr>
            <w:tcW w:w="510"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222222"/>
                <w:lang w:eastAsia="en-AU"/>
              </w:rPr>
            </w:pPr>
            <w:r w:rsidRPr="00805432">
              <w:rPr>
                <w:rFonts w:asciiTheme="minorHAnsi" w:eastAsia="Times New Roman" w:hAnsiTheme="minorHAnsi"/>
                <w:color w:val="222222"/>
                <w:lang w:eastAsia="en-AU"/>
              </w:rPr>
              <w:t>30</w:t>
            </w:r>
          </w:p>
        </w:tc>
        <w:tc>
          <w:tcPr>
            <w:tcW w:w="614"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170</w:t>
            </w:r>
          </w:p>
        </w:tc>
        <w:tc>
          <w:tcPr>
            <w:tcW w:w="511"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500</w:t>
            </w:r>
          </w:p>
        </w:tc>
        <w:tc>
          <w:tcPr>
            <w:tcW w:w="510" w:type="pct"/>
            <w:shd w:val="clear" w:color="auto" w:fill="auto"/>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p>
        </w:tc>
        <w:tc>
          <w:tcPr>
            <w:tcW w:w="508"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650</w:t>
            </w:r>
          </w:p>
        </w:tc>
        <w:tc>
          <w:tcPr>
            <w:tcW w:w="559"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800</w:t>
            </w:r>
          </w:p>
        </w:tc>
        <w:tc>
          <w:tcPr>
            <w:tcW w:w="868"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3352</w:t>
            </w:r>
          </w:p>
        </w:tc>
      </w:tr>
      <w:tr w:rsidR="00767532" w:rsidRPr="006E1439" w:rsidTr="00767532">
        <w:trPr>
          <w:cnfStyle w:val="000000100000"/>
          <w:trHeight w:val="300"/>
        </w:trPr>
        <w:tc>
          <w:tcPr>
            <w:cnfStyle w:val="001000000000"/>
            <w:tcW w:w="358" w:type="pct"/>
            <w:shd w:val="clear" w:color="auto" w:fill="auto"/>
            <w:noWrap/>
            <w:hideMark/>
          </w:tcPr>
          <w:p w:rsidR="00767532" w:rsidRPr="00805432" w:rsidRDefault="00767532" w:rsidP="00767532">
            <w:pPr>
              <w:spacing w:after="0" w:line="240" w:lineRule="auto"/>
              <w:rPr>
                <w:rFonts w:asciiTheme="minorHAnsi" w:eastAsia="Times New Roman" w:hAnsiTheme="minorHAnsi"/>
                <w:b w:val="0"/>
                <w:color w:val="000000"/>
                <w:lang w:eastAsia="en-AU"/>
              </w:rPr>
            </w:pPr>
            <w:r w:rsidRPr="00805432">
              <w:rPr>
                <w:rFonts w:asciiTheme="minorHAnsi" w:eastAsia="Times New Roman" w:hAnsiTheme="minorHAnsi"/>
                <w:b w:val="0"/>
                <w:color w:val="000000"/>
                <w:lang w:eastAsia="en-AU"/>
              </w:rPr>
              <w:t>4</w:t>
            </w:r>
          </w:p>
        </w:tc>
        <w:tc>
          <w:tcPr>
            <w:tcW w:w="562" w:type="pct"/>
            <w:shd w:val="clear" w:color="auto" w:fill="auto"/>
            <w:noWrap/>
            <w:hideMark/>
          </w:tcPr>
          <w:p w:rsidR="00767532" w:rsidRPr="00805432" w:rsidRDefault="00767532" w:rsidP="00767532">
            <w:pPr>
              <w:spacing w:after="0" w:line="240" w:lineRule="auto"/>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Barham Bridge</w:t>
            </w:r>
          </w:p>
        </w:tc>
        <w:tc>
          <w:tcPr>
            <w:tcW w:w="510"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222222"/>
                <w:lang w:eastAsia="en-AU"/>
              </w:rPr>
            </w:pPr>
            <w:r w:rsidRPr="00805432">
              <w:rPr>
                <w:rFonts w:asciiTheme="minorHAnsi" w:eastAsia="Times New Roman" w:hAnsiTheme="minorHAnsi"/>
                <w:color w:val="222222"/>
                <w:lang w:eastAsia="en-AU"/>
              </w:rPr>
              <w:t>30</w:t>
            </w:r>
          </w:p>
        </w:tc>
        <w:tc>
          <w:tcPr>
            <w:tcW w:w="614"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170</w:t>
            </w:r>
          </w:p>
        </w:tc>
        <w:tc>
          <w:tcPr>
            <w:tcW w:w="511"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450</w:t>
            </w:r>
          </w:p>
        </w:tc>
        <w:tc>
          <w:tcPr>
            <w:tcW w:w="510" w:type="pct"/>
            <w:shd w:val="clear" w:color="auto" w:fill="auto"/>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p>
        </w:tc>
        <w:tc>
          <w:tcPr>
            <w:tcW w:w="508"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600</w:t>
            </w:r>
          </w:p>
        </w:tc>
        <w:tc>
          <w:tcPr>
            <w:tcW w:w="559"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750</w:t>
            </w:r>
          </w:p>
        </w:tc>
        <w:tc>
          <w:tcPr>
            <w:tcW w:w="868"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3948</w:t>
            </w:r>
          </w:p>
        </w:tc>
      </w:tr>
      <w:tr w:rsidR="00767532" w:rsidRPr="006E1439" w:rsidTr="00767532">
        <w:trPr>
          <w:trHeight w:val="300"/>
        </w:trPr>
        <w:tc>
          <w:tcPr>
            <w:cnfStyle w:val="001000000000"/>
            <w:tcW w:w="358" w:type="pct"/>
            <w:shd w:val="clear" w:color="auto" w:fill="auto"/>
            <w:noWrap/>
            <w:hideMark/>
          </w:tcPr>
          <w:p w:rsidR="00767532" w:rsidRPr="00805432" w:rsidRDefault="00767532" w:rsidP="00767532">
            <w:pPr>
              <w:spacing w:after="0" w:line="240" w:lineRule="auto"/>
              <w:rPr>
                <w:rFonts w:asciiTheme="minorHAnsi" w:eastAsia="Times New Roman" w:hAnsiTheme="minorHAnsi"/>
                <w:b w:val="0"/>
                <w:color w:val="000000"/>
                <w:lang w:eastAsia="en-AU"/>
              </w:rPr>
            </w:pPr>
            <w:r w:rsidRPr="00805432">
              <w:rPr>
                <w:rFonts w:asciiTheme="minorHAnsi" w:eastAsia="Times New Roman" w:hAnsiTheme="minorHAnsi"/>
                <w:b w:val="0"/>
                <w:color w:val="000000"/>
                <w:lang w:eastAsia="en-AU"/>
              </w:rPr>
              <w:t>4</w:t>
            </w:r>
          </w:p>
        </w:tc>
        <w:tc>
          <w:tcPr>
            <w:tcW w:w="562" w:type="pct"/>
            <w:shd w:val="clear" w:color="auto" w:fill="auto"/>
            <w:noWrap/>
            <w:hideMark/>
          </w:tcPr>
          <w:p w:rsidR="00767532" w:rsidRPr="00805432" w:rsidRDefault="00767532" w:rsidP="00767532">
            <w:pPr>
              <w:spacing w:after="0" w:line="240" w:lineRule="auto"/>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Whymoul</w:t>
            </w:r>
          </w:p>
        </w:tc>
        <w:tc>
          <w:tcPr>
            <w:tcW w:w="510"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222222"/>
                <w:lang w:eastAsia="en-AU"/>
              </w:rPr>
            </w:pPr>
            <w:r w:rsidRPr="00805432">
              <w:rPr>
                <w:rFonts w:asciiTheme="minorHAnsi" w:eastAsia="Times New Roman" w:hAnsiTheme="minorHAnsi"/>
                <w:color w:val="222222"/>
                <w:lang w:eastAsia="en-AU"/>
              </w:rPr>
              <w:t>30</w:t>
            </w:r>
          </w:p>
        </w:tc>
        <w:tc>
          <w:tcPr>
            <w:tcW w:w="614"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170</w:t>
            </w:r>
          </w:p>
        </w:tc>
        <w:tc>
          <w:tcPr>
            <w:tcW w:w="511"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450</w:t>
            </w:r>
          </w:p>
        </w:tc>
        <w:tc>
          <w:tcPr>
            <w:tcW w:w="510" w:type="pct"/>
            <w:shd w:val="clear" w:color="auto" w:fill="auto"/>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p>
        </w:tc>
        <w:tc>
          <w:tcPr>
            <w:tcW w:w="508"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600</w:t>
            </w:r>
          </w:p>
        </w:tc>
        <w:tc>
          <w:tcPr>
            <w:tcW w:w="559"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750</w:t>
            </w:r>
          </w:p>
        </w:tc>
        <w:tc>
          <w:tcPr>
            <w:tcW w:w="868"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3948</w:t>
            </w:r>
          </w:p>
        </w:tc>
      </w:tr>
      <w:tr w:rsidR="00767532" w:rsidRPr="006E1439" w:rsidTr="00767532">
        <w:trPr>
          <w:cnfStyle w:val="000000100000"/>
          <w:trHeight w:val="300"/>
        </w:trPr>
        <w:tc>
          <w:tcPr>
            <w:cnfStyle w:val="001000000000"/>
            <w:tcW w:w="358" w:type="pct"/>
            <w:shd w:val="clear" w:color="auto" w:fill="auto"/>
            <w:noWrap/>
            <w:hideMark/>
          </w:tcPr>
          <w:p w:rsidR="00767532" w:rsidRPr="00805432" w:rsidRDefault="00767532" w:rsidP="00767532">
            <w:pPr>
              <w:spacing w:after="0" w:line="240" w:lineRule="auto"/>
              <w:rPr>
                <w:rFonts w:asciiTheme="minorHAnsi" w:eastAsia="Times New Roman" w:hAnsiTheme="minorHAnsi"/>
                <w:b w:val="0"/>
                <w:color w:val="000000"/>
                <w:lang w:eastAsia="en-AU"/>
              </w:rPr>
            </w:pPr>
            <w:r w:rsidRPr="00805432">
              <w:rPr>
                <w:rFonts w:asciiTheme="minorHAnsi" w:eastAsia="Times New Roman" w:hAnsiTheme="minorHAnsi"/>
                <w:b w:val="0"/>
                <w:color w:val="000000"/>
                <w:lang w:eastAsia="en-AU"/>
              </w:rPr>
              <w:t>4</w:t>
            </w:r>
          </w:p>
        </w:tc>
        <w:tc>
          <w:tcPr>
            <w:tcW w:w="562" w:type="pct"/>
            <w:shd w:val="clear" w:color="auto" w:fill="auto"/>
            <w:noWrap/>
            <w:hideMark/>
          </w:tcPr>
          <w:p w:rsidR="00767532" w:rsidRPr="00805432" w:rsidRDefault="00767532" w:rsidP="00767532">
            <w:pPr>
              <w:spacing w:after="0" w:line="240" w:lineRule="auto"/>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Yarranvale</w:t>
            </w:r>
          </w:p>
        </w:tc>
        <w:tc>
          <w:tcPr>
            <w:tcW w:w="510"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222222"/>
                <w:lang w:eastAsia="en-AU"/>
              </w:rPr>
            </w:pPr>
            <w:r w:rsidRPr="00805432">
              <w:rPr>
                <w:rFonts w:asciiTheme="minorHAnsi" w:eastAsia="Times New Roman" w:hAnsiTheme="minorHAnsi"/>
                <w:color w:val="222222"/>
                <w:lang w:eastAsia="en-AU"/>
              </w:rPr>
              <w:t>30</w:t>
            </w:r>
          </w:p>
        </w:tc>
        <w:tc>
          <w:tcPr>
            <w:tcW w:w="614"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170</w:t>
            </w:r>
          </w:p>
        </w:tc>
        <w:tc>
          <w:tcPr>
            <w:tcW w:w="511"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450</w:t>
            </w:r>
          </w:p>
        </w:tc>
        <w:tc>
          <w:tcPr>
            <w:tcW w:w="510" w:type="pct"/>
            <w:shd w:val="clear" w:color="auto" w:fill="auto"/>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p>
        </w:tc>
        <w:tc>
          <w:tcPr>
            <w:tcW w:w="508"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600</w:t>
            </w:r>
          </w:p>
        </w:tc>
        <w:tc>
          <w:tcPr>
            <w:tcW w:w="559"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750</w:t>
            </w:r>
          </w:p>
        </w:tc>
        <w:tc>
          <w:tcPr>
            <w:tcW w:w="868" w:type="pct"/>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N/A</w:t>
            </w:r>
          </w:p>
        </w:tc>
      </w:tr>
      <w:tr w:rsidR="00767532" w:rsidRPr="006E1439" w:rsidTr="00767532">
        <w:trPr>
          <w:trHeight w:val="300"/>
        </w:trPr>
        <w:tc>
          <w:tcPr>
            <w:cnfStyle w:val="001000000000"/>
            <w:tcW w:w="358" w:type="pct"/>
            <w:shd w:val="clear" w:color="auto" w:fill="auto"/>
            <w:noWrap/>
            <w:hideMark/>
          </w:tcPr>
          <w:p w:rsidR="00767532" w:rsidRPr="00805432" w:rsidRDefault="00767532" w:rsidP="00767532">
            <w:pPr>
              <w:spacing w:after="0" w:line="240" w:lineRule="auto"/>
              <w:rPr>
                <w:rFonts w:asciiTheme="minorHAnsi" w:eastAsia="Times New Roman" w:hAnsiTheme="minorHAnsi"/>
                <w:b w:val="0"/>
                <w:color w:val="000000"/>
                <w:lang w:eastAsia="en-AU"/>
              </w:rPr>
            </w:pPr>
            <w:r w:rsidRPr="00805432">
              <w:rPr>
                <w:rFonts w:asciiTheme="minorHAnsi" w:eastAsia="Times New Roman" w:hAnsiTheme="minorHAnsi"/>
                <w:b w:val="0"/>
                <w:color w:val="000000"/>
                <w:lang w:eastAsia="en-AU"/>
              </w:rPr>
              <w:t>4</w:t>
            </w:r>
          </w:p>
        </w:tc>
        <w:tc>
          <w:tcPr>
            <w:tcW w:w="562" w:type="pct"/>
            <w:shd w:val="clear" w:color="auto" w:fill="auto"/>
            <w:noWrap/>
            <w:hideMark/>
          </w:tcPr>
          <w:p w:rsidR="00767532" w:rsidRPr="00805432" w:rsidRDefault="00767532" w:rsidP="00767532">
            <w:pPr>
              <w:spacing w:after="0" w:line="240" w:lineRule="auto"/>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Noorong1</w:t>
            </w:r>
          </w:p>
        </w:tc>
        <w:tc>
          <w:tcPr>
            <w:tcW w:w="510"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222222"/>
                <w:lang w:eastAsia="en-AU"/>
              </w:rPr>
            </w:pPr>
            <w:r w:rsidRPr="00805432">
              <w:rPr>
                <w:rFonts w:asciiTheme="minorHAnsi" w:eastAsia="Times New Roman" w:hAnsiTheme="minorHAnsi"/>
                <w:color w:val="222222"/>
                <w:lang w:eastAsia="en-AU"/>
              </w:rPr>
              <w:t>30</w:t>
            </w:r>
          </w:p>
        </w:tc>
        <w:tc>
          <w:tcPr>
            <w:tcW w:w="614"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170</w:t>
            </w:r>
          </w:p>
        </w:tc>
        <w:tc>
          <w:tcPr>
            <w:tcW w:w="511"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450</w:t>
            </w:r>
          </w:p>
        </w:tc>
        <w:tc>
          <w:tcPr>
            <w:tcW w:w="510" w:type="pct"/>
            <w:shd w:val="clear" w:color="auto" w:fill="auto"/>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p>
        </w:tc>
        <w:tc>
          <w:tcPr>
            <w:tcW w:w="508"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600</w:t>
            </w:r>
          </w:p>
        </w:tc>
        <w:tc>
          <w:tcPr>
            <w:tcW w:w="559"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750</w:t>
            </w:r>
          </w:p>
        </w:tc>
        <w:tc>
          <w:tcPr>
            <w:tcW w:w="868" w:type="pct"/>
            <w:shd w:val="clear" w:color="auto" w:fill="auto"/>
            <w:noWrap/>
            <w:hideMark/>
          </w:tcPr>
          <w:p w:rsidR="00767532" w:rsidRPr="00805432" w:rsidRDefault="00767532" w:rsidP="00767532">
            <w:pPr>
              <w:spacing w:after="0" w:line="240" w:lineRule="auto"/>
              <w:jc w:val="center"/>
              <w:cnfStyle w:val="0000000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3948</w:t>
            </w:r>
          </w:p>
        </w:tc>
      </w:tr>
      <w:tr w:rsidR="00767532" w:rsidRPr="006E1439" w:rsidTr="00767532">
        <w:trPr>
          <w:cnfStyle w:val="000000100000"/>
          <w:trHeight w:val="315"/>
        </w:trPr>
        <w:tc>
          <w:tcPr>
            <w:cnfStyle w:val="001000000000"/>
            <w:tcW w:w="358" w:type="pct"/>
            <w:tcBorders>
              <w:bottom w:val="single" w:sz="4" w:space="0" w:color="auto"/>
            </w:tcBorders>
            <w:shd w:val="clear" w:color="auto" w:fill="auto"/>
            <w:noWrap/>
            <w:hideMark/>
          </w:tcPr>
          <w:p w:rsidR="00767532" w:rsidRPr="00805432" w:rsidRDefault="00767532" w:rsidP="00767532">
            <w:pPr>
              <w:spacing w:after="0" w:line="240" w:lineRule="auto"/>
              <w:rPr>
                <w:rFonts w:asciiTheme="minorHAnsi" w:eastAsia="Times New Roman" w:hAnsiTheme="minorHAnsi"/>
                <w:b w:val="0"/>
                <w:color w:val="000000"/>
                <w:lang w:eastAsia="en-AU"/>
              </w:rPr>
            </w:pPr>
            <w:r w:rsidRPr="00805432">
              <w:rPr>
                <w:rFonts w:asciiTheme="minorHAnsi" w:eastAsia="Times New Roman" w:hAnsiTheme="minorHAnsi"/>
                <w:b w:val="0"/>
                <w:color w:val="000000"/>
                <w:lang w:eastAsia="en-AU"/>
              </w:rPr>
              <w:t>4</w:t>
            </w:r>
          </w:p>
        </w:tc>
        <w:tc>
          <w:tcPr>
            <w:tcW w:w="562" w:type="pct"/>
            <w:tcBorders>
              <w:bottom w:val="single" w:sz="4" w:space="0" w:color="auto"/>
            </w:tcBorders>
            <w:shd w:val="clear" w:color="auto" w:fill="auto"/>
            <w:noWrap/>
            <w:hideMark/>
          </w:tcPr>
          <w:p w:rsidR="00767532" w:rsidRPr="00805432" w:rsidRDefault="00767532" w:rsidP="00767532">
            <w:pPr>
              <w:spacing w:after="0" w:line="240" w:lineRule="auto"/>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Noorong2</w:t>
            </w:r>
          </w:p>
        </w:tc>
        <w:tc>
          <w:tcPr>
            <w:tcW w:w="510" w:type="pct"/>
            <w:tcBorders>
              <w:bottom w:val="single" w:sz="4" w:space="0" w:color="auto"/>
            </w:tcBorders>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222222"/>
                <w:lang w:eastAsia="en-AU"/>
              </w:rPr>
            </w:pPr>
            <w:r w:rsidRPr="00805432">
              <w:rPr>
                <w:rFonts w:asciiTheme="minorHAnsi" w:eastAsia="Times New Roman" w:hAnsiTheme="minorHAnsi"/>
                <w:color w:val="222222"/>
                <w:lang w:eastAsia="en-AU"/>
              </w:rPr>
              <w:t>30</w:t>
            </w:r>
          </w:p>
        </w:tc>
        <w:tc>
          <w:tcPr>
            <w:tcW w:w="614" w:type="pct"/>
            <w:tcBorders>
              <w:bottom w:val="single" w:sz="4" w:space="0" w:color="auto"/>
            </w:tcBorders>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170</w:t>
            </w:r>
          </w:p>
        </w:tc>
        <w:tc>
          <w:tcPr>
            <w:tcW w:w="511" w:type="pct"/>
            <w:tcBorders>
              <w:bottom w:val="single" w:sz="4" w:space="0" w:color="auto"/>
            </w:tcBorders>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450</w:t>
            </w:r>
          </w:p>
        </w:tc>
        <w:tc>
          <w:tcPr>
            <w:tcW w:w="510" w:type="pct"/>
            <w:tcBorders>
              <w:bottom w:val="single" w:sz="4" w:space="0" w:color="auto"/>
            </w:tcBorders>
            <w:shd w:val="clear" w:color="auto" w:fill="auto"/>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p>
        </w:tc>
        <w:tc>
          <w:tcPr>
            <w:tcW w:w="508" w:type="pct"/>
            <w:tcBorders>
              <w:bottom w:val="single" w:sz="4" w:space="0" w:color="auto"/>
            </w:tcBorders>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600</w:t>
            </w:r>
          </w:p>
        </w:tc>
        <w:tc>
          <w:tcPr>
            <w:tcW w:w="559" w:type="pct"/>
            <w:tcBorders>
              <w:bottom w:val="single" w:sz="4" w:space="0" w:color="auto"/>
            </w:tcBorders>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750</w:t>
            </w:r>
          </w:p>
        </w:tc>
        <w:tc>
          <w:tcPr>
            <w:tcW w:w="868" w:type="pct"/>
            <w:tcBorders>
              <w:bottom w:val="single" w:sz="4" w:space="0" w:color="auto"/>
            </w:tcBorders>
            <w:shd w:val="clear" w:color="auto" w:fill="auto"/>
            <w:noWrap/>
            <w:hideMark/>
          </w:tcPr>
          <w:p w:rsidR="00767532" w:rsidRPr="00805432" w:rsidRDefault="00767532" w:rsidP="00767532">
            <w:pPr>
              <w:spacing w:after="0" w:line="240" w:lineRule="auto"/>
              <w:jc w:val="center"/>
              <w:cnfStyle w:val="000000100000"/>
              <w:rPr>
                <w:rFonts w:asciiTheme="minorHAnsi" w:eastAsia="Times New Roman" w:hAnsiTheme="minorHAnsi"/>
                <w:color w:val="000000"/>
                <w:lang w:eastAsia="en-AU"/>
              </w:rPr>
            </w:pPr>
            <w:r w:rsidRPr="00805432">
              <w:rPr>
                <w:rFonts w:asciiTheme="minorHAnsi" w:eastAsia="Times New Roman" w:hAnsiTheme="minorHAnsi"/>
                <w:color w:val="000000"/>
                <w:lang w:eastAsia="en-AU"/>
              </w:rPr>
              <w:t>3948</w:t>
            </w:r>
          </w:p>
        </w:tc>
      </w:tr>
    </w:tbl>
    <w:p w:rsidR="00767532" w:rsidRPr="00BB404E" w:rsidRDefault="00767532" w:rsidP="00767532">
      <w:pPr>
        <w:pStyle w:val="Default"/>
        <w:spacing w:after="120" w:line="360" w:lineRule="auto"/>
        <w:ind w:left="993" w:hanging="426"/>
        <w:rPr>
          <w:sz w:val="22"/>
          <w:szCs w:val="22"/>
        </w:rPr>
      </w:pPr>
    </w:p>
    <w:p w:rsidR="00767532" w:rsidRDefault="00767532" w:rsidP="00767532">
      <w:pPr>
        <w:pStyle w:val="Default"/>
        <w:spacing w:after="120" w:line="360" w:lineRule="auto"/>
        <w:ind w:hanging="1"/>
        <w:rPr>
          <w:sz w:val="22"/>
          <w:szCs w:val="22"/>
        </w:rPr>
        <w:sectPr w:rsidR="00767532" w:rsidSect="00767532">
          <w:pgSz w:w="16838" w:h="11906" w:orient="landscape"/>
          <w:pgMar w:top="1440" w:right="1440" w:bottom="1440" w:left="1440" w:header="708" w:footer="708" w:gutter="0"/>
          <w:cols w:space="708"/>
          <w:docGrid w:linePitch="360"/>
        </w:sectPr>
      </w:pPr>
    </w:p>
    <w:p w:rsidR="00767532" w:rsidRPr="00EB70F1" w:rsidRDefault="008D36A7" w:rsidP="00C844FE">
      <w:pPr>
        <w:pStyle w:val="Default"/>
        <w:spacing w:before="120" w:after="120"/>
        <w:rPr>
          <w:rFonts w:asciiTheme="minorHAnsi" w:hAnsiTheme="minorHAnsi"/>
          <w:b/>
          <w:bCs/>
          <w:color w:val="385623"/>
        </w:rPr>
      </w:pPr>
      <w:r w:rsidRPr="00EB70F1">
        <w:rPr>
          <w:rFonts w:asciiTheme="minorHAnsi" w:hAnsiTheme="minorHAnsi"/>
          <w:b/>
          <w:bCs/>
          <w:color w:val="385623"/>
        </w:rPr>
        <w:t xml:space="preserve">5.4 </w:t>
      </w:r>
      <w:r w:rsidR="00767532" w:rsidRPr="00EB70F1">
        <w:rPr>
          <w:rFonts w:asciiTheme="minorHAnsi" w:hAnsiTheme="minorHAnsi"/>
          <w:b/>
          <w:bCs/>
          <w:color w:val="385623"/>
        </w:rPr>
        <w:t>Results</w:t>
      </w:r>
    </w:p>
    <w:p w:rsidR="00767532" w:rsidRPr="000136AC" w:rsidRDefault="00767532" w:rsidP="00C844FE">
      <w:pPr>
        <w:pStyle w:val="Default"/>
        <w:spacing w:line="360" w:lineRule="auto"/>
        <w:rPr>
          <w:rFonts w:asciiTheme="minorHAnsi" w:hAnsiTheme="minorHAnsi"/>
          <w:bCs/>
          <w:i/>
          <w:sz w:val="22"/>
          <w:szCs w:val="22"/>
        </w:rPr>
      </w:pPr>
      <w:r w:rsidRPr="000136AC">
        <w:rPr>
          <w:rFonts w:asciiTheme="minorHAnsi" w:hAnsiTheme="minorHAnsi"/>
          <w:bCs/>
          <w:i/>
          <w:sz w:val="22"/>
          <w:szCs w:val="22"/>
        </w:rPr>
        <w:t>Wetted benthic area under operational flows</w:t>
      </w:r>
    </w:p>
    <w:p w:rsidR="00767532" w:rsidRPr="000136AC" w:rsidRDefault="00767532" w:rsidP="00C844FE">
      <w:pPr>
        <w:spacing w:after="120"/>
        <w:jc w:val="left"/>
        <w:rPr>
          <w:rFonts w:asciiTheme="minorHAnsi" w:hAnsiTheme="minorHAnsi" w:cs="Calibri"/>
          <w:szCs w:val="22"/>
        </w:rPr>
      </w:pPr>
      <w:r w:rsidRPr="000136AC">
        <w:rPr>
          <w:rFonts w:asciiTheme="minorHAnsi" w:hAnsiTheme="minorHAnsi" w:cs="Calibri"/>
          <w:szCs w:val="22"/>
        </w:rPr>
        <w:t>There was considerable variation in wetted benthic area under operationa</w:t>
      </w:r>
      <w:r w:rsidR="00C844FE">
        <w:rPr>
          <w:rFonts w:asciiTheme="minorHAnsi" w:hAnsiTheme="minorHAnsi" w:cs="Calibri"/>
          <w:szCs w:val="22"/>
        </w:rPr>
        <w:t>l flows among reaches (Table 5.2</w:t>
      </w:r>
      <w:r w:rsidRPr="000136AC">
        <w:rPr>
          <w:rFonts w:asciiTheme="minorHAnsi" w:hAnsiTheme="minorHAnsi" w:cs="Calibri"/>
          <w:szCs w:val="22"/>
        </w:rPr>
        <w:t>). In general, zones 1 and 2 had significantly lower wetted benthic area under operational flows than the reaches in zones 3 and 4 (</w:t>
      </w:r>
      <w:proofErr w:type="gramStart"/>
      <w:r w:rsidRPr="000136AC">
        <w:rPr>
          <w:rFonts w:asciiTheme="minorHAnsi" w:hAnsiTheme="minorHAnsi" w:cs="Calibri"/>
          <w:szCs w:val="22"/>
        </w:rPr>
        <w:t>df=</w:t>
      </w:r>
      <w:proofErr w:type="gramEnd"/>
      <w:r w:rsidRPr="000136AC">
        <w:rPr>
          <w:rFonts w:asciiTheme="minorHAnsi" w:hAnsiTheme="minorHAnsi" w:cs="Calibri"/>
          <w:szCs w:val="22"/>
        </w:rPr>
        <w:t>3, F=6.409, p 0.005).</w:t>
      </w:r>
    </w:p>
    <w:p w:rsidR="00767532" w:rsidRPr="000136AC" w:rsidRDefault="00767532" w:rsidP="00C844FE">
      <w:pPr>
        <w:pStyle w:val="Default"/>
        <w:spacing w:line="360" w:lineRule="auto"/>
        <w:rPr>
          <w:rFonts w:asciiTheme="minorHAnsi" w:hAnsiTheme="minorHAnsi"/>
          <w:bCs/>
          <w:i/>
          <w:sz w:val="22"/>
          <w:szCs w:val="22"/>
        </w:rPr>
      </w:pPr>
      <w:r w:rsidRPr="000136AC">
        <w:rPr>
          <w:rFonts w:asciiTheme="minorHAnsi" w:hAnsiTheme="minorHAnsi"/>
          <w:bCs/>
          <w:i/>
          <w:sz w:val="22"/>
          <w:szCs w:val="22"/>
        </w:rPr>
        <w:t xml:space="preserve">Contribution of Yallakool Creek </w:t>
      </w:r>
      <w:r w:rsidR="00855BC3" w:rsidRPr="00855BC3">
        <w:rPr>
          <w:rFonts w:asciiTheme="minorHAnsi" w:hAnsiTheme="minorHAnsi"/>
          <w:i/>
          <w:sz w:val="22"/>
          <w:szCs w:val="22"/>
        </w:rPr>
        <w:t>environmental water</w:t>
      </w:r>
      <w:r w:rsidR="00C844FE">
        <w:rPr>
          <w:rFonts w:asciiTheme="minorHAnsi" w:hAnsiTheme="minorHAnsi"/>
          <w:i/>
          <w:sz w:val="22"/>
          <w:szCs w:val="22"/>
        </w:rPr>
        <w:t>ing</w:t>
      </w:r>
      <w:r w:rsidR="00855BC3">
        <w:t xml:space="preserve"> </w:t>
      </w:r>
      <w:r w:rsidRPr="000136AC">
        <w:rPr>
          <w:rFonts w:asciiTheme="minorHAnsi" w:hAnsiTheme="minorHAnsi"/>
          <w:bCs/>
          <w:i/>
          <w:sz w:val="22"/>
          <w:szCs w:val="22"/>
        </w:rPr>
        <w:t>to in-channel wetted benthic area</w:t>
      </w:r>
    </w:p>
    <w:p w:rsidR="00767532" w:rsidRDefault="00767532" w:rsidP="00C844FE">
      <w:pPr>
        <w:spacing w:after="120"/>
        <w:jc w:val="left"/>
        <w:rPr>
          <w:rFonts w:asciiTheme="minorHAnsi" w:hAnsiTheme="minorHAnsi" w:cs="Calibri"/>
          <w:szCs w:val="22"/>
        </w:rPr>
      </w:pPr>
      <w:r w:rsidRPr="000136AC">
        <w:rPr>
          <w:rFonts w:asciiTheme="minorHAnsi" w:hAnsiTheme="minorHAnsi" w:cs="Calibri"/>
          <w:szCs w:val="22"/>
        </w:rPr>
        <w:t xml:space="preserve">There was an increase in wetted benthic area at all reaches that received </w:t>
      </w:r>
      <w:r w:rsidR="00855BC3">
        <w:t xml:space="preserve">Commonwealth environmental water </w:t>
      </w:r>
      <w:r w:rsidRPr="000136AC">
        <w:rPr>
          <w:rFonts w:asciiTheme="minorHAnsi" w:hAnsiTheme="minorHAnsi" w:cs="Calibri"/>
          <w:szCs w:val="22"/>
        </w:rPr>
        <w:t xml:space="preserve">during the Yallakool Creek watering action between August 2014 and January 2015. The increase in wetted benthic area as a result of the </w:t>
      </w:r>
      <w:r w:rsidR="00855BC3">
        <w:t xml:space="preserve">environmental water </w:t>
      </w:r>
      <w:r w:rsidRPr="000136AC">
        <w:rPr>
          <w:rFonts w:asciiTheme="minorHAnsi" w:hAnsiTheme="minorHAnsi" w:cs="Calibri"/>
          <w:szCs w:val="22"/>
        </w:rPr>
        <w:t>ranged from 8.6% increase at ‘Noorong1’ in zone 4 to 75% increase at ‘Barham Bridge’ in zone 4 (T</w:t>
      </w:r>
      <w:r w:rsidR="00C844FE">
        <w:rPr>
          <w:rFonts w:asciiTheme="minorHAnsi" w:hAnsiTheme="minorHAnsi" w:cs="Calibri"/>
          <w:szCs w:val="22"/>
        </w:rPr>
        <w:t>able 5.2, Figure 5.1</w:t>
      </w:r>
      <w:r w:rsidRPr="000136AC">
        <w:rPr>
          <w:rFonts w:asciiTheme="minorHAnsi" w:hAnsiTheme="minorHAnsi" w:cs="Calibri"/>
          <w:szCs w:val="22"/>
        </w:rPr>
        <w:t>). There was considerable variation in the percent increase in wetted benthic area among reaches in the same hydrological zone receiving the same discharge. Thus, the increase in wetted benthic area was not significantly different among the three zones (</w:t>
      </w:r>
      <w:proofErr w:type="gramStart"/>
      <w:r w:rsidRPr="000136AC">
        <w:rPr>
          <w:rFonts w:asciiTheme="minorHAnsi" w:hAnsiTheme="minorHAnsi" w:cs="Calibri"/>
          <w:szCs w:val="22"/>
        </w:rPr>
        <w:t>df</w:t>
      </w:r>
      <w:proofErr w:type="gramEnd"/>
      <w:r w:rsidRPr="000136AC">
        <w:rPr>
          <w:rFonts w:asciiTheme="minorHAnsi" w:hAnsiTheme="minorHAnsi" w:cs="Calibri"/>
          <w:szCs w:val="22"/>
        </w:rPr>
        <w:t xml:space="preserve"> =2, F=0.296, p= 0.749).</w:t>
      </w:r>
    </w:p>
    <w:p w:rsidR="007D5DD5" w:rsidRPr="000136AC" w:rsidRDefault="007D5DD5" w:rsidP="00C844FE">
      <w:pPr>
        <w:spacing w:after="120"/>
        <w:jc w:val="left"/>
        <w:rPr>
          <w:rFonts w:asciiTheme="minorHAnsi" w:hAnsiTheme="minorHAnsi" w:cs="Calibri"/>
          <w:szCs w:val="22"/>
        </w:rPr>
      </w:pPr>
    </w:p>
    <w:p w:rsidR="00767532" w:rsidRPr="00344044" w:rsidRDefault="00767532" w:rsidP="00767532">
      <w:pPr>
        <w:spacing w:after="0" w:line="240" w:lineRule="auto"/>
        <w:rPr>
          <w:rFonts w:eastAsia="Times New Roman"/>
          <w:color w:val="000000"/>
          <w:kern w:val="28"/>
          <w:sz w:val="20"/>
        </w:rPr>
      </w:pPr>
      <w:r>
        <w:rPr>
          <w:rFonts w:eastAsia="Times New Roman"/>
          <w:b/>
          <w:color w:val="000000"/>
          <w:kern w:val="28"/>
          <w:sz w:val="20"/>
        </w:rPr>
        <w:t>Table 5.</w:t>
      </w:r>
      <w:r w:rsidR="00C844FE">
        <w:rPr>
          <w:rFonts w:eastAsia="Times New Roman"/>
          <w:b/>
          <w:color w:val="000000"/>
          <w:kern w:val="28"/>
          <w:sz w:val="20"/>
        </w:rPr>
        <w:t>2</w:t>
      </w:r>
      <w:r w:rsidRPr="00344044">
        <w:rPr>
          <w:rFonts w:eastAsia="Times New Roman"/>
          <w:color w:val="000000"/>
          <w:kern w:val="28"/>
          <w:sz w:val="20"/>
        </w:rPr>
        <w:t>. Estimates of wetted benthic area (m</w:t>
      </w:r>
      <w:r w:rsidRPr="00344044">
        <w:rPr>
          <w:rFonts w:eastAsia="Times New Roman"/>
          <w:color w:val="000000"/>
          <w:kern w:val="28"/>
          <w:sz w:val="20"/>
          <w:vertAlign w:val="superscript"/>
        </w:rPr>
        <w:t>2</w:t>
      </w:r>
      <w:r w:rsidRPr="00344044">
        <w:rPr>
          <w:rFonts w:eastAsia="Times New Roman"/>
          <w:color w:val="000000"/>
          <w:kern w:val="28"/>
          <w:sz w:val="20"/>
        </w:rPr>
        <w:t>) for ninetee</w:t>
      </w:r>
      <w:r>
        <w:rPr>
          <w:rFonts w:eastAsia="Times New Roman"/>
          <w:color w:val="000000"/>
          <w:kern w:val="28"/>
          <w:sz w:val="20"/>
        </w:rPr>
        <w:t>n reaches in the Edward-Wakool Selected A</w:t>
      </w:r>
      <w:r w:rsidRPr="00344044">
        <w:rPr>
          <w:rFonts w:eastAsia="Times New Roman"/>
          <w:color w:val="000000"/>
          <w:kern w:val="28"/>
          <w:sz w:val="20"/>
        </w:rPr>
        <w:t>rea</w:t>
      </w:r>
      <w:r>
        <w:rPr>
          <w:rFonts w:eastAsia="Times New Roman"/>
          <w:color w:val="000000"/>
          <w:kern w:val="28"/>
          <w:sz w:val="20"/>
        </w:rPr>
        <w:t xml:space="preserve"> under the operational base flow and</w:t>
      </w:r>
      <w:r w:rsidRPr="00344044">
        <w:rPr>
          <w:rFonts w:eastAsia="Times New Roman"/>
          <w:color w:val="000000"/>
          <w:kern w:val="28"/>
          <w:sz w:val="20"/>
        </w:rPr>
        <w:t xml:space="preserve"> environmental flow in Yallakool Creek where discharge increased to 500 ML/d. The percent increase attributed to </w:t>
      </w:r>
      <w:r w:rsidR="00855BC3" w:rsidRPr="00855BC3">
        <w:rPr>
          <w:sz w:val="20"/>
        </w:rPr>
        <w:t>Commonwealth environmental water</w:t>
      </w:r>
      <w:r w:rsidR="00855BC3">
        <w:t xml:space="preserve"> (</w:t>
      </w:r>
      <w:r w:rsidRPr="00344044">
        <w:rPr>
          <w:rFonts w:eastAsia="Times New Roman"/>
          <w:color w:val="000000"/>
          <w:kern w:val="28"/>
          <w:sz w:val="20"/>
        </w:rPr>
        <w:t>CEW</w:t>
      </w:r>
      <w:r w:rsidR="00855BC3">
        <w:rPr>
          <w:rFonts w:eastAsia="Times New Roman"/>
          <w:color w:val="000000"/>
          <w:kern w:val="28"/>
          <w:sz w:val="20"/>
        </w:rPr>
        <w:t>)</w:t>
      </w:r>
      <w:r w:rsidRPr="00344044">
        <w:rPr>
          <w:rFonts w:eastAsia="Times New Roman"/>
          <w:color w:val="000000"/>
          <w:kern w:val="28"/>
          <w:sz w:val="20"/>
        </w:rPr>
        <w:t xml:space="preserve"> is shown.</w:t>
      </w:r>
      <w:r>
        <w:rPr>
          <w:rFonts w:eastAsia="Times New Roman"/>
          <w:color w:val="000000"/>
          <w:kern w:val="28"/>
          <w:sz w:val="20"/>
        </w:rPr>
        <w:t xml:space="preserve"> N/A = not applicable because environmental watering was not undertaken in the Wakool River zone 2.</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141"/>
        <w:gridCol w:w="1701"/>
        <w:gridCol w:w="1418"/>
        <w:gridCol w:w="1417"/>
        <w:gridCol w:w="1134"/>
        <w:gridCol w:w="1701"/>
        <w:gridCol w:w="1276"/>
      </w:tblGrid>
      <w:tr w:rsidR="00767532" w:rsidRPr="00967402" w:rsidTr="000B78D1">
        <w:tc>
          <w:tcPr>
            <w:tcW w:w="675" w:type="dxa"/>
            <w:gridSpan w:val="2"/>
            <w:tcBorders>
              <w:top w:val="single" w:sz="4" w:space="0" w:color="auto"/>
              <w:left w:val="nil"/>
              <w:bottom w:val="single" w:sz="4" w:space="0" w:color="auto"/>
              <w:right w:val="nil"/>
            </w:tcBorders>
            <w:shd w:val="clear" w:color="auto" w:fill="D6E3BC" w:themeFill="accent3" w:themeFillTint="66"/>
            <w:vAlign w:val="bottom"/>
          </w:tcPr>
          <w:p w:rsidR="00767532" w:rsidRPr="00344044" w:rsidRDefault="00767532" w:rsidP="00767532">
            <w:pPr>
              <w:spacing w:after="0" w:line="240" w:lineRule="auto"/>
              <w:rPr>
                <w:color w:val="000000"/>
              </w:rPr>
            </w:pPr>
            <w:r w:rsidRPr="00344044">
              <w:rPr>
                <w:color w:val="000000"/>
              </w:rPr>
              <w:t xml:space="preserve">zone </w:t>
            </w:r>
          </w:p>
        </w:tc>
        <w:tc>
          <w:tcPr>
            <w:tcW w:w="1701" w:type="dxa"/>
            <w:tcBorders>
              <w:top w:val="single" w:sz="4" w:space="0" w:color="auto"/>
              <w:left w:val="nil"/>
              <w:bottom w:val="single" w:sz="4" w:space="0" w:color="auto"/>
              <w:right w:val="nil"/>
            </w:tcBorders>
            <w:shd w:val="clear" w:color="auto" w:fill="D6E3BC" w:themeFill="accent3" w:themeFillTint="66"/>
            <w:vAlign w:val="bottom"/>
          </w:tcPr>
          <w:p w:rsidR="00767532" w:rsidRPr="00344044" w:rsidRDefault="00767532" w:rsidP="00767532">
            <w:pPr>
              <w:spacing w:after="0" w:line="240" w:lineRule="auto"/>
              <w:rPr>
                <w:color w:val="000000"/>
              </w:rPr>
            </w:pPr>
            <w:r w:rsidRPr="00344044">
              <w:rPr>
                <w:color w:val="000000"/>
              </w:rPr>
              <w:t>reach</w:t>
            </w:r>
          </w:p>
        </w:tc>
        <w:tc>
          <w:tcPr>
            <w:tcW w:w="1418" w:type="dxa"/>
            <w:tcBorders>
              <w:top w:val="single" w:sz="4" w:space="0" w:color="auto"/>
              <w:left w:val="nil"/>
              <w:bottom w:val="single" w:sz="4" w:space="0" w:color="auto"/>
              <w:right w:val="nil"/>
            </w:tcBorders>
            <w:shd w:val="clear" w:color="auto" w:fill="D6E3BC" w:themeFill="accent3" w:themeFillTint="66"/>
            <w:vAlign w:val="bottom"/>
          </w:tcPr>
          <w:p w:rsidR="00767532" w:rsidRPr="00344044" w:rsidRDefault="00767532" w:rsidP="00767532">
            <w:pPr>
              <w:spacing w:after="0" w:line="240" w:lineRule="auto"/>
              <w:rPr>
                <w:color w:val="000000"/>
              </w:rPr>
            </w:pPr>
            <w:r w:rsidRPr="00344044">
              <w:rPr>
                <w:color w:val="000000"/>
              </w:rPr>
              <w:t>Discharge modelled for operational flow (ML</w:t>
            </w:r>
            <w:r>
              <w:rPr>
                <w:color w:val="000000"/>
              </w:rPr>
              <w:t>d</w:t>
            </w:r>
            <w:r w:rsidRPr="00082D42">
              <w:rPr>
                <w:vertAlign w:val="superscript"/>
              </w:rPr>
              <w:t>-1</w:t>
            </w:r>
            <w:r w:rsidRPr="00344044">
              <w:rPr>
                <w:color w:val="000000"/>
              </w:rPr>
              <w:t>)</w:t>
            </w:r>
          </w:p>
        </w:tc>
        <w:tc>
          <w:tcPr>
            <w:tcW w:w="1417" w:type="dxa"/>
            <w:tcBorders>
              <w:top w:val="single" w:sz="4" w:space="0" w:color="auto"/>
              <w:left w:val="nil"/>
              <w:bottom w:val="single" w:sz="4" w:space="0" w:color="auto"/>
              <w:right w:val="nil"/>
            </w:tcBorders>
            <w:shd w:val="clear" w:color="auto" w:fill="D6E3BC" w:themeFill="accent3" w:themeFillTint="66"/>
            <w:vAlign w:val="bottom"/>
          </w:tcPr>
          <w:p w:rsidR="00767532" w:rsidRPr="00344044" w:rsidRDefault="00767532" w:rsidP="00767532">
            <w:pPr>
              <w:spacing w:after="0" w:line="240" w:lineRule="auto"/>
              <w:rPr>
                <w:color w:val="000000"/>
              </w:rPr>
            </w:pPr>
            <w:r w:rsidRPr="00344044">
              <w:rPr>
                <w:color w:val="000000"/>
              </w:rPr>
              <w:t>Wetted benthic area under operational flow (m</w:t>
            </w:r>
            <w:r w:rsidRPr="00344044">
              <w:rPr>
                <w:color w:val="000000"/>
                <w:vertAlign w:val="superscript"/>
              </w:rPr>
              <w:t>2</w:t>
            </w:r>
            <w:r w:rsidRPr="00344044">
              <w:rPr>
                <w:color w:val="000000"/>
              </w:rPr>
              <w:t>)</w:t>
            </w:r>
          </w:p>
        </w:tc>
        <w:tc>
          <w:tcPr>
            <w:tcW w:w="1134" w:type="dxa"/>
            <w:tcBorders>
              <w:top w:val="single" w:sz="4" w:space="0" w:color="auto"/>
              <w:left w:val="nil"/>
              <w:bottom w:val="single" w:sz="4" w:space="0" w:color="auto"/>
              <w:right w:val="nil"/>
            </w:tcBorders>
            <w:shd w:val="clear" w:color="auto" w:fill="D6E3BC" w:themeFill="accent3" w:themeFillTint="66"/>
            <w:vAlign w:val="bottom"/>
          </w:tcPr>
          <w:p w:rsidR="00767532" w:rsidRPr="00344044" w:rsidRDefault="00767532" w:rsidP="00767532">
            <w:pPr>
              <w:spacing w:after="0" w:line="240" w:lineRule="auto"/>
              <w:rPr>
                <w:color w:val="000000"/>
              </w:rPr>
            </w:pPr>
            <w:r w:rsidRPr="00344044">
              <w:rPr>
                <w:color w:val="000000"/>
              </w:rPr>
              <w:t>Discharge modelled for e-flow (ML</w:t>
            </w:r>
            <w:r>
              <w:rPr>
                <w:color w:val="000000"/>
              </w:rPr>
              <w:t>d</w:t>
            </w:r>
            <w:r w:rsidRPr="00082D42">
              <w:rPr>
                <w:vertAlign w:val="superscript"/>
              </w:rPr>
              <w:t>-1</w:t>
            </w:r>
            <w:r w:rsidRPr="00344044">
              <w:rPr>
                <w:color w:val="000000"/>
              </w:rPr>
              <w:t>)</w:t>
            </w:r>
          </w:p>
        </w:tc>
        <w:tc>
          <w:tcPr>
            <w:tcW w:w="1701" w:type="dxa"/>
            <w:tcBorders>
              <w:top w:val="single" w:sz="4" w:space="0" w:color="auto"/>
              <w:left w:val="nil"/>
              <w:bottom w:val="single" w:sz="4" w:space="0" w:color="auto"/>
              <w:right w:val="nil"/>
            </w:tcBorders>
            <w:shd w:val="clear" w:color="auto" w:fill="D6E3BC" w:themeFill="accent3" w:themeFillTint="66"/>
            <w:vAlign w:val="bottom"/>
          </w:tcPr>
          <w:p w:rsidR="00767532" w:rsidRPr="00344044" w:rsidRDefault="00767532" w:rsidP="00767532">
            <w:pPr>
              <w:spacing w:after="0" w:line="240" w:lineRule="auto"/>
              <w:rPr>
                <w:color w:val="000000"/>
              </w:rPr>
            </w:pPr>
            <w:r w:rsidRPr="00344044">
              <w:rPr>
                <w:color w:val="000000"/>
              </w:rPr>
              <w:t>Wetted benthic area under Yallakool Creek e-flow (m</w:t>
            </w:r>
            <w:r w:rsidRPr="00344044">
              <w:rPr>
                <w:color w:val="000000"/>
                <w:vertAlign w:val="superscript"/>
              </w:rPr>
              <w:t>2</w:t>
            </w:r>
            <w:r w:rsidRPr="00344044">
              <w:rPr>
                <w:color w:val="000000"/>
              </w:rPr>
              <w:t>)</w:t>
            </w:r>
          </w:p>
        </w:tc>
        <w:tc>
          <w:tcPr>
            <w:tcW w:w="1276" w:type="dxa"/>
            <w:tcBorders>
              <w:top w:val="single" w:sz="4" w:space="0" w:color="auto"/>
              <w:left w:val="nil"/>
              <w:bottom w:val="single" w:sz="4" w:space="0" w:color="auto"/>
              <w:right w:val="nil"/>
            </w:tcBorders>
            <w:shd w:val="clear" w:color="auto" w:fill="D6E3BC" w:themeFill="accent3" w:themeFillTint="66"/>
            <w:vAlign w:val="bottom"/>
          </w:tcPr>
          <w:p w:rsidR="00767532" w:rsidRPr="00344044" w:rsidRDefault="00767532" w:rsidP="00767532">
            <w:pPr>
              <w:spacing w:after="0" w:line="240" w:lineRule="auto"/>
              <w:rPr>
                <w:color w:val="000000"/>
              </w:rPr>
            </w:pPr>
            <w:r w:rsidRPr="00344044">
              <w:rPr>
                <w:color w:val="000000"/>
              </w:rPr>
              <w:t>% increase in wetted benthic area under CEW</w:t>
            </w:r>
          </w:p>
        </w:tc>
      </w:tr>
      <w:tr w:rsidR="00767532" w:rsidRPr="00967402" w:rsidTr="00767532">
        <w:tc>
          <w:tcPr>
            <w:tcW w:w="534" w:type="dxa"/>
            <w:tcBorders>
              <w:top w:val="single" w:sz="4" w:space="0" w:color="auto"/>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w:t>
            </w:r>
          </w:p>
        </w:tc>
        <w:tc>
          <w:tcPr>
            <w:tcW w:w="1842" w:type="dxa"/>
            <w:gridSpan w:val="2"/>
            <w:tcBorders>
              <w:top w:val="single" w:sz="4" w:space="0" w:color="auto"/>
              <w:left w:val="nil"/>
              <w:bottom w:val="nil"/>
              <w:right w:val="nil"/>
            </w:tcBorders>
          </w:tcPr>
          <w:p w:rsidR="00767532" w:rsidRPr="00C32A71" w:rsidRDefault="00767532" w:rsidP="00767532">
            <w:pPr>
              <w:spacing w:after="0" w:line="240" w:lineRule="auto"/>
            </w:pPr>
            <w:r w:rsidRPr="00C32A71">
              <w:t>Hopwood</w:t>
            </w:r>
          </w:p>
        </w:tc>
        <w:tc>
          <w:tcPr>
            <w:tcW w:w="1418" w:type="dxa"/>
            <w:tcBorders>
              <w:top w:val="single" w:sz="4" w:space="0" w:color="auto"/>
              <w:left w:val="nil"/>
              <w:bottom w:val="nil"/>
              <w:right w:val="nil"/>
            </w:tcBorders>
            <w:shd w:val="clear" w:color="auto" w:fill="auto"/>
            <w:vAlign w:val="bottom"/>
          </w:tcPr>
          <w:p w:rsidR="00767532" w:rsidRPr="00C95991" w:rsidRDefault="00767532" w:rsidP="00767532">
            <w:pPr>
              <w:spacing w:after="0" w:line="240" w:lineRule="auto"/>
              <w:jc w:val="center"/>
              <w:rPr>
                <w:color w:val="000000"/>
              </w:rPr>
            </w:pPr>
            <w:r w:rsidRPr="00C95991">
              <w:rPr>
                <w:color w:val="000000"/>
              </w:rPr>
              <w:t>240</w:t>
            </w:r>
          </w:p>
        </w:tc>
        <w:tc>
          <w:tcPr>
            <w:tcW w:w="1417" w:type="dxa"/>
            <w:tcBorders>
              <w:top w:val="single" w:sz="4" w:space="0" w:color="auto"/>
              <w:left w:val="nil"/>
              <w:bottom w:val="nil"/>
              <w:right w:val="nil"/>
            </w:tcBorders>
            <w:shd w:val="clear" w:color="auto" w:fill="auto"/>
            <w:vAlign w:val="bottom"/>
          </w:tcPr>
          <w:p w:rsidR="00767532" w:rsidRPr="00C95991" w:rsidRDefault="00767532" w:rsidP="00767532">
            <w:pPr>
              <w:spacing w:after="0" w:line="240" w:lineRule="auto"/>
              <w:jc w:val="center"/>
              <w:rPr>
                <w:color w:val="000000"/>
              </w:rPr>
            </w:pPr>
            <w:r w:rsidRPr="00C95991">
              <w:rPr>
                <w:color w:val="000000"/>
              </w:rPr>
              <w:t>99886</w:t>
            </w:r>
          </w:p>
        </w:tc>
        <w:tc>
          <w:tcPr>
            <w:tcW w:w="1134" w:type="dxa"/>
            <w:tcBorders>
              <w:top w:val="single" w:sz="4" w:space="0" w:color="auto"/>
              <w:left w:val="nil"/>
              <w:bottom w:val="nil"/>
              <w:right w:val="nil"/>
            </w:tcBorders>
            <w:shd w:val="clear" w:color="auto" w:fill="auto"/>
            <w:vAlign w:val="bottom"/>
          </w:tcPr>
          <w:p w:rsidR="00767532" w:rsidRPr="00C95991" w:rsidRDefault="00767532" w:rsidP="00767532">
            <w:pPr>
              <w:spacing w:after="0" w:line="240" w:lineRule="auto"/>
              <w:jc w:val="center"/>
              <w:rPr>
                <w:color w:val="000000"/>
              </w:rPr>
            </w:pPr>
            <w:r w:rsidRPr="00C95991">
              <w:rPr>
                <w:color w:val="000000"/>
              </w:rPr>
              <w:t>500</w:t>
            </w:r>
          </w:p>
        </w:tc>
        <w:tc>
          <w:tcPr>
            <w:tcW w:w="1701" w:type="dxa"/>
            <w:tcBorders>
              <w:top w:val="single" w:sz="4" w:space="0" w:color="auto"/>
              <w:left w:val="nil"/>
              <w:bottom w:val="nil"/>
              <w:right w:val="nil"/>
            </w:tcBorders>
            <w:shd w:val="clear" w:color="auto" w:fill="auto"/>
            <w:vAlign w:val="bottom"/>
          </w:tcPr>
          <w:p w:rsidR="00767532" w:rsidRPr="00C95991" w:rsidRDefault="00767532" w:rsidP="00767532">
            <w:pPr>
              <w:spacing w:after="0" w:line="240" w:lineRule="auto"/>
              <w:jc w:val="center"/>
              <w:rPr>
                <w:color w:val="000000"/>
              </w:rPr>
            </w:pPr>
            <w:r w:rsidRPr="00C95991">
              <w:rPr>
                <w:color w:val="000000"/>
              </w:rPr>
              <w:t>111,382</w:t>
            </w:r>
          </w:p>
        </w:tc>
        <w:tc>
          <w:tcPr>
            <w:tcW w:w="1276" w:type="dxa"/>
            <w:tcBorders>
              <w:top w:val="single" w:sz="4" w:space="0" w:color="auto"/>
              <w:left w:val="nil"/>
              <w:bottom w:val="nil"/>
              <w:right w:val="nil"/>
            </w:tcBorders>
            <w:shd w:val="clear" w:color="auto" w:fill="auto"/>
            <w:vAlign w:val="bottom"/>
          </w:tcPr>
          <w:p w:rsidR="00767532" w:rsidRPr="00C95991" w:rsidRDefault="00767532" w:rsidP="00767532">
            <w:pPr>
              <w:spacing w:after="0" w:line="240" w:lineRule="auto"/>
              <w:jc w:val="center"/>
              <w:rPr>
                <w:color w:val="000000"/>
              </w:rPr>
            </w:pPr>
            <w:r w:rsidRPr="00C95991">
              <w:rPr>
                <w:color w:val="000000"/>
              </w:rPr>
              <w:t>11.51</w:t>
            </w:r>
          </w:p>
        </w:tc>
      </w:tr>
      <w:tr w:rsidR="00767532" w:rsidRPr="00967402" w:rsidTr="00767532">
        <w:tc>
          <w:tcPr>
            <w:tcW w:w="5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w:t>
            </w:r>
          </w:p>
        </w:tc>
        <w:tc>
          <w:tcPr>
            <w:tcW w:w="1842" w:type="dxa"/>
            <w:gridSpan w:val="2"/>
            <w:tcBorders>
              <w:top w:val="nil"/>
              <w:left w:val="nil"/>
              <w:bottom w:val="nil"/>
              <w:right w:val="nil"/>
            </w:tcBorders>
          </w:tcPr>
          <w:p w:rsidR="00767532" w:rsidRPr="00C32A71" w:rsidRDefault="00767532" w:rsidP="00767532">
            <w:pPr>
              <w:spacing w:after="0" w:line="240" w:lineRule="auto"/>
            </w:pPr>
            <w:r w:rsidRPr="00C32A71">
              <w:t>Cumnock</w:t>
            </w:r>
          </w:p>
        </w:tc>
        <w:tc>
          <w:tcPr>
            <w:tcW w:w="1418" w:type="dxa"/>
            <w:tcBorders>
              <w:top w:val="nil"/>
              <w:left w:val="nil"/>
              <w:bottom w:val="nil"/>
              <w:right w:val="nil"/>
            </w:tcBorders>
            <w:shd w:val="clear" w:color="auto" w:fill="auto"/>
          </w:tcPr>
          <w:p w:rsidR="00767532" w:rsidRPr="00C95991" w:rsidRDefault="00767532" w:rsidP="00767532">
            <w:pPr>
              <w:spacing w:after="0" w:line="240" w:lineRule="auto"/>
              <w:jc w:val="center"/>
            </w:pPr>
            <w:r w:rsidRPr="00C95991">
              <w:rPr>
                <w:color w:val="000000"/>
              </w:rPr>
              <w:t>240</w:t>
            </w:r>
          </w:p>
        </w:tc>
        <w:tc>
          <w:tcPr>
            <w:tcW w:w="1417" w:type="dxa"/>
            <w:tcBorders>
              <w:top w:val="nil"/>
              <w:left w:val="nil"/>
              <w:bottom w:val="nil"/>
              <w:right w:val="nil"/>
            </w:tcBorders>
            <w:shd w:val="clear" w:color="auto" w:fill="auto"/>
            <w:vAlign w:val="bottom"/>
          </w:tcPr>
          <w:p w:rsidR="00767532" w:rsidRPr="00C95991" w:rsidRDefault="00767532" w:rsidP="00767532">
            <w:pPr>
              <w:spacing w:after="0" w:line="240" w:lineRule="auto"/>
              <w:jc w:val="center"/>
              <w:rPr>
                <w:color w:val="000000"/>
              </w:rPr>
            </w:pPr>
            <w:r w:rsidRPr="00C95991">
              <w:rPr>
                <w:color w:val="000000"/>
              </w:rPr>
              <w:t>97018</w:t>
            </w:r>
          </w:p>
        </w:tc>
        <w:tc>
          <w:tcPr>
            <w:tcW w:w="1134" w:type="dxa"/>
            <w:tcBorders>
              <w:top w:val="nil"/>
              <w:left w:val="nil"/>
              <w:bottom w:val="nil"/>
              <w:right w:val="nil"/>
            </w:tcBorders>
            <w:shd w:val="clear" w:color="auto" w:fill="auto"/>
            <w:vAlign w:val="bottom"/>
          </w:tcPr>
          <w:p w:rsidR="00767532" w:rsidRPr="00C95991" w:rsidRDefault="00767532" w:rsidP="00767532">
            <w:pPr>
              <w:spacing w:after="0" w:line="240" w:lineRule="auto"/>
              <w:jc w:val="center"/>
              <w:rPr>
                <w:color w:val="000000"/>
              </w:rPr>
            </w:pPr>
            <w:r w:rsidRPr="00C95991">
              <w:rPr>
                <w:color w:val="000000"/>
              </w:rPr>
              <w:t>500</w:t>
            </w:r>
          </w:p>
        </w:tc>
        <w:tc>
          <w:tcPr>
            <w:tcW w:w="1701" w:type="dxa"/>
            <w:tcBorders>
              <w:top w:val="nil"/>
              <w:left w:val="nil"/>
              <w:bottom w:val="nil"/>
              <w:right w:val="nil"/>
            </w:tcBorders>
            <w:shd w:val="clear" w:color="auto" w:fill="auto"/>
            <w:vAlign w:val="bottom"/>
          </w:tcPr>
          <w:p w:rsidR="00767532" w:rsidRPr="00C95991" w:rsidRDefault="00767532" w:rsidP="00767532">
            <w:pPr>
              <w:spacing w:after="0" w:line="240" w:lineRule="auto"/>
              <w:jc w:val="center"/>
              <w:rPr>
                <w:color w:val="000000"/>
              </w:rPr>
            </w:pPr>
            <w:r w:rsidRPr="00C95991">
              <w:rPr>
                <w:color w:val="000000"/>
              </w:rPr>
              <w:t>108,005</w:t>
            </w:r>
          </w:p>
        </w:tc>
        <w:tc>
          <w:tcPr>
            <w:tcW w:w="1276" w:type="dxa"/>
            <w:tcBorders>
              <w:top w:val="nil"/>
              <w:left w:val="nil"/>
              <w:bottom w:val="nil"/>
              <w:right w:val="nil"/>
            </w:tcBorders>
            <w:shd w:val="clear" w:color="auto" w:fill="auto"/>
            <w:vAlign w:val="bottom"/>
          </w:tcPr>
          <w:p w:rsidR="00767532" w:rsidRPr="00C95991" w:rsidRDefault="00767532" w:rsidP="00767532">
            <w:pPr>
              <w:spacing w:after="0" w:line="240" w:lineRule="auto"/>
              <w:jc w:val="center"/>
              <w:rPr>
                <w:color w:val="000000"/>
              </w:rPr>
            </w:pPr>
            <w:r w:rsidRPr="00C95991">
              <w:rPr>
                <w:color w:val="000000"/>
              </w:rPr>
              <w:t>11.32</w:t>
            </w:r>
          </w:p>
        </w:tc>
      </w:tr>
      <w:tr w:rsidR="00767532" w:rsidRPr="00967402" w:rsidTr="00767532">
        <w:tc>
          <w:tcPr>
            <w:tcW w:w="5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w:t>
            </w:r>
          </w:p>
        </w:tc>
        <w:tc>
          <w:tcPr>
            <w:tcW w:w="1842" w:type="dxa"/>
            <w:gridSpan w:val="2"/>
            <w:tcBorders>
              <w:top w:val="nil"/>
              <w:left w:val="nil"/>
              <w:bottom w:val="nil"/>
              <w:right w:val="nil"/>
            </w:tcBorders>
          </w:tcPr>
          <w:p w:rsidR="00767532" w:rsidRPr="00C32A71" w:rsidRDefault="00767532" w:rsidP="00767532">
            <w:pPr>
              <w:spacing w:after="0" w:line="240" w:lineRule="auto"/>
            </w:pPr>
            <w:r w:rsidRPr="00C32A71">
              <w:t>Cumnock Park</w:t>
            </w:r>
          </w:p>
        </w:tc>
        <w:tc>
          <w:tcPr>
            <w:tcW w:w="1418" w:type="dxa"/>
            <w:tcBorders>
              <w:top w:val="nil"/>
              <w:left w:val="nil"/>
              <w:bottom w:val="nil"/>
              <w:right w:val="nil"/>
            </w:tcBorders>
            <w:shd w:val="clear" w:color="auto" w:fill="auto"/>
          </w:tcPr>
          <w:p w:rsidR="00767532" w:rsidRPr="00C95991" w:rsidRDefault="00767532" w:rsidP="00767532">
            <w:pPr>
              <w:spacing w:after="0" w:line="240" w:lineRule="auto"/>
              <w:jc w:val="center"/>
            </w:pPr>
            <w:r w:rsidRPr="00C95991">
              <w:rPr>
                <w:color w:val="000000"/>
              </w:rPr>
              <w:t>240</w:t>
            </w:r>
          </w:p>
        </w:tc>
        <w:tc>
          <w:tcPr>
            <w:tcW w:w="1417" w:type="dxa"/>
            <w:tcBorders>
              <w:top w:val="nil"/>
              <w:left w:val="nil"/>
              <w:bottom w:val="nil"/>
              <w:right w:val="nil"/>
            </w:tcBorders>
            <w:shd w:val="clear" w:color="auto" w:fill="auto"/>
            <w:vAlign w:val="bottom"/>
          </w:tcPr>
          <w:p w:rsidR="00767532" w:rsidRPr="00C95991" w:rsidRDefault="00767532" w:rsidP="00767532">
            <w:pPr>
              <w:spacing w:after="0" w:line="240" w:lineRule="auto"/>
              <w:jc w:val="center"/>
              <w:rPr>
                <w:color w:val="000000"/>
              </w:rPr>
            </w:pPr>
            <w:r w:rsidRPr="00C95991">
              <w:rPr>
                <w:color w:val="000000"/>
              </w:rPr>
              <w:t>102269</w:t>
            </w:r>
          </w:p>
        </w:tc>
        <w:tc>
          <w:tcPr>
            <w:tcW w:w="1134" w:type="dxa"/>
            <w:tcBorders>
              <w:top w:val="nil"/>
              <w:left w:val="nil"/>
              <w:bottom w:val="nil"/>
              <w:right w:val="nil"/>
            </w:tcBorders>
            <w:shd w:val="clear" w:color="auto" w:fill="auto"/>
            <w:vAlign w:val="bottom"/>
          </w:tcPr>
          <w:p w:rsidR="00767532" w:rsidRPr="00C95991" w:rsidRDefault="00767532" w:rsidP="00767532">
            <w:pPr>
              <w:spacing w:after="0" w:line="240" w:lineRule="auto"/>
              <w:jc w:val="center"/>
              <w:rPr>
                <w:color w:val="000000"/>
              </w:rPr>
            </w:pPr>
            <w:r w:rsidRPr="00C95991">
              <w:rPr>
                <w:color w:val="000000"/>
              </w:rPr>
              <w:t>500</w:t>
            </w:r>
          </w:p>
        </w:tc>
        <w:tc>
          <w:tcPr>
            <w:tcW w:w="1701" w:type="dxa"/>
            <w:tcBorders>
              <w:top w:val="nil"/>
              <w:left w:val="nil"/>
              <w:bottom w:val="nil"/>
              <w:right w:val="nil"/>
            </w:tcBorders>
            <w:shd w:val="clear" w:color="auto" w:fill="auto"/>
            <w:vAlign w:val="bottom"/>
          </w:tcPr>
          <w:p w:rsidR="00767532" w:rsidRPr="00C95991" w:rsidRDefault="00767532" w:rsidP="00767532">
            <w:pPr>
              <w:spacing w:after="0" w:line="240" w:lineRule="auto"/>
              <w:jc w:val="center"/>
              <w:rPr>
                <w:color w:val="000000"/>
              </w:rPr>
            </w:pPr>
            <w:r w:rsidRPr="00C95991">
              <w:rPr>
                <w:color w:val="000000"/>
              </w:rPr>
              <w:t>122,175</w:t>
            </w:r>
          </w:p>
        </w:tc>
        <w:tc>
          <w:tcPr>
            <w:tcW w:w="1276" w:type="dxa"/>
            <w:tcBorders>
              <w:top w:val="nil"/>
              <w:left w:val="nil"/>
              <w:bottom w:val="nil"/>
              <w:right w:val="nil"/>
            </w:tcBorders>
            <w:shd w:val="clear" w:color="auto" w:fill="auto"/>
            <w:vAlign w:val="bottom"/>
          </w:tcPr>
          <w:p w:rsidR="00767532" w:rsidRPr="00C95991" w:rsidRDefault="00767532" w:rsidP="00767532">
            <w:pPr>
              <w:spacing w:after="0" w:line="240" w:lineRule="auto"/>
              <w:jc w:val="center"/>
              <w:rPr>
                <w:color w:val="000000"/>
              </w:rPr>
            </w:pPr>
            <w:r w:rsidRPr="00C95991">
              <w:rPr>
                <w:color w:val="000000"/>
              </w:rPr>
              <w:t>19.46</w:t>
            </w:r>
          </w:p>
        </w:tc>
      </w:tr>
      <w:tr w:rsidR="00767532" w:rsidRPr="00967402" w:rsidTr="00767532">
        <w:tc>
          <w:tcPr>
            <w:tcW w:w="5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w:t>
            </w:r>
          </w:p>
        </w:tc>
        <w:tc>
          <w:tcPr>
            <w:tcW w:w="1842" w:type="dxa"/>
            <w:gridSpan w:val="2"/>
            <w:tcBorders>
              <w:top w:val="nil"/>
              <w:left w:val="nil"/>
              <w:bottom w:val="nil"/>
              <w:right w:val="nil"/>
            </w:tcBorders>
          </w:tcPr>
          <w:p w:rsidR="00767532" w:rsidRPr="00C32A71" w:rsidRDefault="00767532" w:rsidP="00767532">
            <w:pPr>
              <w:spacing w:after="0" w:line="240" w:lineRule="auto"/>
            </w:pPr>
            <w:r w:rsidRPr="00C32A71">
              <w:t>Mascott</w:t>
            </w:r>
          </w:p>
        </w:tc>
        <w:tc>
          <w:tcPr>
            <w:tcW w:w="1418" w:type="dxa"/>
            <w:tcBorders>
              <w:top w:val="nil"/>
              <w:left w:val="nil"/>
              <w:bottom w:val="nil"/>
              <w:right w:val="nil"/>
            </w:tcBorders>
            <w:shd w:val="clear" w:color="auto" w:fill="auto"/>
          </w:tcPr>
          <w:p w:rsidR="00767532" w:rsidRPr="00C95991" w:rsidRDefault="00767532" w:rsidP="00767532">
            <w:pPr>
              <w:spacing w:after="0" w:line="240" w:lineRule="auto"/>
              <w:jc w:val="center"/>
            </w:pPr>
            <w:r w:rsidRPr="00C95991">
              <w:rPr>
                <w:color w:val="000000"/>
              </w:rPr>
              <w:t>240</w:t>
            </w:r>
          </w:p>
        </w:tc>
        <w:tc>
          <w:tcPr>
            <w:tcW w:w="1417" w:type="dxa"/>
            <w:tcBorders>
              <w:top w:val="nil"/>
              <w:left w:val="nil"/>
              <w:bottom w:val="nil"/>
              <w:right w:val="nil"/>
            </w:tcBorders>
            <w:shd w:val="clear" w:color="auto" w:fill="auto"/>
            <w:vAlign w:val="bottom"/>
          </w:tcPr>
          <w:p w:rsidR="00767532" w:rsidRPr="00C95991" w:rsidRDefault="00767532" w:rsidP="00767532">
            <w:pPr>
              <w:spacing w:after="0" w:line="240" w:lineRule="auto"/>
              <w:jc w:val="center"/>
              <w:rPr>
                <w:color w:val="000000"/>
              </w:rPr>
            </w:pPr>
            <w:r w:rsidRPr="00C95991">
              <w:rPr>
                <w:color w:val="000000"/>
              </w:rPr>
              <w:t>129520</w:t>
            </w:r>
          </w:p>
        </w:tc>
        <w:tc>
          <w:tcPr>
            <w:tcW w:w="1134" w:type="dxa"/>
            <w:tcBorders>
              <w:top w:val="nil"/>
              <w:left w:val="nil"/>
              <w:bottom w:val="nil"/>
              <w:right w:val="nil"/>
            </w:tcBorders>
            <w:shd w:val="clear" w:color="auto" w:fill="auto"/>
            <w:vAlign w:val="bottom"/>
          </w:tcPr>
          <w:p w:rsidR="00767532" w:rsidRPr="00C95991" w:rsidRDefault="00767532" w:rsidP="00767532">
            <w:pPr>
              <w:spacing w:after="0" w:line="240" w:lineRule="auto"/>
              <w:jc w:val="center"/>
              <w:rPr>
                <w:color w:val="000000"/>
              </w:rPr>
            </w:pPr>
            <w:r w:rsidRPr="00C95991">
              <w:rPr>
                <w:color w:val="000000"/>
              </w:rPr>
              <w:t>500</w:t>
            </w:r>
          </w:p>
        </w:tc>
        <w:tc>
          <w:tcPr>
            <w:tcW w:w="1701" w:type="dxa"/>
            <w:tcBorders>
              <w:top w:val="nil"/>
              <w:left w:val="nil"/>
              <w:bottom w:val="nil"/>
              <w:right w:val="nil"/>
            </w:tcBorders>
            <w:shd w:val="clear" w:color="auto" w:fill="auto"/>
            <w:vAlign w:val="bottom"/>
          </w:tcPr>
          <w:p w:rsidR="00767532" w:rsidRPr="00C95991" w:rsidRDefault="00767532" w:rsidP="00767532">
            <w:pPr>
              <w:spacing w:after="0" w:line="240" w:lineRule="auto"/>
              <w:jc w:val="center"/>
              <w:rPr>
                <w:color w:val="000000"/>
              </w:rPr>
            </w:pPr>
            <w:r w:rsidRPr="00C95991">
              <w:rPr>
                <w:color w:val="000000"/>
              </w:rPr>
              <w:t>144,259</w:t>
            </w:r>
          </w:p>
        </w:tc>
        <w:tc>
          <w:tcPr>
            <w:tcW w:w="1276" w:type="dxa"/>
            <w:tcBorders>
              <w:top w:val="nil"/>
              <w:left w:val="nil"/>
              <w:bottom w:val="nil"/>
              <w:right w:val="nil"/>
            </w:tcBorders>
            <w:shd w:val="clear" w:color="auto" w:fill="auto"/>
            <w:vAlign w:val="bottom"/>
          </w:tcPr>
          <w:p w:rsidR="00767532" w:rsidRPr="00C95991" w:rsidRDefault="00767532" w:rsidP="00767532">
            <w:pPr>
              <w:spacing w:after="0" w:line="240" w:lineRule="auto"/>
              <w:jc w:val="center"/>
              <w:rPr>
                <w:color w:val="000000"/>
              </w:rPr>
            </w:pPr>
            <w:r w:rsidRPr="00C95991">
              <w:rPr>
                <w:color w:val="000000"/>
              </w:rPr>
              <w:t>11.38</w:t>
            </w:r>
          </w:p>
        </w:tc>
      </w:tr>
      <w:tr w:rsidR="00767532" w:rsidRPr="00967402" w:rsidTr="00767532">
        <w:tc>
          <w:tcPr>
            <w:tcW w:w="534" w:type="dxa"/>
            <w:tcBorders>
              <w:top w:val="nil"/>
              <w:left w:val="nil"/>
              <w:bottom w:val="nil"/>
              <w:right w:val="nil"/>
            </w:tcBorders>
            <w:vAlign w:val="bottom"/>
          </w:tcPr>
          <w:p w:rsidR="00767532" w:rsidRPr="008C4DAC" w:rsidRDefault="00767532" w:rsidP="00767532">
            <w:pPr>
              <w:spacing w:after="0" w:line="240" w:lineRule="auto"/>
              <w:jc w:val="center"/>
              <w:rPr>
                <w:color w:val="000000"/>
              </w:rPr>
            </w:pPr>
            <w:r w:rsidRPr="008C4DAC">
              <w:rPr>
                <w:color w:val="000000"/>
              </w:rPr>
              <w:t>1</w:t>
            </w:r>
          </w:p>
        </w:tc>
        <w:tc>
          <w:tcPr>
            <w:tcW w:w="1842" w:type="dxa"/>
            <w:gridSpan w:val="2"/>
            <w:tcBorders>
              <w:top w:val="nil"/>
              <w:left w:val="nil"/>
              <w:bottom w:val="nil"/>
              <w:right w:val="nil"/>
            </w:tcBorders>
          </w:tcPr>
          <w:p w:rsidR="00767532" w:rsidRPr="00C32A71" w:rsidRDefault="00767532" w:rsidP="00767532">
            <w:pPr>
              <w:spacing w:after="0" w:line="240" w:lineRule="auto"/>
            </w:pPr>
            <w:r>
              <w:t>Windra V</w:t>
            </w:r>
            <w:r w:rsidRPr="00C32A71">
              <w:t>ale</w:t>
            </w:r>
          </w:p>
        </w:tc>
        <w:tc>
          <w:tcPr>
            <w:tcW w:w="1418" w:type="dxa"/>
            <w:tcBorders>
              <w:top w:val="nil"/>
              <w:left w:val="nil"/>
              <w:bottom w:val="nil"/>
              <w:right w:val="nil"/>
            </w:tcBorders>
            <w:shd w:val="clear" w:color="auto" w:fill="auto"/>
          </w:tcPr>
          <w:p w:rsidR="00767532" w:rsidRPr="00C95991" w:rsidRDefault="00767532" w:rsidP="00767532">
            <w:pPr>
              <w:spacing w:after="0" w:line="240" w:lineRule="auto"/>
              <w:jc w:val="center"/>
            </w:pPr>
            <w:r w:rsidRPr="00C95991">
              <w:rPr>
                <w:color w:val="000000"/>
              </w:rPr>
              <w:t>240</w:t>
            </w:r>
          </w:p>
        </w:tc>
        <w:tc>
          <w:tcPr>
            <w:tcW w:w="1417" w:type="dxa"/>
            <w:tcBorders>
              <w:top w:val="nil"/>
              <w:left w:val="nil"/>
              <w:bottom w:val="nil"/>
              <w:right w:val="nil"/>
            </w:tcBorders>
            <w:shd w:val="clear" w:color="auto" w:fill="auto"/>
            <w:vAlign w:val="bottom"/>
          </w:tcPr>
          <w:p w:rsidR="00767532" w:rsidRPr="00C95991" w:rsidRDefault="00767532" w:rsidP="00767532">
            <w:pPr>
              <w:spacing w:after="0" w:line="240" w:lineRule="auto"/>
              <w:jc w:val="center"/>
              <w:rPr>
                <w:color w:val="000000"/>
              </w:rPr>
            </w:pPr>
            <w:r w:rsidRPr="00C95991">
              <w:rPr>
                <w:color w:val="000000"/>
              </w:rPr>
              <w:t>86811</w:t>
            </w:r>
          </w:p>
        </w:tc>
        <w:tc>
          <w:tcPr>
            <w:tcW w:w="1134" w:type="dxa"/>
            <w:tcBorders>
              <w:top w:val="nil"/>
              <w:left w:val="nil"/>
              <w:bottom w:val="nil"/>
              <w:right w:val="nil"/>
            </w:tcBorders>
            <w:shd w:val="clear" w:color="auto" w:fill="auto"/>
            <w:vAlign w:val="bottom"/>
          </w:tcPr>
          <w:p w:rsidR="00767532" w:rsidRPr="00C95991" w:rsidRDefault="00767532" w:rsidP="00767532">
            <w:pPr>
              <w:spacing w:after="0" w:line="240" w:lineRule="auto"/>
              <w:jc w:val="center"/>
              <w:rPr>
                <w:color w:val="000000"/>
              </w:rPr>
            </w:pPr>
            <w:r w:rsidRPr="00C95991">
              <w:rPr>
                <w:color w:val="000000"/>
              </w:rPr>
              <w:t>500</w:t>
            </w:r>
          </w:p>
        </w:tc>
        <w:tc>
          <w:tcPr>
            <w:tcW w:w="1701" w:type="dxa"/>
            <w:tcBorders>
              <w:top w:val="nil"/>
              <w:left w:val="nil"/>
              <w:bottom w:val="nil"/>
              <w:right w:val="nil"/>
            </w:tcBorders>
            <w:shd w:val="clear" w:color="auto" w:fill="auto"/>
            <w:vAlign w:val="bottom"/>
          </w:tcPr>
          <w:p w:rsidR="00767532" w:rsidRPr="00C95991" w:rsidRDefault="00767532" w:rsidP="00767532">
            <w:pPr>
              <w:spacing w:after="0" w:line="240" w:lineRule="auto"/>
              <w:jc w:val="center"/>
              <w:rPr>
                <w:color w:val="000000"/>
              </w:rPr>
            </w:pPr>
            <w:r w:rsidRPr="00C95991">
              <w:rPr>
                <w:color w:val="000000"/>
              </w:rPr>
              <w:t>113,912</w:t>
            </w:r>
          </w:p>
        </w:tc>
        <w:tc>
          <w:tcPr>
            <w:tcW w:w="1276" w:type="dxa"/>
            <w:tcBorders>
              <w:top w:val="nil"/>
              <w:left w:val="nil"/>
              <w:bottom w:val="nil"/>
              <w:right w:val="nil"/>
            </w:tcBorders>
            <w:shd w:val="clear" w:color="auto" w:fill="auto"/>
            <w:vAlign w:val="bottom"/>
          </w:tcPr>
          <w:p w:rsidR="00767532" w:rsidRPr="00C95991" w:rsidRDefault="00767532" w:rsidP="00767532">
            <w:pPr>
              <w:spacing w:after="0" w:line="240" w:lineRule="auto"/>
              <w:jc w:val="center"/>
              <w:rPr>
                <w:color w:val="000000"/>
              </w:rPr>
            </w:pPr>
            <w:r w:rsidRPr="00C95991">
              <w:rPr>
                <w:color w:val="000000"/>
              </w:rPr>
              <w:t>31.22</w:t>
            </w:r>
          </w:p>
        </w:tc>
      </w:tr>
      <w:tr w:rsidR="00767532" w:rsidRPr="00967402" w:rsidTr="00767532">
        <w:tc>
          <w:tcPr>
            <w:tcW w:w="534" w:type="dxa"/>
            <w:tcBorders>
              <w:top w:val="nil"/>
              <w:left w:val="nil"/>
              <w:bottom w:val="nil"/>
              <w:right w:val="nil"/>
            </w:tcBorders>
            <w:vAlign w:val="bottom"/>
          </w:tcPr>
          <w:p w:rsidR="00767532" w:rsidRPr="008C4DAC" w:rsidRDefault="00767532" w:rsidP="00767532">
            <w:pPr>
              <w:spacing w:after="0" w:line="240" w:lineRule="auto"/>
              <w:jc w:val="center"/>
              <w:rPr>
                <w:color w:val="000000"/>
              </w:rPr>
            </w:pPr>
            <w:r w:rsidRPr="008C4DAC">
              <w:rPr>
                <w:color w:val="000000"/>
              </w:rPr>
              <w:t>2</w:t>
            </w:r>
          </w:p>
        </w:tc>
        <w:tc>
          <w:tcPr>
            <w:tcW w:w="1842" w:type="dxa"/>
            <w:gridSpan w:val="2"/>
            <w:tcBorders>
              <w:top w:val="nil"/>
              <w:left w:val="nil"/>
              <w:bottom w:val="nil"/>
              <w:right w:val="nil"/>
            </w:tcBorders>
          </w:tcPr>
          <w:p w:rsidR="00767532" w:rsidRPr="00C32A71" w:rsidRDefault="00767532" w:rsidP="00767532">
            <w:pPr>
              <w:spacing w:after="0" w:line="240" w:lineRule="auto"/>
            </w:pPr>
            <w:r w:rsidRPr="00C32A71">
              <w:t>Yaloke</w:t>
            </w:r>
          </w:p>
        </w:tc>
        <w:tc>
          <w:tcPr>
            <w:tcW w:w="1418" w:type="dxa"/>
            <w:tcBorders>
              <w:top w:val="nil"/>
              <w:left w:val="nil"/>
              <w:bottom w:val="nil"/>
              <w:right w:val="nil"/>
            </w:tcBorders>
            <w:vAlign w:val="bottom"/>
          </w:tcPr>
          <w:p w:rsidR="00767532" w:rsidRPr="008C4DAC" w:rsidRDefault="00767532" w:rsidP="00767532">
            <w:pPr>
              <w:spacing w:after="0" w:line="240" w:lineRule="auto"/>
              <w:jc w:val="center"/>
              <w:rPr>
                <w:color w:val="000000"/>
              </w:rPr>
            </w:pPr>
            <w:r w:rsidRPr="008C4DAC">
              <w:rPr>
                <w:color w:val="000000"/>
              </w:rPr>
              <w:t>50</w:t>
            </w:r>
          </w:p>
        </w:tc>
        <w:tc>
          <w:tcPr>
            <w:tcW w:w="1417" w:type="dxa"/>
            <w:tcBorders>
              <w:top w:val="nil"/>
              <w:left w:val="nil"/>
              <w:bottom w:val="nil"/>
              <w:right w:val="nil"/>
            </w:tcBorders>
            <w:vAlign w:val="bottom"/>
          </w:tcPr>
          <w:p w:rsidR="00767532" w:rsidRPr="008C4DAC" w:rsidRDefault="00767532" w:rsidP="00767532">
            <w:pPr>
              <w:spacing w:after="0" w:line="240" w:lineRule="auto"/>
              <w:jc w:val="center"/>
              <w:rPr>
                <w:color w:val="000000"/>
              </w:rPr>
            </w:pPr>
            <w:r w:rsidRPr="008C4DAC">
              <w:rPr>
                <w:color w:val="000000"/>
              </w:rPr>
              <w:t>94,553</w:t>
            </w:r>
          </w:p>
        </w:tc>
        <w:tc>
          <w:tcPr>
            <w:tcW w:w="11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Pr>
                <w:color w:val="000000"/>
              </w:rPr>
              <w:t>N/A</w:t>
            </w:r>
          </w:p>
        </w:tc>
        <w:tc>
          <w:tcPr>
            <w:tcW w:w="1701"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Pr>
                <w:color w:val="000000"/>
              </w:rPr>
              <w:t>N/A</w:t>
            </w:r>
          </w:p>
        </w:tc>
        <w:tc>
          <w:tcPr>
            <w:tcW w:w="1276"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Pr>
                <w:color w:val="000000"/>
              </w:rPr>
              <w:t>N/A</w:t>
            </w:r>
          </w:p>
        </w:tc>
      </w:tr>
      <w:tr w:rsidR="00767532" w:rsidRPr="00967402" w:rsidTr="00767532">
        <w:tc>
          <w:tcPr>
            <w:tcW w:w="534" w:type="dxa"/>
            <w:tcBorders>
              <w:top w:val="nil"/>
              <w:left w:val="nil"/>
              <w:bottom w:val="nil"/>
              <w:right w:val="nil"/>
            </w:tcBorders>
            <w:vAlign w:val="bottom"/>
          </w:tcPr>
          <w:p w:rsidR="00767532" w:rsidRPr="008C4DAC" w:rsidRDefault="00767532" w:rsidP="00767532">
            <w:pPr>
              <w:spacing w:after="0" w:line="240" w:lineRule="auto"/>
              <w:jc w:val="center"/>
              <w:rPr>
                <w:color w:val="000000"/>
              </w:rPr>
            </w:pPr>
            <w:r w:rsidRPr="008C4DAC">
              <w:rPr>
                <w:color w:val="000000"/>
              </w:rPr>
              <w:t>2</w:t>
            </w:r>
          </w:p>
        </w:tc>
        <w:tc>
          <w:tcPr>
            <w:tcW w:w="1842" w:type="dxa"/>
            <w:gridSpan w:val="2"/>
            <w:tcBorders>
              <w:top w:val="nil"/>
              <w:left w:val="nil"/>
              <w:bottom w:val="nil"/>
              <w:right w:val="nil"/>
            </w:tcBorders>
          </w:tcPr>
          <w:p w:rsidR="00767532" w:rsidRPr="00C32A71" w:rsidRDefault="00767532" w:rsidP="00767532">
            <w:pPr>
              <w:spacing w:after="0" w:line="240" w:lineRule="auto"/>
            </w:pPr>
            <w:r w:rsidRPr="00C32A71">
              <w:t>Carmarthon</w:t>
            </w:r>
          </w:p>
        </w:tc>
        <w:tc>
          <w:tcPr>
            <w:tcW w:w="1418" w:type="dxa"/>
            <w:tcBorders>
              <w:top w:val="nil"/>
              <w:left w:val="nil"/>
              <w:bottom w:val="nil"/>
              <w:right w:val="nil"/>
            </w:tcBorders>
            <w:vAlign w:val="bottom"/>
          </w:tcPr>
          <w:p w:rsidR="00767532" w:rsidRPr="008C4DAC" w:rsidRDefault="00767532" w:rsidP="00767532">
            <w:pPr>
              <w:spacing w:after="0" w:line="240" w:lineRule="auto"/>
              <w:jc w:val="center"/>
              <w:rPr>
                <w:color w:val="000000"/>
              </w:rPr>
            </w:pPr>
            <w:r w:rsidRPr="008C4DAC">
              <w:rPr>
                <w:color w:val="000000"/>
              </w:rPr>
              <w:t>50</w:t>
            </w:r>
          </w:p>
        </w:tc>
        <w:tc>
          <w:tcPr>
            <w:tcW w:w="1417" w:type="dxa"/>
            <w:tcBorders>
              <w:top w:val="nil"/>
              <w:left w:val="nil"/>
              <w:bottom w:val="nil"/>
              <w:right w:val="nil"/>
            </w:tcBorders>
            <w:vAlign w:val="bottom"/>
          </w:tcPr>
          <w:p w:rsidR="00767532" w:rsidRPr="008C4DAC" w:rsidRDefault="00767532" w:rsidP="00767532">
            <w:pPr>
              <w:spacing w:after="0" w:line="240" w:lineRule="auto"/>
              <w:jc w:val="center"/>
              <w:rPr>
                <w:color w:val="000000"/>
              </w:rPr>
            </w:pPr>
            <w:r w:rsidRPr="008C4DAC">
              <w:rPr>
                <w:color w:val="000000"/>
              </w:rPr>
              <w:t>87,958</w:t>
            </w:r>
          </w:p>
        </w:tc>
        <w:tc>
          <w:tcPr>
            <w:tcW w:w="11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Pr>
                <w:color w:val="000000"/>
              </w:rPr>
              <w:t>N/A</w:t>
            </w:r>
          </w:p>
        </w:tc>
        <w:tc>
          <w:tcPr>
            <w:tcW w:w="1701"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Pr>
                <w:color w:val="000000"/>
              </w:rPr>
              <w:t>N/A</w:t>
            </w:r>
          </w:p>
        </w:tc>
        <w:tc>
          <w:tcPr>
            <w:tcW w:w="1276"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Pr>
                <w:color w:val="000000"/>
              </w:rPr>
              <w:t>N/A</w:t>
            </w:r>
          </w:p>
        </w:tc>
      </w:tr>
      <w:tr w:rsidR="00767532" w:rsidRPr="00967402" w:rsidTr="00767532">
        <w:tc>
          <w:tcPr>
            <w:tcW w:w="534" w:type="dxa"/>
            <w:tcBorders>
              <w:top w:val="nil"/>
              <w:left w:val="nil"/>
              <w:bottom w:val="nil"/>
              <w:right w:val="nil"/>
            </w:tcBorders>
            <w:vAlign w:val="bottom"/>
          </w:tcPr>
          <w:p w:rsidR="00767532" w:rsidRPr="008C4DAC" w:rsidRDefault="00767532" w:rsidP="00767532">
            <w:pPr>
              <w:spacing w:after="0" w:line="240" w:lineRule="auto"/>
              <w:jc w:val="center"/>
              <w:rPr>
                <w:color w:val="000000"/>
              </w:rPr>
            </w:pPr>
            <w:r w:rsidRPr="008C4DAC">
              <w:rPr>
                <w:color w:val="000000"/>
              </w:rPr>
              <w:t>2</w:t>
            </w:r>
          </w:p>
        </w:tc>
        <w:tc>
          <w:tcPr>
            <w:tcW w:w="1842" w:type="dxa"/>
            <w:gridSpan w:val="2"/>
            <w:tcBorders>
              <w:top w:val="nil"/>
              <w:left w:val="nil"/>
              <w:bottom w:val="nil"/>
              <w:right w:val="nil"/>
            </w:tcBorders>
          </w:tcPr>
          <w:p w:rsidR="00767532" w:rsidRPr="00C32A71" w:rsidRDefault="00767532" w:rsidP="00767532">
            <w:pPr>
              <w:spacing w:after="0" w:line="240" w:lineRule="auto"/>
            </w:pPr>
            <w:r w:rsidRPr="00C32A71">
              <w:t>Emu Park</w:t>
            </w:r>
          </w:p>
        </w:tc>
        <w:tc>
          <w:tcPr>
            <w:tcW w:w="1418" w:type="dxa"/>
            <w:tcBorders>
              <w:top w:val="nil"/>
              <w:left w:val="nil"/>
              <w:bottom w:val="nil"/>
              <w:right w:val="nil"/>
            </w:tcBorders>
            <w:vAlign w:val="bottom"/>
          </w:tcPr>
          <w:p w:rsidR="00767532" w:rsidRPr="008C4DAC" w:rsidRDefault="00767532" w:rsidP="00767532">
            <w:pPr>
              <w:spacing w:after="0" w:line="240" w:lineRule="auto"/>
              <w:jc w:val="center"/>
              <w:rPr>
                <w:color w:val="000000"/>
              </w:rPr>
            </w:pPr>
            <w:r w:rsidRPr="008C4DAC">
              <w:rPr>
                <w:color w:val="000000"/>
              </w:rPr>
              <w:t>50</w:t>
            </w:r>
          </w:p>
        </w:tc>
        <w:tc>
          <w:tcPr>
            <w:tcW w:w="1417" w:type="dxa"/>
            <w:tcBorders>
              <w:top w:val="nil"/>
              <w:left w:val="nil"/>
              <w:bottom w:val="nil"/>
              <w:right w:val="nil"/>
            </w:tcBorders>
            <w:vAlign w:val="bottom"/>
          </w:tcPr>
          <w:p w:rsidR="00767532" w:rsidRPr="008C4DAC" w:rsidRDefault="00767532" w:rsidP="00767532">
            <w:pPr>
              <w:spacing w:after="0" w:line="240" w:lineRule="auto"/>
              <w:jc w:val="center"/>
              <w:rPr>
                <w:color w:val="000000"/>
              </w:rPr>
            </w:pPr>
            <w:r w:rsidRPr="008C4DAC">
              <w:rPr>
                <w:color w:val="000000"/>
              </w:rPr>
              <w:t>86,614</w:t>
            </w:r>
          </w:p>
        </w:tc>
        <w:tc>
          <w:tcPr>
            <w:tcW w:w="11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Pr>
                <w:color w:val="000000"/>
              </w:rPr>
              <w:t>N/A</w:t>
            </w:r>
          </w:p>
        </w:tc>
        <w:tc>
          <w:tcPr>
            <w:tcW w:w="1701"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Pr>
                <w:color w:val="000000"/>
              </w:rPr>
              <w:t>N/A</w:t>
            </w:r>
          </w:p>
        </w:tc>
        <w:tc>
          <w:tcPr>
            <w:tcW w:w="1276"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Pr>
                <w:color w:val="000000"/>
              </w:rPr>
              <w:t>N/A</w:t>
            </w:r>
          </w:p>
        </w:tc>
      </w:tr>
      <w:tr w:rsidR="00767532" w:rsidRPr="00967402" w:rsidTr="00767532">
        <w:tc>
          <w:tcPr>
            <w:tcW w:w="534" w:type="dxa"/>
            <w:tcBorders>
              <w:top w:val="nil"/>
              <w:left w:val="nil"/>
              <w:bottom w:val="nil"/>
              <w:right w:val="nil"/>
            </w:tcBorders>
            <w:vAlign w:val="bottom"/>
          </w:tcPr>
          <w:p w:rsidR="00767532" w:rsidRPr="008C4DAC" w:rsidRDefault="00767532" w:rsidP="00767532">
            <w:pPr>
              <w:spacing w:after="0" w:line="240" w:lineRule="auto"/>
              <w:jc w:val="center"/>
              <w:rPr>
                <w:color w:val="000000"/>
              </w:rPr>
            </w:pPr>
            <w:r w:rsidRPr="008C4DAC">
              <w:rPr>
                <w:color w:val="000000"/>
              </w:rPr>
              <w:t>2</w:t>
            </w:r>
          </w:p>
        </w:tc>
        <w:tc>
          <w:tcPr>
            <w:tcW w:w="1842" w:type="dxa"/>
            <w:gridSpan w:val="2"/>
            <w:tcBorders>
              <w:top w:val="nil"/>
              <w:left w:val="nil"/>
              <w:bottom w:val="nil"/>
              <w:right w:val="nil"/>
            </w:tcBorders>
          </w:tcPr>
          <w:p w:rsidR="00767532" w:rsidRPr="00C32A71" w:rsidRDefault="00767532" w:rsidP="00767532">
            <w:pPr>
              <w:spacing w:after="0" w:line="240" w:lineRule="auto"/>
            </w:pPr>
            <w:r w:rsidRPr="00C32A71">
              <w:t>Widgee 1</w:t>
            </w:r>
          </w:p>
        </w:tc>
        <w:tc>
          <w:tcPr>
            <w:tcW w:w="1418" w:type="dxa"/>
            <w:tcBorders>
              <w:top w:val="nil"/>
              <w:left w:val="nil"/>
              <w:bottom w:val="nil"/>
              <w:right w:val="nil"/>
            </w:tcBorders>
            <w:vAlign w:val="bottom"/>
          </w:tcPr>
          <w:p w:rsidR="00767532" w:rsidRPr="008C4DAC" w:rsidRDefault="00767532" w:rsidP="00767532">
            <w:pPr>
              <w:spacing w:after="0" w:line="240" w:lineRule="auto"/>
              <w:jc w:val="center"/>
              <w:rPr>
                <w:color w:val="000000"/>
              </w:rPr>
            </w:pPr>
            <w:r w:rsidRPr="008C4DAC">
              <w:rPr>
                <w:color w:val="000000"/>
              </w:rPr>
              <w:t>50</w:t>
            </w:r>
          </w:p>
        </w:tc>
        <w:tc>
          <w:tcPr>
            <w:tcW w:w="1417" w:type="dxa"/>
            <w:tcBorders>
              <w:top w:val="nil"/>
              <w:left w:val="nil"/>
              <w:bottom w:val="nil"/>
              <w:right w:val="nil"/>
            </w:tcBorders>
            <w:vAlign w:val="bottom"/>
          </w:tcPr>
          <w:p w:rsidR="00767532" w:rsidRPr="008C4DAC" w:rsidRDefault="00767532" w:rsidP="00767532">
            <w:pPr>
              <w:spacing w:after="0" w:line="240" w:lineRule="auto"/>
              <w:jc w:val="center"/>
              <w:rPr>
                <w:color w:val="000000"/>
              </w:rPr>
            </w:pPr>
            <w:r>
              <w:rPr>
                <w:color w:val="000000"/>
              </w:rPr>
              <w:t>127,593</w:t>
            </w:r>
          </w:p>
        </w:tc>
        <w:tc>
          <w:tcPr>
            <w:tcW w:w="11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Pr>
                <w:color w:val="000000"/>
              </w:rPr>
              <w:t>N/A</w:t>
            </w:r>
          </w:p>
        </w:tc>
        <w:tc>
          <w:tcPr>
            <w:tcW w:w="1701"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Pr>
                <w:color w:val="000000"/>
              </w:rPr>
              <w:t>N/A</w:t>
            </w:r>
          </w:p>
        </w:tc>
        <w:tc>
          <w:tcPr>
            <w:tcW w:w="1276"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Pr>
                <w:color w:val="000000"/>
              </w:rPr>
              <w:t>N/A</w:t>
            </w:r>
          </w:p>
        </w:tc>
      </w:tr>
      <w:tr w:rsidR="00767532" w:rsidRPr="00967402" w:rsidTr="00767532">
        <w:tc>
          <w:tcPr>
            <w:tcW w:w="534" w:type="dxa"/>
            <w:tcBorders>
              <w:top w:val="nil"/>
              <w:left w:val="nil"/>
              <w:bottom w:val="nil"/>
              <w:right w:val="nil"/>
            </w:tcBorders>
            <w:vAlign w:val="bottom"/>
          </w:tcPr>
          <w:p w:rsidR="00767532" w:rsidRPr="008C4DAC" w:rsidRDefault="00767532" w:rsidP="00767532">
            <w:pPr>
              <w:spacing w:after="0" w:line="240" w:lineRule="auto"/>
              <w:jc w:val="center"/>
              <w:rPr>
                <w:color w:val="000000"/>
              </w:rPr>
            </w:pPr>
            <w:r w:rsidRPr="008C4DAC">
              <w:rPr>
                <w:color w:val="000000"/>
              </w:rPr>
              <w:t>2</w:t>
            </w:r>
          </w:p>
        </w:tc>
        <w:tc>
          <w:tcPr>
            <w:tcW w:w="1842" w:type="dxa"/>
            <w:gridSpan w:val="2"/>
            <w:tcBorders>
              <w:top w:val="nil"/>
              <w:left w:val="nil"/>
              <w:bottom w:val="nil"/>
              <w:right w:val="nil"/>
            </w:tcBorders>
          </w:tcPr>
          <w:p w:rsidR="00767532" w:rsidRPr="00C32A71" w:rsidRDefault="00767532" w:rsidP="00767532">
            <w:pPr>
              <w:spacing w:after="0" w:line="240" w:lineRule="auto"/>
            </w:pPr>
            <w:r w:rsidRPr="00C32A71">
              <w:t>Widgee 2</w:t>
            </w:r>
          </w:p>
        </w:tc>
        <w:tc>
          <w:tcPr>
            <w:tcW w:w="1418" w:type="dxa"/>
            <w:tcBorders>
              <w:top w:val="nil"/>
              <w:left w:val="nil"/>
              <w:bottom w:val="nil"/>
              <w:right w:val="nil"/>
            </w:tcBorders>
            <w:vAlign w:val="bottom"/>
          </w:tcPr>
          <w:p w:rsidR="00767532" w:rsidRPr="008C4DAC" w:rsidRDefault="00767532" w:rsidP="00767532">
            <w:pPr>
              <w:spacing w:after="0" w:line="240" w:lineRule="auto"/>
              <w:jc w:val="center"/>
              <w:rPr>
                <w:color w:val="000000"/>
              </w:rPr>
            </w:pPr>
            <w:r w:rsidRPr="008C4DAC">
              <w:rPr>
                <w:color w:val="000000"/>
              </w:rPr>
              <w:t>50</w:t>
            </w:r>
          </w:p>
        </w:tc>
        <w:tc>
          <w:tcPr>
            <w:tcW w:w="1417" w:type="dxa"/>
            <w:tcBorders>
              <w:top w:val="nil"/>
              <w:left w:val="nil"/>
              <w:bottom w:val="nil"/>
              <w:right w:val="nil"/>
            </w:tcBorders>
            <w:vAlign w:val="bottom"/>
          </w:tcPr>
          <w:p w:rsidR="00767532" w:rsidRPr="008C4DAC" w:rsidRDefault="00767532" w:rsidP="00767532">
            <w:pPr>
              <w:spacing w:after="0" w:line="240" w:lineRule="auto"/>
              <w:jc w:val="center"/>
              <w:rPr>
                <w:color w:val="000000"/>
              </w:rPr>
            </w:pPr>
            <w:r w:rsidRPr="008C4DAC">
              <w:rPr>
                <w:color w:val="000000"/>
              </w:rPr>
              <w:t>96,355</w:t>
            </w:r>
          </w:p>
        </w:tc>
        <w:tc>
          <w:tcPr>
            <w:tcW w:w="11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Pr>
                <w:color w:val="000000"/>
              </w:rPr>
              <w:t>N/A</w:t>
            </w:r>
          </w:p>
        </w:tc>
        <w:tc>
          <w:tcPr>
            <w:tcW w:w="1701"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Pr>
                <w:color w:val="000000"/>
              </w:rPr>
              <w:t>N/A</w:t>
            </w:r>
          </w:p>
        </w:tc>
        <w:tc>
          <w:tcPr>
            <w:tcW w:w="1276"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Pr>
                <w:color w:val="000000"/>
              </w:rPr>
              <w:t>N/A</w:t>
            </w:r>
          </w:p>
        </w:tc>
      </w:tr>
      <w:tr w:rsidR="00767532" w:rsidRPr="00967402" w:rsidTr="00767532">
        <w:tc>
          <w:tcPr>
            <w:tcW w:w="5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3</w:t>
            </w:r>
          </w:p>
        </w:tc>
        <w:tc>
          <w:tcPr>
            <w:tcW w:w="1842" w:type="dxa"/>
            <w:gridSpan w:val="2"/>
            <w:tcBorders>
              <w:top w:val="nil"/>
              <w:left w:val="nil"/>
              <w:bottom w:val="nil"/>
              <w:right w:val="nil"/>
            </w:tcBorders>
          </w:tcPr>
          <w:p w:rsidR="00767532" w:rsidRPr="00C32A71" w:rsidRDefault="00767532" w:rsidP="00767532">
            <w:pPr>
              <w:spacing w:after="0" w:line="240" w:lineRule="auto"/>
            </w:pPr>
            <w:r w:rsidRPr="00C32A71">
              <w:t>Tralee</w:t>
            </w:r>
          </w:p>
        </w:tc>
        <w:tc>
          <w:tcPr>
            <w:tcW w:w="1418"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170</w:t>
            </w:r>
          </w:p>
        </w:tc>
        <w:tc>
          <w:tcPr>
            <w:tcW w:w="1417"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173,343</w:t>
            </w:r>
          </w:p>
        </w:tc>
        <w:tc>
          <w:tcPr>
            <w:tcW w:w="11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500</w:t>
            </w:r>
          </w:p>
        </w:tc>
        <w:tc>
          <w:tcPr>
            <w:tcW w:w="1701"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203,564</w:t>
            </w:r>
          </w:p>
        </w:tc>
        <w:tc>
          <w:tcPr>
            <w:tcW w:w="1276"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17.43</w:t>
            </w:r>
          </w:p>
        </w:tc>
      </w:tr>
      <w:tr w:rsidR="00767532" w:rsidRPr="00967402" w:rsidTr="00767532">
        <w:tc>
          <w:tcPr>
            <w:tcW w:w="5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3</w:t>
            </w:r>
          </w:p>
        </w:tc>
        <w:tc>
          <w:tcPr>
            <w:tcW w:w="1842" w:type="dxa"/>
            <w:gridSpan w:val="2"/>
            <w:tcBorders>
              <w:top w:val="nil"/>
              <w:left w:val="nil"/>
              <w:bottom w:val="nil"/>
              <w:right w:val="nil"/>
            </w:tcBorders>
          </w:tcPr>
          <w:p w:rsidR="00767532" w:rsidRPr="00C32A71" w:rsidRDefault="00767532" w:rsidP="00767532">
            <w:pPr>
              <w:spacing w:after="0" w:line="240" w:lineRule="auto"/>
            </w:pPr>
            <w:r w:rsidRPr="00C32A71">
              <w:t>Cummins</w:t>
            </w:r>
          </w:p>
        </w:tc>
        <w:tc>
          <w:tcPr>
            <w:tcW w:w="1418"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170</w:t>
            </w:r>
          </w:p>
        </w:tc>
        <w:tc>
          <w:tcPr>
            <w:tcW w:w="1417"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145,099</w:t>
            </w:r>
          </w:p>
        </w:tc>
        <w:tc>
          <w:tcPr>
            <w:tcW w:w="11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500</w:t>
            </w:r>
          </w:p>
        </w:tc>
        <w:tc>
          <w:tcPr>
            <w:tcW w:w="1701"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160,884</w:t>
            </w:r>
          </w:p>
        </w:tc>
        <w:tc>
          <w:tcPr>
            <w:tcW w:w="1276"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10.88</w:t>
            </w:r>
          </w:p>
        </w:tc>
      </w:tr>
      <w:tr w:rsidR="00767532" w:rsidRPr="00967402" w:rsidTr="00767532">
        <w:tc>
          <w:tcPr>
            <w:tcW w:w="5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3</w:t>
            </w:r>
          </w:p>
        </w:tc>
        <w:tc>
          <w:tcPr>
            <w:tcW w:w="1842" w:type="dxa"/>
            <w:gridSpan w:val="2"/>
            <w:tcBorders>
              <w:top w:val="nil"/>
              <w:left w:val="nil"/>
              <w:bottom w:val="nil"/>
              <w:right w:val="nil"/>
            </w:tcBorders>
          </w:tcPr>
          <w:p w:rsidR="00767532" w:rsidRPr="00C32A71" w:rsidRDefault="00767532" w:rsidP="00767532">
            <w:pPr>
              <w:spacing w:after="0" w:line="240" w:lineRule="auto"/>
            </w:pPr>
            <w:r w:rsidRPr="00C32A71">
              <w:t>Ramley</w:t>
            </w:r>
          </w:p>
        </w:tc>
        <w:tc>
          <w:tcPr>
            <w:tcW w:w="1418"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170</w:t>
            </w:r>
          </w:p>
        </w:tc>
        <w:tc>
          <w:tcPr>
            <w:tcW w:w="1417"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120,924</w:t>
            </w:r>
          </w:p>
        </w:tc>
        <w:tc>
          <w:tcPr>
            <w:tcW w:w="11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500</w:t>
            </w:r>
          </w:p>
        </w:tc>
        <w:tc>
          <w:tcPr>
            <w:tcW w:w="1701"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139,757</w:t>
            </w:r>
          </w:p>
        </w:tc>
        <w:tc>
          <w:tcPr>
            <w:tcW w:w="1276"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15.57</w:t>
            </w:r>
          </w:p>
        </w:tc>
      </w:tr>
      <w:tr w:rsidR="00767532" w:rsidRPr="00967402" w:rsidTr="00767532">
        <w:tc>
          <w:tcPr>
            <w:tcW w:w="5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3</w:t>
            </w:r>
          </w:p>
        </w:tc>
        <w:tc>
          <w:tcPr>
            <w:tcW w:w="1842" w:type="dxa"/>
            <w:gridSpan w:val="2"/>
            <w:tcBorders>
              <w:top w:val="nil"/>
              <w:left w:val="nil"/>
              <w:bottom w:val="nil"/>
              <w:right w:val="nil"/>
            </w:tcBorders>
          </w:tcPr>
          <w:p w:rsidR="00767532" w:rsidRPr="00C32A71" w:rsidRDefault="00767532" w:rsidP="00767532">
            <w:pPr>
              <w:spacing w:after="0" w:line="240" w:lineRule="auto"/>
            </w:pPr>
            <w:r>
              <w:t>Llanos Par</w:t>
            </w:r>
            <w:r w:rsidRPr="00C32A71">
              <w:t>k</w:t>
            </w:r>
          </w:p>
        </w:tc>
        <w:tc>
          <w:tcPr>
            <w:tcW w:w="1418"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170</w:t>
            </w:r>
          </w:p>
        </w:tc>
        <w:tc>
          <w:tcPr>
            <w:tcW w:w="1417"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126,088</w:t>
            </w:r>
          </w:p>
        </w:tc>
        <w:tc>
          <w:tcPr>
            <w:tcW w:w="11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500</w:t>
            </w:r>
          </w:p>
        </w:tc>
        <w:tc>
          <w:tcPr>
            <w:tcW w:w="1701"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143,580</w:t>
            </w:r>
          </w:p>
        </w:tc>
        <w:tc>
          <w:tcPr>
            <w:tcW w:w="1276"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13.87</w:t>
            </w:r>
          </w:p>
        </w:tc>
      </w:tr>
      <w:tr w:rsidR="00767532" w:rsidRPr="00967402" w:rsidTr="00767532">
        <w:tc>
          <w:tcPr>
            <w:tcW w:w="5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4</w:t>
            </w:r>
          </w:p>
        </w:tc>
        <w:tc>
          <w:tcPr>
            <w:tcW w:w="1842" w:type="dxa"/>
            <w:gridSpan w:val="2"/>
            <w:tcBorders>
              <w:top w:val="nil"/>
              <w:left w:val="nil"/>
              <w:bottom w:val="nil"/>
              <w:right w:val="nil"/>
            </w:tcBorders>
          </w:tcPr>
          <w:p w:rsidR="00767532" w:rsidRPr="00C32A71" w:rsidRDefault="00767532" w:rsidP="00767532">
            <w:pPr>
              <w:spacing w:after="0" w:line="240" w:lineRule="auto"/>
            </w:pPr>
            <w:r w:rsidRPr="00C32A71">
              <w:t>Barham Rd Bridge</w:t>
            </w:r>
          </w:p>
        </w:tc>
        <w:tc>
          <w:tcPr>
            <w:tcW w:w="1418"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170</w:t>
            </w:r>
          </w:p>
        </w:tc>
        <w:tc>
          <w:tcPr>
            <w:tcW w:w="1417"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143,854</w:t>
            </w:r>
          </w:p>
        </w:tc>
        <w:tc>
          <w:tcPr>
            <w:tcW w:w="11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450</w:t>
            </w:r>
          </w:p>
        </w:tc>
        <w:tc>
          <w:tcPr>
            <w:tcW w:w="1701"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252,502</w:t>
            </w:r>
          </w:p>
        </w:tc>
        <w:tc>
          <w:tcPr>
            <w:tcW w:w="1276"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75.53</w:t>
            </w:r>
          </w:p>
        </w:tc>
      </w:tr>
      <w:tr w:rsidR="00767532" w:rsidRPr="00967402" w:rsidTr="00767532">
        <w:tc>
          <w:tcPr>
            <w:tcW w:w="5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4</w:t>
            </w:r>
          </w:p>
        </w:tc>
        <w:tc>
          <w:tcPr>
            <w:tcW w:w="1842" w:type="dxa"/>
            <w:gridSpan w:val="2"/>
            <w:tcBorders>
              <w:top w:val="nil"/>
              <w:left w:val="nil"/>
              <w:bottom w:val="nil"/>
              <w:right w:val="nil"/>
            </w:tcBorders>
          </w:tcPr>
          <w:p w:rsidR="00767532" w:rsidRPr="00C32A71" w:rsidRDefault="00767532" w:rsidP="00767532">
            <w:pPr>
              <w:spacing w:after="0" w:line="240" w:lineRule="auto"/>
            </w:pPr>
            <w:r w:rsidRPr="00C32A71">
              <w:t>Whymoul</w:t>
            </w:r>
          </w:p>
        </w:tc>
        <w:tc>
          <w:tcPr>
            <w:tcW w:w="1418"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170</w:t>
            </w:r>
          </w:p>
        </w:tc>
        <w:tc>
          <w:tcPr>
            <w:tcW w:w="1417"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161,121</w:t>
            </w:r>
          </w:p>
        </w:tc>
        <w:tc>
          <w:tcPr>
            <w:tcW w:w="11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450</w:t>
            </w:r>
          </w:p>
        </w:tc>
        <w:tc>
          <w:tcPr>
            <w:tcW w:w="1701"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179,224</w:t>
            </w:r>
          </w:p>
        </w:tc>
        <w:tc>
          <w:tcPr>
            <w:tcW w:w="1276"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11.24</w:t>
            </w:r>
          </w:p>
        </w:tc>
      </w:tr>
      <w:tr w:rsidR="00767532" w:rsidRPr="00967402" w:rsidTr="00767532">
        <w:tc>
          <w:tcPr>
            <w:tcW w:w="5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4</w:t>
            </w:r>
          </w:p>
        </w:tc>
        <w:tc>
          <w:tcPr>
            <w:tcW w:w="1842" w:type="dxa"/>
            <w:gridSpan w:val="2"/>
            <w:tcBorders>
              <w:top w:val="nil"/>
              <w:left w:val="nil"/>
              <w:bottom w:val="nil"/>
              <w:right w:val="nil"/>
            </w:tcBorders>
          </w:tcPr>
          <w:p w:rsidR="00767532" w:rsidRPr="00C32A71" w:rsidRDefault="00767532" w:rsidP="00767532">
            <w:pPr>
              <w:spacing w:after="0" w:line="240" w:lineRule="auto"/>
            </w:pPr>
            <w:r w:rsidRPr="00C32A71">
              <w:t>Yarranvale</w:t>
            </w:r>
          </w:p>
        </w:tc>
        <w:tc>
          <w:tcPr>
            <w:tcW w:w="1418"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170</w:t>
            </w:r>
          </w:p>
        </w:tc>
        <w:tc>
          <w:tcPr>
            <w:tcW w:w="1417"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160,039</w:t>
            </w:r>
          </w:p>
        </w:tc>
        <w:tc>
          <w:tcPr>
            <w:tcW w:w="11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450</w:t>
            </w:r>
          </w:p>
        </w:tc>
        <w:tc>
          <w:tcPr>
            <w:tcW w:w="1701"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179,521</w:t>
            </w:r>
          </w:p>
        </w:tc>
        <w:tc>
          <w:tcPr>
            <w:tcW w:w="1276"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12.17</w:t>
            </w:r>
          </w:p>
        </w:tc>
      </w:tr>
      <w:tr w:rsidR="00767532" w:rsidRPr="00967402" w:rsidTr="00767532">
        <w:tc>
          <w:tcPr>
            <w:tcW w:w="5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4</w:t>
            </w:r>
          </w:p>
        </w:tc>
        <w:tc>
          <w:tcPr>
            <w:tcW w:w="1842" w:type="dxa"/>
            <w:gridSpan w:val="2"/>
            <w:tcBorders>
              <w:top w:val="nil"/>
              <w:left w:val="nil"/>
              <w:bottom w:val="nil"/>
              <w:right w:val="nil"/>
            </w:tcBorders>
          </w:tcPr>
          <w:p w:rsidR="00767532" w:rsidRPr="00C32A71" w:rsidRDefault="00767532" w:rsidP="00767532">
            <w:pPr>
              <w:spacing w:after="0" w:line="240" w:lineRule="auto"/>
            </w:pPr>
            <w:r w:rsidRPr="00C32A71">
              <w:t>Noorong 1</w:t>
            </w:r>
          </w:p>
        </w:tc>
        <w:tc>
          <w:tcPr>
            <w:tcW w:w="1418"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170</w:t>
            </w:r>
          </w:p>
        </w:tc>
        <w:tc>
          <w:tcPr>
            <w:tcW w:w="1417"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122,110</w:t>
            </w:r>
          </w:p>
        </w:tc>
        <w:tc>
          <w:tcPr>
            <w:tcW w:w="1134"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450</w:t>
            </w:r>
          </w:p>
        </w:tc>
        <w:tc>
          <w:tcPr>
            <w:tcW w:w="1701"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132,603</w:t>
            </w:r>
          </w:p>
        </w:tc>
        <w:tc>
          <w:tcPr>
            <w:tcW w:w="1276" w:type="dxa"/>
            <w:tcBorders>
              <w:top w:val="nil"/>
              <w:left w:val="nil"/>
              <w:bottom w:val="nil"/>
              <w:right w:val="nil"/>
            </w:tcBorders>
            <w:vAlign w:val="bottom"/>
          </w:tcPr>
          <w:p w:rsidR="00767532" w:rsidRPr="00967402" w:rsidRDefault="00767532" w:rsidP="00767532">
            <w:pPr>
              <w:spacing w:after="0" w:line="240" w:lineRule="auto"/>
              <w:jc w:val="center"/>
              <w:rPr>
                <w:color w:val="000000"/>
              </w:rPr>
            </w:pPr>
            <w:r w:rsidRPr="00967402">
              <w:rPr>
                <w:color w:val="000000"/>
              </w:rPr>
              <w:t>8.59</w:t>
            </w:r>
          </w:p>
        </w:tc>
      </w:tr>
      <w:tr w:rsidR="00767532" w:rsidRPr="00967402" w:rsidTr="00767532">
        <w:tc>
          <w:tcPr>
            <w:tcW w:w="534" w:type="dxa"/>
            <w:tcBorders>
              <w:top w:val="nil"/>
              <w:left w:val="nil"/>
              <w:bottom w:val="single" w:sz="4" w:space="0" w:color="auto"/>
              <w:right w:val="nil"/>
            </w:tcBorders>
            <w:vAlign w:val="bottom"/>
          </w:tcPr>
          <w:p w:rsidR="00767532" w:rsidRPr="00967402" w:rsidRDefault="00767532" w:rsidP="00767532">
            <w:pPr>
              <w:spacing w:after="0" w:line="240" w:lineRule="auto"/>
              <w:jc w:val="center"/>
              <w:rPr>
                <w:color w:val="000000"/>
              </w:rPr>
            </w:pPr>
            <w:r w:rsidRPr="00967402">
              <w:rPr>
                <w:color w:val="000000"/>
              </w:rPr>
              <w:t>4</w:t>
            </w:r>
          </w:p>
        </w:tc>
        <w:tc>
          <w:tcPr>
            <w:tcW w:w="1842" w:type="dxa"/>
            <w:gridSpan w:val="2"/>
            <w:tcBorders>
              <w:top w:val="nil"/>
              <w:left w:val="nil"/>
              <w:bottom w:val="single" w:sz="4" w:space="0" w:color="auto"/>
              <w:right w:val="nil"/>
            </w:tcBorders>
          </w:tcPr>
          <w:p w:rsidR="00767532" w:rsidRPr="00C32A71" w:rsidRDefault="00767532" w:rsidP="00767532">
            <w:pPr>
              <w:spacing w:after="0" w:line="240" w:lineRule="auto"/>
            </w:pPr>
            <w:r>
              <w:t>Noorong 2</w:t>
            </w:r>
          </w:p>
        </w:tc>
        <w:tc>
          <w:tcPr>
            <w:tcW w:w="1418" w:type="dxa"/>
            <w:tcBorders>
              <w:top w:val="nil"/>
              <w:left w:val="nil"/>
              <w:bottom w:val="single" w:sz="4" w:space="0" w:color="auto"/>
              <w:right w:val="nil"/>
            </w:tcBorders>
            <w:vAlign w:val="bottom"/>
          </w:tcPr>
          <w:p w:rsidR="00767532" w:rsidRPr="00967402" w:rsidRDefault="00767532" w:rsidP="00767532">
            <w:pPr>
              <w:spacing w:after="0" w:line="240" w:lineRule="auto"/>
              <w:jc w:val="center"/>
              <w:rPr>
                <w:color w:val="000000"/>
              </w:rPr>
            </w:pPr>
            <w:r w:rsidRPr="00967402">
              <w:rPr>
                <w:color w:val="000000"/>
              </w:rPr>
              <w:t>170</w:t>
            </w:r>
          </w:p>
        </w:tc>
        <w:tc>
          <w:tcPr>
            <w:tcW w:w="1417" w:type="dxa"/>
            <w:tcBorders>
              <w:top w:val="nil"/>
              <w:left w:val="nil"/>
              <w:bottom w:val="single" w:sz="4" w:space="0" w:color="auto"/>
              <w:right w:val="nil"/>
            </w:tcBorders>
            <w:vAlign w:val="bottom"/>
          </w:tcPr>
          <w:p w:rsidR="00767532" w:rsidRPr="00967402" w:rsidRDefault="00767532" w:rsidP="00767532">
            <w:pPr>
              <w:spacing w:after="0" w:line="240" w:lineRule="auto"/>
              <w:jc w:val="center"/>
              <w:rPr>
                <w:color w:val="000000"/>
              </w:rPr>
            </w:pPr>
            <w:r w:rsidRPr="00967402">
              <w:rPr>
                <w:color w:val="000000"/>
              </w:rPr>
              <w:t>111,210</w:t>
            </w:r>
          </w:p>
        </w:tc>
        <w:tc>
          <w:tcPr>
            <w:tcW w:w="1134" w:type="dxa"/>
            <w:tcBorders>
              <w:top w:val="nil"/>
              <w:left w:val="nil"/>
              <w:bottom w:val="single" w:sz="4" w:space="0" w:color="auto"/>
              <w:right w:val="nil"/>
            </w:tcBorders>
            <w:vAlign w:val="bottom"/>
          </w:tcPr>
          <w:p w:rsidR="00767532" w:rsidRPr="00967402" w:rsidRDefault="00767532" w:rsidP="00767532">
            <w:pPr>
              <w:spacing w:after="0" w:line="240" w:lineRule="auto"/>
              <w:jc w:val="center"/>
              <w:rPr>
                <w:color w:val="000000"/>
              </w:rPr>
            </w:pPr>
            <w:r w:rsidRPr="00967402">
              <w:rPr>
                <w:color w:val="000000"/>
              </w:rPr>
              <w:t>450</w:t>
            </w:r>
          </w:p>
        </w:tc>
        <w:tc>
          <w:tcPr>
            <w:tcW w:w="1701" w:type="dxa"/>
            <w:tcBorders>
              <w:top w:val="nil"/>
              <w:left w:val="nil"/>
              <w:bottom w:val="single" w:sz="4" w:space="0" w:color="auto"/>
              <w:right w:val="nil"/>
            </w:tcBorders>
            <w:vAlign w:val="bottom"/>
          </w:tcPr>
          <w:p w:rsidR="00767532" w:rsidRPr="00967402" w:rsidRDefault="00767532" w:rsidP="00767532">
            <w:pPr>
              <w:spacing w:after="0" w:line="240" w:lineRule="auto"/>
              <w:jc w:val="center"/>
              <w:rPr>
                <w:color w:val="000000"/>
              </w:rPr>
            </w:pPr>
            <w:r w:rsidRPr="00967402">
              <w:rPr>
                <w:color w:val="000000"/>
              </w:rPr>
              <w:t>122,067</w:t>
            </w:r>
          </w:p>
        </w:tc>
        <w:tc>
          <w:tcPr>
            <w:tcW w:w="1276" w:type="dxa"/>
            <w:tcBorders>
              <w:top w:val="nil"/>
              <w:left w:val="nil"/>
              <w:bottom w:val="single" w:sz="4" w:space="0" w:color="auto"/>
              <w:right w:val="nil"/>
            </w:tcBorders>
            <w:vAlign w:val="bottom"/>
          </w:tcPr>
          <w:p w:rsidR="00767532" w:rsidRPr="00967402" w:rsidRDefault="00767532" w:rsidP="00767532">
            <w:pPr>
              <w:spacing w:after="0" w:line="240" w:lineRule="auto"/>
              <w:jc w:val="center"/>
              <w:rPr>
                <w:color w:val="000000"/>
              </w:rPr>
            </w:pPr>
            <w:r w:rsidRPr="00967402">
              <w:rPr>
                <w:color w:val="000000"/>
              </w:rPr>
              <w:t>9.76</w:t>
            </w:r>
          </w:p>
        </w:tc>
      </w:tr>
    </w:tbl>
    <w:p w:rsidR="00767532" w:rsidRDefault="00767532" w:rsidP="00767532">
      <w:pPr>
        <w:spacing w:after="0" w:line="240" w:lineRule="auto"/>
        <w:rPr>
          <w:szCs w:val="24"/>
        </w:rPr>
      </w:pPr>
      <w:r w:rsidRPr="00067F85">
        <w:rPr>
          <w:noProof/>
          <w:lang w:eastAsia="en-AU"/>
        </w:rPr>
        <w:drawing>
          <wp:inline distT="0" distB="0" distL="0" distR="0">
            <wp:extent cx="5724525" cy="2905125"/>
            <wp:effectExtent l="0" t="0" r="9525" b="952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4525" cy="2905125"/>
                    </a:xfrm>
                    <a:prstGeom prst="rect">
                      <a:avLst/>
                    </a:prstGeom>
                    <a:noFill/>
                    <a:ln>
                      <a:noFill/>
                    </a:ln>
                  </pic:spPr>
                </pic:pic>
              </a:graphicData>
            </a:graphic>
          </wp:inline>
        </w:drawing>
      </w:r>
    </w:p>
    <w:p w:rsidR="00767532" w:rsidRPr="00344044" w:rsidRDefault="00767532" w:rsidP="00767532">
      <w:pPr>
        <w:spacing w:after="120" w:line="240" w:lineRule="auto"/>
        <w:rPr>
          <w:rFonts w:eastAsia="Times New Roman"/>
          <w:color w:val="000000"/>
          <w:kern w:val="28"/>
          <w:sz w:val="20"/>
        </w:rPr>
      </w:pPr>
      <w:r>
        <w:rPr>
          <w:rFonts w:eastAsia="Times New Roman"/>
          <w:b/>
          <w:color w:val="000000"/>
          <w:kern w:val="28"/>
          <w:sz w:val="20"/>
        </w:rPr>
        <w:t>Figure</w:t>
      </w:r>
      <w:r w:rsidRPr="0097453F">
        <w:rPr>
          <w:rFonts w:eastAsia="Times New Roman"/>
          <w:b/>
          <w:color w:val="000000"/>
          <w:kern w:val="28"/>
          <w:sz w:val="20"/>
        </w:rPr>
        <w:t xml:space="preserve"> </w:t>
      </w:r>
      <w:r w:rsidR="00C844FE">
        <w:rPr>
          <w:rFonts w:eastAsia="Times New Roman"/>
          <w:b/>
          <w:color w:val="000000"/>
          <w:kern w:val="28"/>
          <w:sz w:val="20"/>
        </w:rPr>
        <w:t>5.1</w:t>
      </w:r>
      <w:r w:rsidRPr="0097453F">
        <w:rPr>
          <w:rFonts w:eastAsia="Times New Roman"/>
          <w:b/>
          <w:color w:val="000000"/>
          <w:kern w:val="28"/>
          <w:sz w:val="20"/>
        </w:rPr>
        <w:t xml:space="preserve">. </w:t>
      </w:r>
      <w:r w:rsidRPr="00344044">
        <w:rPr>
          <w:rFonts w:eastAsia="Times New Roman"/>
          <w:color w:val="000000"/>
          <w:kern w:val="28"/>
          <w:sz w:val="20"/>
        </w:rPr>
        <w:t>Wetted benthic area (m</w:t>
      </w:r>
      <w:r w:rsidRPr="00344044">
        <w:rPr>
          <w:rFonts w:eastAsia="Times New Roman"/>
          <w:color w:val="000000"/>
          <w:kern w:val="28"/>
          <w:sz w:val="20"/>
          <w:vertAlign w:val="superscript"/>
        </w:rPr>
        <w:t>2</w:t>
      </w:r>
      <w:r w:rsidRPr="00344044">
        <w:rPr>
          <w:rFonts w:eastAsia="Times New Roman"/>
          <w:color w:val="000000"/>
          <w:kern w:val="28"/>
          <w:sz w:val="20"/>
        </w:rPr>
        <w:t xml:space="preserve">) modelled for </w:t>
      </w:r>
      <w:r w:rsidR="009E4834">
        <w:rPr>
          <w:rFonts w:eastAsia="Times New Roman"/>
          <w:color w:val="000000"/>
          <w:kern w:val="28"/>
          <w:sz w:val="20"/>
        </w:rPr>
        <w:t>19</w:t>
      </w:r>
      <w:r w:rsidRPr="00344044">
        <w:rPr>
          <w:rFonts w:eastAsia="Times New Roman"/>
          <w:color w:val="000000"/>
          <w:kern w:val="28"/>
          <w:sz w:val="20"/>
        </w:rPr>
        <w:t xml:space="preserve"> reaches in the Edward-Wakool Selected Area under a) operational base flow and b) Commonwealth environmental watering in Yallakool Creek where discharge was increased to approximately 500 ML/d between</w:t>
      </w:r>
      <w:r w:rsidR="009E4834">
        <w:rPr>
          <w:rFonts w:eastAsia="Times New Roman"/>
          <w:color w:val="000000"/>
          <w:kern w:val="28"/>
          <w:sz w:val="20"/>
        </w:rPr>
        <w:t xml:space="preserve"> August 2014 and January 2015. Z</w:t>
      </w:r>
      <w:r w:rsidRPr="00344044">
        <w:rPr>
          <w:rFonts w:eastAsia="Times New Roman"/>
          <w:color w:val="000000"/>
          <w:kern w:val="28"/>
          <w:sz w:val="20"/>
        </w:rPr>
        <w:t>one 1 = Yallakool Creek</w:t>
      </w:r>
      <w:r w:rsidR="009F4D23">
        <w:rPr>
          <w:rFonts w:eastAsia="Times New Roman"/>
          <w:color w:val="000000"/>
          <w:kern w:val="28"/>
          <w:sz w:val="20"/>
        </w:rPr>
        <w:t>, zone 2 = upper Wakool River, z</w:t>
      </w:r>
      <w:r w:rsidRPr="00344044">
        <w:rPr>
          <w:rFonts w:eastAsia="Times New Roman"/>
          <w:color w:val="000000"/>
          <w:kern w:val="28"/>
          <w:sz w:val="20"/>
        </w:rPr>
        <w:t>one 3 = Wakool Riv</w:t>
      </w:r>
      <w:r w:rsidR="009F4D23">
        <w:rPr>
          <w:rFonts w:eastAsia="Times New Roman"/>
          <w:color w:val="000000"/>
          <w:kern w:val="28"/>
          <w:sz w:val="20"/>
        </w:rPr>
        <w:t>er upstream of Thule Creek and z</w:t>
      </w:r>
      <w:r w:rsidRPr="00344044">
        <w:rPr>
          <w:rFonts w:eastAsia="Times New Roman"/>
          <w:color w:val="000000"/>
          <w:kern w:val="28"/>
          <w:sz w:val="20"/>
        </w:rPr>
        <w:t>one 4 = Wakool River downstream of Thule Creek.</w:t>
      </w:r>
      <w:r>
        <w:rPr>
          <w:rFonts w:eastAsia="Times New Roman"/>
          <w:color w:val="000000"/>
          <w:kern w:val="28"/>
          <w:sz w:val="20"/>
        </w:rPr>
        <w:t xml:space="preserve"> Di</w:t>
      </w:r>
      <w:r w:rsidR="009E4834">
        <w:rPr>
          <w:rFonts w:eastAsia="Times New Roman"/>
          <w:color w:val="000000"/>
          <w:kern w:val="28"/>
          <w:sz w:val="20"/>
        </w:rPr>
        <w:t>s</w:t>
      </w:r>
      <w:r>
        <w:rPr>
          <w:rFonts w:eastAsia="Times New Roman"/>
          <w:color w:val="000000"/>
          <w:kern w:val="28"/>
          <w:sz w:val="20"/>
        </w:rPr>
        <w:t>charge levels for operational and environmental</w:t>
      </w:r>
      <w:r w:rsidR="00C844FE">
        <w:rPr>
          <w:rFonts w:eastAsia="Times New Roman"/>
          <w:color w:val="000000"/>
          <w:kern w:val="28"/>
          <w:sz w:val="20"/>
        </w:rPr>
        <w:t xml:space="preserve"> flows are provided in Table 5.2</w:t>
      </w:r>
      <w:r w:rsidR="009E4834">
        <w:rPr>
          <w:rFonts w:eastAsia="Times New Roman"/>
          <w:color w:val="000000"/>
          <w:kern w:val="28"/>
          <w:sz w:val="20"/>
        </w:rPr>
        <w:t>.</w:t>
      </w:r>
    </w:p>
    <w:p w:rsidR="000136AC" w:rsidRPr="000136AC" w:rsidRDefault="000136AC" w:rsidP="00767532">
      <w:pPr>
        <w:pStyle w:val="Default"/>
        <w:spacing w:before="120"/>
        <w:rPr>
          <w:rFonts w:asciiTheme="minorHAnsi" w:hAnsiTheme="minorHAnsi"/>
          <w:bCs/>
          <w:i/>
          <w:sz w:val="22"/>
          <w:szCs w:val="22"/>
        </w:rPr>
      </w:pPr>
    </w:p>
    <w:p w:rsidR="00767532" w:rsidRPr="000136AC" w:rsidRDefault="00767532" w:rsidP="00A11665">
      <w:pPr>
        <w:pStyle w:val="Default"/>
        <w:spacing w:after="240" w:line="276" w:lineRule="auto"/>
        <w:rPr>
          <w:rFonts w:asciiTheme="minorHAnsi" w:hAnsiTheme="minorHAnsi"/>
          <w:bCs/>
          <w:sz w:val="22"/>
          <w:szCs w:val="22"/>
        </w:rPr>
      </w:pPr>
      <w:r w:rsidRPr="000136AC">
        <w:rPr>
          <w:rFonts w:asciiTheme="minorHAnsi" w:hAnsiTheme="minorHAnsi"/>
          <w:bCs/>
          <w:i/>
          <w:sz w:val="22"/>
          <w:szCs w:val="22"/>
        </w:rPr>
        <w:t>Area of slackwater, slow water and fast water under operational flows</w:t>
      </w:r>
    </w:p>
    <w:p w:rsidR="00767532" w:rsidRPr="000136AC" w:rsidRDefault="00767532" w:rsidP="00A11665">
      <w:pPr>
        <w:pStyle w:val="Default"/>
        <w:spacing w:after="240" w:line="276" w:lineRule="auto"/>
        <w:rPr>
          <w:rFonts w:asciiTheme="minorHAnsi" w:hAnsiTheme="minorHAnsi"/>
          <w:bCs/>
          <w:sz w:val="22"/>
          <w:szCs w:val="22"/>
        </w:rPr>
      </w:pPr>
      <w:r w:rsidRPr="000136AC">
        <w:rPr>
          <w:rFonts w:asciiTheme="minorHAnsi" w:hAnsiTheme="minorHAnsi"/>
          <w:bCs/>
          <w:sz w:val="22"/>
          <w:szCs w:val="22"/>
        </w:rPr>
        <w:t>Under operational flows the area of slackwater ranged from 4,902 m</w:t>
      </w:r>
      <w:r w:rsidRPr="000136AC">
        <w:rPr>
          <w:rFonts w:asciiTheme="minorHAnsi" w:hAnsiTheme="minorHAnsi"/>
          <w:bCs/>
          <w:sz w:val="22"/>
          <w:szCs w:val="22"/>
          <w:vertAlign w:val="superscript"/>
        </w:rPr>
        <w:t>2</w:t>
      </w:r>
      <w:r w:rsidRPr="000136AC">
        <w:rPr>
          <w:rFonts w:asciiTheme="minorHAnsi" w:hAnsiTheme="minorHAnsi"/>
          <w:bCs/>
          <w:sz w:val="22"/>
          <w:szCs w:val="22"/>
        </w:rPr>
        <w:t xml:space="preserve"> at ‘Ramley’ to 49,976 m</w:t>
      </w:r>
      <w:r w:rsidRPr="000136AC">
        <w:rPr>
          <w:rFonts w:asciiTheme="minorHAnsi" w:hAnsiTheme="minorHAnsi"/>
          <w:bCs/>
          <w:sz w:val="22"/>
          <w:szCs w:val="22"/>
          <w:vertAlign w:val="superscript"/>
        </w:rPr>
        <w:t>2</w:t>
      </w:r>
      <w:r w:rsidR="00C844FE">
        <w:rPr>
          <w:rFonts w:asciiTheme="minorHAnsi" w:hAnsiTheme="minorHAnsi"/>
          <w:bCs/>
          <w:sz w:val="22"/>
          <w:szCs w:val="22"/>
        </w:rPr>
        <w:t xml:space="preserve"> at ‘Widgee1’ (Table 5.3</w:t>
      </w:r>
      <w:r w:rsidRPr="000136AC">
        <w:rPr>
          <w:rFonts w:asciiTheme="minorHAnsi" w:hAnsiTheme="minorHAnsi"/>
          <w:bCs/>
          <w:sz w:val="22"/>
          <w:szCs w:val="22"/>
        </w:rPr>
        <w:t>). The area of slackwater (&lt; 0.02 m.sec</w:t>
      </w:r>
      <w:r w:rsidRPr="000136AC">
        <w:rPr>
          <w:rFonts w:asciiTheme="minorHAnsi" w:hAnsiTheme="minorHAnsi"/>
          <w:bCs/>
          <w:sz w:val="22"/>
          <w:szCs w:val="22"/>
          <w:vertAlign w:val="superscript"/>
        </w:rPr>
        <w:t>-1</w:t>
      </w:r>
      <w:r w:rsidRPr="000136AC">
        <w:rPr>
          <w:rFonts w:asciiTheme="minorHAnsi" w:hAnsiTheme="minorHAnsi"/>
          <w:bCs/>
          <w:sz w:val="22"/>
          <w:szCs w:val="22"/>
        </w:rPr>
        <w:t xml:space="preserve">) varied considerably among reaches </w:t>
      </w:r>
      <w:r w:rsidR="00F066E5">
        <w:rPr>
          <w:rFonts w:asciiTheme="minorHAnsi" w:hAnsiTheme="minorHAnsi"/>
          <w:bCs/>
          <w:sz w:val="22"/>
          <w:szCs w:val="22"/>
        </w:rPr>
        <w:t>and</w:t>
      </w:r>
      <w:r w:rsidRPr="000136AC">
        <w:rPr>
          <w:rFonts w:asciiTheme="minorHAnsi" w:hAnsiTheme="minorHAnsi"/>
          <w:bCs/>
          <w:sz w:val="22"/>
          <w:szCs w:val="22"/>
        </w:rPr>
        <w:t xml:space="preserve"> was not significantly different among </w:t>
      </w:r>
      <w:r w:rsidR="00F066E5">
        <w:rPr>
          <w:rFonts w:asciiTheme="minorHAnsi" w:hAnsiTheme="minorHAnsi"/>
          <w:bCs/>
          <w:sz w:val="22"/>
          <w:szCs w:val="22"/>
        </w:rPr>
        <w:t>zones (</w:t>
      </w:r>
      <w:proofErr w:type="gramStart"/>
      <w:r w:rsidR="00F066E5">
        <w:rPr>
          <w:rFonts w:asciiTheme="minorHAnsi" w:hAnsiTheme="minorHAnsi"/>
          <w:bCs/>
          <w:sz w:val="22"/>
          <w:szCs w:val="22"/>
        </w:rPr>
        <w:t>df=</w:t>
      </w:r>
      <w:proofErr w:type="gramEnd"/>
      <w:r w:rsidR="00F066E5">
        <w:rPr>
          <w:rFonts w:asciiTheme="minorHAnsi" w:hAnsiTheme="minorHAnsi"/>
          <w:bCs/>
          <w:sz w:val="22"/>
          <w:szCs w:val="22"/>
        </w:rPr>
        <w:t>3, F=1.070, p=0.391).</w:t>
      </w:r>
    </w:p>
    <w:p w:rsidR="00767532" w:rsidRPr="000136AC" w:rsidRDefault="00767532" w:rsidP="00A11665">
      <w:pPr>
        <w:pStyle w:val="Default"/>
        <w:spacing w:after="240" w:line="276" w:lineRule="auto"/>
        <w:rPr>
          <w:rFonts w:asciiTheme="minorHAnsi" w:hAnsiTheme="minorHAnsi"/>
          <w:bCs/>
          <w:sz w:val="22"/>
          <w:szCs w:val="22"/>
        </w:rPr>
      </w:pPr>
      <w:r w:rsidRPr="000136AC">
        <w:rPr>
          <w:rFonts w:asciiTheme="minorHAnsi" w:hAnsiTheme="minorHAnsi"/>
          <w:bCs/>
          <w:sz w:val="22"/>
          <w:szCs w:val="22"/>
        </w:rPr>
        <w:t>At all reaches the majority of the wetted area under operational flows was slow water (0.02 to 0.3 m.sec</w:t>
      </w:r>
      <w:r w:rsidRPr="000136AC">
        <w:rPr>
          <w:rFonts w:asciiTheme="minorHAnsi" w:hAnsiTheme="minorHAnsi"/>
          <w:bCs/>
          <w:sz w:val="22"/>
          <w:szCs w:val="22"/>
          <w:vertAlign w:val="superscript"/>
        </w:rPr>
        <w:t>-1</w:t>
      </w:r>
      <w:proofErr w:type="gramStart"/>
      <w:r w:rsidRPr="000136AC">
        <w:rPr>
          <w:rFonts w:asciiTheme="minorHAnsi" w:hAnsiTheme="minorHAnsi"/>
          <w:bCs/>
          <w:sz w:val="22"/>
          <w:szCs w:val="22"/>
        </w:rPr>
        <w:t>)(</w:t>
      </w:r>
      <w:proofErr w:type="gramEnd"/>
      <w:r w:rsidRPr="000136AC">
        <w:rPr>
          <w:rFonts w:asciiTheme="minorHAnsi" w:hAnsiTheme="minorHAnsi"/>
          <w:bCs/>
          <w:sz w:val="22"/>
          <w:szCs w:val="22"/>
        </w:rPr>
        <w:t>Table 5.4). There was a significantly larger area of slow water in zones 3 and 4 than in zone 1 and 2 under operational flows (</w:t>
      </w:r>
      <w:proofErr w:type="gramStart"/>
      <w:r w:rsidRPr="000136AC">
        <w:rPr>
          <w:rFonts w:asciiTheme="minorHAnsi" w:hAnsiTheme="minorHAnsi"/>
          <w:bCs/>
          <w:sz w:val="22"/>
          <w:szCs w:val="22"/>
        </w:rPr>
        <w:t>df=</w:t>
      </w:r>
      <w:proofErr w:type="gramEnd"/>
      <w:r w:rsidRPr="000136AC">
        <w:rPr>
          <w:rFonts w:asciiTheme="minorHAnsi" w:hAnsiTheme="minorHAnsi"/>
          <w:bCs/>
          <w:sz w:val="22"/>
          <w:szCs w:val="22"/>
        </w:rPr>
        <w:t>3, F=16.215, p=0.000) and significantly larger area of fast flows in zone 1 under operational flows compared to zones 2, 3 and 4 (df=3, F=7.872, p=0.002).</w:t>
      </w:r>
    </w:p>
    <w:p w:rsidR="00767532" w:rsidRPr="000136AC" w:rsidRDefault="00767532" w:rsidP="00A11665">
      <w:pPr>
        <w:pStyle w:val="Default"/>
        <w:spacing w:after="240" w:line="276" w:lineRule="auto"/>
        <w:rPr>
          <w:rFonts w:asciiTheme="minorHAnsi" w:hAnsiTheme="minorHAnsi"/>
          <w:bCs/>
          <w:i/>
          <w:sz w:val="22"/>
          <w:szCs w:val="22"/>
        </w:rPr>
      </w:pPr>
      <w:r w:rsidRPr="000136AC">
        <w:rPr>
          <w:rFonts w:asciiTheme="minorHAnsi" w:hAnsiTheme="minorHAnsi"/>
          <w:bCs/>
          <w:i/>
          <w:sz w:val="22"/>
          <w:szCs w:val="22"/>
        </w:rPr>
        <w:t>Con</w:t>
      </w:r>
      <w:r w:rsidR="000F2AE2">
        <w:rPr>
          <w:rFonts w:asciiTheme="minorHAnsi" w:hAnsiTheme="minorHAnsi"/>
          <w:bCs/>
          <w:i/>
          <w:sz w:val="22"/>
          <w:szCs w:val="22"/>
        </w:rPr>
        <w:t>tribution of Yallakool Creek Commonwealth environmental water</w:t>
      </w:r>
      <w:r w:rsidRPr="000136AC">
        <w:rPr>
          <w:rFonts w:asciiTheme="minorHAnsi" w:hAnsiTheme="minorHAnsi"/>
          <w:bCs/>
          <w:i/>
          <w:sz w:val="22"/>
          <w:szCs w:val="22"/>
        </w:rPr>
        <w:t xml:space="preserve"> to area of slackwater, slow water and fast water</w:t>
      </w:r>
    </w:p>
    <w:p w:rsidR="00767532" w:rsidRPr="000136AC" w:rsidRDefault="00767532" w:rsidP="006241EC">
      <w:pPr>
        <w:pStyle w:val="Default"/>
        <w:spacing w:after="240" w:line="360" w:lineRule="auto"/>
        <w:rPr>
          <w:rFonts w:asciiTheme="minorHAnsi" w:hAnsiTheme="minorHAnsi"/>
          <w:bCs/>
          <w:sz w:val="22"/>
          <w:szCs w:val="22"/>
        </w:rPr>
      </w:pPr>
      <w:r w:rsidRPr="000136AC">
        <w:rPr>
          <w:rFonts w:asciiTheme="minorHAnsi" w:hAnsiTheme="minorHAnsi"/>
          <w:sz w:val="22"/>
          <w:szCs w:val="22"/>
        </w:rPr>
        <w:t>U</w:t>
      </w:r>
      <w:r w:rsidRPr="000136AC">
        <w:rPr>
          <w:rFonts w:asciiTheme="minorHAnsi" w:hAnsiTheme="minorHAnsi"/>
          <w:bCs/>
          <w:sz w:val="22"/>
          <w:szCs w:val="22"/>
        </w:rPr>
        <w:t>nder environmental watering the area of slackwater ranged from 2,654 m</w:t>
      </w:r>
      <w:r w:rsidRPr="000136AC">
        <w:rPr>
          <w:rFonts w:asciiTheme="minorHAnsi" w:hAnsiTheme="minorHAnsi"/>
          <w:bCs/>
          <w:sz w:val="22"/>
          <w:szCs w:val="22"/>
          <w:vertAlign w:val="superscript"/>
        </w:rPr>
        <w:t>2</w:t>
      </w:r>
      <w:r w:rsidRPr="000136AC">
        <w:rPr>
          <w:rFonts w:asciiTheme="minorHAnsi" w:hAnsiTheme="minorHAnsi"/>
          <w:bCs/>
          <w:sz w:val="22"/>
          <w:szCs w:val="22"/>
        </w:rPr>
        <w:t xml:space="preserve"> at ‘Llanos Park’ in zone 3 to 88,993 at ‘Barham Rd Bridge’ in zone 4 (Table 5.4).</w:t>
      </w:r>
      <w:r w:rsidRPr="000136AC">
        <w:rPr>
          <w:rFonts w:asciiTheme="minorHAnsi" w:hAnsiTheme="minorHAnsi"/>
          <w:sz w:val="22"/>
          <w:szCs w:val="22"/>
        </w:rPr>
        <w:t xml:space="preserve"> </w:t>
      </w:r>
      <w:r w:rsidR="005D4FC7" w:rsidRPr="000136AC">
        <w:rPr>
          <w:rFonts w:asciiTheme="minorHAnsi" w:hAnsiTheme="minorHAnsi"/>
          <w:sz w:val="22"/>
          <w:szCs w:val="22"/>
        </w:rPr>
        <w:t>There was a notable increase in area of slackwater (&lt; 0.02 ms</w:t>
      </w:r>
      <w:r w:rsidR="005D4FC7" w:rsidRPr="000136AC">
        <w:rPr>
          <w:rFonts w:asciiTheme="minorHAnsi" w:hAnsiTheme="minorHAnsi"/>
          <w:sz w:val="22"/>
          <w:szCs w:val="22"/>
          <w:vertAlign w:val="superscript"/>
        </w:rPr>
        <w:t>-1</w:t>
      </w:r>
      <w:r w:rsidR="005D4FC7" w:rsidRPr="000136AC">
        <w:rPr>
          <w:rFonts w:asciiTheme="minorHAnsi" w:hAnsiTheme="minorHAnsi"/>
          <w:sz w:val="22"/>
          <w:szCs w:val="22"/>
        </w:rPr>
        <w:t xml:space="preserve">) during the watering action at ‘Tralee’ (70% increase) and ‘Barham Rd Bridge’ (554% increase) (Table 5.4, Figure 5.5). </w:t>
      </w:r>
      <w:r w:rsidRPr="000136AC">
        <w:rPr>
          <w:rFonts w:asciiTheme="minorHAnsi" w:hAnsiTheme="minorHAnsi"/>
          <w:sz w:val="22"/>
          <w:szCs w:val="22"/>
        </w:rPr>
        <w:t>At a few sites there was a small loss in area of slackwater under the environmental watering scenario when compared to operational flows (Figure 5.5). For example, loss of slackwater ranged from as little as 115 m</w:t>
      </w:r>
      <w:r w:rsidRPr="000136AC">
        <w:rPr>
          <w:rFonts w:asciiTheme="minorHAnsi" w:hAnsiTheme="minorHAnsi"/>
          <w:sz w:val="22"/>
          <w:szCs w:val="22"/>
          <w:vertAlign w:val="superscript"/>
        </w:rPr>
        <w:t>2</w:t>
      </w:r>
      <w:r w:rsidRPr="000136AC">
        <w:rPr>
          <w:rFonts w:asciiTheme="minorHAnsi" w:hAnsiTheme="minorHAnsi"/>
          <w:sz w:val="22"/>
          <w:szCs w:val="22"/>
        </w:rPr>
        <w:t xml:space="preserve"> at Cumnock (Yallakool Creek) to loss of 3,323 m</w:t>
      </w:r>
      <w:r w:rsidRPr="000136AC">
        <w:rPr>
          <w:rFonts w:asciiTheme="minorHAnsi" w:hAnsiTheme="minorHAnsi"/>
          <w:sz w:val="22"/>
          <w:szCs w:val="22"/>
          <w:vertAlign w:val="superscript"/>
        </w:rPr>
        <w:t>2</w:t>
      </w:r>
      <w:r w:rsidRPr="000136AC">
        <w:rPr>
          <w:rFonts w:asciiTheme="minorHAnsi" w:hAnsiTheme="minorHAnsi"/>
          <w:sz w:val="22"/>
          <w:szCs w:val="22"/>
        </w:rPr>
        <w:t xml:space="preserve"> at Noorong 1 in zone 4. Due to the large variation in the area of slackwater among sites, it is not surprising there was no overall significant difference in the area of slackwater among zones under environmental watering (</w:t>
      </w:r>
      <w:proofErr w:type="gramStart"/>
      <w:r w:rsidRPr="000136AC">
        <w:rPr>
          <w:rFonts w:asciiTheme="minorHAnsi" w:hAnsiTheme="minorHAnsi"/>
          <w:sz w:val="22"/>
          <w:szCs w:val="22"/>
        </w:rPr>
        <w:t>df=</w:t>
      </w:r>
      <w:proofErr w:type="gramEnd"/>
      <w:r w:rsidRPr="000136AC">
        <w:rPr>
          <w:rFonts w:asciiTheme="minorHAnsi" w:hAnsiTheme="minorHAnsi"/>
          <w:sz w:val="22"/>
          <w:szCs w:val="22"/>
        </w:rPr>
        <w:t>2, F=1.108, p=0.365).</w:t>
      </w:r>
    </w:p>
    <w:p w:rsidR="00767532" w:rsidRDefault="00C844FE" w:rsidP="00767532">
      <w:pPr>
        <w:spacing w:after="120" w:line="240" w:lineRule="auto"/>
        <w:rPr>
          <w:rFonts w:eastAsia="Times New Roman"/>
          <w:b/>
          <w:color w:val="000000"/>
          <w:kern w:val="28"/>
          <w:sz w:val="20"/>
        </w:rPr>
      </w:pPr>
      <w:r>
        <w:rPr>
          <w:rFonts w:eastAsia="Times New Roman"/>
          <w:b/>
          <w:color w:val="000000"/>
          <w:kern w:val="28"/>
          <w:sz w:val="20"/>
        </w:rPr>
        <w:t>Table 5.3</w:t>
      </w:r>
      <w:r w:rsidR="00767532" w:rsidRPr="0097453F">
        <w:rPr>
          <w:rFonts w:eastAsia="Times New Roman"/>
          <w:b/>
          <w:color w:val="000000"/>
          <w:kern w:val="28"/>
          <w:sz w:val="20"/>
        </w:rPr>
        <w:t xml:space="preserve">. </w:t>
      </w:r>
      <w:r w:rsidR="00767532" w:rsidRPr="00344044">
        <w:rPr>
          <w:rFonts w:eastAsia="Times New Roman"/>
          <w:color w:val="000000"/>
          <w:kern w:val="28"/>
          <w:sz w:val="20"/>
        </w:rPr>
        <w:t>Area of wetted benthic area (m</w:t>
      </w:r>
      <w:r w:rsidR="00767532" w:rsidRPr="00344044">
        <w:rPr>
          <w:rFonts w:eastAsia="Times New Roman"/>
          <w:color w:val="000000"/>
          <w:kern w:val="28"/>
          <w:sz w:val="20"/>
          <w:vertAlign w:val="superscript"/>
        </w:rPr>
        <w:t>2</w:t>
      </w:r>
      <w:r w:rsidR="00767532" w:rsidRPr="00344044">
        <w:rPr>
          <w:rFonts w:eastAsia="Times New Roman"/>
          <w:color w:val="000000"/>
          <w:kern w:val="28"/>
          <w:sz w:val="20"/>
        </w:rPr>
        <w:t>) of slackwater, slow water and fast water for nineteen reaches in the Edward-Wakool selected area under operational base flow and environmental flow Yallakool Creek</w:t>
      </w:r>
      <w:r w:rsidR="00767532">
        <w:rPr>
          <w:rFonts w:eastAsia="Times New Roman"/>
          <w:b/>
          <w:color w:val="000000"/>
          <w:kern w:val="28"/>
          <w:sz w:val="20"/>
        </w:rPr>
        <w:t xml:space="preserve">. </w:t>
      </w:r>
      <w:r w:rsidR="00767532">
        <w:rPr>
          <w:rFonts w:eastAsia="Times New Roman"/>
          <w:color w:val="000000"/>
          <w:kern w:val="28"/>
          <w:sz w:val="20"/>
        </w:rPr>
        <w:t>N/A = not applicable because environmental watering was not undertaken in the Wakool River zone 2.</w:t>
      </w:r>
    </w:p>
    <w:tbl>
      <w:tblPr>
        <w:tblW w:w="9039" w:type="dxa"/>
        <w:tblLayout w:type="fixed"/>
        <w:tblLook w:val="04A0"/>
      </w:tblPr>
      <w:tblGrid>
        <w:gridCol w:w="644"/>
        <w:gridCol w:w="1591"/>
        <w:gridCol w:w="247"/>
        <w:gridCol w:w="887"/>
        <w:gridCol w:w="142"/>
        <w:gridCol w:w="992"/>
        <w:gridCol w:w="283"/>
        <w:gridCol w:w="851"/>
        <w:gridCol w:w="425"/>
        <w:gridCol w:w="709"/>
        <w:gridCol w:w="283"/>
        <w:gridCol w:w="851"/>
        <w:gridCol w:w="141"/>
        <w:gridCol w:w="851"/>
        <w:gridCol w:w="142"/>
      </w:tblGrid>
      <w:tr w:rsidR="00767532" w:rsidRPr="00967402" w:rsidTr="000B78D1">
        <w:tc>
          <w:tcPr>
            <w:tcW w:w="644" w:type="dxa"/>
            <w:tcBorders>
              <w:top w:val="single" w:sz="4" w:space="0" w:color="auto"/>
              <w:bottom w:val="single" w:sz="4" w:space="0" w:color="auto"/>
            </w:tcBorders>
            <w:shd w:val="clear" w:color="auto" w:fill="D6E3BC" w:themeFill="accent3" w:themeFillTint="66"/>
            <w:vAlign w:val="bottom"/>
          </w:tcPr>
          <w:p w:rsidR="00767532" w:rsidRPr="00344044" w:rsidRDefault="00767532" w:rsidP="00767532">
            <w:pPr>
              <w:spacing w:after="0" w:line="240" w:lineRule="auto"/>
              <w:rPr>
                <w:color w:val="000000"/>
              </w:rPr>
            </w:pPr>
            <w:r w:rsidRPr="00344044">
              <w:rPr>
                <w:color w:val="000000"/>
              </w:rPr>
              <w:t xml:space="preserve">zone </w:t>
            </w:r>
          </w:p>
        </w:tc>
        <w:tc>
          <w:tcPr>
            <w:tcW w:w="1591" w:type="dxa"/>
            <w:tcBorders>
              <w:top w:val="single" w:sz="4" w:space="0" w:color="auto"/>
              <w:bottom w:val="single" w:sz="4" w:space="0" w:color="auto"/>
            </w:tcBorders>
            <w:shd w:val="clear" w:color="auto" w:fill="D6E3BC" w:themeFill="accent3" w:themeFillTint="66"/>
            <w:vAlign w:val="bottom"/>
          </w:tcPr>
          <w:p w:rsidR="00767532" w:rsidRPr="00344044" w:rsidRDefault="00767532" w:rsidP="00767532">
            <w:pPr>
              <w:spacing w:after="0" w:line="240" w:lineRule="auto"/>
              <w:rPr>
                <w:color w:val="000000"/>
              </w:rPr>
            </w:pPr>
            <w:r w:rsidRPr="00344044">
              <w:rPr>
                <w:color w:val="000000"/>
              </w:rPr>
              <w:t>reach</w:t>
            </w:r>
          </w:p>
        </w:tc>
        <w:tc>
          <w:tcPr>
            <w:tcW w:w="1276" w:type="dxa"/>
            <w:gridSpan w:val="3"/>
            <w:tcBorders>
              <w:top w:val="single" w:sz="4" w:space="0" w:color="auto"/>
              <w:bottom w:val="single" w:sz="4" w:space="0" w:color="auto"/>
            </w:tcBorders>
            <w:shd w:val="clear" w:color="auto" w:fill="D6E3BC" w:themeFill="accent3" w:themeFillTint="66"/>
            <w:vAlign w:val="bottom"/>
          </w:tcPr>
          <w:p w:rsidR="00767532" w:rsidRPr="00344044" w:rsidRDefault="00767532" w:rsidP="00767532">
            <w:pPr>
              <w:spacing w:after="0" w:line="240" w:lineRule="auto"/>
              <w:jc w:val="center"/>
              <w:rPr>
                <w:color w:val="000000"/>
              </w:rPr>
            </w:pPr>
            <w:r w:rsidRPr="00344044">
              <w:rPr>
                <w:color w:val="000000"/>
              </w:rPr>
              <w:t>area slackwater under operational flow</w:t>
            </w:r>
          </w:p>
        </w:tc>
        <w:tc>
          <w:tcPr>
            <w:tcW w:w="1275" w:type="dxa"/>
            <w:gridSpan w:val="2"/>
            <w:tcBorders>
              <w:top w:val="single" w:sz="4" w:space="0" w:color="auto"/>
              <w:bottom w:val="single" w:sz="4" w:space="0" w:color="auto"/>
            </w:tcBorders>
            <w:shd w:val="clear" w:color="auto" w:fill="D6E3BC" w:themeFill="accent3" w:themeFillTint="66"/>
            <w:vAlign w:val="bottom"/>
          </w:tcPr>
          <w:p w:rsidR="00767532" w:rsidRPr="00344044" w:rsidRDefault="00767532" w:rsidP="00767532">
            <w:pPr>
              <w:spacing w:after="0" w:line="240" w:lineRule="auto"/>
              <w:jc w:val="center"/>
              <w:rPr>
                <w:color w:val="000000"/>
              </w:rPr>
            </w:pPr>
            <w:r w:rsidRPr="00344044">
              <w:rPr>
                <w:color w:val="000000"/>
              </w:rPr>
              <w:t xml:space="preserve">area </w:t>
            </w:r>
            <w:r>
              <w:rPr>
                <w:color w:val="000000"/>
              </w:rPr>
              <w:t>slow water</w:t>
            </w:r>
            <w:r w:rsidRPr="00344044">
              <w:rPr>
                <w:color w:val="000000"/>
              </w:rPr>
              <w:t xml:space="preserve"> under operational flow</w:t>
            </w:r>
          </w:p>
        </w:tc>
        <w:tc>
          <w:tcPr>
            <w:tcW w:w="1276" w:type="dxa"/>
            <w:gridSpan w:val="2"/>
            <w:tcBorders>
              <w:top w:val="single" w:sz="4" w:space="0" w:color="auto"/>
              <w:bottom w:val="single" w:sz="4" w:space="0" w:color="auto"/>
            </w:tcBorders>
            <w:shd w:val="clear" w:color="auto" w:fill="D6E3BC" w:themeFill="accent3" w:themeFillTint="66"/>
            <w:vAlign w:val="bottom"/>
          </w:tcPr>
          <w:p w:rsidR="00767532" w:rsidRPr="00344044" w:rsidRDefault="00767532" w:rsidP="00767532">
            <w:pPr>
              <w:spacing w:after="0" w:line="240" w:lineRule="auto"/>
              <w:jc w:val="center"/>
              <w:rPr>
                <w:color w:val="000000"/>
              </w:rPr>
            </w:pPr>
            <w:r w:rsidRPr="00344044">
              <w:rPr>
                <w:color w:val="000000"/>
              </w:rPr>
              <w:t xml:space="preserve">area </w:t>
            </w:r>
            <w:r>
              <w:rPr>
                <w:color w:val="000000"/>
              </w:rPr>
              <w:t xml:space="preserve">fast water </w:t>
            </w:r>
            <w:r w:rsidRPr="00344044">
              <w:rPr>
                <w:color w:val="000000"/>
              </w:rPr>
              <w:t>under operational flow</w:t>
            </w:r>
          </w:p>
        </w:tc>
        <w:tc>
          <w:tcPr>
            <w:tcW w:w="992" w:type="dxa"/>
            <w:gridSpan w:val="2"/>
            <w:tcBorders>
              <w:top w:val="single" w:sz="4" w:space="0" w:color="auto"/>
              <w:bottom w:val="single" w:sz="4" w:space="0" w:color="auto"/>
            </w:tcBorders>
            <w:shd w:val="clear" w:color="auto" w:fill="D6E3BC" w:themeFill="accent3" w:themeFillTint="66"/>
            <w:vAlign w:val="bottom"/>
          </w:tcPr>
          <w:p w:rsidR="00767532" w:rsidRPr="00344044" w:rsidRDefault="00767532" w:rsidP="00767532">
            <w:pPr>
              <w:spacing w:after="0" w:line="240" w:lineRule="auto"/>
              <w:jc w:val="center"/>
              <w:rPr>
                <w:color w:val="000000"/>
              </w:rPr>
            </w:pPr>
            <w:r w:rsidRPr="00344044">
              <w:rPr>
                <w:color w:val="000000"/>
              </w:rPr>
              <w:t xml:space="preserve">area </w:t>
            </w:r>
            <w:r>
              <w:rPr>
                <w:color w:val="000000"/>
              </w:rPr>
              <w:t>slack water</w:t>
            </w:r>
            <w:r w:rsidRPr="00344044">
              <w:rPr>
                <w:color w:val="000000"/>
              </w:rPr>
              <w:t xml:space="preserve"> under</w:t>
            </w:r>
            <w:r>
              <w:rPr>
                <w:color w:val="000000"/>
              </w:rPr>
              <w:t xml:space="preserve">      </w:t>
            </w:r>
            <w:r w:rsidRPr="00344044">
              <w:rPr>
                <w:color w:val="000000"/>
              </w:rPr>
              <w:t xml:space="preserve"> </w:t>
            </w:r>
            <w:r>
              <w:rPr>
                <w:color w:val="000000"/>
              </w:rPr>
              <w:t xml:space="preserve">   </w:t>
            </w:r>
            <w:r w:rsidRPr="00344044">
              <w:rPr>
                <w:color w:val="000000"/>
              </w:rPr>
              <w:t>e-flow</w:t>
            </w:r>
          </w:p>
        </w:tc>
        <w:tc>
          <w:tcPr>
            <w:tcW w:w="992" w:type="dxa"/>
            <w:gridSpan w:val="2"/>
            <w:tcBorders>
              <w:top w:val="single" w:sz="4" w:space="0" w:color="auto"/>
              <w:bottom w:val="single" w:sz="4" w:space="0" w:color="auto"/>
            </w:tcBorders>
            <w:shd w:val="clear" w:color="auto" w:fill="D6E3BC" w:themeFill="accent3" w:themeFillTint="66"/>
            <w:vAlign w:val="bottom"/>
          </w:tcPr>
          <w:p w:rsidR="00767532" w:rsidRPr="00344044" w:rsidRDefault="00767532" w:rsidP="00767532">
            <w:pPr>
              <w:spacing w:after="0" w:line="240" w:lineRule="auto"/>
              <w:jc w:val="center"/>
              <w:rPr>
                <w:color w:val="000000"/>
              </w:rPr>
            </w:pPr>
            <w:r w:rsidRPr="00344044">
              <w:rPr>
                <w:color w:val="000000"/>
              </w:rPr>
              <w:t xml:space="preserve">area </w:t>
            </w:r>
            <w:r>
              <w:rPr>
                <w:color w:val="000000"/>
              </w:rPr>
              <w:t>slow water</w:t>
            </w:r>
            <w:r w:rsidRPr="00344044">
              <w:rPr>
                <w:color w:val="000000"/>
              </w:rPr>
              <w:t xml:space="preserve"> under e-flow</w:t>
            </w:r>
          </w:p>
        </w:tc>
        <w:tc>
          <w:tcPr>
            <w:tcW w:w="993" w:type="dxa"/>
            <w:gridSpan w:val="2"/>
            <w:tcBorders>
              <w:top w:val="single" w:sz="4" w:space="0" w:color="auto"/>
              <w:bottom w:val="single" w:sz="4" w:space="0" w:color="auto"/>
            </w:tcBorders>
            <w:shd w:val="clear" w:color="auto" w:fill="D6E3BC" w:themeFill="accent3" w:themeFillTint="66"/>
            <w:vAlign w:val="bottom"/>
          </w:tcPr>
          <w:p w:rsidR="00767532" w:rsidRPr="00344044" w:rsidRDefault="00767532" w:rsidP="00767532">
            <w:pPr>
              <w:spacing w:after="0" w:line="240" w:lineRule="auto"/>
              <w:jc w:val="center"/>
              <w:rPr>
                <w:color w:val="000000"/>
              </w:rPr>
            </w:pPr>
            <w:r w:rsidRPr="00344044">
              <w:rPr>
                <w:color w:val="000000"/>
              </w:rPr>
              <w:t xml:space="preserve">area </w:t>
            </w:r>
            <w:r>
              <w:rPr>
                <w:color w:val="000000"/>
              </w:rPr>
              <w:t>fast water</w:t>
            </w:r>
            <w:r w:rsidRPr="00344044">
              <w:rPr>
                <w:color w:val="000000"/>
              </w:rPr>
              <w:t xml:space="preserve"> under e-flow</w:t>
            </w:r>
          </w:p>
        </w:tc>
      </w:tr>
      <w:tr w:rsidR="00767532" w:rsidRPr="00967402" w:rsidTr="00767532">
        <w:trPr>
          <w:gridAfter w:val="1"/>
          <w:wAfter w:w="142" w:type="dxa"/>
        </w:trPr>
        <w:tc>
          <w:tcPr>
            <w:tcW w:w="644" w:type="dxa"/>
            <w:tcBorders>
              <w:top w:val="single" w:sz="4" w:space="0" w:color="auto"/>
            </w:tcBorders>
            <w:vAlign w:val="bottom"/>
          </w:tcPr>
          <w:p w:rsidR="00767532" w:rsidRPr="00967402" w:rsidRDefault="00767532" w:rsidP="00767532">
            <w:pPr>
              <w:spacing w:after="0" w:line="240" w:lineRule="auto"/>
              <w:rPr>
                <w:color w:val="000000"/>
              </w:rPr>
            </w:pPr>
            <w:r w:rsidRPr="00967402">
              <w:rPr>
                <w:color w:val="000000"/>
              </w:rPr>
              <w:t>1</w:t>
            </w:r>
          </w:p>
        </w:tc>
        <w:tc>
          <w:tcPr>
            <w:tcW w:w="1838" w:type="dxa"/>
            <w:gridSpan w:val="2"/>
            <w:tcBorders>
              <w:top w:val="single" w:sz="4" w:space="0" w:color="auto"/>
            </w:tcBorders>
          </w:tcPr>
          <w:p w:rsidR="00767532" w:rsidRPr="00C32A71" w:rsidRDefault="00767532" w:rsidP="00767532">
            <w:pPr>
              <w:spacing w:after="0" w:line="240" w:lineRule="auto"/>
            </w:pPr>
            <w:r w:rsidRPr="00C32A71">
              <w:t>Hopwood</w:t>
            </w:r>
          </w:p>
        </w:tc>
        <w:tc>
          <w:tcPr>
            <w:tcW w:w="887" w:type="dxa"/>
            <w:tcBorders>
              <w:top w:val="single" w:sz="4" w:space="0" w:color="auto"/>
            </w:tcBorders>
            <w:vAlign w:val="bottom"/>
          </w:tcPr>
          <w:p w:rsidR="00767532" w:rsidRDefault="00767532" w:rsidP="00767532">
            <w:pPr>
              <w:spacing w:after="0" w:line="240" w:lineRule="auto"/>
              <w:jc w:val="right"/>
              <w:rPr>
                <w:color w:val="000000"/>
              </w:rPr>
            </w:pPr>
            <w:r>
              <w:rPr>
                <w:color w:val="000000"/>
              </w:rPr>
              <w:t>11,041</w:t>
            </w:r>
          </w:p>
        </w:tc>
        <w:tc>
          <w:tcPr>
            <w:tcW w:w="1134" w:type="dxa"/>
            <w:gridSpan w:val="2"/>
            <w:tcBorders>
              <w:top w:val="single" w:sz="4" w:space="0" w:color="auto"/>
            </w:tcBorders>
            <w:vAlign w:val="bottom"/>
          </w:tcPr>
          <w:p w:rsidR="00767532" w:rsidRDefault="00767532" w:rsidP="00767532">
            <w:pPr>
              <w:spacing w:after="0" w:line="240" w:lineRule="auto"/>
              <w:jc w:val="right"/>
              <w:rPr>
                <w:color w:val="000000"/>
              </w:rPr>
            </w:pPr>
            <w:r>
              <w:rPr>
                <w:color w:val="000000"/>
              </w:rPr>
              <w:t>84,252</w:t>
            </w:r>
          </w:p>
        </w:tc>
        <w:tc>
          <w:tcPr>
            <w:tcW w:w="1134" w:type="dxa"/>
            <w:gridSpan w:val="2"/>
            <w:tcBorders>
              <w:top w:val="single" w:sz="4" w:space="0" w:color="auto"/>
            </w:tcBorders>
            <w:vAlign w:val="bottom"/>
          </w:tcPr>
          <w:p w:rsidR="00767532" w:rsidRDefault="00767532" w:rsidP="00767532">
            <w:pPr>
              <w:spacing w:after="0" w:line="240" w:lineRule="auto"/>
              <w:jc w:val="right"/>
              <w:rPr>
                <w:color w:val="000000"/>
              </w:rPr>
            </w:pPr>
            <w:r>
              <w:rPr>
                <w:color w:val="000000"/>
              </w:rPr>
              <w:t>4,594</w:t>
            </w:r>
          </w:p>
        </w:tc>
        <w:tc>
          <w:tcPr>
            <w:tcW w:w="1134" w:type="dxa"/>
            <w:gridSpan w:val="2"/>
            <w:tcBorders>
              <w:top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12,466</w:t>
            </w:r>
          </w:p>
        </w:tc>
        <w:tc>
          <w:tcPr>
            <w:tcW w:w="1134" w:type="dxa"/>
            <w:gridSpan w:val="2"/>
            <w:tcBorders>
              <w:top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77,545</w:t>
            </w:r>
          </w:p>
        </w:tc>
        <w:tc>
          <w:tcPr>
            <w:tcW w:w="992" w:type="dxa"/>
            <w:gridSpan w:val="2"/>
            <w:tcBorders>
              <w:top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21,371</w:t>
            </w:r>
          </w:p>
        </w:tc>
      </w:tr>
      <w:tr w:rsidR="00767532" w:rsidRPr="00967402" w:rsidTr="00767532">
        <w:trPr>
          <w:gridAfter w:val="1"/>
          <w:wAfter w:w="142" w:type="dxa"/>
        </w:trPr>
        <w:tc>
          <w:tcPr>
            <w:tcW w:w="644" w:type="dxa"/>
            <w:vAlign w:val="bottom"/>
          </w:tcPr>
          <w:p w:rsidR="00767532" w:rsidRPr="00967402" w:rsidRDefault="00767532" w:rsidP="00767532">
            <w:pPr>
              <w:spacing w:after="0" w:line="240" w:lineRule="auto"/>
              <w:rPr>
                <w:color w:val="000000"/>
              </w:rPr>
            </w:pPr>
            <w:r w:rsidRPr="00967402">
              <w:rPr>
                <w:color w:val="000000"/>
              </w:rPr>
              <w:t>1</w:t>
            </w:r>
          </w:p>
        </w:tc>
        <w:tc>
          <w:tcPr>
            <w:tcW w:w="1838" w:type="dxa"/>
            <w:gridSpan w:val="2"/>
          </w:tcPr>
          <w:p w:rsidR="00767532" w:rsidRPr="00C32A71" w:rsidRDefault="00767532" w:rsidP="00767532">
            <w:pPr>
              <w:spacing w:after="0" w:line="240" w:lineRule="auto"/>
            </w:pPr>
            <w:r w:rsidRPr="00C32A71">
              <w:t>Cumnock</w:t>
            </w:r>
          </w:p>
        </w:tc>
        <w:tc>
          <w:tcPr>
            <w:tcW w:w="887" w:type="dxa"/>
            <w:vAlign w:val="bottom"/>
          </w:tcPr>
          <w:p w:rsidR="00767532" w:rsidRDefault="00767532" w:rsidP="00767532">
            <w:pPr>
              <w:spacing w:after="0" w:line="240" w:lineRule="auto"/>
              <w:jc w:val="right"/>
              <w:rPr>
                <w:color w:val="000000"/>
              </w:rPr>
            </w:pPr>
            <w:r>
              <w:rPr>
                <w:color w:val="000000"/>
              </w:rPr>
              <w:t>7,566</w:t>
            </w:r>
          </w:p>
        </w:tc>
        <w:tc>
          <w:tcPr>
            <w:tcW w:w="1134" w:type="dxa"/>
            <w:gridSpan w:val="2"/>
            <w:vAlign w:val="bottom"/>
          </w:tcPr>
          <w:p w:rsidR="00767532" w:rsidRDefault="00767532" w:rsidP="00767532">
            <w:pPr>
              <w:spacing w:after="0" w:line="240" w:lineRule="auto"/>
              <w:jc w:val="right"/>
              <w:rPr>
                <w:color w:val="000000"/>
              </w:rPr>
            </w:pPr>
            <w:r>
              <w:rPr>
                <w:color w:val="000000"/>
              </w:rPr>
              <w:t>84,828</w:t>
            </w:r>
          </w:p>
        </w:tc>
        <w:tc>
          <w:tcPr>
            <w:tcW w:w="1134" w:type="dxa"/>
            <w:gridSpan w:val="2"/>
            <w:vAlign w:val="bottom"/>
          </w:tcPr>
          <w:p w:rsidR="00767532" w:rsidRDefault="00767532" w:rsidP="00767532">
            <w:pPr>
              <w:spacing w:after="0" w:line="240" w:lineRule="auto"/>
              <w:jc w:val="right"/>
              <w:rPr>
                <w:color w:val="000000"/>
              </w:rPr>
            </w:pPr>
            <w:r>
              <w:rPr>
                <w:color w:val="000000"/>
              </w:rPr>
              <w:t>4,625</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7,450</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79,951</w:t>
            </w:r>
          </w:p>
        </w:tc>
        <w:tc>
          <w:tcPr>
            <w:tcW w:w="992" w:type="dxa"/>
            <w:gridSpan w:val="2"/>
            <w:vAlign w:val="bottom"/>
          </w:tcPr>
          <w:p w:rsidR="00767532" w:rsidRPr="00967402" w:rsidRDefault="00767532" w:rsidP="00767532">
            <w:pPr>
              <w:spacing w:after="0" w:line="240" w:lineRule="auto"/>
              <w:jc w:val="right"/>
              <w:rPr>
                <w:color w:val="000000"/>
              </w:rPr>
            </w:pPr>
            <w:r w:rsidRPr="00967402">
              <w:rPr>
                <w:color w:val="000000"/>
              </w:rPr>
              <w:t>20,604</w:t>
            </w:r>
          </w:p>
        </w:tc>
      </w:tr>
      <w:tr w:rsidR="00767532" w:rsidRPr="00967402" w:rsidTr="00767532">
        <w:trPr>
          <w:gridAfter w:val="1"/>
          <w:wAfter w:w="142" w:type="dxa"/>
        </w:trPr>
        <w:tc>
          <w:tcPr>
            <w:tcW w:w="644" w:type="dxa"/>
            <w:vAlign w:val="bottom"/>
          </w:tcPr>
          <w:p w:rsidR="00767532" w:rsidRPr="00967402" w:rsidRDefault="00767532" w:rsidP="00767532">
            <w:pPr>
              <w:spacing w:after="0" w:line="240" w:lineRule="auto"/>
              <w:rPr>
                <w:color w:val="000000"/>
              </w:rPr>
            </w:pPr>
            <w:r w:rsidRPr="00967402">
              <w:rPr>
                <w:color w:val="000000"/>
              </w:rPr>
              <w:t>1</w:t>
            </w:r>
          </w:p>
        </w:tc>
        <w:tc>
          <w:tcPr>
            <w:tcW w:w="1838" w:type="dxa"/>
            <w:gridSpan w:val="2"/>
          </w:tcPr>
          <w:p w:rsidR="00767532" w:rsidRPr="00C32A71" w:rsidRDefault="00767532" w:rsidP="00767532">
            <w:pPr>
              <w:spacing w:after="0" w:line="240" w:lineRule="auto"/>
            </w:pPr>
            <w:r w:rsidRPr="00C32A71">
              <w:t>Cumnock Park</w:t>
            </w:r>
          </w:p>
        </w:tc>
        <w:tc>
          <w:tcPr>
            <w:tcW w:w="887" w:type="dxa"/>
            <w:vAlign w:val="bottom"/>
          </w:tcPr>
          <w:p w:rsidR="00767532" w:rsidRDefault="00767532" w:rsidP="00767532">
            <w:pPr>
              <w:spacing w:after="0" w:line="240" w:lineRule="auto"/>
              <w:jc w:val="right"/>
              <w:rPr>
                <w:color w:val="000000"/>
              </w:rPr>
            </w:pPr>
            <w:r>
              <w:rPr>
                <w:color w:val="000000"/>
              </w:rPr>
              <w:t>13,961</w:t>
            </w:r>
          </w:p>
        </w:tc>
        <w:tc>
          <w:tcPr>
            <w:tcW w:w="1134" w:type="dxa"/>
            <w:gridSpan w:val="2"/>
            <w:vAlign w:val="bottom"/>
          </w:tcPr>
          <w:p w:rsidR="00767532" w:rsidRDefault="00767532" w:rsidP="00767532">
            <w:pPr>
              <w:spacing w:after="0" w:line="240" w:lineRule="auto"/>
              <w:jc w:val="right"/>
              <w:rPr>
                <w:color w:val="000000"/>
              </w:rPr>
            </w:pPr>
            <w:r>
              <w:rPr>
                <w:color w:val="000000"/>
              </w:rPr>
              <w:t>84,700</w:t>
            </w:r>
          </w:p>
        </w:tc>
        <w:tc>
          <w:tcPr>
            <w:tcW w:w="1134" w:type="dxa"/>
            <w:gridSpan w:val="2"/>
            <w:vAlign w:val="bottom"/>
          </w:tcPr>
          <w:p w:rsidR="00767532" w:rsidRDefault="00767532" w:rsidP="00767532">
            <w:pPr>
              <w:spacing w:after="0" w:line="240" w:lineRule="auto"/>
              <w:jc w:val="right"/>
              <w:rPr>
                <w:color w:val="000000"/>
              </w:rPr>
            </w:pPr>
            <w:r>
              <w:rPr>
                <w:color w:val="000000"/>
              </w:rPr>
              <w:t>3,608</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18,230</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84,958</w:t>
            </w:r>
          </w:p>
        </w:tc>
        <w:tc>
          <w:tcPr>
            <w:tcW w:w="992" w:type="dxa"/>
            <w:gridSpan w:val="2"/>
            <w:vAlign w:val="bottom"/>
          </w:tcPr>
          <w:p w:rsidR="00767532" w:rsidRPr="00967402" w:rsidRDefault="00767532" w:rsidP="00767532">
            <w:pPr>
              <w:spacing w:after="0" w:line="240" w:lineRule="auto"/>
              <w:jc w:val="right"/>
              <w:rPr>
                <w:color w:val="000000"/>
              </w:rPr>
            </w:pPr>
            <w:r w:rsidRPr="00967402">
              <w:rPr>
                <w:color w:val="000000"/>
              </w:rPr>
              <w:t>18,987</w:t>
            </w:r>
          </w:p>
        </w:tc>
      </w:tr>
      <w:tr w:rsidR="00767532" w:rsidRPr="00967402" w:rsidTr="00767532">
        <w:trPr>
          <w:gridAfter w:val="1"/>
          <w:wAfter w:w="142" w:type="dxa"/>
        </w:trPr>
        <w:tc>
          <w:tcPr>
            <w:tcW w:w="644" w:type="dxa"/>
            <w:vAlign w:val="bottom"/>
          </w:tcPr>
          <w:p w:rsidR="00767532" w:rsidRPr="00967402" w:rsidRDefault="00767532" w:rsidP="00767532">
            <w:pPr>
              <w:spacing w:after="0" w:line="240" w:lineRule="auto"/>
              <w:rPr>
                <w:color w:val="000000"/>
              </w:rPr>
            </w:pPr>
            <w:r w:rsidRPr="00967402">
              <w:rPr>
                <w:color w:val="000000"/>
              </w:rPr>
              <w:t>1</w:t>
            </w:r>
          </w:p>
        </w:tc>
        <w:tc>
          <w:tcPr>
            <w:tcW w:w="1838" w:type="dxa"/>
            <w:gridSpan w:val="2"/>
          </w:tcPr>
          <w:p w:rsidR="00767532" w:rsidRPr="00C32A71" w:rsidRDefault="00767532" w:rsidP="00767532">
            <w:pPr>
              <w:spacing w:after="0" w:line="240" w:lineRule="auto"/>
            </w:pPr>
            <w:r w:rsidRPr="00C32A71">
              <w:t>Mascott</w:t>
            </w:r>
          </w:p>
        </w:tc>
        <w:tc>
          <w:tcPr>
            <w:tcW w:w="887" w:type="dxa"/>
            <w:vAlign w:val="bottom"/>
          </w:tcPr>
          <w:p w:rsidR="00767532" w:rsidRDefault="00767532" w:rsidP="00767532">
            <w:pPr>
              <w:spacing w:after="0" w:line="240" w:lineRule="auto"/>
              <w:jc w:val="right"/>
              <w:rPr>
                <w:color w:val="000000"/>
              </w:rPr>
            </w:pPr>
            <w:r>
              <w:rPr>
                <w:color w:val="000000"/>
              </w:rPr>
              <w:t>11,355</w:t>
            </w:r>
          </w:p>
        </w:tc>
        <w:tc>
          <w:tcPr>
            <w:tcW w:w="1134" w:type="dxa"/>
            <w:gridSpan w:val="2"/>
            <w:vAlign w:val="bottom"/>
          </w:tcPr>
          <w:p w:rsidR="00767532" w:rsidRDefault="00767532" w:rsidP="00767532">
            <w:pPr>
              <w:spacing w:after="0" w:line="240" w:lineRule="auto"/>
              <w:jc w:val="right"/>
              <w:rPr>
                <w:color w:val="000000"/>
              </w:rPr>
            </w:pPr>
            <w:r>
              <w:rPr>
                <w:color w:val="000000"/>
              </w:rPr>
              <w:t>1</w:t>
            </w:r>
            <w:r w:rsidR="000F2AE2">
              <w:rPr>
                <w:color w:val="000000"/>
              </w:rPr>
              <w:t>1</w:t>
            </w:r>
            <w:r>
              <w:rPr>
                <w:color w:val="000000"/>
              </w:rPr>
              <w:t>7</w:t>
            </w:r>
            <w:r w:rsidR="000F2AE2">
              <w:rPr>
                <w:color w:val="000000"/>
              </w:rPr>
              <w:t>,</w:t>
            </w:r>
            <w:r>
              <w:rPr>
                <w:color w:val="000000"/>
              </w:rPr>
              <w:t>151</w:t>
            </w:r>
          </w:p>
        </w:tc>
        <w:tc>
          <w:tcPr>
            <w:tcW w:w="1134" w:type="dxa"/>
            <w:gridSpan w:val="2"/>
            <w:vAlign w:val="bottom"/>
          </w:tcPr>
          <w:p w:rsidR="00767532" w:rsidRDefault="00767532" w:rsidP="00767532">
            <w:pPr>
              <w:spacing w:after="0" w:line="240" w:lineRule="auto"/>
              <w:jc w:val="right"/>
              <w:rPr>
                <w:color w:val="000000"/>
              </w:rPr>
            </w:pPr>
            <w:r>
              <w:rPr>
                <w:color w:val="000000"/>
              </w:rPr>
              <w:t>1,014</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13,782</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126,173</w:t>
            </w:r>
          </w:p>
        </w:tc>
        <w:tc>
          <w:tcPr>
            <w:tcW w:w="992" w:type="dxa"/>
            <w:gridSpan w:val="2"/>
            <w:vAlign w:val="bottom"/>
          </w:tcPr>
          <w:p w:rsidR="00767532" w:rsidRPr="00967402" w:rsidRDefault="00767532" w:rsidP="00767532">
            <w:pPr>
              <w:spacing w:after="0" w:line="240" w:lineRule="auto"/>
              <w:jc w:val="right"/>
              <w:rPr>
                <w:color w:val="000000"/>
              </w:rPr>
            </w:pPr>
            <w:r w:rsidRPr="00967402">
              <w:rPr>
                <w:color w:val="000000"/>
              </w:rPr>
              <w:t>4,304</w:t>
            </w:r>
          </w:p>
        </w:tc>
      </w:tr>
      <w:tr w:rsidR="00767532" w:rsidRPr="00967402" w:rsidTr="005D4FC7">
        <w:trPr>
          <w:gridAfter w:val="1"/>
          <w:wAfter w:w="142" w:type="dxa"/>
        </w:trPr>
        <w:tc>
          <w:tcPr>
            <w:tcW w:w="644" w:type="dxa"/>
            <w:tcBorders>
              <w:bottom w:val="single" w:sz="4" w:space="0" w:color="auto"/>
            </w:tcBorders>
            <w:vAlign w:val="bottom"/>
          </w:tcPr>
          <w:p w:rsidR="00767532" w:rsidRPr="00967402" w:rsidRDefault="00767532" w:rsidP="00767532">
            <w:pPr>
              <w:spacing w:after="0" w:line="240" w:lineRule="auto"/>
              <w:rPr>
                <w:color w:val="000000"/>
              </w:rPr>
            </w:pPr>
            <w:r w:rsidRPr="00967402">
              <w:rPr>
                <w:color w:val="000000"/>
              </w:rPr>
              <w:t>1</w:t>
            </w:r>
          </w:p>
        </w:tc>
        <w:tc>
          <w:tcPr>
            <w:tcW w:w="1838" w:type="dxa"/>
            <w:gridSpan w:val="2"/>
            <w:tcBorders>
              <w:bottom w:val="single" w:sz="4" w:space="0" w:color="auto"/>
            </w:tcBorders>
          </w:tcPr>
          <w:p w:rsidR="00767532" w:rsidRPr="00C32A71" w:rsidRDefault="00767532" w:rsidP="00767532">
            <w:pPr>
              <w:spacing w:after="0" w:line="240" w:lineRule="auto"/>
            </w:pPr>
            <w:r>
              <w:t>Windra V</w:t>
            </w:r>
            <w:r w:rsidRPr="00C32A71">
              <w:t>ale</w:t>
            </w:r>
          </w:p>
        </w:tc>
        <w:tc>
          <w:tcPr>
            <w:tcW w:w="887" w:type="dxa"/>
            <w:tcBorders>
              <w:bottom w:val="single" w:sz="4" w:space="0" w:color="auto"/>
            </w:tcBorders>
            <w:vAlign w:val="bottom"/>
          </w:tcPr>
          <w:p w:rsidR="00767532" w:rsidRDefault="00767532" w:rsidP="00767532">
            <w:pPr>
              <w:spacing w:after="0" w:line="240" w:lineRule="auto"/>
              <w:jc w:val="right"/>
              <w:rPr>
                <w:color w:val="000000"/>
              </w:rPr>
            </w:pPr>
            <w:r>
              <w:rPr>
                <w:color w:val="000000"/>
              </w:rPr>
              <w:t>6,001</w:t>
            </w:r>
          </w:p>
        </w:tc>
        <w:tc>
          <w:tcPr>
            <w:tcW w:w="1134" w:type="dxa"/>
            <w:gridSpan w:val="2"/>
            <w:tcBorders>
              <w:bottom w:val="single" w:sz="4" w:space="0" w:color="auto"/>
            </w:tcBorders>
            <w:vAlign w:val="bottom"/>
          </w:tcPr>
          <w:p w:rsidR="00767532" w:rsidRDefault="00767532" w:rsidP="00767532">
            <w:pPr>
              <w:spacing w:after="0" w:line="240" w:lineRule="auto"/>
              <w:jc w:val="right"/>
              <w:rPr>
                <w:color w:val="000000"/>
              </w:rPr>
            </w:pPr>
            <w:r>
              <w:rPr>
                <w:color w:val="000000"/>
              </w:rPr>
              <w:t>72,854</w:t>
            </w:r>
          </w:p>
        </w:tc>
        <w:tc>
          <w:tcPr>
            <w:tcW w:w="1134" w:type="dxa"/>
            <w:gridSpan w:val="2"/>
            <w:tcBorders>
              <w:bottom w:val="single" w:sz="4" w:space="0" w:color="auto"/>
            </w:tcBorders>
            <w:vAlign w:val="bottom"/>
          </w:tcPr>
          <w:p w:rsidR="00767532" w:rsidRDefault="00767532" w:rsidP="00767532">
            <w:pPr>
              <w:spacing w:after="0" w:line="240" w:lineRule="auto"/>
              <w:jc w:val="right"/>
              <w:rPr>
                <w:color w:val="000000"/>
              </w:rPr>
            </w:pPr>
            <w:r>
              <w:rPr>
                <w:color w:val="000000"/>
              </w:rPr>
              <w:t>7,955</w:t>
            </w:r>
          </w:p>
        </w:tc>
        <w:tc>
          <w:tcPr>
            <w:tcW w:w="1134" w:type="dxa"/>
            <w:gridSpan w:val="2"/>
            <w:tcBorders>
              <w:bottom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14,706</w:t>
            </w:r>
          </w:p>
        </w:tc>
        <w:tc>
          <w:tcPr>
            <w:tcW w:w="1134" w:type="dxa"/>
            <w:gridSpan w:val="2"/>
            <w:tcBorders>
              <w:bottom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78,499</w:t>
            </w:r>
          </w:p>
        </w:tc>
        <w:tc>
          <w:tcPr>
            <w:tcW w:w="992" w:type="dxa"/>
            <w:gridSpan w:val="2"/>
            <w:tcBorders>
              <w:bottom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20,707</w:t>
            </w:r>
          </w:p>
        </w:tc>
      </w:tr>
      <w:tr w:rsidR="00767532" w:rsidRPr="00967402" w:rsidTr="005D4FC7">
        <w:trPr>
          <w:gridAfter w:val="1"/>
          <w:wAfter w:w="142" w:type="dxa"/>
        </w:trPr>
        <w:tc>
          <w:tcPr>
            <w:tcW w:w="644" w:type="dxa"/>
            <w:tcBorders>
              <w:top w:val="single" w:sz="4" w:space="0" w:color="auto"/>
            </w:tcBorders>
            <w:vAlign w:val="bottom"/>
          </w:tcPr>
          <w:p w:rsidR="00767532" w:rsidRPr="00967402" w:rsidRDefault="00767532" w:rsidP="00767532">
            <w:pPr>
              <w:spacing w:after="0" w:line="240" w:lineRule="auto"/>
              <w:rPr>
                <w:color w:val="000000"/>
              </w:rPr>
            </w:pPr>
            <w:r w:rsidRPr="00967402">
              <w:rPr>
                <w:color w:val="000000"/>
              </w:rPr>
              <w:t>2</w:t>
            </w:r>
          </w:p>
        </w:tc>
        <w:tc>
          <w:tcPr>
            <w:tcW w:w="1838" w:type="dxa"/>
            <w:gridSpan w:val="2"/>
            <w:tcBorders>
              <w:top w:val="single" w:sz="4" w:space="0" w:color="auto"/>
            </w:tcBorders>
          </w:tcPr>
          <w:p w:rsidR="00767532" w:rsidRPr="00C32A71" w:rsidRDefault="00767532" w:rsidP="00767532">
            <w:pPr>
              <w:spacing w:after="0" w:line="240" w:lineRule="auto"/>
            </w:pPr>
            <w:r w:rsidRPr="00C32A71">
              <w:t>Yaloke</w:t>
            </w:r>
          </w:p>
        </w:tc>
        <w:tc>
          <w:tcPr>
            <w:tcW w:w="887" w:type="dxa"/>
            <w:tcBorders>
              <w:top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25,443</w:t>
            </w:r>
          </w:p>
        </w:tc>
        <w:tc>
          <w:tcPr>
            <w:tcW w:w="1134" w:type="dxa"/>
            <w:gridSpan w:val="2"/>
            <w:tcBorders>
              <w:top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68,928</w:t>
            </w:r>
          </w:p>
        </w:tc>
        <w:tc>
          <w:tcPr>
            <w:tcW w:w="1134" w:type="dxa"/>
            <w:gridSpan w:val="2"/>
            <w:tcBorders>
              <w:top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182</w:t>
            </w:r>
          </w:p>
        </w:tc>
        <w:tc>
          <w:tcPr>
            <w:tcW w:w="1134" w:type="dxa"/>
            <w:gridSpan w:val="2"/>
            <w:tcBorders>
              <w:top w:val="single" w:sz="4" w:space="0" w:color="auto"/>
            </w:tcBorders>
            <w:vAlign w:val="bottom"/>
          </w:tcPr>
          <w:p w:rsidR="00767532" w:rsidRPr="00967402" w:rsidRDefault="00767532" w:rsidP="00767532">
            <w:pPr>
              <w:spacing w:after="0" w:line="240" w:lineRule="auto"/>
              <w:jc w:val="right"/>
              <w:rPr>
                <w:color w:val="000000"/>
              </w:rPr>
            </w:pPr>
            <w:r>
              <w:rPr>
                <w:color w:val="000000"/>
              </w:rPr>
              <w:t>N/A</w:t>
            </w:r>
          </w:p>
        </w:tc>
        <w:tc>
          <w:tcPr>
            <w:tcW w:w="1134" w:type="dxa"/>
            <w:gridSpan w:val="2"/>
            <w:tcBorders>
              <w:top w:val="single" w:sz="4" w:space="0" w:color="auto"/>
            </w:tcBorders>
            <w:vAlign w:val="bottom"/>
          </w:tcPr>
          <w:p w:rsidR="00767532" w:rsidRPr="00967402" w:rsidRDefault="00767532" w:rsidP="00767532">
            <w:pPr>
              <w:spacing w:after="0" w:line="240" w:lineRule="auto"/>
              <w:jc w:val="right"/>
              <w:rPr>
                <w:color w:val="000000"/>
              </w:rPr>
            </w:pPr>
            <w:r>
              <w:rPr>
                <w:color w:val="000000"/>
              </w:rPr>
              <w:t>N/A</w:t>
            </w:r>
          </w:p>
        </w:tc>
        <w:tc>
          <w:tcPr>
            <w:tcW w:w="992" w:type="dxa"/>
            <w:gridSpan w:val="2"/>
            <w:tcBorders>
              <w:top w:val="single" w:sz="4" w:space="0" w:color="auto"/>
            </w:tcBorders>
            <w:vAlign w:val="bottom"/>
          </w:tcPr>
          <w:p w:rsidR="00767532" w:rsidRPr="00967402" w:rsidRDefault="00767532" w:rsidP="00767532">
            <w:pPr>
              <w:spacing w:after="0" w:line="240" w:lineRule="auto"/>
              <w:jc w:val="right"/>
              <w:rPr>
                <w:color w:val="000000"/>
              </w:rPr>
            </w:pPr>
            <w:r>
              <w:rPr>
                <w:color w:val="000000"/>
              </w:rPr>
              <w:t>N/A</w:t>
            </w:r>
          </w:p>
        </w:tc>
      </w:tr>
      <w:tr w:rsidR="00767532" w:rsidRPr="00967402" w:rsidTr="00767532">
        <w:trPr>
          <w:gridAfter w:val="1"/>
          <w:wAfter w:w="142" w:type="dxa"/>
          <w:trHeight w:val="80"/>
        </w:trPr>
        <w:tc>
          <w:tcPr>
            <w:tcW w:w="644" w:type="dxa"/>
            <w:vAlign w:val="bottom"/>
          </w:tcPr>
          <w:p w:rsidR="00767532" w:rsidRPr="00967402" w:rsidRDefault="00767532" w:rsidP="00767532">
            <w:pPr>
              <w:spacing w:after="0" w:line="240" w:lineRule="auto"/>
              <w:rPr>
                <w:color w:val="000000"/>
              </w:rPr>
            </w:pPr>
            <w:r w:rsidRPr="00967402">
              <w:rPr>
                <w:color w:val="000000"/>
              </w:rPr>
              <w:t>2</w:t>
            </w:r>
          </w:p>
        </w:tc>
        <w:tc>
          <w:tcPr>
            <w:tcW w:w="1838" w:type="dxa"/>
            <w:gridSpan w:val="2"/>
          </w:tcPr>
          <w:p w:rsidR="00767532" w:rsidRPr="00C32A71" w:rsidRDefault="00767532" w:rsidP="00767532">
            <w:pPr>
              <w:spacing w:after="0" w:line="240" w:lineRule="auto"/>
            </w:pPr>
            <w:r w:rsidRPr="00C32A71">
              <w:t>Carmarthon</w:t>
            </w:r>
          </w:p>
        </w:tc>
        <w:tc>
          <w:tcPr>
            <w:tcW w:w="887" w:type="dxa"/>
            <w:vAlign w:val="bottom"/>
          </w:tcPr>
          <w:p w:rsidR="00767532" w:rsidRPr="00967402" w:rsidRDefault="00767532" w:rsidP="00767532">
            <w:pPr>
              <w:spacing w:after="0" w:line="240" w:lineRule="auto"/>
              <w:jc w:val="right"/>
              <w:rPr>
                <w:color w:val="000000"/>
              </w:rPr>
            </w:pPr>
            <w:r w:rsidRPr="00967402">
              <w:rPr>
                <w:color w:val="000000"/>
              </w:rPr>
              <w:t>14,892</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72,779</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286</w:t>
            </w:r>
          </w:p>
        </w:tc>
        <w:tc>
          <w:tcPr>
            <w:tcW w:w="1134" w:type="dxa"/>
            <w:gridSpan w:val="2"/>
            <w:vAlign w:val="bottom"/>
          </w:tcPr>
          <w:p w:rsidR="00767532" w:rsidRPr="00967402" w:rsidRDefault="00767532" w:rsidP="00767532">
            <w:pPr>
              <w:spacing w:after="0" w:line="240" w:lineRule="auto"/>
              <w:jc w:val="right"/>
              <w:rPr>
                <w:color w:val="000000"/>
              </w:rPr>
            </w:pPr>
            <w:r>
              <w:rPr>
                <w:color w:val="000000"/>
              </w:rPr>
              <w:t>N/A</w:t>
            </w:r>
          </w:p>
        </w:tc>
        <w:tc>
          <w:tcPr>
            <w:tcW w:w="1134" w:type="dxa"/>
            <w:gridSpan w:val="2"/>
            <w:vAlign w:val="bottom"/>
          </w:tcPr>
          <w:p w:rsidR="00767532" w:rsidRPr="00967402" w:rsidRDefault="00767532" w:rsidP="00767532">
            <w:pPr>
              <w:spacing w:after="0" w:line="240" w:lineRule="auto"/>
              <w:jc w:val="right"/>
              <w:rPr>
                <w:color w:val="000000"/>
              </w:rPr>
            </w:pPr>
            <w:r>
              <w:rPr>
                <w:color w:val="000000"/>
              </w:rPr>
              <w:t>N/A</w:t>
            </w:r>
          </w:p>
        </w:tc>
        <w:tc>
          <w:tcPr>
            <w:tcW w:w="992" w:type="dxa"/>
            <w:gridSpan w:val="2"/>
            <w:vAlign w:val="bottom"/>
          </w:tcPr>
          <w:p w:rsidR="00767532" w:rsidRPr="00967402" w:rsidRDefault="00767532" w:rsidP="00767532">
            <w:pPr>
              <w:spacing w:after="0" w:line="240" w:lineRule="auto"/>
              <w:jc w:val="right"/>
              <w:rPr>
                <w:color w:val="000000"/>
              </w:rPr>
            </w:pPr>
            <w:r>
              <w:rPr>
                <w:color w:val="000000"/>
              </w:rPr>
              <w:t>N/A</w:t>
            </w:r>
          </w:p>
        </w:tc>
      </w:tr>
      <w:tr w:rsidR="00767532" w:rsidRPr="00967402" w:rsidTr="00767532">
        <w:trPr>
          <w:gridAfter w:val="1"/>
          <w:wAfter w:w="142" w:type="dxa"/>
        </w:trPr>
        <w:tc>
          <w:tcPr>
            <w:tcW w:w="644" w:type="dxa"/>
            <w:vAlign w:val="bottom"/>
          </w:tcPr>
          <w:p w:rsidR="00767532" w:rsidRPr="00967402" w:rsidRDefault="00767532" w:rsidP="00767532">
            <w:pPr>
              <w:spacing w:after="0" w:line="240" w:lineRule="auto"/>
              <w:rPr>
                <w:color w:val="000000"/>
              </w:rPr>
            </w:pPr>
            <w:r w:rsidRPr="00967402">
              <w:rPr>
                <w:color w:val="000000"/>
              </w:rPr>
              <w:t>2</w:t>
            </w:r>
          </w:p>
        </w:tc>
        <w:tc>
          <w:tcPr>
            <w:tcW w:w="1838" w:type="dxa"/>
            <w:gridSpan w:val="2"/>
          </w:tcPr>
          <w:p w:rsidR="00767532" w:rsidRPr="00C32A71" w:rsidRDefault="00767532" w:rsidP="00767532">
            <w:pPr>
              <w:spacing w:after="0" w:line="240" w:lineRule="auto"/>
            </w:pPr>
            <w:r w:rsidRPr="00C32A71">
              <w:t>Emu Park</w:t>
            </w:r>
          </w:p>
        </w:tc>
        <w:tc>
          <w:tcPr>
            <w:tcW w:w="887" w:type="dxa"/>
            <w:vAlign w:val="bottom"/>
          </w:tcPr>
          <w:p w:rsidR="00767532" w:rsidRPr="00967402" w:rsidRDefault="00767532" w:rsidP="00767532">
            <w:pPr>
              <w:spacing w:after="0" w:line="240" w:lineRule="auto"/>
              <w:jc w:val="right"/>
              <w:rPr>
                <w:color w:val="000000"/>
              </w:rPr>
            </w:pPr>
            <w:r w:rsidRPr="00967402">
              <w:rPr>
                <w:color w:val="000000"/>
              </w:rPr>
              <w:t>11,966</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74,404</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244</w:t>
            </w:r>
          </w:p>
        </w:tc>
        <w:tc>
          <w:tcPr>
            <w:tcW w:w="1134" w:type="dxa"/>
            <w:gridSpan w:val="2"/>
            <w:vAlign w:val="bottom"/>
          </w:tcPr>
          <w:p w:rsidR="00767532" w:rsidRPr="00967402" w:rsidRDefault="00767532" w:rsidP="00767532">
            <w:pPr>
              <w:spacing w:after="0" w:line="240" w:lineRule="auto"/>
              <w:jc w:val="right"/>
              <w:rPr>
                <w:color w:val="000000"/>
              </w:rPr>
            </w:pPr>
            <w:r>
              <w:rPr>
                <w:color w:val="000000"/>
              </w:rPr>
              <w:t>N/A</w:t>
            </w:r>
          </w:p>
        </w:tc>
        <w:tc>
          <w:tcPr>
            <w:tcW w:w="1134" w:type="dxa"/>
            <w:gridSpan w:val="2"/>
            <w:vAlign w:val="bottom"/>
          </w:tcPr>
          <w:p w:rsidR="00767532" w:rsidRPr="00967402" w:rsidRDefault="00767532" w:rsidP="00767532">
            <w:pPr>
              <w:spacing w:after="0" w:line="240" w:lineRule="auto"/>
              <w:jc w:val="right"/>
              <w:rPr>
                <w:color w:val="000000"/>
              </w:rPr>
            </w:pPr>
            <w:r>
              <w:rPr>
                <w:color w:val="000000"/>
              </w:rPr>
              <w:t>N/A</w:t>
            </w:r>
          </w:p>
        </w:tc>
        <w:tc>
          <w:tcPr>
            <w:tcW w:w="992" w:type="dxa"/>
            <w:gridSpan w:val="2"/>
            <w:vAlign w:val="bottom"/>
          </w:tcPr>
          <w:p w:rsidR="00767532" w:rsidRPr="00967402" w:rsidRDefault="00767532" w:rsidP="00767532">
            <w:pPr>
              <w:spacing w:after="0" w:line="240" w:lineRule="auto"/>
              <w:jc w:val="right"/>
              <w:rPr>
                <w:color w:val="000000"/>
              </w:rPr>
            </w:pPr>
            <w:r>
              <w:rPr>
                <w:color w:val="000000"/>
              </w:rPr>
              <w:t>N/A</w:t>
            </w:r>
          </w:p>
        </w:tc>
      </w:tr>
      <w:tr w:rsidR="00767532" w:rsidRPr="00967402" w:rsidTr="00767532">
        <w:trPr>
          <w:gridAfter w:val="1"/>
          <w:wAfter w:w="142" w:type="dxa"/>
        </w:trPr>
        <w:tc>
          <w:tcPr>
            <w:tcW w:w="644" w:type="dxa"/>
            <w:vAlign w:val="bottom"/>
          </w:tcPr>
          <w:p w:rsidR="00767532" w:rsidRPr="00967402" w:rsidRDefault="00767532" w:rsidP="00767532">
            <w:pPr>
              <w:spacing w:after="0" w:line="240" w:lineRule="auto"/>
              <w:rPr>
                <w:color w:val="000000"/>
              </w:rPr>
            </w:pPr>
            <w:r w:rsidRPr="00967402">
              <w:rPr>
                <w:color w:val="000000"/>
              </w:rPr>
              <w:t>2</w:t>
            </w:r>
          </w:p>
        </w:tc>
        <w:tc>
          <w:tcPr>
            <w:tcW w:w="1838" w:type="dxa"/>
            <w:gridSpan w:val="2"/>
          </w:tcPr>
          <w:p w:rsidR="00767532" w:rsidRPr="00C32A71" w:rsidRDefault="00767532" w:rsidP="00767532">
            <w:pPr>
              <w:spacing w:after="0" w:line="240" w:lineRule="auto"/>
            </w:pPr>
            <w:r w:rsidRPr="00C32A71">
              <w:t>Widgee 1</w:t>
            </w:r>
          </w:p>
        </w:tc>
        <w:tc>
          <w:tcPr>
            <w:tcW w:w="887" w:type="dxa"/>
            <w:vAlign w:val="bottom"/>
          </w:tcPr>
          <w:p w:rsidR="00767532" w:rsidRPr="00967402" w:rsidRDefault="00767532" w:rsidP="00767532">
            <w:pPr>
              <w:spacing w:after="0" w:line="240" w:lineRule="auto"/>
              <w:jc w:val="right"/>
              <w:rPr>
                <w:color w:val="000000"/>
              </w:rPr>
            </w:pPr>
            <w:r w:rsidRPr="00967402">
              <w:rPr>
                <w:color w:val="000000"/>
              </w:rPr>
              <w:t>49,976</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76,555</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1,061</w:t>
            </w:r>
          </w:p>
        </w:tc>
        <w:tc>
          <w:tcPr>
            <w:tcW w:w="1134" w:type="dxa"/>
            <w:gridSpan w:val="2"/>
            <w:vAlign w:val="bottom"/>
          </w:tcPr>
          <w:p w:rsidR="00767532" w:rsidRPr="00967402" w:rsidRDefault="00767532" w:rsidP="00767532">
            <w:pPr>
              <w:spacing w:after="0" w:line="240" w:lineRule="auto"/>
              <w:jc w:val="right"/>
              <w:rPr>
                <w:color w:val="000000"/>
              </w:rPr>
            </w:pPr>
            <w:r>
              <w:rPr>
                <w:color w:val="000000"/>
              </w:rPr>
              <w:t>N/A</w:t>
            </w:r>
          </w:p>
        </w:tc>
        <w:tc>
          <w:tcPr>
            <w:tcW w:w="1134" w:type="dxa"/>
            <w:gridSpan w:val="2"/>
            <w:vAlign w:val="bottom"/>
          </w:tcPr>
          <w:p w:rsidR="00767532" w:rsidRPr="00967402" w:rsidRDefault="00767532" w:rsidP="00767532">
            <w:pPr>
              <w:spacing w:after="0" w:line="240" w:lineRule="auto"/>
              <w:jc w:val="right"/>
              <w:rPr>
                <w:color w:val="000000"/>
              </w:rPr>
            </w:pPr>
            <w:r>
              <w:rPr>
                <w:color w:val="000000"/>
              </w:rPr>
              <w:t>N/A</w:t>
            </w:r>
          </w:p>
        </w:tc>
        <w:tc>
          <w:tcPr>
            <w:tcW w:w="992" w:type="dxa"/>
            <w:gridSpan w:val="2"/>
            <w:vAlign w:val="bottom"/>
          </w:tcPr>
          <w:p w:rsidR="00767532" w:rsidRPr="00967402" w:rsidRDefault="00767532" w:rsidP="00767532">
            <w:pPr>
              <w:spacing w:after="0" w:line="240" w:lineRule="auto"/>
              <w:jc w:val="right"/>
              <w:rPr>
                <w:color w:val="000000"/>
              </w:rPr>
            </w:pPr>
            <w:r>
              <w:rPr>
                <w:color w:val="000000"/>
              </w:rPr>
              <w:t>N/A</w:t>
            </w:r>
          </w:p>
        </w:tc>
      </w:tr>
      <w:tr w:rsidR="00767532" w:rsidRPr="00967402" w:rsidTr="005D4FC7">
        <w:trPr>
          <w:gridAfter w:val="1"/>
          <w:wAfter w:w="142" w:type="dxa"/>
        </w:trPr>
        <w:tc>
          <w:tcPr>
            <w:tcW w:w="644" w:type="dxa"/>
            <w:tcBorders>
              <w:bottom w:val="single" w:sz="4" w:space="0" w:color="auto"/>
            </w:tcBorders>
            <w:vAlign w:val="bottom"/>
          </w:tcPr>
          <w:p w:rsidR="00767532" w:rsidRPr="00967402" w:rsidRDefault="00767532" w:rsidP="00767532">
            <w:pPr>
              <w:spacing w:after="0" w:line="240" w:lineRule="auto"/>
              <w:rPr>
                <w:color w:val="000000"/>
              </w:rPr>
            </w:pPr>
            <w:r w:rsidRPr="00967402">
              <w:rPr>
                <w:color w:val="000000"/>
              </w:rPr>
              <w:t>2</w:t>
            </w:r>
          </w:p>
        </w:tc>
        <w:tc>
          <w:tcPr>
            <w:tcW w:w="1838" w:type="dxa"/>
            <w:gridSpan w:val="2"/>
            <w:tcBorders>
              <w:bottom w:val="single" w:sz="4" w:space="0" w:color="auto"/>
            </w:tcBorders>
          </w:tcPr>
          <w:p w:rsidR="00767532" w:rsidRPr="00C32A71" w:rsidRDefault="00767532" w:rsidP="00767532">
            <w:pPr>
              <w:spacing w:after="0" w:line="240" w:lineRule="auto"/>
            </w:pPr>
            <w:r w:rsidRPr="00C32A71">
              <w:t>Widgee 2</w:t>
            </w:r>
          </w:p>
        </w:tc>
        <w:tc>
          <w:tcPr>
            <w:tcW w:w="887" w:type="dxa"/>
            <w:tcBorders>
              <w:bottom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11,261</w:t>
            </w:r>
          </w:p>
        </w:tc>
        <w:tc>
          <w:tcPr>
            <w:tcW w:w="1134" w:type="dxa"/>
            <w:gridSpan w:val="2"/>
            <w:tcBorders>
              <w:bottom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84,251</w:t>
            </w:r>
          </w:p>
        </w:tc>
        <w:tc>
          <w:tcPr>
            <w:tcW w:w="1134" w:type="dxa"/>
            <w:gridSpan w:val="2"/>
            <w:tcBorders>
              <w:bottom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842</w:t>
            </w:r>
          </w:p>
        </w:tc>
        <w:tc>
          <w:tcPr>
            <w:tcW w:w="1134" w:type="dxa"/>
            <w:gridSpan w:val="2"/>
            <w:tcBorders>
              <w:bottom w:val="single" w:sz="4" w:space="0" w:color="auto"/>
            </w:tcBorders>
            <w:vAlign w:val="bottom"/>
          </w:tcPr>
          <w:p w:rsidR="00767532" w:rsidRPr="00967402" w:rsidRDefault="00767532" w:rsidP="00767532">
            <w:pPr>
              <w:spacing w:after="0" w:line="240" w:lineRule="auto"/>
              <w:jc w:val="right"/>
              <w:rPr>
                <w:color w:val="000000"/>
              </w:rPr>
            </w:pPr>
            <w:r>
              <w:rPr>
                <w:color w:val="000000"/>
              </w:rPr>
              <w:t>N/A</w:t>
            </w:r>
          </w:p>
        </w:tc>
        <w:tc>
          <w:tcPr>
            <w:tcW w:w="1134" w:type="dxa"/>
            <w:gridSpan w:val="2"/>
            <w:tcBorders>
              <w:bottom w:val="single" w:sz="4" w:space="0" w:color="auto"/>
            </w:tcBorders>
            <w:vAlign w:val="bottom"/>
          </w:tcPr>
          <w:p w:rsidR="00767532" w:rsidRPr="00967402" w:rsidRDefault="00767532" w:rsidP="00767532">
            <w:pPr>
              <w:spacing w:after="0" w:line="240" w:lineRule="auto"/>
              <w:jc w:val="right"/>
              <w:rPr>
                <w:color w:val="000000"/>
              </w:rPr>
            </w:pPr>
            <w:r>
              <w:rPr>
                <w:color w:val="000000"/>
              </w:rPr>
              <w:t>N/A</w:t>
            </w:r>
          </w:p>
        </w:tc>
        <w:tc>
          <w:tcPr>
            <w:tcW w:w="992" w:type="dxa"/>
            <w:gridSpan w:val="2"/>
            <w:tcBorders>
              <w:bottom w:val="single" w:sz="4" w:space="0" w:color="auto"/>
            </w:tcBorders>
            <w:vAlign w:val="bottom"/>
          </w:tcPr>
          <w:p w:rsidR="00767532" w:rsidRPr="00967402" w:rsidRDefault="00767532" w:rsidP="00767532">
            <w:pPr>
              <w:spacing w:after="0" w:line="240" w:lineRule="auto"/>
              <w:jc w:val="right"/>
              <w:rPr>
                <w:color w:val="000000"/>
              </w:rPr>
            </w:pPr>
            <w:r>
              <w:rPr>
                <w:color w:val="000000"/>
              </w:rPr>
              <w:t>N/A</w:t>
            </w:r>
          </w:p>
        </w:tc>
      </w:tr>
      <w:tr w:rsidR="00767532" w:rsidRPr="00967402" w:rsidTr="005D4FC7">
        <w:trPr>
          <w:gridAfter w:val="1"/>
          <w:wAfter w:w="142" w:type="dxa"/>
        </w:trPr>
        <w:tc>
          <w:tcPr>
            <w:tcW w:w="644" w:type="dxa"/>
            <w:tcBorders>
              <w:top w:val="single" w:sz="4" w:space="0" w:color="auto"/>
            </w:tcBorders>
            <w:vAlign w:val="bottom"/>
          </w:tcPr>
          <w:p w:rsidR="00767532" w:rsidRPr="00967402" w:rsidRDefault="00767532" w:rsidP="00767532">
            <w:pPr>
              <w:spacing w:after="0" w:line="240" w:lineRule="auto"/>
              <w:rPr>
                <w:color w:val="000000"/>
              </w:rPr>
            </w:pPr>
            <w:r w:rsidRPr="00967402">
              <w:rPr>
                <w:color w:val="000000"/>
              </w:rPr>
              <w:t>3</w:t>
            </w:r>
          </w:p>
        </w:tc>
        <w:tc>
          <w:tcPr>
            <w:tcW w:w="1838" w:type="dxa"/>
            <w:gridSpan w:val="2"/>
            <w:tcBorders>
              <w:top w:val="single" w:sz="4" w:space="0" w:color="auto"/>
            </w:tcBorders>
          </w:tcPr>
          <w:p w:rsidR="00767532" w:rsidRPr="00C32A71" w:rsidRDefault="00767532" w:rsidP="00767532">
            <w:pPr>
              <w:spacing w:after="0" w:line="240" w:lineRule="auto"/>
            </w:pPr>
            <w:r w:rsidRPr="00C32A71">
              <w:t>Tralee</w:t>
            </w:r>
          </w:p>
        </w:tc>
        <w:tc>
          <w:tcPr>
            <w:tcW w:w="887" w:type="dxa"/>
            <w:tcBorders>
              <w:top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18,696</w:t>
            </w:r>
          </w:p>
        </w:tc>
        <w:tc>
          <w:tcPr>
            <w:tcW w:w="1134" w:type="dxa"/>
            <w:gridSpan w:val="2"/>
            <w:tcBorders>
              <w:top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154,372</w:t>
            </w:r>
          </w:p>
        </w:tc>
        <w:tc>
          <w:tcPr>
            <w:tcW w:w="1134" w:type="dxa"/>
            <w:gridSpan w:val="2"/>
            <w:tcBorders>
              <w:top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275</w:t>
            </w:r>
          </w:p>
        </w:tc>
        <w:tc>
          <w:tcPr>
            <w:tcW w:w="1134" w:type="dxa"/>
            <w:gridSpan w:val="2"/>
            <w:tcBorders>
              <w:top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31,850</w:t>
            </w:r>
          </w:p>
        </w:tc>
        <w:tc>
          <w:tcPr>
            <w:tcW w:w="1134" w:type="dxa"/>
            <w:gridSpan w:val="2"/>
            <w:tcBorders>
              <w:top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168,865</w:t>
            </w:r>
          </w:p>
        </w:tc>
        <w:tc>
          <w:tcPr>
            <w:tcW w:w="992" w:type="dxa"/>
            <w:gridSpan w:val="2"/>
            <w:tcBorders>
              <w:top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2,848</w:t>
            </w:r>
          </w:p>
        </w:tc>
      </w:tr>
      <w:tr w:rsidR="00767532" w:rsidRPr="00967402" w:rsidTr="00767532">
        <w:trPr>
          <w:gridAfter w:val="1"/>
          <w:wAfter w:w="142" w:type="dxa"/>
        </w:trPr>
        <w:tc>
          <w:tcPr>
            <w:tcW w:w="644" w:type="dxa"/>
            <w:vAlign w:val="bottom"/>
          </w:tcPr>
          <w:p w:rsidR="00767532" w:rsidRPr="00967402" w:rsidRDefault="00767532" w:rsidP="00767532">
            <w:pPr>
              <w:spacing w:after="0" w:line="240" w:lineRule="auto"/>
              <w:rPr>
                <w:color w:val="000000"/>
              </w:rPr>
            </w:pPr>
            <w:r w:rsidRPr="00967402">
              <w:rPr>
                <w:color w:val="000000"/>
              </w:rPr>
              <w:t>3</w:t>
            </w:r>
          </w:p>
        </w:tc>
        <w:tc>
          <w:tcPr>
            <w:tcW w:w="1838" w:type="dxa"/>
            <w:gridSpan w:val="2"/>
          </w:tcPr>
          <w:p w:rsidR="00767532" w:rsidRPr="00C32A71" w:rsidRDefault="00767532" w:rsidP="00767532">
            <w:pPr>
              <w:spacing w:after="0" w:line="240" w:lineRule="auto"/>
            </w:pPr>
            <w:r w:rsidRPr="00C32A71">
              <w:t>Cummins</w:t>
            </w:r>
          </w:p>
        </w:tc>
        <w:tc>
          <w:tcPr>
            <w:tcW w:w="887" w:type="dxa"/>
            <w:vAlign w:val="bottom"/>
          </w:tcPr>
          <w:p w:rsidR="00767532" w:rsidRPr="00967402" w:rsidRDefault="00767532" w:rsidP="00767532">
            <w:pPr>
              <w:spacing w:after="0" w:line="240" w:lineRule="auto"/>
              <w:jc w:val="right"/>
              <w:rPr>
                <w:color w:val="000000"/>
              </w:rPr>
            </w:pPr>
            <w:r w:rsidRPr="00967402">
              <w:rPr>
                <w:color w:val="000000"/>
              </w:rPr>
              <w:t>23,688</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121,410</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0</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25,302</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135,325</w:t>
            </w:r>
          </w:p>
        </w:tc>
        <w:tc>
          <w:tcPr>
            <w:tcW w:w="992" w:type="dxa"/>
            <w:gridSpan w:val="2"/>
            <w:vAlign w:val="bottom"/>
          </w:tcPr>
          <w:p w:rsidR="00767532" w:rsidRPr="00967402" w:rsidRDefault="00767532" w:rsidP="00767532">
            <w:pPr>
              <w:spacing w:after="0" w:line="240" w:lineRule="auto"/>
              <w:jc w:val="right"/>
              <w:rPr>
                <w:color w:val="000000"/>
              </w:rPr>
            </w:pPr>
            <w:r w:rsidRPr="00967402">
              <w:rPr>
                <w:color w:val="000000"/>
              </w:rPr>
              <w:t>258</w:t>
            </w:r>
          </w:p>
        </w:tc>
      </w:tr>
      <w:tr w:rsidR="00767532" w:rsidRPr="00967402" w:rsidTr="00767532">
        <w:trPr>
          <w:gridAfter w:val="1"/>
          <w:wAfter w:w="142" w:type="dxa"/>
        </w:trPr>
        <w:tc>
          <w:tcPr>
            <w:tcW w:w="644" w:type="dxa"/>
            <w:vAlign w:val="bottom"/>
          </w:tcPr>
          <w:p w:rsidR="00767532" w:rsidRPr="00967402" w:rsidRDefault="00767532" w:rsidP="00767532">
            <w:pPr>
              <w:spacing w:after="0" w:line="240" w:lineRule="auto"/>
              <w:rPr>
                <w:color w:val="000000"/>
              </w:rPr>
            </w:pPr>
            <w:r w:rsidRPr="00967402">
              <w:rPr>
                <w:color w:val="000000"/>
              </w:rPr>
              <w:t>3</w:t>
            </w:r>
          </w:p>
        </w:tc>
        <w:tc>
          <w:tcPr>
            <w:tcW w:w="1838" w:type="dxa"/>
            <w:gridSpan w:val="2"/>
          </w:tcPr>
          <w:p w:rsidR="00767532" w:rsidRPr="00C32A71" w:rsidRDefault="00767532" w:rsidP="00767532">
            <w:pPr>
              <w:spacing w:after="0" w:line="240" w:lineRule="auto"/>
            </w:pPr>
            <w:r w:rsidRPr="00C32A71">
              <w:t>Ramley</w:t>
            </w:r>
          </w:p>
        </w:tc>
        <w:tc>
          <w:tcPr>
            <w:tcW w:w="887" w:type="dxa"/>
            <w:vAlign w:val="bottom"/>
          </w:tcPr>
          <w:p w:rsidR="00767532" w:rsidRPr="00967402" w:rsidRDefault="00767532" w:rsidP="00767532">
            <w:pPr>
              <w:spacing w:after="0" w:line="240" w:lineRule="auto"/>
              <w:jc w:val="right"/>
              <w:rPr>
                <w:color w:val="000000"/>
              </w:rPr>
            </w:pPr>
            <w:r w:rsidRPr="00967402">
              <w:rPr>
                <w:color w:val="000000"/>
              </w:rPr>
              <w:t>4,902</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115,148</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874</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6,973</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121,289</w:t>
            </w:r>
          </w:p>
        </w:tc>
        <w:tc>
          <w:tcPr>
            <w:tcW w:w="992" w:type="dxa"/>
            <w:gridSpan w:val="2"/>
            <w:vAlign w:val="bottom"/>
          </w:tcPr>
          <w:p w:rsidR="00767532" w:rsidRPr="00967402" w:rsidRDefault="00767532" w:rsidP="00767532">
            <w:pPr>
              <w:spacing w:after="0" w:line="240" w:lineRule="auto"/>
              <w:jc w:val="right"/>
              <w:rPr>
                <w:color w:val="000000"/>
              </w:rPr>
            </w:pPr>
            <w:r w:rsidRPr="00967402">
              <w:rPr>
                <w:color w:val="000000"/>
              </w:rPr>
              <w:t>11,496</w:t>
            </w:r>
          </w:p>
        </w:tc>
      </w:tr>
      <w:tr w:rsidR="00767532" w:rsidRPr="00967402" w:rsidTr="005D4FC7">
        <w:trPr>
          <w:gridAfter w:val="1"/>
          <w:wAfter w:w="142" w:type="dxa"/>
        </w:trPr>
        <w:tc>
          <w:tcPr>
            <w:tcW w:w="644" w:type="dxa"/>
            <w:tcBorders>
              <w:bottom w:val="single" w:sz="4" w:space="0" w:color="auto"/>
            </w:tcBorders>
            <w:vAlign w:val="bottom"/>
          </w:tcPr>
          <w:p w:rsidR="00767532" w:rsidRPr="00967402" w:rsidRDefault="00767532" w:rsidP="00767532">
            <w:pPr>
              <w:spacing w:after="0" w:line="240" w:lineRule="auto"/>
              <w:rPr>
                <w:color w:val="000000"/>
              </w:rPr>
            </w:pPr>
            <w:r w:rsidRPr="00967402">
              <w:rPr>
                <w:color w:val="000000"/>
              </w:rPr>
              <w:t>3</w:t>
            </w:r>
          </w:p>
        </w:tc>
        <w:tc>
          <w:tcPr>
            <w:tcW w:w="1838" w:type="dxa"/>
            <w:gridSpan w:val="2"/>
            <w:tcBorders>
              <w:bottom w:val="single" w:sz="4" w:space="0" w:color="auto"/>
            </w:tcBorders>
          </w:tcPr>
          <w:p w:rsidR="00767532" w:rsidRPr="00C32A71" w:rsidRDefault="00767532" w:rsidP="00767532">
            <w:pPr>
              <w:spacing w:after="0" w:line="240" w:lineRule="auto"/>
            </w:pPr>
            <w:r>
              <w:t>Llanos Par</w:t>
            </w:r>
            <w:r w:rsidRPr="00C32A71">
              <w:t>k</w:t>
            </w:r>
          </w:p>
        </w:tc>
        <w:tc>
          <w:tcPr>
            <w:tcW w:w="887" w:type="dxa"/>
            <w:tcBorders>
              <w:bottom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4,115</w:t>
            </w:r>
          </w:p>
        </w:tc>
        <w:tc>
          <w:tcPr>
            <w:tcW w:w="1134" w:type="dxa"/>
            <w:gridSpan w:val="2"/>
            <w:tcBorders>
              <w:bottom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121,469</w:t>
            </w:r>
          </w:p>
        </w:tc>
        <w:tc>
          <w:tcPr>
            <w:tcW w:w="1134" w:type="dxa"/>
            <w:gridSpan w:val="2"/>
            <w:tcBorders>
              <w:bottom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503</w:t>
            </w:r>
          </w:p>
        </w:tc>
        <w:tc>
          <w:tcPr>
            <w:tcW w:w="1134" w:type="dxa"/>
            <w:gridSpan w:val="2"/>
            <w:tcBorders>
              <w:bottom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2,654</w:t>
            </w:r>
          </w:p>
        </w:tc>
        <w:tc>
          <w:tcPr>
            <w:tcW w:w="1134" w:type="dxa"/>
            <w:gridSpan w:val="2"/>
            <w:tcBorders>
              <w:bottom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138,256</w:t>
            </w:r>
          </w:p>
        </w:tc>
        <w:tc>
          <w:tcPr>
            <w:tcW w:w="992" w:type="dxa"/>
            <w:gridSpan w:val="2"/>
            <w:tcBorders>
              <w:bottom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2,670</w:t>
            </w:r>
          </w:p>
        </w:tc>
      </w:tr>
      <w:tr w:rsidR="00767532" w:rsidRPr="00967402" w:rsidTr="005D4FC7">
        <w:trPr>
          <w:gridAfter w:val="1"/>
          <w:wAfter w:w="142" w:type="dxa"/>
        </w:trPr>
        <w:tc>
          <w:tcPr>
            <w:tcW w:w="644" w:type="dxa"/>
            <w:tcBorders>
              <w:top w:val="single" w:sz="4" w:space="0" w:color="auto"/>
            </w:tcBorders>
            <w:vAlign w:val="bottom"/>
          </w:tcPr>
          <w:p w:rsidR="00767532" w:rsidRPr="00967402" w:rsidRDefault="00767532" w:rsidP="00767532">
            <w:pPr>
              <w:spacing w:after="0" w:line="240" w:lineRule="auto"/>
              <w:rPr>
                <w:color w:val="000000"/>
              </w:rPr>
            </w:pPr>
            <w:r w:rsidRPr="00967402">
              <w:rPr>
                <w:color w:val="000000"/>
              </w:rPr>
              <w:t>4</w:t>
            </w:r>
          </w:p>
        </w:tc>
        <w:tc>
          <w:tcPr>
            <w:tcW w:w="1838" w:type="dxa"/>
            <w:gridSpan w:val="2"/>
            <w:tcBorders>
              <w:top w:val="single" w:sz="4" w:space="0" w:color="auto"/>
            </w:tcBorders>
          </w:tcPr>
          <w:p w:rsidR="00767532" w:rsidRPr="00C32A71" w:rsidRDefault="00767532" w:rsidP="00767532">
            <w:pPr>
              <w:spacing w:after="0" w:line="240" w:lineRule="auto"/>
            </w:pPr>
            <w:r w:rsidRPr="00C32A71">
              <w:t>Barham Rd Bridge</w:t>
            </w:r>
          </w:p>
        </w:tc>
        <w:tc>
          <w:tcPr>
            <w:tcW w:w="887" w:type="dxa"/>
            <w:tcBorders>
              <w:top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13,605</w:t>
            </w:r>
          </w:p>
        </w:tc>
        <w:tc>
          <w:tcPr>
            <w:tcW w:w="1134" w:type="dxa"/>
            <w:gridSpan w:val="2"/>
            <w:tcBorders>
              <w:top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129,316</w:t>
            </w:r>
          </w:p>
        </w:tc>
        <w:tc>
          <w:tcPr>
            <w:tcW w:w="1134" w:type="dxa"/>
            <w:gridSpan w:val="2"/>
            <w:tcBorders>
              <w:top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934</w:t>
            </w:r>
          </w:p>
        </w:tc>
        <w:tc>
          <w:tcPr>
            <w:tcW w:w="1134" w:type="dxa"/>
            <w:gridSpan w:val="2"/>
            <w:tcBorders>
              <w:top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88,993</w:t>
            </w:r>
          </w:p>
        </w:tc>
        <w:tc>
          <w:tcPr>
            <w:tcW w:w="1134" w:type="dxa"/>
            <w:gridSpan w:val="2"/>
            <w:tcBorders>
              <w:top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162,325</w:t>
            </w:r>
          </w:p>
        </w:tc>
        <w:tc>
          <w:tcPr>
            <w:tcW w:w="992" w:type="dxa"/>
            <w:gridSpan w:val="2"/>
            <w:tcBorders>
              <w:top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1,185</w:t>
            </w:r>
          </w:p>
        </w:tc>
      </w:tr>
      <w:tr w:rsidR="00767532" w:rsidRPr="00967402" w:rsidTr="00767532">
        <w:trPr>
          <w:gridAfter w:val="1"/>
          <w:wAfter w:w="142" w:type="dxa"/>
        </w:trPr>
        <w:tc>
          <w:tcPr>
            <w:tcW w:w="644" w:type="dxa"/>
            <w:vAlign w:val="bottom"/>
          </w:tcPr>
          <w:p w:rsidR="00767532" w:rsidRPr="00967402" w:rsidRDefault="00767532" w:rsidP="00767532">
            <w:pPr>
              <w:spacing w:after="0" w:line="240" w:lineRule="auto"/>
              <w:rPr>
                <w:color w:val="000000"/>
              </w:rPr>
            </w:pPr>
            <w:r w:rsidRPr="00967402">
              <w:rPr>
                <w:color w:val="000000"/>
              </w:rPr>
              <w:t>4</w:t>
            </w:r>
          </w:p>
        </w:tc>
        <w:tc>
          <w:tcPr>
            <w:tcW w:w="1838" w:type="dxa"/>
            <w:gridSpan w:val="2"/>
          </w:tcPr>
          <w:p w:rsidR="00767532" w:rsidRPr="00C32A71" w:rsidRDefault="00767532" w:rsidP="00767532">
            <w:pPr>
              <w:spacing w:after="0" w:line="240" w:lineRule="auto"/>
            </w:pPr>
            <w:r w:rsidRPr="00C32A71">
              <w:t>Whymoul</w:t>
            </w:r>
          </w:p>
        </w:tc>
        <w:tc>
          <w:tcPr>
            <w:tcW w:w="887" w:type="dxa"/>
            <w:vAlign w:val="bottom"/>
          </w:tcPr>
          <w:p w:rsidR="00767532" w:rsidRPr="00967402" w:rsidRDefault="00767532" w:rsidP="00767532">
            <w:pPr>
              <w:spacing w:after="0" w:line="240" w:lineRule="auto"/>
              <w:jc w:val="right"/>
              <w:rPr>
                <w:color w:val="000000"/>
              </w:rPr>
            </w:pPr>
            <w:r w:rsidRPr="00967402">
              <w:rPr>
                <w:color w:val="000000"/>
              </w:rPr>
              <w:t>35,993</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123,874</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1,254</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35,509</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135,634</w:t>
            </w:r>
          </w:p>
        </w:tc>
        <w:tc>
          <w:tcPr>
            <w:tcW w:w="992" w:type="dxa"/>
            <w:gridSpan w:val="2"/>
            <w:vAlign w:val="bottom"/>
          </w:tcPr>
          <w:p w:rsidR="00767532" w:rsidRPr="00967402" w:rsidRDefault="00767532" w:rsidP="00767532">
            <w:pPr>
              <w:spacing w:after="0" w:line="240" w:lineRule="auto"/>
              <w:jc w:val="right"/>
              <w:rPr>
                <w:color w:val="000000"/>
              </w:rPr>
            </w:pPr>
            <w:r w:rsidRPr="00967402">
              <w:rPr>
                <w:color w:val="000000"/>
              </w:rPr>
              <w:t>8,081</w:t>
            </w:r>
          </w:p>
        </w:tc>
      </w:tr>
      <w:tr w:rsidR="00767532" w:rsidRPr="00967402" w:rsidTr="00767532">
        <w:trPr>
          <w:gridAfter w:val="1"/>
          <w:wAfter w:w="142" w:type="dxa"/>
        </w:trPr>
        <w:tc>
          <w:tcPr>
            <w:tcW w:w="644" w:type="dxa"/>
            <w:vAlign w:val="bottom"/>
          </w:tcPr>
          <w:p w:rsidR="00767532" w:rsidRPr="00967402" w:rsidRDefault="00767532" w:rsidP="00767532">
            <w:pPr>
              <w:spacing w:after="0" w:line="240" w:lineRule="auto"/>
              <w:rPr>
                <w:color w:val="000000"/>
              </w:rPr>
            </w:pPr>
            <w:r w:rsidRPr="00967402">
              <w:rPr>
                <w:color w:val="000000"/>
              </w:rPr>
              <w:t>4</w:t>
            </w:r>
          </w:p>
        </w:tc>
        <w:tc>
          <w:tcPr>
            <w:tcW w:w="1838" w:type="dxa"/>
            <w:gridSpan w:val="2"/>
          </w:tcPr>
          <w:p w:rsidR="00767532" w:rsidRPr="00C32A71" w:rsidRDefault="00767532" w:rsidP="00767532">
            <w:pPr>
              <w:spacing w:after="0" w:line="240" w:lineRule="auto"/>
            </w:pPr>
            <w:r w:rsidRPr="00C32A71">
              <w:t>Yarranvale</w:t>
            </w:r>
          </w:p>
        </w:tc>
        <w:tc>
          <w:tcPr>
            <w:tcW w:w="887" w:type="dxa"/>
            <w:vAlign w:val="bottom"/>
          </w:tcPr>
          <w:p w:rsidR="00767532" w:rsidRPr="00967402" w:rsidRDefault="00767532" w:rsidP="00767532">
            <w:pPr>
              <w:spacing w:after="0" w:line="240" w:lineRule="auto"/>
              <w:jc w:val="right"/>
              <w:rPr>
                <w:color w:val="000000"/>
              </w:rPr>
            </w:pPr>
            <w:r w:rsidRPr="00967402">
              <w:rPr>
                <w:color w:val="000000"/>
              </w:rPr>
              <w:t>34,988</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123,914</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1,137</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34,631</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137,655</w:t>
            </w:r>
          </w:p>
        </w:tc>
        <w:tc>
          <w:tcPr>
            <w:tcW w:w="992" w:type="dxa"/>
            <w:gridSpan w:val="2"/>
            <w:vAlign w:val="bottom"/>
          </w:tcPr>
          <w:p w:rsidR="00767532" w:rsidRPr="00967402" w:rsidRDefault="00767532" w:rsidP="00767532">
            <w:pPr>
              <w:spacing w:after="0" w:line="240" w:lineRule="auto"/>
              <w:jc w:val="right"/>
              <w:rPr>
                <w:color w:val="000000"/>
              </w:rPr>
            </w:pPr>
            <w:r w:rsidRPr="00967402">
              <w:rPr>
                <w:color w:val="000000"/>
              </w:rPr>
              <w:t>7,236</w:t>
            </w:r>
          </w:p>
        </w:tc>
      </w:tr>
      <w:tr w:rsidR="00767532" w:rsidRPr="00967402" w:rsidTr="00767532">
        <w:trPr>
          <w:gridAfter w:val="1"/>
          <w:wAfter w:w="142" w:type="dxa"/>
        </w:trPr>
        <w:tc>
          <w:tcPr>
            <w:tcW w:w="644" w:type="dxa"/>
            <w:vAlign w:val="bottom"/>
          </w:tcPr>
          <w:p w:rsidR="00767532" w:rsidRPr="00967402" w:rsidRDefault="00767532" w:rsidP="00767532">
            <w:pPr>
              <w:spacing w:after="0" w:line="240" w:lineRule="auto"/>
              <w:rPr>
                <w:color w:val="000000"/>
              </w:rPr>
            </w:pPr>
            <w:r w:rsidRPr="00967402">
              <w:rPr>
                <w:color w:val="000000"/>
              </w:rPr>
              <w:t>4</w:t>
            </w:r>
          </w:p>
        </w:tc>
        <w:tc>
          <w:tcPr>
            <w:tcW w:w="1838" w:type="dxa"/>
            <w:gridSpan w:val="2"/>
          </w:tcPr>
          <w:p w:rsidR="00767532" w:rsidRPr="00C32A71" w:rsidRDefault="00767532" w:rsidP="00767532">
            <w:pPr>
              <w:spacing w:after="0" w:line="240" w:lineRule="auto"/>
            </w:pPr>
            <w:r w:rsidRPr="00C32A71">
              <w:t>Noorong 1</w:t>
            </w:r>
          </w:p>
        </w:tc>
        <w:tc>
          <w:tcPr>
            <w:tcW w:w="887" w:type="dxa"/>
            <w:vAlign w:val="bottom"/>
          </w:tcPr>
          <w:p w:rsidR="00767532" w:rsidRPr="00967402" w:rsidRDefault="00767532" w:rsidP="00767532">
            <w:pPr>
              <w:spacing w:after="0" w:line="240" w:lineRule="auto"/>
              <w:jc w:val="right"/>
              <w:rPr>
                <w:color w:val="000000"/>
              </w:rPr>
            </w:pPr>
            <w:r w:rsidRPr="00967402">
              <w:rPr>
                <w:color w:val="000000"/>
              </w:rPr>
              <w:t>6,040</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115,230</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841</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2,717</w:t>
            </w:r>
          </w:p>
        </w:tc>
        <w:tc>
          <w:tcPr>
            <w:tcW w:w="1134" w:type="dxa"/>
            <w:gridSpan w:val="2"/>
            <w:vAlign w:val="bottom"/>
          </w:tcPr>
          <w:p w:rsidR="00767532" w:rsidRPr="00967402" w:rsidRDefault="00767532" w:rsidP="00767532">
            <w:pPr>
              <w:spacing w:after="0" w:line="240" w:lineRule="auto"/>
              <w:jc w:val="right"/>
              <w:rPr>
                <w:color w:val="000000"/>
              </w:rPr>
            </w:pPr>
            <w:r w:rsidRPr="00967402">
              <w:rPr>
                <w:color w:val="000000"/>
              </w:rPr>
              <w:t>124,554</w:t>
            </w:r>
          </w:p>
        </w:tc>
        <w:tc>
          <w:tcPr>
            <w:tcW w:w="992" w:type="dxa"/>
            <w:gridSpan w:val="2"/>
            <w:vAlign w:val="bottom"/>
          </w:tcPr>
          <w:p w:rsidR="00767532" w:rsidRPr="00967402" w:rsidRDefault="00767532" w:rsidP="00767532">
            <w:pPr>
              <w:spacing w:after="0" w:line="240" w:lineRule="auto"/>
              <w:jc w:val="right"/>
              <w:rPr>
                <w:color w:val="000000"/>
              </w:rPr>
            </w:pPr>
            <w:r w:rsidRPr="00967402">
              <w:rPr>
                <w:color w:val="000000"/>
              </w:rPr>
              <w:t>5,333</w:t>
            </w:r>
          </w:p>
        </w:tc>
      </w:tr>
      <w:tr w:rsidR="00767532" w:rsidRPr="00967402" w:rsidTr="00767532">
        <w:trPr>
          <w:gridAfter w:val="1"/>
          <w:wAfter w:w="142" w:type="dxa"/>
        </w:trPr>
        <w:tc>
          <w:tcPr>
            <w:tcW w:w="644" w:type="dxa"/>
            <w:tcBorders>
              <w:bottom w:val="single" w:sz="4" w:space="0" w:color="auto"/>
            </w:tcBorders>
            <w:vAlign w:val="bottom"/>
          </w:tcPr>
          <w:p w:rsidR="00767532" w:rsidRPr="00967402" w:rsidRDefault="00767532" w:rsidP="00767532">
            <w:pPr>
              <w:spacing w:after="0" w:line="240" w:lineRule="auto"/>
              <w:rPr>
                <w:color w:val="000000"/>
              </w:rPr>
            </w:pPr>
            <w:r w:rsidRPr="00967402">
              <w:rPr>
                <w:color w:val="000000"/>
              </w:rPr>
              <w:t>4</w:t>
            </w:r>
          </w:p>
        </w:tc>
        <w:tc>
          <w:tcPr>
            <w:tcW w:w="1838" w:type="dxa"/>
            <w:gridSpan w:val="2"/>
            <w:tcBorders>
              <w:bottom w:val="single" w:sz="4" w:space="0" w:color="auto"/>
            </w:tcBorders>
          </w:tcPr>
          <w:p w:rsidR="00767532" w:rsidRPr="00C32A71" w:rsidRDefault="00767532" w:rsidP="00767532">
            <w:pPr>
              <w:spacing w:after="0" w:line="240" w:lineRule="auto"/>
            </w:pPr>
            <w:r>
              <w:t>Noorong 2</w:t>
            </w:r>
          </w:p>
        </w:tc>
        <w:tc>
          <w:tcPr>
            <w:tcW w:w="887" w:type="dxa"/>
            <w:tcBorders>
              <w:bottom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5,528</w:t>
            </w:r>
          </w:p>
        </w:tc>
        <w:tc>
          <w:tcPr>
            <w:tcW w:w="1134" w:type="dxa"/>
            <w:gridSpan w:val="2"/>
            <w:tcBorders>
              <w:bottom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102,116</w:t>
            </w:r>
          </w:p>
        </w:tc>
        <w:tc>
          <w:tcPr>
            <w:tcW w:w="1134" w:type="dxa"/>
            <w:gridSpan w:val="2"/>
            <w:tcBorders>
              <w:bottom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3,566</w:t>
            </w:r>
          </w:p>
        </w:tc>
        <w:tc>
          <w:tcPr>
            <w:tcW w:w="1134" w:type="dxa"/>
            <w:gridSpan w:val="2"/>
            <w:tcBorders>
              <w:bottom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4,349</w:t>
            </w:r>
          </w:p>
        </w:tc>
        <w:tc>
          <w:tcPr>
            <w:tcW w:w="1134" w:type="dxa"/>
            <w:gridSpan w:val="2"/>
            <w:tcBorders>
              <w:bottom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101,361</w:t>
            </w:r>
          </w:p>
        </w:tc>
        <w:tc>
          <w:tcPr>
            <w:tcW w:w="992" w:type="dxa"/>
            <w:gridSpan w:val="2"/>
            <w:tcBorders>
              <w:bottom w:val="single" w:sz="4" w:space="0" w:color="auto"/>
            </w:tcBorders>
            <w:vAlign w:val="bottom"/>
          </w:tcPr>
          <w:p w:rsidR="00767532" w:rsidRPr="00967402" w:rsidRDefault="00767532" w:rsidP="00767532">
            <w:pPr>
              <w:spacing w:after="0" w:line="240" w:lineRule="auto"/>
              <w:jc w:val="right"/>
              <w:rPr>
                <w:color w:val="000000"/>
              </w:rPr>
            </w:pPr>
            <w:r w:rsidRPr="00967402">
              <w:rPr>
                <w:color w:val="000000"/>
              </w:rPr>
              <w:t>16,358</w:t>
            </w:r>
          </w:p>
        </w:tc>
      </w:tr>
    </w:tbl>
    <w:p w:rsidR="000136AC" w:rsidRPr="000136AC" w:rsidRDefault="000136AC" w:rsidP="000136AC">
      <w:pPr>
        <w:pStyle w:val="Default"/>
        <w:spacing w:before="120" w:after="240" w:line="276" w:lineRule="auto"/>
        <w:jc w:val="both"/>
        <w:rPr>
          <w:rFonts w:asciiTheme="minorHAnsi" w:hAnsiTheme="minorHAnsi"/>
          <w:sz w:val="22"/>
          <w:szCs w:val="22"/>
        </w:rPr>
      </w:pPr>
    </w:p>
    <w:p w:rsidR="00767532" w:rsidRPr="000136AC" w:rsidRDefault="00767532" w:rsidP="00A11665">
      <w:pPr>
        <w:pStyle w:val="Default"/>
        <w:spacing w:after="240" w:line="360" w:lineRule="auto"/>
        <w:rPr>
          <w:rFonts w:asciiTheme="minorHAnsi" w:hAnsiTheme="minorHAnsi"/>
          <w:sz w:val="22"/>
          <w:szCs w:val="22"/>
        </w:rPr>
      </w:pPr>
      <w:r w:rsidRPr="000136AC">
        <w:rPr>
          <w:rFonts w:asciiTheme="minorHAnsi" w:hAnsiTheme="minorHAnsi"/>
          <w:sz w:val="22"/>
          <w:szCs w:val="22"/>
        </w:rPr>
        <w:t xml:space="preserve">In Yallakool Creek </w:t>
      </w:r>
      <w:r w:rsidR="003704E9">
        <w:rPr>
          <w:rFonts w:asciiTheme="minorHAnsi" w:hAnsiTheme="minorHAnsi"/>
          <w:sz w:val="22"/>
          <w:szCs w:val="22"/>
        </w:rPr>
        <w:t xml:space="preserve">zone 1 </w:t>
      </w:r>
      <w:r w:rsidRPr="000136AC">
        <w:rPr>
          <w:rFonts w:asciiTheme="minorHAnsi" w:hAnsiTheme="minorHAnsi"/>
          <w:sz w:val="22"/>
          <w:szCs w:val="22"/>
        </w:rPr>
        <w:t>there was a loss in area of slow water at ‘Hopwood’ and ‘Cumnock’ but an increase in the area of slow water under environmental watering scenario at Mascott and Windra Vale near the lower end of zone 1. In contrast, at most sites in Wakool River zone 3 and 4 (with the exception of Noorong 2) there were substantial increases in the area of slow water under the environmental watering</w:t>
      </w:r>
      <w:r w:rsidR="006241EC">
        <w:rPr>
          <w:rFonts w:asciiTheme="minorHAnsi" w:hAnsiTheme="minorHAnsi"/>
          <w:sz w:val="22"/>
          <w:szCs w:val="22"/>
        </w:rPr>
        <w:t xml:space="preserve"> scenario (Table 5.3, Figure 5.2</w:t>
      </w:r>
      <w:r w:rsidRPr="000136AC">
        <w:rPr>
          <w:rFonts w:asciiTheme="minorHAnsi" w:hAnsiTheme="minorHAnsi"/>
          <w:sz w:val="22"/>
          <w:szCs w:val="22"/>
        </w:rPr>
        <w:t>). There was significantly more slow water in zones 3 and 4 than in zone 1 during the environmental watering (</w:t>
      </w:r>
      <w:proofErr w:type="gramStart"/>
      <w:r w:rsidRPr="000136AC">
        <w:rPr>
          <w:rFonts w:asciiTheme="minorHAnsi" w:hAnsiTheme="minorHAnsi"/>
          <w:sz w:val="22"/>
          <w:szCs w:val="22"/>
        </w:rPr>
        <w:t>df=</w:t>
      </w:r>
      <w:proofErr w:type="gramEnd"/>
      <w:r w:rsidRPr="000136AC">
        <w:rPr>
          <w:rFonts w:asciiTheme="minorHAnsi" w:hAnsiTheme="minorHAnsi"/>
          <w:sz w:val="22"/>
          <w:szCs w:val="22"/>
        </w:rPr>
        <w:t>2, F=8.086, p=0.007).</w:t>
      </w:r>
    </w:p>
    <w:p w:rsidR="00767532" w:rsidRPr="000136AC" w:rsidRDefault="00767532" w:rsidP="00A11665">
      <w:pPr>
        <w:pStyle w:val="Default"/>
        <w:spacing w:after="240" w:line="360" w:lineRule="auto"/>
        <w:rPr>
          <w:rFonts w:asciiTheme="minorHAnsi" w:hAnsiTheme="minorHAnsi"/>
          <w:sz w:val="22"/>
          <w:szCs w:val="22"/>
        </w:rPr>
      </w:pPr>
      <w:r w:rsidRPr="000136AC">
        <w:rPr>
          <w:rFonts w:asciiTheme="minorHAnsi" w:hAnsiTheme="minorHAnsi"/>
          <w:sz w:val="22"/>
          <w:szCs w:val="22"/>
        </w:rPr>
        <w:t>During the environmental watering action between August 2014 and January 2015 there was a substantial increase in fast flowing water (&gt;0.3 ms</w:t>
      </w:r>
      <w:r w:rsidRPr="000136AC">
        <w:rPr>
          <w:rFonts w:asciiTheme="minorHAnsi" w:hAnsiTheme="minorHAnsi"/>
          <w:sz w:val="22"/>
          <w:szCs w:val="22"/>
          <w:vertAlign w:val="superscript"/>
        </w:rPr>
        <w:t>-1</w:t>
      </w:r>
      <w:r w:rsidRPr="000136AC">
        <w:rPr>
          <w:rFonts w:asciiTheme="minorHAnsi" w:hAnsiTheme="minorHAnsi"/>
          <w:sz w:val="22"/>
          <w:szCs w:val="22"/>
        </w:rPr>
        <w:t>) in Yallakool Creek. For example, the area of fast water at ‘Hopwood’ increased from 4,594 m</w:t>
      </w:r>
      <w:r w:rsidRPr="000136AC">
        <w:rPr>
          <w:rFonts w:asciiTheme="minorHAnsi" w:hAnsiTheme="minorHAnsi"/>
          <w:sz w:val="22"/>
          <w:szCs w:val="22"/>
          <w:vertAlign w:val="superscript"/>
        </w:rPr>
        <w:t>2</w:t>
      </w:r>
      <w:r w:rsidRPr="000136AC">
        <w:rPr>
          <w:rFonts w:asciiTheme="minorHAnsi" w:hAnsiTheme="minorHAnsi"/>
          <w:sz w:val="22"/>
          <w:szCs w:val="22"/>
        </w:rPr>
        <w:t xml:space="preserve"> to 21,371 m</w:t>
      </w:r>
      <w:r w:rsidRPr="000136AC">
        <w:rPr>
          <w:rFonts w:asciiTheme="minorHAnsi" w:hAnsiTheme="minorHAnsi"/>
          <w:sz w:val="22"/>
          <w:szCs w:val="22"/>
          <w:vertAlign w:val="superscript"/>
        </w:rPr>
        <w:t>2</w:t>
      </w:r>
      <w:r w:rsidR="006241EC">
        <w:rPr>
          <w:rFonts w:asciiTheme="minorHAnsi" w:hAnsiTheme="minorHAnsi"/>
          <w:sz w:val="22"/>
          <w:szCs w:val="22"/>
        </w:rPr>
        <w:t xml:space="preserve"> (Table 5.3</w:t>
      </w:r>
      <w:r w:rsidRPr="000136AC">
        <w:rPr>
          <w:rFonts w:asciiTheme="minorHAnsi" w:hAnsiTheme="minorHAnsi"/>
          <w:sz w:val="22"/>
          <w:szCs w:val="22"/>
        </w:rPr>
        <w:t>), being an increase of 365%. In contrast, the increase in fast water in zones 3 and 4 during the environmental watering action was generally lower, the exceptions being a 200% increase at ‘Ramley’ and 231% inc</w:t>
      </w:r>
      <w:r w:rsidR="006241EC">
        <w:rPr>
          <w:rFonts w:asciiTheme="minorHAnsi" w:hAnsiTheme="minorHAnsi"/>
          <w:sz w:val="22"/>
          <w:szCs w:val="22"/>
        </w:rPr>
        <w:t>rease at ‘Noorong 2’ (Figure 5.2</w:t>
      </w:r>
      <w:r w:rsidRPr="000136AC">
        <w:rPr>
          <w:rFonts w:asciiTheme="minorHAnsi" w:hAnsiTheme="minorHAnsi"/>
          <w:sz w:val="22"/>
          <w:szCs w:val="22"/>
        </w:rPr>
        <w:t>). There was significantly more fast water in zone 1 than in zones 3 and 4 during the environmental watering (</w:t>
      </w:r>
      <w:proofErr w:type="gramStart"/>
      <w:r w:rsidRPr="000136AC">
        <w:rPr>
          <w:rFonts w:asciiTheme="minorHAnsi" w:hAnsiTheme="minorHAnsi"/>
          <w:sz w:val="22"/>
          <w:szCs w:val="22"/>
        </w:rPr>
        <w:t>df=</w:t>
      </w:r>
      <w:proofErr w:type="gramEnd"/>
      <w:r w:rsidRPr="000136AC">
        <w:rPr>
          <w:rFonts w:asciiTheme="minorHAnsi" w:hAnsiTheme="minorHAnsi"/>
          <w:sz w:val="22"/>
          <w:szCs w:val="22"/>
        </w:rPr>
        <w:t>2, F=5.617, p=0.021).</w:t>
      </w:r>
    </w:p>
    <w:p w:rsidR="00767532" w:rsidRDefault="00767532" w:rsidP="00A11665">
      <w:pPr>
        <w:spacing w:after="240"/>
        <w:jc w:val="left"/>
        <w:rPr>
          <w:rFonts w:cs="Calibri"/>
        </w:rPr>
      </w:pPr>
      <w:r w:rsidRPr="009412FE">
        <w:rPr>
          <w:rFonts w:cs="Calibri"/>
        </w:rPr>
        <w:t xml:space="preserve">Maps showing representation of the spatial coverage of the velocity zones for </w:t>
      </w:r>
      <w:r>
        <w:rPr>
          <w:rFonts w:cs="Calibri"/>
        </w:rPr>
        <w:t xml:space="preserve">‘Windra Vale’ </w:t>
      </w:r>
      <w:r w:rsidRPr="009412FE">
        <w:rPr>
          <w:rFonts w:cs="Calibri"/>
        </w:rPr>
        <w:t xml:space="preserve">shows the increase in all three velocity types, as backwaters are inundated creating slackwater and the main channel has a mix of slow and fast water (Figures </w:t>
      </w:r>
      <w:r w:rsidR="006241EC">
        <w:rPr>
          <w:rFonts w:cs="Calibri"/>
        </w:rPr>
        <w:t>5.3</w:t>
      </w:r>
      <w:r w:rsidRPr="009412FE">
        <w:rPr>
          <w:rFonts w:cs="Calibri"/>
        </w:rPr>
        <w:t xml:space="preserve">). The velocity maps of ‘Barham Rd Bridge’ </w:t>
      </w:r>
      <w:r>
        <w:rPr>
          <w:rFonts w:cs="Calibri"/>
        </w:rPr>
        <w:t xml:space="preserve">reach </w:t>
      </w:r>
      <w:r w:rsidRPr="009412FE">
        <w:rPr>
          <w:rFonts w:cs="Calibri"/>
        </w:rPr>
        <w:t>(</w:t>
      </w:r>
      <w:r>
        <w:rPr>
          <w:rFonts w:cs="Calibri"/>
        </w:rPr>
        <w:t>Figure 5.6</w:t>
      </w:r>
      <w:r w:rsidRPr="009412FE">
        <w:rPr>
          <w:rFonts w:cs="Calibri"/>
        </w:rPr>
        <w:t>) shows the significant increase in slackwater and slow water as backwaters become inundated under environme</w:t>
      </w:r>
      <w:r>
        <w:rPr>
          <w:rFonts w:cs="Calibri"/>
        </w:rPr>
        <w:t>ntal watering</w:t>
      </w:r>
      <w:r w:rsidRPr="009412FE">
        <w:rPr>
          <w:rFonts w:cs="Calibri"/>
        </w:rPr>
        <w:t xml:space="preserve">. In contrast, at ‘Noorong2’ in zone 4 there is very little slackwater present and the environmental watering resulted in an increase in </w:t>
      </w:r>
      <w:r>
        <w:rPr>
          <w:rFonts w:cs="Calibri"/>
        </w:rPr>
        <w:t xml:space="preserve">area of </w:t>
      </w:r>
      <w:r w:rsidRPr="009412FE">
        <w:rPr>
          <w:rFonts w:cs="Calibri"/>
        </w:rPr>
        <w:t>o</w:t>
      </w:r>
      <w:r>
        <w:rPr>
          <w:rFonts w:cs="Calibri"/>
        </w:rPr>
        <w:t>nly fast flow.</w:t>
      </w:r>
    </w:p>
    <w:p w:rsidR="00767532" w:rsidRPr="009412FE" w:rsidRDefault="00767532" w:rsidP="00767532">
      <w:pPr>
        <w:spacing w:before="120"/>
        <w:rPr>
          <w:rFonts w:cs="Calibri"/>
        </w:rPr>
      </w:pPr>
    </w:p>
    <w:p w:rsidR="00767532" w:rsidRDefault="00767532" w:rsidP="00767532">
      <w:pPr>
        <w:pStyle w:val="Default"/>
        <w:spacing w:before="120"/>
        <w:rPr>
          <w:bCs/>
          <w:sz w:val="26"/>
          <w:szCs w:val="26"/>
        </w:rPr>
      </w:pPr>
      <w:r w:rsidRPr="00067F85">
        <w:rPr>
          <w:noProof/>
        </w:rPr>
        <w:drawing>
          <wp:inline distT="0" distB="0" distL="0" distR="0">
            <wp:extent cx="5822102" cy="3600000"/>
            <wp:effectExtent l="0" t="0" r="7620" b="63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22102" cy="3600000"/>
                    </a:xfrm>
                    <a:prstGeom prst="rect">
                      <a:avLst/>
                    </a:prstGeom>
                    <a:noFill/>
                    <a:ln>
                      <a:noFill/>
                    </a:ln>
                  </pic:spPr>
                </pic:pic>
              </a:graphicData>
            </a:graphic>
          </wp:inline>
        </w:drawing>
      </w:r>
    </w:p>
    <w:p w:rsidR="00767532" w:rsidRDefault="006241EC" w:rsidP="00767532">
      <w:pPr>
        <w:spacing w:after="120" w:line="240" w:lineRule="auto"/>
        <w:rPr>
          <w:rFonts w:eastAsia="Times New Roman"/>
          <w:b/>
          <w:color w:val="000000"/>
          <w:kern w:val="28"/>
          <w:sz w:val="20"/>
        </w:rPr>
      </w:pPr>
      <w:r>
        <w:rPr>
          <w:rFonts w:eastAsia="Times New Roman"/>
          <w:b/>
          <w:color w:val="000000"/>
          <w:kern w:val="28"/>
          <w:sz w:val="20"/>
        </w:rPr>
        <w:t>Figure 5.2</w:t>
      </w:r>
      <w:r w:rsidR="00767532">
        <w:rPr>
          <w:rFonts w:eastAsia="Times New Roman"/>
          <w:b/>
          <w:color w:val="000000"/>
          <w:kern w:val="28"/>
          <w:sz w:val="20"/>
        </w:rPr>
        <w:t>:</w:t>
      </w:r>
      <w:r w:rsidR="00767532" w:rsidRPr="0028490E">
        <w:rPr>
          <w:rFonts w:eastAsia="Times New Roman"/>
          <w:b/>
          <w:color w:val="000000"/>
          <w:kern w:val="28"/>
          <w:sz w:val="20"/>
        </w:rPr>
        <w:t xml:space="preserve"> </w:t>
      </w:r>
      <w:r w:rsidR="00767532" w:rsidRPr="00932789">
        <w:rPr>
          <w:rFonts w:eastAsia="Times New Roman"/>
          <w:color w:val="000000"/>
          <w:kern w:val="28"/>
          <w:sz w:val="20"/>
        </w:rPr>
        <w:t>Positive or negative change in wetted surface area (m</w:t>
      </w:r>
      <w:r w:rsidR="00767532" w:rsidRPr="00932789">
        <w:rPr>
          <w:rFonts w:eastAsia="Times New Roman"/>
          <w:color w:val="000000"/>
          <w:kern w:val="28"/>
          <w:sz w:val="20"/>
          <w:vertAlign w:val="superscript"/>
        </w:rPr>
        <w:t>2</w:t>
      </w:r>
      <w:r w:rsidR="00767532" w:rsidRPr="00932789">
        <w:rPr>
          <w:rFonts w:eastAsia="Times New Roman"/>
          <w:color w:val="000000"/>
          <w:kern w:val="28"/>
          <w:sz w:val="20"/>
        </w:rPr>
        <w:t xml:space="preserve">) of slackwater, slow water and fast water for nineteen reaches in the Edward-Wakool Selected Area under environmental watering in Yallakool Creek between August 2014 and January 2015 relative to operational base flow. </w:t>
      </w:r>
      <w:proofErr w:type="gramStart"/>
      <w:r w:rsidR="00767532" w:rsidRPr="00932789">
        <w:rPr>
          <w:rFonts w:eastAsia="Times New Roman"/>
          <w:color w:val="000000"/>
          <w:kern w:val="28"/>
          <w:sz w:val="20"/>
        </w:rPr>
        <w:t>slackwater</w:t>
      </w:r>
      <w:proofErr w:type="gramEnd"/>
      <w:r w:rsidR="00767532" w:rsidRPr="00932789">
        <w:rPr>
          <w:rFonts w:eastAsia="Times New Roman"/>
          <w:color w:val="000000"/>
          <w:kern w:val="28"/>
          <w:sz w:val="20"/>
        </w:rPr>
        <w:t xml:space="preserve"> (&lt; 0.02 m.s</w:t>
      </w:r>
      <w:r w:rsidR="00767532" w:rsidRPr="00932789">
        <w:rPr>
          <w:rFonts w:eastAsia="Times New Roman"/>
          <w:color w:val="000000"/>
          <w:kern w:val="28"/>
          <w:sz w:val="20"/>
          <w:vertAlign w:val="superscript"/>
        </w:rPr>
        <w:t>-1</w:t>
      </w:r>
      <w:r w:rsidR="00767532" w:rsidRPr="00932789">
        <w:rPr>
          <w:rFonts w:eastAsia="Times New Roman"/>
          <w:color w:val="000000"/>
          <w:kern w:val="28"/>
          <w:sz w:val="20"/>
        </w:rPr>
        <w:t>), slow water (0.02-0.3 m.s</w:t>
      </w:r>
      <w:r w:rsidR="00767532" w:rsidRPr="00932789">
        <w:rPr>
          <w:rFonts w:eastAsia="Times New Roman"/>
          <w:color w:val="000000"/>
          <w:kern w:val="28"/>
          <w:sz w:val="20"/>
          <w:vertAlign w:val="superscript"/>
        </w:rPr>
        <w:t>-1</w:t>
      </w:r>
      <w:r w:rsidR="00767532" w:rsidRPr="00932789">
        <w:rPr>
          <w:rFonts w:eastAsia="Times New Roman"/>
          <w:color w:val="000000"/>
          <w:kern w:val="28"/>
          <w:sz w:val="20"/>
        </w:rPr>
        <w:t>), fast water (&gt;0.3m.s</w:t>
      </w:r>
      <w:r w:rsidR="00767532" w:rsidRPr="00932789">
        <w:rPr>
          <w:rFonts w:eastAsia="Times New Roman"/>
          <w:color w:val="000000"/>
          <w:kern w:val="28"/>
          <w:sz w:val="20"/>
          <w:vertAlign w:val="superscript"/>
        </w:rPr>
        <w:t>-1</w:t>
      </w:r>
      <w:r w:rsidR="009F4D23">
        <w:rPr>
          <w:rFonts w:eastAsia="Times New Roman"/>
          <w:color w:val="000000"/>
          <w:kern w:val="28"/>
          <w:sz w:val="20"/>
        </w:rPr>
        <w:t>). Hyd</w:t>
      </w:r>
      <w:r w:rsidR="009E4834">
        <w:rPr>
          <w:rFonts w:eastAsia="Times New Roman"/>
          <w:color w:val="000000"/>
          <w:kern w:val="28"/>
          <w:sz w:val="20"/>
        </w:rPr>
        <w:t>rological zones: Zone 1 = Yallakool Creek, Zone 2 = upper Wakool River, Z</w:t>
      </w:r>
      <w:r w:rsidR="00767532" w:rsidRPr="00932789">
        <w:rPr>
          <w:rFonts w:eastAsia="Times New Roman"/>
          <w:color w:val="000000"/>
          <w:kern w:val="28"/>
          <w:sz w:val="20"/>
        </w:rPr>
        <w:t>one 3 = Wakool Riv</w:t>
      </w:r>
      <w:r w:rsidR="009E4834">
        <w:rPr>
          <w:rFonts w:eastAsia="Times New Roman"/>
          <w:color w:val="000000"/>
          <w:kern w:val="28"/>
          <w:sz w:val="20"/>
        </w:rPr>
        <w:t>er upstream of Thule Creek and Z</w:t>
      </w:r>
      <w:r w:rsidR="00767532" w:rsidRPr="00932789">
        <w:rPr>
          <w:rFonts w:eastAsia="Times New Roman"/>
          <w:color w:val="000000"/>
          <w:kern w:val="28"/>
          <w:sz w:val="20"/>
        </w:rPr>
        <w:t>one 4 = Wakool River downstream of Thule Creek.</w:t>
      </w:r>
    </w:p>
    <w:p w:rsidR="00767532" w:rsidRDefault="00691121" w:rsidP="00767532">
      <w:pPr>
        <w:spacing w:after="120" w:line="240" w:lineRule="auto"/>
        <w:rPr>
          <w:rFonts w:eastAsia="Times New Roman"/>
          <w:b/>
          <w:color w:val="000000"/>
          <w:kern w:val="28"/>
          <w:sz w:val="20"/>
        </w:rPr>
      </w:pPr>
      <w:r>
        <w:rPr>
          <w:rFonts w:eastAsia="Times New Roman"/>
          <w:b/>
          <w:noProof/>
          <w:color w:val="000000"/>
          <w:kern w:val="28"/>
          <w:sz w:val="20"/>
          <w:lang w:eastAsia="en-AU"/>
        </w:rPr>
        <w:drawing>
          <wp:inline distT="0" distB="0" distL="0" distR="0">
            <wp:extent cx="5822315" cy="7297420"/>
            <wp:effectExtent l="0" t="0" r="6985"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22315" cy="7297420"/>
                    </a:xfrm>
                    <a:prstGeom prst="rect">
                      <a:avLst/>
                    </a:prstGeom>
                    <a:noFill/>
                  </pic:spPr>
                </pic:pic>
              </a:graphicData>
            </a:graphic>
          </wp:inline>
        </w:drawing>
      </w:r>
    </w:p>
    <w:p w:rsidR="00767532" w:rsidRPr="00364A39" w:rsidRDefault="006241EC" w:rsidP="00EB70F1">
      <w:pPr>
        <w:spacing w:line="240" w:lineRule="auto"/>
        <w:rPr>
          <w:rFonts w:eastAsia="Times New Roman"/>
          <w:color w:val="000000"/>
          <w:kern w:val="28"/>
          <w:sz w:val="20"/>
        </w:rPr>
      </w:pPr>
      <w:r>
        <w:rPr>
          <w:rFonts w:eastAsia="Times New Roman"/>
          <w:b/>
          <w:color w:val="000000"/>
          <w:kern w:val="28"/>
          <w:sz w:val="20"/>
        </w:rPr>
        <w:t>Figure 5.3</w:t>
      </w:r>
      <w:r w:rsidR="00767532" w:rsidRPr="00021C27">
        <w:rPr>
          <w:rFonts w:eastAsia="Times New Roman"/>
          <w:b/>
          <w:color w:val="000000"/>
          <w:kern w:val="28"/>
          <w:sz w:val="20"/>
        </w:rPr>
        <w:t xml:space="preserve">: </w:t>
      </w:r>
      <w:r w:rsidR="00767532" w:rsidRPr="00364A39">
        <w:rPr>
          <w:rFonts w:eastAsia="Times New Roman"/>
          <w:color w:val="000000"/>
          <w:kern w:val="28"/>
          <w:sz w:val="20"/>
        </w:rPr>
        <w:t xml:space="preserve">Maps showing representation the spatial coverage of the water surface extent for slackwater (green), slow water (blue) and fast water (red) at ‘Windra Vale’ zone 1, Barham Rd bridge’ zone 3, and Noorong 2 in zone 4 under operational flow and Yallakool Creek environmental flow scenarios. </w:t>
      </w:r>
    </w:p>
    <w:p w:rsidR="00EB70F1" w:rsidRDefault="00EB70F1" w:rsidP="00767532">
      <w:pPr>
        <w:pStyle w:val="Default"/>
        <w:spacing w:before="120"/>
        <w:rPr>
          <w:rFonts w:asciiTheme="minorHAnsi" w:hAnsiTheme="minorHAnsi"/>
          <w:bCs/>
          <w:i/>
          <w:sz w:val="22"/>
          <w:szCs w:val="22"/>
        </w:rPr>
      </w:pPr>
    </w:p>
    <w:p w:rsidR="007D5DD5" w:rsidRDefault="007D5DD5">
      <w:pPr>
        <w:spacing w:after="0" w:line="240" w:lineRule="auto"/>
        <w:jc w:val="left"/>
        <w:rPr>
          <w:rFonts w:asciiTheme="minorHAnsi" w:eastAsia="Times New Roman" w:hAnsiTheme="minorHAnsi" w:cs="Arial"/>
          <w:bCs/>
          <w:i/>
          <w:color w:val="000000"/>
          <w:szCs w:val="22"/>
          <w:lang w:eastAsia="en-AU"/>
        </w:rPr>
      </w:pPr>
      <w:r>
        <w:rPr>
          <w:rFonts w:asciiTheme="minorHAnsi" w:hAnsiTheme="minorHAnsi"/>
          <w:bCs/>
          <w:i/>
          <w:szCs w:val="22"/>
        </w:rPr>
        <w:br w:type="page"/>
      </w:r>
    </w:p>
    <w:p w:rsidR="00767532" w:rsidRPr="000136AC" w:rsidRDefault="00767532" w:rsidP="00767532">
      <w:pPr>
        <w:pStyle w:val="Default"/>
        <w:spacing w:before="120"/>
        <w:rPr>
          <w:rFonts w:asciiTheme="minorHAnsi" w:hAnsiTheme="minorHAnsi"/>
          <w:bCs/>
          <w:i/>
          <w:sz w:val="22"/>
          <w:szCs w:val="22"/>
        </w:rPr>
      </w:pPr>
      <w:r w:rsidRPr="000136AC">
        <w:rPr>
          <w:rFonts w:asciiTheme="minorHAnsi" w:hAnsiTheme="minorHAnsi"/>
          <w:bCs/>
          <w:i/>
          <w:sz w:val="22"/>
          <w:szCs w:val="22"/>
        </w:rPr>
        <w:t>Other modelled flow scenarios</w:t>
      </w:r>
    </w:p>
    <w:p w:rsidR="00767532" w:rsidRPr="000136AC" w:rsidRDefault="00767532" w:rsidP="000136AC">
      <w:pPr>
        <w:pStyle w:val="BodyText"/>
        <w:spacing w:line="240" w:lineRule="auto"/>
        <w:ind w:firstLine="720"/>
        <w:rPr>
          <w:rFonts w:asciiTheme="minorHAnsi" w:hAnsiTheme="minorHAnsi" w:cs="Calibri"/>
          <w:sz w:val="22"/>
          <w:szCs w:val="22"/>
          <w:highlight w:val="yellow"/>
        </w:rPr>
      </w:pPr>
    </w:p>
    <w:p w:rsidR="00767532" w:rsidRPr="000136AC" w:rsidRDefault="00767532" w:rsidP="00A11665">
      <w:pPr>
        <w:pStyle w:val="BodyText"/>
        <w:jc w:val="left"/>
        <w:rPr>
          <w:rFonts w:asciiTheme="minorHAnsi" w:hAnsiTheme="minorHAnsi" w:cs="Calibri"/>
          <w:sz w:val="22"/>
        </w:rPr>
      </w:pPr>
      <w:r w:rsidRPr="000136AC">
        <w:rPr>
          <w:rFonts w:asciiTheme="minorHAnsi" w:hAnsiTheme="minorHAnsi" w:cs="Calibri"/>
          <w:sz w:val="22"/>
          <w:szCs w:val="22"/>
        </w:rPr>
        <w:t>In addition to the operational flow and environmental watering scenarios there were several other scenarios modelled for each reach (Table 5.1) ranging from low flows up to the maximum unregulated flow recorded in these reaches between 2012 and 2015.</w:t>
      </w:r>
      <w:r w:rsidRPr="000136AC">
        <w:rPr>
          <w:rFonts w:asciiTheme="minorHAnsi" w:hAnsiTheme="minorHAnsi" w:cs="Calibri"/>
          <w:sz w:val="22"/>
        </w:rPr>
        <w:t xml:space="preserve"> </w:t>
      </w:r>
      <w:r w:rsidRPr="000136AC">
        <w:rPr>
          <w:rFonts w:asciiTheme="minorHAnsi" w:hAnsiTheme="minorHAnsi" w:cs="Calibri"/>
          <w:sz w:val="22"/>
          <w:szCs w:val="22"/>
        </w:rPr>
        <w:t xml:space="preserve">There </w:t>
      </w:r>
      <w:r w:rsidR="00F066E5">
        <w:rPr>
          <w:rFonts w:asciiTheme="minorHAnsi" w:hAnsiTheme="minorHAnsi" w:cs="Calibri"/>
          <w:sz w:val="22"/>
          <w:szCs w:val="22"/>
        </w:rPr>
        <w:t xml:space="preserve">is not a tight relationship between discharge and wetted benthic area. There </w:t>
      </w:r>
      <w:r w:rsidRPr="000136AC">
        <w:rPr>
          <w:rFonts w:asciiTheme="minorHAnsi" w:hAnsiTheme="minorHAnsi" w:cs="Calibri"/>
          <w:sz w:val="22"/>
          <w:szCs w:val="22"/>
        </w:rPr>
        <w:t xml:space="preserve">is a broad </w:t>
      </w:r>
      <w:r w:rsidR="00F066E5">
        <w:rPr>
          <w:rFonts w:asciiTheme="minorHAnsi" w:hAnsiTheme="minorHAnsi" w:cs="Calibri"/>
          <w:sz w:val="22"/>
          <w:szCs w:val="22"/>
        </w:rPr>
        <w:t>range of responses</w:t>
      </w:r>
      <w:r w:rsidRPr="000136AC">
        <w:rPr>
          <w:rFonts w:asciiTheme="minorHAnsi" w:hAnsiTheme="minorHAnsi" w:cs="Calibri"/>
          <w:sz w:val="22"/>
          <w:szCs w:val="22"/>
        </w:rPr>
        <w:t xml:space="preserve"> for the same discharge</w:t>
      </w:r>
      <w:r w:rsidR="005D4FC7">
        <w:rPr>
          <w:rFonts w:asciiTheme="minorHAnsi" w:hAnsiTheme="minorHAnsi" w:cs="Calibri"/>
          <w:sz w:val="22"/>
          <w:szCs w:val="22"/>
        </w:rPr>
        <w:t xml:space="preserve"> (Figure 5.4)</w:t>
      </w:r>
      <w:r w:rsidRPr="000136AC">
        <w:rPr>
          <w:rFonts w:asciiTheme="minorHAnsi" w:hAnsiTheme="minorHAnsi" w:cs="Calibri"/>
          <w:sz w:val="22"/>
          <w:szCs w:val="22"/>
        </w:rPr>
        <w:t>. Thus, a given</w:t>
      </w:r>
      <w:r w:rsidRPr="000136AC">
        <w:rPr>
          <w:rFonts w:asciiTheme="minorHAnsi" w:hAnsiTheme="minorHAnsi" w:cs="Calibri"/>
          <w:sz w:val="22"/>
        </w:rPr>
        <w:t xml:space="preserve"> discharge</w:t>
      </w:r>
      <w:r w:rsidRPr="000136AC">
        <w:rPr>
          <w:rFonts w:asciiTheme="minorHAnsi" w:hAnsiTheme="minorHAnsi" w:cs="Calibri"/>
          <w:sz w:val="22"/>
          <w:szCs w:val="22"/>
        </w:rPr>
        <w:t xml:space="preserve"> can result in vastly</w:t>
      </w:r>
      <w:r w:rsidRPr="000136AC">
        <w:rPr>
          <w:rFonts w:asciiTheme="minorHAnsi" w:hAnsiTheme="minorHAnsi" w:cs="Calibri"/>
          <w:sz w:val="22"/>
        </w:rPr>
        <w:t xml:space="preserve"> </w:t>
      </w:r>
      <w:r w:rsidRPr="000136AC">
        <w:rPr>
          <w:rFonts w:asciiTheme="minorHAnsi" w:hAnsiTheme="minorHAnsi" w:cs="Calibri"/>
          <w:sz w:val="22"/>
          <w:szCs w:val="22"/>
        </w:rPr>
        <w:t xml:space="preserve">different </w:t>
      </w:r>
      <w:r w:rsidRPr="000136AC">
        <w:rPr>
          <w:rFonts w:asciiTheme="minorHAnsi" w:hAnsiTheme="minorHAnsi" w:cs="Calibri"/>
          <w:sz w:val="22"/>
        </w:rPr>
        <w:t>wetted benthic surface area</w:t>
      </w:r>
      <w:r w:rsidRPr="000136AC">
        <w:rPr>
          <w:rFonts w:asciiTheme="minorHAnsi" w:hAnsiTheme="minorHAnsi" w:cs="Calibri"/>
          <w:sz w:val="22"/>
          <w:szCs w:val="22"/>
        </w:rPr>
        <w:t xml:space="preserve"> in different reaches</w:t>
      </w:r>
      <w:r w:rsidRPr="000136AC">
        <w:rPr>
          <w:rFonts w:asciiTheme="minorHAnsi" w:hAnsiTheme="minorHAnsi" w:cs="Calibri"/>
          <w:sz w:val="22"/>
        </w:rPr>
        <w:t xml:space="preserve">. </w:t>
      </w:r>
    </w:p>
    <w:p w:rsidR="00767532" w:rsidRPr="000136AC" w:rsidRDefault="00767532" w:rsidP="00767532">
      <w:pPr>
        <w:pStyle w:val="BodyText"/>
        <w:spacing w:line="240" w:lineRule="auto"/>
        <w:rPr>
          <w:rFonts w:asciiTheme="minorHAnsi" w:hAnsiTheme="minorHAnsi" w:cs="Calibri"/>
          <w:highlight w:val="yellow"/>
        </w:rPr>
      </w:pPr>
    </w:p>
    <w:p w:rsidR="00767532" w:rsidRDefault="00767532" w:rsidP="00767532">
      <w:pPr>
        <w:spacing w:after="120" w:line="240" w:lineRule="auto"/>
      </w:pPr>
      <w:r w:rsidRPr="00F81A59">
        <w:rPr>
          <w:noProof/>
          <w:lang w:eastAsia="en-AU"/>
        </w:rPr>
        <w:drawing>
          <wp:inline distT="0" distB="0" distL="0" distR="0">
            <wp:extent cx="5010150" cy="2756449"/>
            <wp:effectExtent l="0" t="0" r="0" b="635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9707" cy="2761707"/>
                    </a:xfrm>
                    <a:prstGeom prst="rect">
                      <a:avLst/>
                    </a:prstGeom>
                    <a:noFill/>
                    <a:ln>
                      <a:noFill/>
                    </a:ln>
                  </pic:spPr>
                </pic:pic>
              </a:graphicData>
            </a:graphic>
          </wp:inline>
        </w:drawing>
      </w:r>
    </w:p>
    <w:p w:rsidR="00767532" w:rsidRPr="00B01AD1" w:rsidRDefault="006241EC" w:rsidP="00767532">
      <w:pPr>
        <w:spacing w:after="120" w:line="240" w:lineRule="auto"/>
        <w:rPr>
          <w:b/>
          <w:sz w:val="20"/>
        </w:rPr>
      </w:pPr>
      <w:r>
        <w:rPr>
          <w:b/>
          <w:sz w:val="20"/>
        </w:rPr>
        <w:t>Figure 5.4</w:t>
      </w:r>
      <w:r w:rsidR="00767532" w:rsidRPr="00B01AD1">
        <w:rPr>
          <w:b/>
          <w:sz w:val="20"/>
        </w:rPr>
        <w:t xml:space="preserve"> </w:t>
      </w:r>
      <w:r w:rsidR="00767532" w:rsidRPr="00B01AD1">
        <w:rPr>
          <w:sz w:val="20"/>
        </w:rPr>
        <w:t>Relationship between discharge (MLd</w:t>
      </w:r>
      <w:r w:rsidR="00767532" w:rsidRPr="00B01AD1">
        <w:rPr>
          <w:sz w:val="20"/>
          <w:vertAlign w:val="superscript"/>
        </w:rPr>
        <w:t>-1</w:t>
      </w:r>
      <w:r w:rsidR="00767532" w:rsidRPr="00B01AD1">
        <w:rPr>
          <w:sz w:val="20"/>
        </w:rPr>
        <w:t>) and wetted surface area (m</w:t>
      </w:r>
      <w:r w:rsidR="00767532" w:rsidRPr="00B01AD1">
        <w:rPr>
          <w:sz w:val="20"/>
          <w:vertAlign w:val="superscript"/>
        </w:rPr>
        <w:t>2</w:t>
      </w:r>
      <w:r w:rsidR="00767532" w:rsidRPr="00B01AD1">
        <w:rPr>
          <w:sz w:val="20"/>
        </w:rPr>
        <w:t>) for study reaches in Yallakool Creek (zone 1) Wakool River (zone 2), Wakool River upstream of Thule Creek (zone 3) and the Wakool River downstream of Thule Creek (zone 4).</w:t>
      </w:r>
      <w:r w:rsidR="00767532" w:rsidRPr="00B01AD1">
        <w:rPr>
          <w:b/>
          <w:sz w:val="20"/>
        </w:rPr>
        <w:t xml:space="preserve"> </w:t>
      </w:r>
    </w:p>
    <w:p w:rsidR="00767532" w:rsidRPr="003078DE" w:rsidRDefault="00767532" w:rsidP="00767532">
      <w:pPr>
        <w:spacing w:after="120" w:line="240" w:lineRule="auto"/>
        <w:rPr>
          <w:rFonts w:eastAsia="Times New Roman"/>
          <w:color w:val="000000"/>
          <w:kern w:val="28"/>
          <w:szCs w:val="22"/>
        </w:rPr>
      </w:pPr>
    </w:p>
    <w:p w:rsidR="00767532" w:rsidRDefault="00D46B85" w:rsidP="00767532">
      <w:pPr>
        <w:spacing w:after="120" w:line="276" w:lineRule="auto"/>
        <w:rPr>
          <w:rFonts w:eastAsia="Times New Roman"/>
          <w:color w:val="000000"/>
          <w:kern w:val="28"/>
        </w:rPr>
      </w:pPr>
      <w:r>
        <w:rPr>
          <w:rFonts w:eastAsia="Times New Roman"/>
          <w:color w:val="000000"/>
          <w:kern w:val="28"/>
          <w:szCs w:val="22"/>
        </w:rPr>
        <w:t xml:space="preserve">The </w:t>
      </w:r>
      <w:r w:rsidR="00767532" w:rsidRPr="003078DE">
        <w:rPr>
          <w:rFonts w:eastAsia="Times New Roman"/>
          <w:color w:val="000000"/>
          <w:kern w:val="28"/>
          <w:szCs w:val="22"/>
        </w:rPr>
        <w:t xml:space="preserve">extent of riverbank inundation under different discharge scenarios </w:t>
      </w:r>
      <w:r>
        <w:rPr>
          <w:rFonts w:eastAsia="Times New Roman"/>
          <w:color w:val="000000"/>
          <w:kern w:val="28"/>
        </w:rPr>
        <w:t xml:space="preserve">differed </w:t>
      </w:r>
      <w:r w:rsidR="00767532">
        <w:rPr>
          <w:rFonts w:eastAsia="Times New Roman"/>
          <w:color w:val="000000"/>
          <w:kern w:val="28"/>
        </w:rPr>
        <w:t xml:space="preserve">considerably among reaches. In some cases higher discharge levels </w:t>
      </w:r>
      <w:r>
        <w:rPr>
          <w:rFonts w:eastAsia="Times New Roman"/>
          <w:color w:val="000000"/>
          <w:kern w:val="28"/>
        </w:rPr>
        <w:t>did</w:t>
      </w:r>
      <w:r w:rsidR="00767532">
        <w:rPr>
          <w:rFonts w:eastAsia="Times New Roman"/>
          <w:color w:val="000000"/>
          <w:kern w:val="28"/>
        </w:rPr>
        <w:t xml:space="preserve"> not result in any increase in area of slackwater or slow water, but in other reaches considerable changes </w:t>
      </w:r>
      <w:r>
        <w:rPr>
          <w:rFonts w:eastAsia="Times New Roman"/>
          <w:color w:val="000000"/>
          <w:kern w:val="28"/>
        </w:rPr>
        <w:t>were</w:t>
      </w:r>
      <w:r w:rsidR="00767532">
        <w:rPr>
          <w:rFonts w:eastAsia="Times New Roman"/>
          <w:color w:val="000000"/>
          <w:kern w:val="28"/>
        </w:rPr>
        <w:t xml:space="preserve"> observed under differen</w:t>
      </w:r>
      <w:r w:rsidR="000A4F7E">
        <w:rPr>
          <w:rFonts w:eastAsia="Times New Roman"/>
          <w:color w:val="000000"/>
          <w:kern w:val="28"/>
        </w:rPr>
        <w:t>t flow scenarios.</w:t>
      </w:r>
      <w:r w:rsidR="00767532">
        <w:rPr>
          <w:rFonts w:eastAsia="Times New Roman"/>
          <w:color w:val="000000"/>
          <w:kern w:val="28"/>
        </w:rPr>
        <w:t xml:space="preserve"> For example:</w:t>
      </w:r>
    </w:p>
    <w:p w:rsidR="00767532" w:rsidRDefault="00767532" w:rsidP="003A5CB0">
      <w:pPr>
        <w:numPr>
          <w:ilvl w:val="0"/>
          <w:numId w:val="37"/>
        </w:numPr>
        <w:spacing w:after="120" w:line="240" w:lineRule="auto"/>
        <w:jc w:val="left"/>
        <w:rPr>
          <w:rFonts w:eastAsia="Times New Roman"/>
          <w:color w:val="000000"/>
          <w:kern w:val="28"/>
        </w:rPr>
      </w:pPr>
      <w:r>
        <w:rPr>
          <w:rFonts w:eastAsia="Times New Roman"/>
          <w:color w:val="000000"/>
          <w:kern w:val="28"/>
        </w:rPr>
        <w:t xml:space="preserve">In the ‘Barham Road bridge’ reach the backwaters </w:t>
      </w:r>
      <w:r w:rsidR="00D46B85">
        <w:rPr>
          <w:rFonts w:eastAsia="Times New Roman"/>
          <w:color w:val="000000"/>
          <w:kern w:val="28"/>
        </w:rPr>
        <w:t>were</w:t>
      </w:r>
      <w:r>
        <w:rPr>
          <w:rFonts w:eastAsia="Times New Roman"/>
          <w:color w:val="000000"/>
          <w:kern w:val="28"/>
        </w:rPr>
        <w:t xml:space="preserve"> inundated at 450 MLd</w:t>
      </w:r>
      <w:r w:rsidRPr="00306798">
        <w:rPr>
          <w:rFonts w:eastAsia="Times New Roman"/>
          <w:color w:val="000000"/>
          <w:kern w:val="28"/>
          <w:vertAlign w:val="superscript"/>
        </w:rPr>
        <w:t>-1</w:t>
      </w:r>
      <w:r w:rsidR="00D46B85">
        <w:rPr>
          <w:rFonts w:eastAsia="Times New Roman"/>
          <w:color w:val="000000"/>
          <w:kern w:val="28"/>
        </w:rPr>
        <w:t xml:space="preserve"> </w:t>
      </w:r>
      <w:r w:rsidR="00F066E5">
        <w:rPr>
          <w:rFonts w:eastAsia="Times New Roman"/>
          <w:color w:val="000000"/>
          <w:kern w:val="28"/>
        </w:rPr>
        <w:t>but</w:t>
      </w:r>
      <w:r w:rsidR="00D46B85">
        <w:rPr>
          <w:rFonts w:eastAsia="Times New Roman"/>
          <w:color w:val="000000"/>
          <w:kern w:val="28"/>
        </w:rPr>
        <w:t xml:space="preserve"> there was</w:t>
      </w:r>
      <w:r>
        <w:rPr>
          <w:rFonts w:eastAsia="Times New Roman"/>
          <w:color w:val="000000"/>
          <w:kern w:val="28"/>
        </w:rPr>
        <w:t xml:space="preserve"> no additional inundation at 600 MLd</w:t>
      </w:r>
      <w:r w:rsidRPr="003078DE">
        <w:rPr>
          <w:rFonts w:eastAsia="Times New Roman"/>
          <w:color w:val="000000"/>
          <w:kern w:val="28"/>
          <w:vertAlign w:val="superscript"/>
        </w:rPr>
        <w:t>-1</w:t>
      </w:r>
      <w:r>
        <w:rPr>
          <w:rFonts w:eastAsia="Times New Roman"/>
          <w:color w:val="000000"/>
          <w:kern w:val="28"/>
        </w:rPr>
        <w:t xml:space="preserve"> or 750 Mld</w:t>
      </w:r>
      <w:r w:rsidRPr="003078DE">
        <w:rPr>
          <w:rFonts w:eastAsia="Times New Roman"/>
          <w:color w:val="000000"/>
          <w:kern w:val="28"/>
          <w:vertAlign w:val="superscript"/>
        </w:rPr>
        <w:t>-1</w:t>
      </w:r>
      <w:r w:rsidR="006241EC">
        <w:rPr>
          <w:rFonts w:eastAsia="Times New Roman"/>
          <w:color w:val="000000"/>
          <w:kern w:val="28"/>
        </w:rPr>
        <w:t xml:space="preserve"> scenarios (Figure 5.5</w:t>
      </w:r>
      <w:r>
        <w:rPr>
          <w:rFonts w:eastAsia="Times New Roman"/>
          <w:color w:val="000000"/>
          <w:kern w:val="28"/>
        </w:rPr>
        <w:t>).</w:t>
      </w:r>
    </w:p>
    <w:p w:rsidR="00767532" w:rsidRDefault="00767532" w:rsidP="003A5CB0">
      <w:pPr>
        <w:numPr>
          <w:ilvl w:val="0"/>
          <w:numId w:val="37"/>
        </w:numPr>
        <w:spacing w:after="120" w:line="240" w:lineRule="auto"/>
        <w:jc w:val="left"/>
        <w:rPr>
          <w:rFonts w:eastAsia="Times New Roman"/>
          <w:color w:val="000000"/>
          <w:kern w:val="28"/>
        </w:rPr>
      </w:pPr>
      <w:r>
        <w:rPr>
          <w:rFonts w:eastAsia="Times New Roman"/>
          <w:color w:val="000000"/>
          <w:kern w:val="28"/>
        </w:rPr>
        <w:t>In the ‘Cumnock Park’ reach in Yallakool Creek there was additional slackwater formed during the 650 MLd</w:t>
      </w:r>
      <w:r w:rsidRPr="00306798">
        <w:rPr>
          <w:rFonts w:eastAsia="Times New Roman"/>
          <w:color w:val="000000"/>
          <w:kern w:val="28"/>
          <w:vertAlign w:val="superscript"/>
        </w:rPr>
        <w:t>-1</w:t>
      </w:r>
      <w:r>
        <w:rPr>
          <w:rFonts w:eastAsia="Times New Roman"/>
          <w:color w:val="000000"/>
          <w:kern w:val="28"/>
        </w:rPr>
        <w:t xml:space="preserve"> scenario when compared to the environmental watering scenario of 500 MLd</w:t>
      </w:r>
      <w:r w:rsidRPr="00306798">
        <w:rPr>
          <w:rFonts w:eastAsia="Times New Roman"/>
          <w:color w:val="000000"/>
          <w:kern w:val="28"/>
          <w:vertAlign w:val="superscript"/>
        </w:rPr>
        <w:t>-1</w:t>
      </w:r>
      <w:r w:rsidR="006241EC">
        <w:rPr>
          <w:rFonts w:eastAsia="Times New Roman"/>
          <w:color w:val="000000"/>
          <w:kern w:val="28"/>
        </w:rPr>
        <w:t xml:space="preserve"> (Figure 5.6</w:t>
      </w:r>
      <w:r>
        <w:rPr>
          <w:rFonts w:eastAsia="Times New Roman"/>
          <w:color w:val="000000"/>
          <w:kern w:val="28"/>
        </w:rPr>
        <w:t>).</w:t>
      </w:r>
    </w:p>
    <w:p w:rsidR="00767532" w:rsidRDefault="00767532" w:rsidP="003A5CB0">
      <w:pPr>
        <w:numPr>
          <w:ilvl w:val="0"/>
          <w:numId w:val="37"/>
        </w:numPr>
        <w:spacing w:after="120" w:line="240" w:lineRule="auto"/>
        <w:jc w:val="left"/>
        <w:rPr>
          <w:rFonts w:eastAsia="Times New Roman"/>
          <w:color w:val="000000"/>
          <w:kern w:val="28"/>
        </w:rPr>
      </w:pPr>
      <w:r>
        <w:rPr>
          <w:rFonts w:eastAsia="Times New Roman"/>
          <w:color w:val="000000"/>
          <w:kern w:val="28"/>
        </w:rPr>
        <w:t>In the ‘’Noorong 2’ reach there was no additional slackwater created during the environmental watering. Higher discharges up to 750 MLd</w:t>
      </w:r>
      <w:r w:rsidRPr="00306798">
        <w:rPr>
          <w:rFonts w:eastAsia="Times New Roman"/>
          <w:color w:val="000000"/>
          <w:kern w:val="28"/>
          <w:vertAlign w:val="superscript"/>
        </w:rPr>
        <w:t>-1</w:t>
      </w:r>
      <w:r w:rsidR="00F066E5">
        <w:rPr>
          <w:rFonts w:eastAsia="Times New Roman"/>
          <w:color w:val="000000"/>
          <w:kern w:val="28"/>
        </w:rPr>
        <w:t xml:space="preserve"> did</w:t>
      </w:r>
      <w:r>
        <w:rPr>
          <w:rFonts w:eastAsia="Times New Roman"/>
          <w:color w:val="000000"/>
          <w:kern w:val="28"/>
        </w:rPr>
        <w:t xml:space="preserve"> not connect any features or backwaters in this reach (F</w:t>
      </w:r>
      <w:r w:rsidR="006241EC">
        <w:rPr>
          <w:rFonts w:eastAsia="Times New Roman"/>
          <w:color w:val="000000"/>
          <w:kern w:val="28"/>
        </w:rPr>
        <w:t>igure 5.7</w:t>
      </w:r>
      <w:r>
        <w:rPr>
          <w:rFonts w:eastAsia="Times New Roman"/>
          <w:color w:val="000000"/>
          <w:kern w:val="28"/>
        </w:rPr>
        <w:t>).</w:t>
      </w:r>
    </w:p>
    <w:p w:rsidR="00767532" w:rsidRPr="00021C27" w:rsidRDefault="00767532" w:rsidP="00767532">
      <w:pPr>
        <w:pStyle w:val="Default"/>
        <w:spacing w:before="120"/>
        <w:rPr>
          <w:bCs/>
          <w:sz w:val="26"/>
          <w:szCs w:val="26"/>
        </w:rPr>
      </w:pPr>
      <w:r>
        <w:rPr>
          <w:bCs/>
          <w:noProof/>
          <w:sz w:val="26"/>
          <w:szCs w:val="26"/>
        </w:rPr>
        <w:drawing>
          <wp:inline distT="0" distB="0" distL="0" distR="0">
            <wp:extent cx="5747563" cy="7848000"/>
            <wp:effectExtent l="0" t="0" r="5715" b="635"/>
            <wp:docPr id="206" name="Picture 206" descr="wakool_DS_Thule__Barham_velo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akool_DS_Thule__Barham_velocity"/>
                    <pic:cNvPicPr>
                      <a:picLocks noChangeAspect="1" noChangeArrowheads="1"/>
                    </pic:cNvPicPr>
                  </pic:nvPicPr>
                  <pic:blipFill rotWithShape="1">
                    <a:blip r:embed="rId4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528" b="1880"/>
                    <a:stretch/>
                  </pic:blipFill>
                  <pic:spPr bwMode="auto">
                    <a:xfrm>
                      <a:off x="0" y="0"/>
                      <a:ext cx="5747563" cy="784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67532" w:rsidRDefault="006241EC" w:rsidP="000136AC">
      <w:pPr>
        <w:spacing w:after="120" w:line="240" w:lineRule="auto"/>
        <w:rPr>
          <w:rFonts w:eastAsia="Times New Roman"/>
          <w:color w:val="000000"/>
          <w:kern w:val="28"/>
          <w:sz w:val="20"/>
        </w:rPr>
      </w:pPr>
      <w:r>
        <w:rPr>
          <w:rFonts w:eastAsia="Times New Roman"/>
          <w:b/>
          <w:color w:val="000000"/>
          <w:kern w:val="28"/>
          <w:sz w:val="20"/>
        </w:rPr>
        <w:t>Figure 5.5</w:t>
      </w:r>
      <w:r w:rsidR="00767532" w:rsidRPr="00021C27">
        <w:rPr>
          <w:rFonts w:eastAsia="Times New Roman"/>
          <w:b/>
          <w:color w:val="000000"/>
          <w:kern w:val="28"/>
          <w:sz w:val="20"/>
        </w:rPr>
        <w:t xml:space="preserve">: </w:t>
      </w:r>
      <w:r w:rsidR="00767532" w:rsidRPr="003078DE">
        <w:rPr>
          <w:rFonts w:eastAsia="Times New Roman"/>
          <w:color w:val="000000"/>
          <w:kern w:val="28"/>
          <w:sz w:val="20"/>
        </w:rPr>
        <w:t xml:space="preserve">Maps showing representation the spatial coverage of the water surface extent for </w:t>
      </w:r>
      <w:r w:rsidR="00767532">
        <w:rPr>
          <w:rFonts w:eastAsia="Times New Roman"/>
          <w:color w:val="000000"/>
          <w:kern w:val="28"/>
          <w:sz w:val="20"/>
        </w:rPr>
        <w:t xml:space="preserve">slackwater (green), slow water (blue) and fast water (red) </w:t>
      </w:r>
      <w:r w:rsidR="00767532" w:rsidRPr="003078DE">
        <w:rPr>
          <w:rFonts w:eastAsia="Times New Roman"/>
          <w:color w:val="000000"/>
          <w:kern w:val="28"/>
          <w:sz w:val="20"/>
        </w:rPr>
        <w:t>at ‘Barham Rd Bridge’ zone 4 site 1 under different discharge scenarios. During the environmental watering action in Yallakool Creek the discharge at this site was approximately 450 ML.d</w:t>
      </w:r>
      <w:r w:rsidR="00767532" w:rsidRPr="003078DE">
        <w:rPr>
          <w:rFonts w:eastAsia="Times New Roman"/>
          <w:color w:val="000000"/>
          <w:kern w:val="28"/>
          <w:sz w:val="20"/>
          <w:vertAlign w:val="superscript"/>
        </w:rPr>
        <w:t>-1</w:t>
      </w:r>
      <w:r w:rsidR="00767532">
        <w:rPr>
          <w:rFonts w:eastAsia="Times New Roman"/>
          <w:color w:val="000000"/>
          <w:kern w:val="28"/>
          <w:sz w:val="20"/>
        </w:rPr>
        <w:t>.</w:t>
      </w:r>
    </w:p>
    <w:p w:rsidR="00767532" w:rsidRPr="00021C27" w:rsidRDefault="00767532" w:rsidP="000136AC">
      <w:pPr>
        <w:spacing w:after="0" w:line="240" w:lineRule="auto"/>
        <w:rPr>
          <w:rFonts w:eastAsia="Times New Roman"/>
          <w:b/>
          <w:color w:val="000000"/>
          <w:kern w:val="28"/>
          <w:sz w:val="20"/>
        </w:rPr>
      </w:pPr>
      <w:r>
        <w:rPr>
          <w:noProof/>
          <w:lang w:eastAsia="en-AU"/>
        </w:rPr>
        <w:drawing>
          <wp:inline distT="0" distB="0" distL="0" distR="0">
            <wp:extent cx="5772201" cy="7920000"/>
            <wp:effectExtent l="0" t="0" r="0" b="5080"/>
            <wp:docPr id="205" name="Picture 205" descr="D:\arobyn\projects - ongoing\LTIM\Hydraulic models\Velocity maps\version 2\yallakool__cumnock_p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robyn\projects - ongoing\LTIM\Hydraulic models\Velocity maps\version 2\yallakool__cumnock_park.png"/>
                    <pic:cNvPicPr>
                      <a:picLocks noChangeAspect="1" noChangeArrowheads="1"/>
                    </pic:cNvPicPr>
                  </pic:nvPicPr>
                  <pic:blipFill rotWithShape="1">
                    <a:blip r:embed="rId5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93" b="1645"/>
                    <a:stretch/>
                  </pic:blipFill>
                  <pic:spPr bwMode="auto">
                    <a:xfrm>
                      <a:off x="0" y="0"/>
                      <a:ext cx="5772201" cy="792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6241EC">
        <w:rPr>
          <w:rFonts w:eastAsia="Times New Roman"/>
          <w:b/>
          <w:color w:val="000000"/>
          <w:kern w:val="28"/>
          <w:sz w:val="20"/>
        </w:rPr>
        <w:t>Figure 5.6</w:t>
      </w:r>
      <w:r w:rsidRPr="00021C27">
        <w:rPr>
          <w:rFonts w:eastAsia="Times New Roman"/>
          <w:b/>
          <w:color w:val="000000"/>
          <w:kern w:val="28"/>
          <w:sz w:val="20"/>
        </w:rPr>
        <w:t xml:space="preserve">: </w:t>
      </w:r>
      <w:r w:rsidRPr="00306798">
        <w:rPr>
          <w:rFonts w:eastAsia="Times New Roman"/>
          <w:color w:val="000000"/>
          <w:kern w:val="28"/>
          <w:sz w:val="20"/>
        </w:rPr>
        <w:t xml:space="preserve">Maps showing representation the spatial coverage of the water surface extent for </w:t>
      </w:r>
      <w:r>
        <w:rPr>
          <w:rFonts w:eastAsia="Times New Roman"/>
          <w:color w:val="000000"/>
          <w:kern w:val="28"/>
          <w:sz w:val="20"/>
        </w:rPr>
        <w:t xml:space="preserve">slackwater (green), slow water (blue) and fast water (red) </w:t>
      </w:r>
      <w:r w:rsidRPr="00306798">
        <w:rPr>
          <w:rFonts w:eastAsia="Times New Roman"/>
          <w:color w:val="000000"/>
          <w:kern w:val="28"/>
          <w:sz w:val="20"/>
        </w:rPr>
        <w:t xml:space="preserve">at ‘Cumnock Park’ zone 1 under different discharge scenarios. During the environmental watering action in Yallakool Creek the discharge at this site was approximately </w:t>
      </w:r>
      <w:r>
        <w:rPr>
          <w:rFonts w:eastAsia="Times New Roman"/>
          <w:color w:val="000000"/>
          <w:kern w:val="28"/>
          <w:sz w:val="20"/>
        </w:rPr>
        <w:t>50</w:t>
      </w:r>
      <w:r w:rsidRPr="00306798">
        <w:rPr>
          <w:rFonts w:eastAsia="Times New Roman"/>
          <w:color w:val="000000"/>
          <w:kern w:val="28"/>
          <w:sz w:val="20"/>
        </w:rPr>
        <w:t>0</w:t>
      </w:r>
      <w:r>
        <w:rPr>
          <w:rFonts w:eastAsia="Times New Roman"/>
          <w:color w:val="000000"/>
          <w:kern w:val="28"/>
          <w:sz w:val="20"/>
        </w:rPr>
        <w:t xml:space="preserve"> MLd</w:t>
      </w:r>
      <w:r w:rsidRPr="00306798">
        <w:rPr>
          <w:rFonts w:eastAsia="Times New Roman"/>
          <w:color w:val="000000"/>
          <w:kern w:val="28"/>
          <w:sz w:val="20"/>
          <w:vertAlign w:val="superscript"/>
        </w:rPr>
        <w:t>-1</w:t>
      </w:r>
      <w:r>
        <w:rPr>
          <w:rFonts w:eastAsia="Times New Roman"/>
          <w:color w:val="000000"/>
          <w:kern w:val="28"/>
          <w:sz w:val="20"/>
        </w:rPr>
        <w:t>.</w:t>
      </w:r>
    </w:p>
    <w:p w:rsidR="00767532" w:rsidRPr="00021C27" w:rsidRDefault="00767532" w:rsidP="00767532">
      <w:pPr>
        <w:rPr>
          <w:rFonts w:eastAsia="Times New Roman"/>
          <w:b/>
          <w:color w:val="000000"/>
          <w:kern w:val="28"/>
          <w:sz w:val="20"/>
        </w:rPr>
      </w:pPr>
    </w:p>
    <w:p w:rsidR="00767532" w:rsidRPr="00021C27" w:rsidRDefault="00767532" w:rsidP="00767532">
      <w:pPr>
        <w:pStyle w:val="Default"/>
        <w:spacing w:before="120"/>
        <w:rPr>
          <w:bCs/>
          <w:sz w:val="26"/>
          <w:szCs w:val="26"/>
        </w:rPr>
      </w:pPr>
      <w:r>
        <w:rPr>
          <w:bCs/>
          <w:noProof/>
          <w:sz w:val="26"/>
          <w:szCs w:val="26"/>
        </w:rPr>
        <w:drawing>
          <wp:inline distT="0" distB="0" distL="0" distR="0">
            <wp:extent cx="5450795" cy="7848000"/>
            <wp:effectExtent l="0" t="0" r="0" b="635"/>
            <wp:docPr id="204" name="Picture 204" descr="wakool_DS_thule__noorong2_velo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akool_DS_thule__noorong2_velocity"/>
                    <pic:cNvPicPr>
                      <a:picLocks noChangeAspect="1" noChangeArrowheads="1"/>
                    </pic:cNvPicPr>
                  </pic:nvPicPr>
                  <pic:blipFill>
                    <a:blip r:embed="rId5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25" t="1292" r="2492" b="1762"/>
                    <a:stretch>
                      <a:fillRect/>
                    </a:stretch>
                  </pic:blipFill>
                  <pic:spPr bwMode="auto">
                    <a:xfrm>
                      <a:off x="0" y="0"/>
                      <a:ext cx="5450795" cy="7848000"/>
                    </a:xfrm>
                    <a:prstGeom prst="rect">
                      <a:avLst/>
                    </a:prstGeom>
                    <a:noFill/>
                    <a:ln>
                      <a:noFill/>
                    </a:ln>
                  </pic:spPr>
                </pic:pic>
              </a:graphicData>
            </a:graphic>
          </wp:inline>
        </w:drawing>
      </w:r>
    </w:p>
    <w:p w:rsidR="00767532" w:rsidRDefault="006241EC" w:rsidP="0029750B">
      <w:pPr>
        <w:spacing w:after="120" w:line="240" w:lineRule="auto"/>
        <w:rPr>
          <w:rFonts w:eastAsia="Times New Roman"/>
          <w:color w:val="000000"/>
          <w:kern w:val="28"/>
          <w:sz w:val="20"/>
        </w:rPr>
      </w:pPr>
      <w:r>
        <w:rPr>
          <w:rFonts w:eastAsia="Times New Roman"/>
          <w:b/>
          <w:color w:val="000000"/>
          <w:kern w:val="28"/>
          <w:sz w:val="20"/>
        </w:rPr>
        <w:t>Figure 5.7</w:t>
      </w:r>
      <w:r w:rsidR="00767532" w:rsidRPr="00021C27">
        <w:rPr>
          <w:rFonts w:eastAsia="Times New Roman"/>
          <w:b/>
          <w:color w:val="000000"/>
          <w:kern w:val="28"/>
          <w:sz w:val="20"/>
        </w:rPr>
        <w:t>:</w:t>
      </w:r>
      <w:r w:rsidR="00767532" w:rsidRPr="00364A39">
        <w:rPr>
          <w:rFonts w:eastAsia="Times New Roman"/>
          <w:color w:val="000000"/>
          <w:kern w:val="28"/>
          <w:sz w:val="20"/>
        </w:rPr>
        <w:t xml:space="preserve"> </w:t>
      </w:r>
      <w:r w:rsidR="00767532" w:rsidRPr="00306798">
        <w:rPr>
          <w:rFonts w:eastAsia="Times New Roman"/>
          <w:color w:val="000000"/>
          <w:kern w:val="28"/>
          <w:sz w:val="20"/>
        </w:rPr>
        <w:t xml:space="preserve">Maps showing representation the spatial coverage of the water surface extent for </w:t>
      </w:r>
      <w:r w:rsidR="00767532">
        <w:rPr>
          <w:rFonts w:eastAsia="Times New Roman"/>
          <w:color w:val="000000"/>
          <w:kern w:val="28"/>
          <w:sz w:val="20"/>
        </w:rPr>
        <w:t xml:space="preserve">slackwater (green), slow water (blue) and fast water (red) </w:t>
      </w:r>
      <w:r w:rsidR="00767532" w:rsidRPr="00306798">
        <w:rPr>
          <w:rFonts w:eastAsia="Times New Roman"/>
          <w:color w:val="000000"/>
          <w:kern w:val="28"/>
          <w:sz w:val="20"/>
        </w:rPr>
        <w:t xml:space="preserve">at </w:t>
      </w:r>
      <w:r w:rsidR="00767532" w:rsidRPr="00366AA3">
        <w:rPr>
          <w:rFonts w:eastAsia="Times New Roman"/>
          <w:color w:val="000000"/>
          <w:kern w:val="28"/>
          <w:sz w:val="20"/>
        </w:rPr>
        <w:t>‘Noorong2’ under different discharge scenarios. During the environmental watering action in Yallakool Creek the discharge at this site was approximately 450 MLd</w:t>
      </w:r>
      <w:r w:rsidR="00767532" w:rsidRPr="00366AA3">
        <w:rPr>
          <w:rFonts w:eastAsia="Times New Roman"/>
          <w:color w:val="000000"/>
          <w:kern w:val="28"/>
          <w:sz w:val="20"/>
          <w:vertAlign w:val="superscript"/>
        </w:rPr>
        <w:t>-1</w:t>
      </w:r>
      <w:r w:rsidR="00767532" w:rsidRPr="00366AA3">
        <w:rPr>
          <w:rFonts w:eastAsia="Times New Roman"/>
          <w:color w:val="000000"/>
          <w:kern w:val="28"/>
          <w:sz w:val="20"/>
        </w:rPr>
        <w:t>.</w:t>
      </w:r>
    </w:p>
    <w:p w:rsidR="007D5DD5" w:rsidRDefault="007D5DD5">
      <w:pPr>
        <w:spacing w:after="0" w:line="240" w:lineRule="auto"/>
        <w:jc w:val="left"/>
        <w:rPr>
          <w:rFonts w:asciiTheme="minorHAnsi" w:eastAsia="Times New Roman" w:hAnsiTheme="minorHAnsi" w:cs="Arial"/>
          <w:b/>
          <w:bCs/>
          <w:color w:val="385623"/>
          <w:sz w:val="24"/>
          <w:szCs w:val="24"/>
          <w:lang w:eastAsia="en-AU"/>
        </w:rPr>
      </w:pPr>
      <w:r>
        <w:rPr>
          <w:rFonts w:asciiTheme="minorHAnsi" w:hAnsiTheme="minorHAnsi"/>
          <w:b/>
          <w:bCs/>
          <w:color w:val="385623"/>
        </w:rPr>
        <w:br w:type="page"/>
      </w:r>
    </w:p>
    <w:p w:rsidR="00767532" w:rsidRPr="00D46B85" w:rsidRDefault="0029750B" w:rsidP="0029750B">
      <w:pPr>
        <w:pStyle w:val="Default"/>
        <w:spacing w:before="360" w:after="240"/>
        <w:rPr>
          <w:rFonts w:asciiTheme="minorHAnsi" w:hAnsiTheme="minorHAnsi"/>
          <w:b/>
          <w:bCs/>
          <w:color w:val="385623"/>
        </w:rPr>
      </w:pPr>
      <w:r w:rsidRPr="00D46B85">
        <w:rPr>
          <w:rFonts w:asciiTheme="minorHAnsi" w:hAnsiTheme="minorHAnsi"/>
          <w:b/>
          <w:bCs/>
          <w:color w:val="385623"/>
        </w:rPr>
        <w:t xml:space="preserve">5.5 </w:t>
      </w:r>
      <w:r w:rsidR="00767532" w:rsidRPr="00D46B85">
        <w:rPr>
          <w:rFonts w:asciiTheme="minorHAnsi" w:hAnsiTheme="minorHAnsi"/>
          <w:b/>
          <w:bCs/>
          <w:color w:val="385623"/>
        </w:rPr>
        <w:t>Discussion</w:t>
      </w:r>
    </w:p>
    <w:p w:rsidR="00767532" w:rsidRPr="0029750B" w:rsidRDefault="000F2AE2" w:rsidP="00A11665">
      <w:pPr>
        <w:pStyle w:val="Default"/>
        <w:spacing w:after="240" w:line="360" w:lineRule="auto"/>
        <w:rPr>
          <w:rFonts w:asciiTheme="minorHAnsi" w:hAnsiTheme="minorHAnsi"/>
          <w:bCs/>
          <w:i/>
          <w:sz w:val="22"/>
          <w:szCs w:val="22"/>
        </w:rPr>
      </w:pPr>
      <w:r>
        <w:rPr>
          <w:rFonts w:asciiTheme="minorHAnsi" w:hAnsiTheme="minorHAnsi"/>
          <w:bCs/>
          <w:sz w:val="22"/>
          <w:szCs w:val="22"/>
        </w:rPr>
        <w:t xml:space="preserve">Q1: </w:t>
      </w:r>
      <w:r w:rsidR="00767532" w:rsidRPr="0029750B">
        <w:rPr>
          <w:rFonts w:asciiTheme="minorHAnsi" w:hAnsiTheme="minorHAnsi"/>
          <w:bCs/>
          <w:i/>
          <w:sz w:val="22"/>
          <w:szCs w:val="22"/>
        </w:rPr>
        <w:t>What did Commonwealth environmental water contribute to the in-channel wetted benthic area?</w:t>
      </w:r>
    </w:p>
    <w:p w:rsidR="00767532" w:rsidRPr="0029750B" w:rsidRDefault="00F10997" w:rsidP="00A11665">
      <w:pPr>
        <w:pStyle w:val="Default"/>
        <w:spacing w:after="240" w:line="360" w:lineRule="auto"/>
        <w:rPr>
          <w:rFonts w:asciiTheme="minorHAnsi" w:hAnsiTheme="minorHAnsi"/>
          <w:sz w:val="22"/>
          <w:szCs w:val="22"/>
        </w:rPr>
      </w:pPr>
      <w:r>
        <w:rPr>
          <w:rFonts w:asciiTheme="minorHAnsi" w:hAnsiTheme="minorHAnsi"/>
          <w:sz w:val="22"/>
          <w:szCs w:val="22"/>
        </w:rPr>
        <w:t>T</w:t>
      </w:r>
      <w:r w:rsidR="00767532" w:rsidRPr="0029750B">
        <w:rPr>
          <w:rFonts w:asciiTheme="minorHAnsi" w:hAnsiTheme="minorHAnsi"/>
          <w:sz w:val="22"/>
          <w:szCs w:val="22"/>
        </w:rPr>
        <w:t xml:space="preserve">he wetted benthic area under operational flows </w:t>
      </w:r>
      <w:r>
        <w:rPr>
          <w:rFonts w:asciiTheme="minorHAnsi" w:hAnsiTheme="minorHAnsi"/>
          <w:sz w:val="22"/>
          <w:szCs w:val="22"/>
        </w:rPr>
        <w:t>(no C</w:t>
      </w:r>
      <w:r w:rsidR="000F2AE2">
        <w:rPr>
          <w:rFonts w:asciiTheme="minorHAnsi" w:hAnsiTheme="minorHAnsi"/>
          <w:sz w:val="22"/>
          <w:szCs w:val="22"/>
        </w:rPr>
        <w:t>ommonwealth environmental water</w:t>
      </w:r>
      <w:r>
        <w:rPr>
          <w:rFonts w:asciiTheme="minorHAnsi" w:hAnsiTheme="minorHAnsi"/>
          <w:sz w:val="22"/>
          <w:szCs w:val="22"/>
        </w:rPr>
        <w:t xml:space="preserve">) </w:t>
      </w:r>
      <w:r w:rsidR="00767532" w:rsidRPr="0029750B">
        <w:rPr>
          <w:rFonts w:asciiTheme="minorHAnsi" w:hAnsiTheme="minorHAnsi"/>
          <w:sz w:val="22"/>
          <w:szCs w:val="22"/>
        </w:rPr>
        <w:t xml:space="preserve">was significantly higher in zones 3 and 4 than in zones 1 and 2, being strongly influenced by the geomorphology of the reaches. The delivery of </w:t>
      </w:r>
      <w:r w:rsidR="000F2AE2">
        <w:rPr>
          <w:rFonts w:asciiTheme="minorHAnsi" w:hAnsiTheme="minorHAnsi"/>
          <w:sz w:val="22"/>
          <w:szCs w:val="22"/>
        </w:rPr>
        <w:t xml:space="preserve">Commonwealth environmental water </w:t>
      </w:r>
      <w:r w:rsidR="00767532" w:rsidRPr="0029750B">
        <w:rPr>
          <w:rFonts w:asciiTheme="minorHAnsi" w:hAnsiTheme="minorHAnsi"/>
          <w:sz w:val="22"/>
          <w:szCs w:val="22"/>
        </w:rPr>
        <w:t xml:space="preserve">to zones 1, 3 and 4 </w:t>
      </w:r>
      <w:r w:rsidR="00767532" w:rsidRPr="0029750B">
        <w:rPr>
          <w:rFonts w:asciiTheme="minorHAnsi" w:hAnsiTheme="minorHAnsi"/>
          <w:bCs/>
          <w:sz w:val="22"/>
          <w:szCs w:val="22"/>
        </w:rPr>
        <w:t xml:space="preserve">significantly increased the in-channel wetted benthic area in reaches in these three hydrological zones. </w:t>
      </w:r>
      <w:r w:rsidR="00767532" w:rsidRPr="0029750B">
        <w:rPr>
          <w:rFonts w:asciiTheme="minorHAnsi" w:hAnsiTheme="minorHAnsi"/>
          <w:sz w:val="22"/>
          <w:szCs w:val="22"/>
        </w:rPr>
        <w:t>However, as t</w:t>
      </w:r>
      <w:r w:rsidR="00767532" w:rsidRPr="0029750B">
        <w:rPr>
          <w:rFonts w:asciiTheme="minorHAnsi" w:hAnsiTheme="minorHAnsi" w:cs="Calibri"/>
          <w:sz w:val="22"/>
          <w:szCs w:val="22"/>
        </w:rPr>
        <w:t>here was considerable variation in the percent increase in wetted benthic area among reaches in the same hydrological zone</w:t>
      </w:r>
      <w:r w:rsidR="00767532" w:rsidRPr="0029750B">
        <w:rPr>
          <w:rFonts w:asciiTheme="minorHAnsi" w:hAnsiTheme="minorHAnsi"/>
          <w:sz w:val="22"/>
          <w:szCs w:val="22"/>
        </w:rPr>
        <w:t>, it will be difficult to extrapolate these results to other reaches in the Edward-Wakool Selected Area</w:t>
      </w:r>
      <w:r w:rsidR="005D4FC7">
        <w:rPr>
          <w:rFonts w:asciiTheme="minorHAnsi" w:hAnsiTheme="minorHAnsi"/>
          <w:sz w:val="22"/>
          <w:szCs w:val="22"/>
        </w:rPr>
        <w:t xml:space="preserve"> in the absence of information on the geomorphology of those zones</w:t>
      </w:r>
      <w:r w:rsidR="00767532" w:rsidRPr="0029750B">
        <w:rPr>
          <w:rFonts w:asciiTheme="minorHAnsi" w:hAnsiTheme="minorHAnsi"/>
          <w:sz w:val="22"/>
          <w:szCs w:val="22"/>
        </w:rPr>
        <w:t>.</w:t>
      </w:r>
    </w:p>
    <w:p w:rsidR="00767532" w:rsidRPr="0029750B" w:rsidRDefault="00767532" w:rsidP="00A11665">
      <w:pPr>
        <w:pStyle w:val="Default"/>
        <w:spacing w:after="240" w:line="360" w:lineRule="auto"/>
        <w:rPr>
          <w:rFonts w:asciiTheme="minorHAnsi" w:hAnsiTheme="minorHAnsi"/>
          <w:sz w:val="22"/>
          <w:szCs w:val="22"/>
        </w:rPr>
      </w:pPr>
      <w:r w:rsidRPr="0029750B">
        <w:rPr>
          <w:rFonts w:asciiTheme="minorHAnsi" w:hAnsiTheme="minorHAnsi"/>
          <w:sz w:val="22"/>
          <w:szCs w:val="22"/>
        </w:rPr>
        <w:t xml:space="preserve">An increase in wetted benthic area during environmental watering actions is important for river productivity. Later sections of this </w:t>
      </w:r>
      <w:r w:rsidR="002A3B1D">
        <w:rPr>
          <w:rFonts w:asciiTheme="minorHAnsi" w:hAnsiTheme="minorHAnsi"/>
          <w:sz w:val="22"/>
          <w:szCs w:val="22"/>
        </w:rPr>
        <w:t xml:space="preserve">technical </w:t>
      </w:r>
      <w:r w:rsidRPr="0029750B">
        <w:rPr>
          <w:rFonts w:asciiTheme="minorHAnsi" w:hAnsiTheme="minorHAnsi"/>
          <w:sz w:val="22"/>
          <w:szCs w:val="22"/>
        </w:rPr>
        <w:t xml:space="preserve">report that </w:t>
      </w:r>
      <w:r w:rsidR="002A3B1D">
        <w:rPr>
          <w:rFonts w:asciiTheme="minorHAnsi" w:hAnsiTheme="minorHAnsi"/>
          <w:sz w:val="22"/>
          <w:szCs w:val="22"/>
        </w:rPr>
        <w:t>evaluate</w:t>
      </w:r>
      <w:r w:rsidRPr="0029750B">
        <w:rPr>
          <w:rFonts w:asciiTheme="minorHAnsi" w:hAnsiTheme="minorHAnsi"/>
          <w:sz w:val="22"/>
          <w:szCs w:val="22"/>
        </w:rPr>
        <w:t xml:space="preserve"> water quality and carbon (section 6) and stream metabolism (section 7) </w:t>
      </w:r>
      <w:r w:rsidR="002A3B1D">
        <w:rPr>
          <w:rFonts w:asciiTheme="minorHAnsi" w:hAnsiTheme="minorHAnsi"/>
          <w:sz w:val="22"/>
          <w:szCs w:val="22"/>
        </w:rPr>
        <w:t xml:space="preserve">responses to Commonwealth environmental watering </w:t>
      </w:r>
      <w:r w:rsidRPr="0029750B">
        <w:rPr>
          <w:rFonts w:asciiTheme="minorHAnsi" w:hAnsiTheme="minorHAnsi"/>
          <w:sz w:val="22"/>
          <w:szCs w:val="22"/>
        </w:rPr>
        <w:t>will examine w</w:t>
      </w:r>
      <w:r w:rsidR="002A3B1D">
        <w:rPr>
          <w:rFonts w:asciiTheme="minorHAnsi" w:hAnsiTheme="minorHAnsi"/>
          <w:sz w:val="22"/>
          <w:szCs w:val="22"/>
        </w:rPr>
        <w:t>hether the</w:t>
      </w:r>
      <w:r w:rsidRPr="0029750B">
        <w:rPr>
          <w:rFonts w:asciiTheme="minorHAnsi" w:hAnsiTheme="minorHAnsi"/>
          <w:sz w:val="22"/>
          <w:szCs w:val="22"/>
        </w:rPr>
        <w:t xml:space="preserve"> increase in riverbank inundation </w:t>
      </w:r>
      <w:r w:rsidR="002A3B1D">
        <w:rPr>
          <w:rFonts w:asciiTheme="minorHAnsi" w:hAnsiTheme="minorHAnsi"/>
          <w:sz w:val="22"/>
          <w:szCs w:val="22"/>
        </w:rPr>
        <w:t xml:space="preserve">during </w:t>
      </w:r>
      <w:r w:rsidRPr="0029750B">
        <w:rPr>
          <w:rFonts w:asciiTheme="minorHAnsi" w:hAnsiTheme="minorHAnsi"/>
          <w:sz w:val="22"/>
          <w:szCs w:val="22"/>
        </w:rPr>
        <w:t>the environmental watering is sufficient to result in ecosystem responses.</w:t>
      </w:r>
    </w:p>
    <w:p w:rsidR="00767532" w:rsidRPr="0029750B" w:rsidRDefault="000F2AE2" w:rsidP="00A11665">
      <w:pPr>
        <w:pStyle w:val="Default"/>
        <w:spacing w:after="240" w:line="360" w:lineRule="auto"/>
        <w:rPr>
          <w:rFonts w:asciiTheme="minorHAnsi" w:hAnsiTheme="minorHAnsi"/>
          <w:bCs/>
          <w:i/>
          <w:sz w:val="22"/>
          <w:szCs w:val="22"/>
        </w:rPr>
      </w:pPr>
      <w:r>
        <w:rPr>
          <w:rFonts w:asciiTheme="minorHAnsi" w:hAnsiTheme="minorHAnsi"/>
          <w:bCs/>
          <w:sz w:val="22"/>
          <w:szCs w:val="22"/>
        </w:rPr>
        <w:t xml:space="preserve">Q2: </w:t>
      </w:r>
      <w:r w:rsidR="00767532" w:rsidRPr="0029750B">
        <w:rPr>
          <w:rFonts w:asciiTheme="minorHAnsi" w:hAnsiTheme="minorHAnsi"/>
          <w:bCs/>
          <w:i/>
          <w:sz w:val="22"/>
          <w:szCs w:val="22"/>
        </w:rPr>
        <w:t>What did Commonwealth environmental water contribute to the area of slackwater, slow flowing water and fast water?</w:t>
      </w:r>
    </w:p>
    <w:p w:rsidR="00767532" w:rsidRPr="0029750B" w:rsidRDefault="00767532" w:rsidP="00A11665">
      <w:pPr>
        <w:pStyle w:val="Default"/>
        <w:spacing w:after="240" w:line="360" w:lineRule="auto"/>
        <w:rPr>
          <w:rFonts w:asciiTheme="minorHAnsi" w:hAnsiTheme="minorHAnsi"/>
          <w:sz w:val="22"/>
          <w:szCs w:val="22"/>
        </w:rPr>
      </w:pPr>
      <w:r w:rsidRPr="0029750B">
        <w:rPr>
          <w:rFonts w:asciiTheme="minorHAnsi" w:hAnsiTheme="minorHAnsi"/>
          <w:sz w:val="22"/>
          <w:szCs w:val="22"/>
        </w:rPr>
        <w:t xml:space="preserve">At some of the reaches there was a notable increase in area of slackwater and slow water during the environmental watering action. These increases were particularly notable throughout zone 3 and to a lesser extent observed in the lower reaches of zone 1 and the upper reaches of zone 4. At a few sites there was a small loss in area of slackwater and slow water under the environmental watering scenario when compared to operational flows and in Yallakool Creek. </w:t>
      </w:r>
      <w:r w:rsidR="00CF2BC4">
        <w:rPr>
          <w:rFonts w:asciiTheme="minorHAnsi" w:hAnsiTheme="minorHAnsi"/>
          <w:sz w:val="22"/>
          <w:szCs w:val="22"/>
        </w:rPr>
        <w:t>The use of Commonwealth environmental water</w:t>
      </w:r>
      <w:r w:rsidRPr="0029750B">
        <w:rPr>
          <w:rFonts w:asciiTheme="minorHAnsi" w:hAnsiTheme="minorHAnsi"/>
          <w:sz w:val="22"/>
          <w:szCs w:val="22"/>
        </w:rPr>
        <w:t xml:space="preserve"> resulted in a substantial increase in fast flowing water in Yallakool Creek. The response is influenced by the geomorphology of the study reaches. This finding is similar to that of Vietz et al. </w:t>
      </w:r>
      <w:r w:rsidRPr="0029750B">
        <w:rPr>
          <w:rFonts w:asciiTheme="minorHAnsi" w:eastAsia="Calibri" w:hAnsiTheme="minorHAnsi"/>
          <w:sz w:val="22"/>
          <w:szCs w:val="22"/>
        </w:rPr>
        <w:t>(2013)</w:t>
      </w:r>
      <w:r w:rsidRPr="0029750B">
        <w:rPr>
          <w:rFonts w:asciiTheme="minorHAnsi" w:hAnsiTheme="minorHAnsi"/>
          <w:sz w:val="22"/>
          <w:szCs w:val="22"/>
        </w:rPr>
        <w:t xml:space="preserve">, </w:t>
      </w:r>
      <w:r w:rsidRPr="0029750B">
        <w:rPr>
          <w:rFonts w:asciiTheme="minorHAnsi" w:eastAsia="Calibri" w:hAnsiTheme="minorHAnsi"/>
          <w:sz w:val="22"/>
          <w:szCs w:val="22"/>
        </w:rPr>
        <w:t>who</w:t>
      </w:r>
      <w:r w:rsidRPr="0029750B">
        <w:rPr>
          <w:rFonts w:asciiTheme="minorHAnsi" w:hAnsiTheme="minorHAnsi"/>
          <w:sz w:val="22"/>
          <w:szCs w:val="22"/>
        </w:rPr>
        <w:t xml:space="preserve"> found that in some river reaches of the Broken River the area of slackwaters decreased with increasing discharge until inundation of higher-elevation bars and in-channel benches.</w:t>
      </w:r>
    </w:p>
    <w:p w:rsidR="00767532" w:rsidRPr="0029750B" w:rsidRDefault="00767532" w:rsidP="00A11665">
      <w:pPr>
        <w:pStyle w:val="Default"/>
        <w:spacing w:after="240" w:line="360" w:lineRule="auto"/>
        <w:rPr>
          <w:rFonts w:asciiTheme="minorHAnsi" w:hAnsiTheme="minorHAnsi"/>
          <w:bCs/>
          <w:sz w:val="22"/>
          <w:szCs w:val="22"/>
        </w:rPr>
      </w:pPr>
      <w:r w:rsidRPr="0029750B">
        <w:rPr>
          <w:rFonts w:asciiTheme="minorHAnsi" w:hAnsiTheme="minorHAnsi"/>
          <w:sz w:val="22"/>
          <w:szCs w:val="22"/>
        </w:rPr>
        <w:t xml:space="preserve">Low flow zones (slackwaters and slow water) having low velocities and shallow depths are important for river productivity and riverbank plants and can facilitate the survival of organisms, such as larval fish and larval shrimp, through provision of habitat and food. Later sections of this </w:t>
      </w:r>
      <w:r w:rsidR="002A3B1D">
        <w:rPr>
          <w:rFonts w:asciiTheme="minorHAnsi" w:hAnsiTheme="minorHAnsi"/>
          <w:sz w:val="22"/>
          <w:szCs w:val="22"/>
        </w:rPr>
        <w:t xml:space="preserve">technical </w:t>
      </w:r>
      <w:r w:rsidRPr="0029750B">
        <w:rPr>
          <w:rFonts w:asciiTheme="minorHAnsi" w:hAnsiTheme="minorHAnsi"/>
          <w:sz w:val="22"/>
          <w:szCs w:val="22"/>
        </w:rPr>
        <w:t>report that focus on vegetation (secti</w:t>
      </w:r>
      <w:r w:rsidR="00294EA4">
        <w:rPr>
          <w:rFonts w:asciiTheme="minorHAnsi" w:hAnsiTheme="minorHAnsi"/>
          <w:sz w:val="22"/>
          <w:szCs w:val="22"/>
        </w:rPr>
        <w:t>on 8) and larval fish (section 10</w:t>
      </w:r>
      <w:r w:rsidRPr="0029750B">
        <w:rPr>
          <w:rFonts w:asciiTheme="minorHAnsi" w:hAnsiTheme="minorHAnsi"/>
          <w:sz w:val="22"/>
          <w:szCs w:val="22"/>
        </w:rPr>
        <w:t>) will examine whether the changes in area of slackwater and slow water have influenced ecosystem responses on these reaches.</w:t>
      </w:r>
    </w:p>
    <w:p w:rsidR="00767532" w:rsidRPr="0029750B" w:rsidRDefault="000F2AE2" w:rsidP="00A11665">
      <w:pPr>
        <w:spacing w:after="240"/>
        <w:jc w:val="left"/>
        <w:rPr>
          <w:rFonts w:asciiTheme="minorHAnsi" w:hAnsiTheme="minorHAnsi"/>
          <w:i/>
        </w:rPr>
      </w:pPr>
      <w:r>
        <w:rPr>
          <w:rFonts w:asciiTheme="minorHAnsi" w:hAnsiTheme="minorHAnsi"/>
        </w:rPr>
        <w:t xml:space="preserve">Q3: </w:t>
      </w:r>
      <w:r w:rsidR="00767532" w:rsidRPr="0029750B">
        <w:rPr>
          <w:rFonts w:asciiTheme="minorHAnsi" w:hAnsiTheme="minorHAnsi"/>
          <w:i/>
        </w:rPr>
        <w:t>What did Commonwealth environmental water contribute to hydrological connectivity?</w:t>
      </w:r>
    </w:p>
    <w:p w:rsidR="00767532" w:rsidRPr="0029750B" w:rsidRDefault="005D4FC7" w:rsidP="00A11665">
      <w:pPr>
        <w:pStyle w:val="Default"/>
        <w:spacing w:after="240" w:line="360" w:lineRule="auto"/>
        <w:rPr>
          <w:rFonts w:asciiTheme="minorHAnsi" w:hAnsiTheme="minorHAnsi" w:cs="Calibri"/>
          <w:sz w:val="22"/>
          <w:szCs w:val="22"/>
        </w:rPr>
      </w:pPr>
      <w:r>
        <w:rPr>
          <w:rFonts w:asciiTheme="minorHAnsi" w:hAnsiTheme="minorHAnsi"/>
          <w:sz w:val="22"/>
          <w:szCs w:val="22"/>
        </w:rPr>
        <w:t xml:space="preserve">The effect of Commonwealth environmental water on longitudinal connectivity was assessed in section 4. </w:t>
      </w:r>
      <w:r w:rsidR="000F2AE2">
        <w:rPr>
          <w:rFonts w:asciiTheme="minorHAnsi" w:hAnsiTheme="minorHAnsi"/>
          <w:sz w:val="22"/>
          <w:szCs w:val="22"/>
        </w:rPr>
        <w:t>Commonwealth environmental water</w:t>
      </w:r>
      <w:r w:rsidR="00767532" w:rsidRPr="0029750B">
        <w:rPr>
          <w:rFonts w:asciiTheme="minorHAnsi" w:hAnsiTheme="minorHAnsi"/>
          <w:sz w:val="22"/>
          <w:szCs w:val="22"/>
        </w:rPr>
        <w:t xml:space="preserve"> increased </w:t>
      </w:r>
      <w:r>
        <w:rPr>
          <w:rFonts w:asciiTheme="minorHAnsi" w:hAnsiTheme="minorHAnsi"/>
          <w:sz w:val="22"/>
          <w:szCs w:val="22"/>
        </w:rPr>
        <w:t xml:space="preserve">lateral </w:t>
      </w:r>
      <w:r w:rsidR="00767532" w:rsidRPr="0029750B">
        <w:rPr>
          <w:rFonts w:asciiTheme="minorHAnsi" w:hAnsiTheme="minorHAnsi"/>
          <w:sz w:val="22"/>
          <w:szCs w:val="22"/>
        </w:rPr>
        <w:t xml:space="preserve">connectivity </w:t>
      </w:r>
      <w:r>
        <w:rPr>
          <w:rFonts w:asciiTheme="minorHAnsi" w:hAnsiTheme="minorHAnsi"/>
          <w:sz w:val="22"/>
          <w:szCs w:val="22"/>
        </w:rPr>
        <w:t xml:space="preserve">between the channel and in-stream </w:t>
      </w:r>
      <w:r w:rsidR="00767532" w:rsidRPr="0029750B">
        <w:rPr>
          <w:rFonts w:asciiTheme="minorHAnsi" w:hAnsiTheme="minorHAnsi"/>
          <w:sz w:val="22"/>
          <w:szCs w:val="22"/>
        </w:rPr>
        <w:t xml:space="preserve">geomorphological features, such as </w:t>
      </w:r>
      <w:r>
        <w:rPr>
          <w:rFonts w:asciiTheme="minorHAnsi" w:hAnsiTheme="minorHAnsi"/>
          <w:sz w:val="22"/>
          <w:szCs w:val="22"/>
        </w:rPr>
        <w:t xml:space="preserve">backwaters and </w:t>
      </w:r>
      <w:r w:rsidR="00767532" w:rsidRPr="0029750B">
        <w:rPr>
          <w:rFonts w:asciiTheme="minorHAnsi" w:hAnsiTheme="minorHAnsi"/>
          <w:sz w:val="22"/>
          <w:szCs w:val="22"/>
        </w:rPr>
        <w:t xml:space="preserve">billabongs, in some of the study reaches but did not increase connectivity in </w:t>
      </w:r>
      <w:r>
        <w:rPr>
          <w:rFonts w:asciiTheme="minorHAnsi" w:hAnsiTheme="minorHAnsi"/>
          <w:sz w:val="22"/>
          <w:szCs w:val="22"/>
        </w:rPr>
        <w:t>all</w:t>
      </w:r>
      <w:r w:rsidR="00767532" w:rsidRPr="0029750B">
        <w:rPr>
          <w:rFonts w:asciiTheme="minorHAnsi" w:hAnsiTheme="minorHAnsi"/>
          <w:sz w:val="22"/>
          <w:szCs w:val="22"/>
        </w:rPr>
        <w:t xml:space="preserve"> reaches. As river geomorphology has a strong in</w:t>
      </w:r>
      <w:r>
        <w:rPr>
          <w:rFonts w:asciiTheme="minorHAnsi" w:hAnsiTheme="minorHAnsi"/>
          <w:sz w:val="22"/>
          <w:szCs w:val="22"/>
        </w:rPr>
        <w:t>fluence on response to flows, these results</w:t>
      </w:r>
      <w:r w:rsidR="00767532" w:rsidRPr="0029750B">
        <w:rPr>
          <w:rFonts w:asciiTheme="minorHAnsi" w:hAnsiTheme="minorHAnsi"/>
          <w:sz w:val="22"/>
          <w:szCs w:val="22"/>
        </w:rPr>
        <w:t xml:space="preserve"> suggests that discharge is not a good predictor of hydraulic response.</w:t>
      </w:r>
    </w:p>
    <w:p w:rsidR="00767532" w:rsidRPr="004F0292" w:rsidRDefault="00767532" w:rsidP="00A11665">
      <w:pPr>
        <w:pStyle w:val="Default"/>
        <w:spacing w:after="240" w:line="360" w:lineRule="auto"/>
        <w:rPr>
          <w:rFonts w:asciiTheme="minorHAnsi" w:hAnsiTheme="minorHAnsi"/>
          <w:sz w:val="22"/>
          <w:szCs w:val="22"/>
        </w:rPr>
      </w:pPr>
      <w:r w:rsidRPr="004F0292">
        <w:rPr>
          <w:rFonts w:asciiTheme="minorHAnsi" w:hAnsiTheme="minorHAnsi"/>
          <w:sz w:val="22"/>
          <w:szCs w:val="22"/>
        </w:rPr>
        <w:t xml:space="preserve">There is potential to use the modelled results for other discharge scenarios to determine the delivery option at which the greatest number of reaches benefit from the environmental water, in terms of increased </w:t>
      </w:r>
      <w:r w:rsidR="005D4FC7">
        <w:rPr>
          <w:rFonts w:asciiTheme="minorHAnsi" w:hAnsiTheme="minorHAnsi"/>
          <w:sz w:val="22"/>
          <w:szCs w:val="22"/>
        </w:rPr>
        <w:t xml:space="preserve">lateral </w:t>
      </w:r>
      <w:r w:rsidRPr="004F0292">
        <w:rPr>
          <w:rFonts w:asciiTheme="minorHAnsi" w:hAnsiTheme="minorHAnsi"/>
          <w:sz w:val="22"/>
          <w:szCs w:val="22"/>
        </w:rPr>
        <w:t xml:space="preserve">connectivity and increased area of slackwater and slow water. For example, there is the potential to </w:t>
      </w:r>
      <w:r w:rsidR="005D4FC7">
        <w:rPr>
          <w:rFonts w:asciiTheme="minorHAnsi" w:hAnsiTheme="minorHAnsi"/>
          <w:sz w:val="22"/>
          <w:szCs w:val="22"/>
        </w:rPr>
        <w:t xml:space="preserve">split the </w:t>
      </w:r>
      <w:r w:rsidRPr="004F0292">
        <w:rPr>
          <w:rFonts w:asciiTheme="minorHAnsi" w:hAnsiTheme="minorHAnsi"/>
          <w:sz w:val="22"/>
          <w:szCs w:val="22"/>
        </w:rPr>
        <w:t>deliver</w:t>
      </w:r>
      <w:r w:rsidR="005D4FC7">
        <w:rPr>
          <w:rFonts w:asciiTheme="minorHAnsi" w:hAnsiTheme="minorHAnsi"/>
          <w:sz w:val="22"/>
          <w:szCs w:val="22"/>
        </w:rPr>
        <w:t>y of environmental, with</w:t>
      </w:r>
      <w:r w:rsidRPr="004F0292">
        <w:rPr>
          <w:rFonts w:asciiTheme="minorHAnsi" w:hAnsiTheme="minorHAnsi"/>
          <w:sz w:val="22"/>
          <w:szCs w:val="22"/>
        </w:rPr>
        <w:t xml:space="preserve"> some water </w:t>
      </w:r>
      <w:r w:rsidR="005D4FC7">
        <w:rPr>
          <w:rFonts w:asciiTheme="minorHAnsi" w:hAnsiTheme="minorHAnsi"/>
          <w:sz w:val="22"/>
          <w:szCs w:val="22"/>
        </w:rPr>
        <w:t xml:space="preserve">delivered </w:t>
      </w:r>
      <w:r w:rsidRPr="004F0292">
        <w:rPr>
          <w:rFonts w:asciiTheme="minorHAnsi" w:hAnsiTheme="minorHAnsi"/>
          <w:sz w:val="22"/>
          <w:szCs w:val="22"/>
        </w:rPr>
        <w:t xml:space="preserve">via Yallakool Creek and some via the Wakool River regulator. </w:t>
      </w:r>
      <w:r w:rsidR="005D4FC7">
        <w:rPr>
          <w:rFonts w:asciiTheme="minorHAnsi" w:hAnsiTheme="minorHAnsi"/>
          <w:sz w:val="22"/>
          <w:szCs w:val="22"/>
        </w:rPr>
        <w:t xml:space="preserve">A discharge of approximately </w:t>
      </w:r>
      <w:r w:rsidRPr="004F0292">
        <w:rPr>
          <w:rFonts w:asciiTheme="minorHAnsi" w:hAnsiTheme="minorHAnsi"/>
          <w:sz w:val="22"/>
          <w:szCs w:val="22"/>
        </w:rPr>
        <w:t xml:space="preserve">80 MLd-1 from the Wakool River regulator initiates flow in ‘Black Dog Creek’ that connect the upper Wakool River with Yallakool Creek. </w:t>
      </w:r>
    </w:p>
    <w:p w:rsidR="00767532" w:rsidRPr="004F0292" w:rsidRDefault="00767532" w:rsidP="00A11665">
      <w:pPr>
        <w:pStyle w:val="Default"/>
        <w:spacing w:after="240" w:line="360" w:lineRule="auto"/>
        <w:rPr>
          <w:rFonts w:asciiTheme="minorHAnsi" w:eastAsia="Calibri" w:hAnsiTheme="minorHAnsi"/>
          <w:sz w:val="22"/>
          <w:szCs w:val="22"/>
          <w:lang w:eastAsia="en-US"/>
        </w:rPr>
      </w:pPr>
      <w:r w:rsidRPr="004F0292">
        <w:rPr>
          <w:rFonts w:asciiTheme="minorHAnsi" w:hAnsiTheme="minorHAnsi"/>
          <w:sz w:val="22"/>
          <w:szCs w:val="22"/>
        </w:rPr>
        <w:t>These results have important implications for studies of ecology-flow relationships for in-channel flows. They suggest it may be more appropriate to examine the relationship between inundation area and ecosystem responses to in-channel flows rather than focusing on relationships with daily discharge, as has commonly been the practice.</w:t>
      </w:r>
    </w:p>
    <w:p w:rsidR="00767532" w:rsidRPr="0034707C" w:rsidRDefault="00767532" w:rsidP="002A3B1D">
      <w:pPr>
        <w:spacing w:after="240"/>
        <w:rPr>
          <w:color w:val="4F6228" w:themeColor="accent3" w:themeShade="80"/>
          <w:szCs w:val="22"/>
        </w:rPr>
      </w:pPr>
      <w:r w:rsidRPr="0034707C">
        <w:rPr>
          <w:rFonts w:cs="Calibri"/>
          <w:b/>
          <w:bCs/>
          <w:color w:val="4F6228" w:themeColor="accent3" w:themeShade="80"/>
          <w:szCs w:val="22"/>
        </w:rPr>
        <w:t>Acknowledgements</w:t>
      </w:r>
    </w:p>
    <w:p w:rsidR="00767532" w:rsidRPr="0029750B" w:rsidRDefault="00767532" w:rsidP="00767532">
      <w:pPr>
        <w:rPr>
          <w:rFonts w:cs="Calibri"/>
          <w:szCs w:val="22"/>
        </w:rPr>
      </w:pPr>
      <w:r w:rsidRPr="0029750B">
        <w:rPr>
          <w:rFonts w:cs="Calibri"/>
          <w:szCs w:val="22"/>
        </w:rPr>
        <w:t xml:space="preserve">The modelling was undertaken by Dr Hugh Pederson from </w:t>
      </w:r>
      <w:r w:rsidRPr="0029750B">
        <w:rPr>
          <w:szCs w:val="22"/>
        </w:rPr>
        <w:t>Marine Solutions.</w:t>
      </w:r>
      <w:r w:rsidRPr="0029750B">
        <w:rPr>
          <w:rFonts w:cs="Calibri"/>
          <w:szCs w:val="22"/>
        </w:rPr>
        <w:t xml:space="preserve"> Maps were prepared by Deanna Duffy (Charles Sturt University Spatial Analysis Unit).</w:t>
      </w:r>
    </w:p>
    <w:p w:rsidR="005D4FC7" w:rsidRDefault="005D4FC7">
      <w:pPr>
        <w:spacing w:after="0" w:line="240" w:lineRule="auto"/>
        <w:jc w:val="left"/>
        <w:rPr>
          <w:rFonts w:asciiTheme="minorHAnsi" w:eastAsia="Times New Roman" w:hAnsiTheme="minorHAnsi" w:cs="Arial"/>
          <w:b/>
          <w:bCs/>
          <w:color w:val="385623"/>
          <w:sz w:val="24"/>
          <w:szCs w:val="24"/>
          <w:lang w:eastAsia="en-AU"/>
        </w:rPr>
      </w:pPr>
      <w:r>
        <w:rPr>
          <w:rFonts w:asciiTheme="minorHAnsi" w:hAnsiTheme="minorHAnsi"/>
          <w:b/>
          <w:bCs/>
          <w:color w:val="385623"/>
        </w:rPr>
        <w:br w:type="page"/>
      </w:r>
    </w:p>
    <w:p w:rsidR="00767532" w:rsidRPr="00D46B85" w:rsidRDefault="0029750B" w:rsidP="0029750B">
      <w:pPr>
        <w:pStyle w:val="Default"/>
        <w:spacing w:before="360" w:after="240"/>
        <w:rPr>
          <w:rFonts w:asciiTheme="minorHAnsi" w:hAnsiTheme="minorHAnsi"/>
          <w:b/>
          <w:bCs/>
          <w:color w:val="385623"/>
        </w:rPr>
      </w:pPr>
      <w:r w:rsidRPr="00D46B85">
        <w:rPr>
          <w:rFonts w:asciiTheme="minorHAnsi" w:hAnsiTheme="minorHAnsi"/>
          <w:b/>
          <w:bCs/>
          <w:color w:val="385623"/>
        </w:rPr>
        <w:t xml:space="preserve">5.6 </w:t>
      </w:r>
      <w:r w:rsidR="00767532" w:rsidRPr="00D46B85">
        <w:rPr>
          <w:rFonts w:asciiTheme="minorHAnsi" w:hAnsiTheme="minorHAnsi"/>
          <w:b/>
          <w:bCs/>
          <w:color w:val="385623"/>
        </w:rPr>
        <w:t>References</w:t>
      </w:r>
    </w:p>
    <w:p w:rsidR="00767532" w:rsidRPr="0029750B" w:rsidRDefault="00767532" w:rsidP="00A11665">
      <w:pPr>
        <w:autoSpaceDE w:val="0"/>
        <w:autoSpaceDN w:val="0"/>
        <w:adjustRightInd w:val="0"/>
        <w:spacing w:after="0"/>
        <w:ind w:left="567" w:hanging="567"/>
        <w:jc w:val="left"/>
        <w:rPr>
          <w:rFonts w:cs="Calibri"/>
          <w:szCs w:val="22"/>
        </w:rPr>
      </w:pPr>
      <w:r w:rsidRPr="0029750B">
        <w:rPr>
          <w:rFonts w:cs="Calibri"/>
          <w:szCs w:val="22"/>
        </w:rPr>
        <w:t>Frazier PS, Page KJ, Louis J, Briggs S and Robertson A (2003) Relating Wetland Inundation to River Flow Using Landsat TM Data. International Journal of Remote Sensing 24 (19), 3755-3770.</w:t>
      </w:r>
    </w:p>
    <w:p w:rsidR="00767532" w:rsidRPr="0029750B" w:rsidRDefault="00767532" w:rsidP="00A11665">
      <w:pPr>
        <w:autoSpaceDE w:val="0"/>
        <w:autoSpaceDN w:val="0"/>
        <w:adjustRightInd w:val="0"/>
        <w:spacing w:after="0"/>
        <w:ind w:left="567" w:hanging="567"/>
        <w:jc w:val="left"/>
        <w:rPr>
          <w:rFonts w:cs="Calibri"/>
          <w:szCs w:val="22"/>
        </w:rPr>
      </w:pPr>
      <w:r w:rsidRPr="0029750B">
        <w:rPr>
          <w:rFonts w:cs="Calibri"/>
          <w:szCs w:val="22"/>
        </w:rPr>
        <w:t>Overton IC (2005) Modelling Floodplain Inundation on a Regulated River: Integrating GIS, Remote Sensing and Hydrological Models. River Research and Applications. 21 (9), 991-1001.</w:t>
      </w:r>
    </w:p>
    <w:p w:rsidR="00767532" w:rsidRPr="0029750B" w:rsidRDefault="00767532" w:rsidP="00A11665">
      <w:pPr>
        <w:autoSpaceDE w:val="0"/>
        <w:autoSpaceDN w:val="0"/>
        <w:adjustRightInd w:val="0"/>
        <w:spacing w:after="0"/>
        <w:ind w:left="567" w:hanging="567"/>
        <w:jc w:val="left"/>
        <w:rPr>
          <w:rFonts w:cs="Calibri"/>
          <w:szCs w:val="22"/>
        </w:rPr>
      </w:pPr>
      <w:r w:rsidRPr="0029750B">
        <w:rPr>
          <w:rFonts w:cs="Calibri"/>
          <w:szCs w:val="22"/>
        </w:rPr>
        <w:t xml:space="preserve">Overton IC, McEwan K, and Sherrah JR (2006) </w:t>
      </w:r>
      <w:proofErr w:type="gramStart"/>
      <w:r w:rsidRPr="0029750B">
        <w:rPr>
          <w:rFonts w:cs="Calibri"/>
          <w:szCs w:val="22"/>
        </w:rPr>
        <w:t>The</w:t>
      </w:r>
      <w:proofErr w:type="gramEnd"/>
      <w:r w:rsidRPr="0029750B">
        <w:rPr>
          <w:rFonts w:cs="Calibri"/>
          <w:szCs w:val="22"/>
        </w:rPr>
        <w:t xml:space="preserve"> River Murray Floodplain Inundation Model – Hume Dam to Lower Lakes. CSIRO Water for a Healthy Country Technical Report 2006. CSIRO: Canberra. </w:t>
      </w:r>
    </w:p>
    <w:p w:rsidR="00767532" w:rsidRPr="0029750B" w:rsidRDefault="00767532" w:rsidP="00A11665">
      <w:pPr>
        <w:spacing w:after="0"/>
        <w:ind w:left="567" w:hanging="567"/>
        <w:jc w:val="left"/>
        <w:rPr>
          <w:rFonts w:cs="Calibri"/>
          <w:szCs w:val="22"/>
        </w:rPr>
      </w:pPr>
      <w:r w:rsidRPr="0029750B">
        <w:rPr>
          <w:rFonts w:cs="Calibri"/>
          <w:szCs w:val="22"/>
        </w:rPr>
        <w:t>Shaikh M, Green D and Cross H (2001) A Remote Sensing Approach to Determine the Environmental Flows for Wetlands of the Lower Darling River, New South Wales, Australia. International Journal of Remote Sensing, 22, 1737-1751.</w:t>
      </w:r>
    </w:p>
    <w:p w:rsidR="00767532" w:rsidRPr="0029750B" w:rsidRDefault="00767532" w:rsidP="00A11665">
      <w:pPr>
        <w:spacing w:after="0"/>
        <w:ind w:left="567" w:hanging="567"/>
        <w:jc w:val="left"/>
        <w:rPr>
          <w:rFonts w:cs="Calibri"/>
          <w:szCs w:val="22"/>
        </w:rPr>
      </w:pPr>
      <w:r w:rsidRPr="0029750B">
        <w:rPr>
          <w:rFonts w:cs="Calibri"/>
          <w:szCs w:val="22"/>
        </w:rPr>
        <w:t>Vietz, GJ, MJ Sammonds, and MJ Stewardson (2013) Impacts of flow regulation on slackwaters in river channels. Water Resources Research, 49, 1797–1811.</w:t>
      </w:r>
    </w:p>
    <w:p w:rsidR="00524F8A" w:rsidRDefault="00524F8A" w:rsidP="00524F8A">
      <w:pPr>
        <w:rPr>
          <w:b/>
          <w:bCs/>
          <w:iCs/>
          <w:color w:val="4F6228"/>
          <w:sz w:val="32"/>
          <w:szCs w:val="28"/>
          <w:lang w:val="en-US"/>
        </w:rPr>
      </w:pPr>
      <w:r>
        <w:br w:type="page"/>
      </w:r>
    </w:p>
    <w:p w:rsidR="00956B4B" w:rsidRPr="00C56122" w:rsidRDefault="00D03270" w:rsidP="00ED6D80">
      <w:pPr>
        <w:pStyle w:val="MurrumH1"/>
      </w:pPr>
      <w:bookmarkStart w:id="46" w:name="_Toc450199551"/>
      <w:r>
        <w:t>R</w:t>
      </w:r>
      <w:r w:rsidR="00956B4B" w:rsidRPr="00C56122">
        <w:t xml:space="preserve">esponse </w:t>
      </w:r>
      <w:r w:rsidR="00D46B85" w:rsidRPr="00C56122">
        <w:t>of water quality and carbon to C</w:t>
      </w:r>
      <w:r w:rsidR="00956B4B" w:rsidRPr="00C56122">
        <w:t>ommonwealth environmental watering</w:t>
      </w:r>
      <w:bookmarkEnd w:id="46"/>
    </w:p>
    <w:p w:rsidR="00572C5D" w:rsidRDefault="00F671D2" w:rsidP="00572C5D">
      <w:pPr>
        <w:rPr>
          <w:b/>
        </w:rPr>
      </w:pPr>
      <w:r>
        <w:rPr>
          <w:b/>
          <w:noProof/>
          <w:lang w:eastAsia="en-AU"/>
        </w:rPr>
      </w:r>
      <w:r>
        <w:rPr>
          <w:b/>
          <w:noProof/>
          <w:lang w:eastAsia="en-AU"/>
        </w:rPr>
        <w:pict>
          <v:shape id="Text Box 702" o:spid="_x0000_s1416" type="#_x0000_t202" style="width:449.25pt;height:59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" fillcolor="#d6e3bc [1302]" strokeweight=".5pt">
            <v:textbox>
              <w:txbxContent>
                <w:p w:rsidR="0097684C" w:rsidRPr="003704E9" w:rsidRDefault="0097684C" w:rsidP="000B78D1">
                  <w:pPr>
                    <w:shd w:val="clear" w:color="auto" w:fill="D6E3BC" w:themeFill="accent3" w:themeFillTint="66"/>
                    <w:spacing w:after="0" w:line="240" w:lineRule="auto"/>
                    <w:rPr>
                      <w:b/>
                      <w:sz w:val="16"/>
                      <w:szCs w:val="16"/>
                    </w:rPr>
                  </w:pPr>
                </w:p>
                <w:p w:rsidR="0097684C" w:rsidRDefault="0097684C" w:rsidP="00572C5D">
                  <w:pPr>
                    <w:pStyle w:val="Style2"/>
                    <w:tabs>
                      <w:tab w:val="left" w:pos="6096"/>
                    </w:tabs>
                    <w:ind w:left="709" w:right="1012"/>
                    <w:jc w:val="center"/>
                  </w:pPr>
                  <w:r w:rsidRPr="00364953">
                    <w:rPr>
                      <w:noProof/>
                      <w:lang w:eastAsia="en-AU"/>
                    </w:rPr>
                    <w:drawing>
                      <wp:inline distT="0" distB="0" distL="0" distR="0">
                        <wp:extent cx="1987901" cy="2721935"/>
                        <wp:effectExtent l="19050" t="19050" r="12700" b="21590"/>
                        <wp:docPr id="456" name="Picture 456" descr="D:\Users\jhowitt\Pictures\flu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jhowitt\Pictures\fluoro.jpg"/>
                                <pic:cNvPicPr>
                                  <a:picLocks noChangeAspect="1" noChangeArrowheads="1"/>
                                </pic:cNvPicPr>
                              </pic:nvPicPr>
                              <pic:blipFill rotWithShape="1">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235" b="4769"/>
                                <a:stretch/>
                              </pic:blipFill>
                              <pic:spPr bwMode="auto">
                                <a:xfrm>
                                  <a:off x="0" y="0"/>
                                  <a:ext cx="2009725" cy="2751817"/>
                                </a:xfrm>
                                <a:prstGeom prst="rect">
                                  <a:avLst/>
                                </a:prstGeom>
                                <a:noFill/>
                                <a:ln w="12700">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7684C" w:rsidRDefault="0097684C" w:rsidP="00572C5D">
                  <w:pPr>
                    <w:pStyle w:val="Style2"/>
                    <w:tabs>
                      <w:tab w:val="left" w:pos="6096"/>
                    </w:tabs>
                    <w:ind w:left="709" w:right="1012"/>
                    <w:jc w:val="center"/>
                  </w:pPr>
                  <w:r>
                    <w:t xml:space="preserve">Figure 6.1 Analysis of water samples by fluorescence spectroscopy </w:t>
                  </w:r>
                </w:p>
                <w:p w:rsidR="0097684C" w:rsidRPr="00DC185B" w:rsidRDefault="0097684C" w:rsidP="00572C5D">
                  <w:pPr>
                    <w:pStyle w:val="Style2"/>
                    <w:tabs>
                      <w:tab w:val="left" w:pos="6096"/>
                    </w:tabs>
                    <w:ind w:left="709" w:right="1012"/>
                    <w:jc w:val="center"/>
                  </w:pPr>
                  <w:r>
                    <w:t>(Photo: Julia Howitt)</w:t>
                  </w:r>
                </w:p>
                <w:p w:rsidR="0097684C" w:rsidRDefault="0097684C" w:rsidP="000B78D1">
                  <w:pPr>
                    <w:shd w:val="clear" w:color="auto" w:fill="D6E3BC" w:themeFill="accent3" w:themeFillTint="66"/>
                    <w:spacing w:after="0" w:line="240" w:lineRule="auto"/>
                    <w:rPr>
                      <w:b/>
                    </w:rPr>
                  </w:pPr>
                  <w:r>
                    <w:rPr>
                      <w:b/>
                    </w:rPr>
                    <w:t>Summary</w:t>
                  </w:r>
                </w:p>
                <w:p w:rsidR="0097684C" w:rsidRPr="00AC6F48" w:rsidRDefault="0097684C" w:rsidP="000B78D1">
                  <w:pPr>
                    <w:pStyle w:val="ListParagraph"/>
                    <w:numPr>
                      <w:ilvl w:val="0"/>
                      <w:numId w:val="30"/>
                    </w:numPr>
                    <w:shd w:val="clear" w:color="auto" w:fill="D6E3BC" w:themeFill="accent3" w:themeFillTint="66"/>
                    <w:tabs>
                      <w:tab w:val="num" w:pos="360"/>
                    </w:tabs>
                    <w:spacing w:after="120" w:line="240" w:lineRule="auto"/>
                    <w:ind w:left="714" w:hanging="357"/>
                    <w:jc w:val="left"/>
                    <w:rPr>
                      <w:szCs w:val="22"/>
                    </w:rPr>
                  </w:pPr>
                  <w:r w:rsidRPr="00AC6F48">
                    <w:rPr>
                      <w:szCs w:val="22"/>
                    </w:rPr>
                    <w:t>Water quality parameters were assessed by a combination of continuous logging (temperature and dissolved oxygen) supplemented with spot measurements and collection of water samples (monthly) two sites within each zone, and from Stevens Weir on the Edward River and the Mulwala Canal for laboratory measurement of: dissolved organic carbon, nutrients and absorbance and fluorescence spectroscopy for organic matter characterisation.</w:t>
                  </w:r>
                </w:p>
                <w:p w:rsidR="0097684C" w:rsidRPr="00E65DAA" w:rsidRDefault="0097684C" w:rsidP="000B78D1">
                  <w:pPr>
                    <w:pStyle w:val="ListParagraph"/>
                    <w:numPr>
                      <w:ilvl w:val="0"/>
                      <w:numId w:val="30"/>
                    </w:numPr>
                    <w:shd w:val="clear" w:color="auto" w:fill="D6E3BC" w:themeFill="accent3" w:themeFillTint="66"/>
                    <w:tabs>
                      <w:tab w:val="num" w:pos="360"/>
                    </w:tabs>
                    <w:spacing w:after="120" w:line="240" w:lineRule="auto"/>
                    <w:ind w:left="714" w:hanging="357"/>
                    <w:jc w:val="left"/>
                    <w:rPr>
                      <w:szCs w:val="22"/>
                    </w:rPr>
                  </w:pPr>
                  <w:r>
                    <w:t xml:space="preserve">Commonwealth environmental water </w:t>
                  </w:r>
                  <w:r w:rsidRPr="00E65DAA">
                    <w:rPr>
                      <w:szCs w:val="22"/>
                    </w:rPr>
                    <w:t xml:space="preserve">did not influence water temperature, however zones receiving </w:t>
                  </w:r>
                  <w:r>
                    <w:t xml:space="preserve">Commonwealth environmental water </w:t>
                  </w:r>
                  <w:r w:rsidRPr="00E65DAA">
                    <w:rPr>
                      <w:szCs w:val="22"/>
                    </w:rPr>
                    <w:t>had higher dissolved oxygen concentrations than the Wakool River in Zone 2</w:t>
                  </w:r>
                  <w:r>
                    <w:rPr>
                      <w:szCs w:val="22"/>
                    </w:rPr>
                    <w:t xml:space="preserve"> (no environmental water)</w:t>
                  </w:r>
                  <w:r w:rsidRPr="00E65DAA">
                    <w:rPr>
                      <w:szCs w:val="22"/>
                    </w:rPr>
                    <w:t>.</w:t>
                  </w:r>
                  <w:r>
                    <w:rPr>
                      <w:szCs w:val="22"/>
                    </w:rPr>
                    <w:t xml:space="preserve"> </w:t>
                  </w:r>
                  <w:r>
                    <w:rPr>
                      <w:rFonts w:cs="Calibri"/>
                    </w:rPr>
                    <w:t xml:space="preserve">This difference among zones with and without </w:t>
                  </w:r>
                  <w:r>
                    <w:rPr>
                      <w:szCs w:val="22"/>
                    </w:rPr>
                    <w:t>environmental water</w:t>
                  </w:r>
                  <w:r w:rsidRPr="00A25453">
                    <w:rPr>
                      <w:szCs w:val="22"/>
                    </w:rPr>
                    <w:t xml:space="preserve"> </w:t>
                  </w:r>
                  <w:r>
                    <w:rPr>
                      <w:rFonts w:cs="Calibri"/>
                    </w:rPr>
                    <w:t>persisted beyond the end of the watering action, thus Commonwealth environmental water assisted in the maintenance of dissolved oxygen concentrations over the summer period in the zones receiving the additional flow.</w:t>
                  </w:r>
                </w:p>
                <w:p w:rsidR="0097684C" w:rsidRPr="00E65DAA" w:rsidRDefault="0097684C" w:rsidP="003A5CB0">
                  <w:pPr>
                    <w:pStyle w:val="ListBullet"/>
                    <w:numPr>
                      <w:ilvl w:val="0"/>
                      <w:numId w:val="30"/>
                    </w:numPr>
                    <w:tabs>
                      <w:tab w:val="num" w:pos="360"/>
                    </w:tabs>
                    <w:spacing w:after="120"/>
                    <w:ind w:left="714" w:hanging="357"/>
                    <w:contextualSpacing w:val="0"/>
                    <w:jc w:val="left"/>
                    <w:rPr>
                      <w:sz w:val="22"/>
                      <w:szCs w:val="22"/>
                    </w:rPr>
                  </w:pPr>
                  <w:r w:rsidRPr="00E65DAA">
                    <w:rPr>
                      <w:sz w:val="22"/>
                      <w:szCs w:val="22"/>
                    </w:rPr>
                    <w:t xml:space="preserve">Total Nitrogen and Total Phosphorus were generally higher in the Wakool River in Zone 2 than in the sites receiving </w:t>
                  </w:r>
                  <w:r w:rsidRPr="000A4F7E">
                    <w:rPr>
                      <w:sz w:val="22"/>
                      <w:szCs w:val="22"/>
                    </w:rPr>
                    <w:t>Commonwealth environmental water</w:t>
                  </w:r>
                  <w:r w:rsidRPr="00E65DAA">
                    <w:rPr>
                      <w:sz w:val="22"/>
                      <w:szCs w:val="22"/>
                    </w:rPr>
                    <w:t>, however bioavailable nutrients were at similar very low concentrations at all sites.</w:t>
                  </w:r>
                </w:p>
                <w:p w:rsidR="0097684C" w:rsidRPr="00E65DAA" w:rsidRDefault="0097684C" w:rsidP="003A5CB0">
                  <w:pPr>
                    <w:pStyle w:val="ListBullet"/>
                    <w:numPr>
                      <w:ilvl w:val="0"/>
                      <w:numId w:val="30"/>
                    </w:numPr>
                    <w:tabs>
                      <w:tab w:val="num" w:pos="360"/>
                    </w:tabs>
                    <w:spacing w:after="120"/>
                    <w:ind w:left="714" w:hanging="357"/>
                    <w:contextualSpacing w:val="0"/>
                    <w:jc w:val="left"/>
                    <w:rPr>
                      <w:sz w:val="22"/>
                      <w:szCs w:val="22"/>
                    </w:rPr>
                  </w:pPr>
                  <w:r w:rsidRPr="00E65DAA">
                    <w:rPr>
                      <w:sz w:val="22"/>
                      <w:szCs w:val="22"/>
                    </w:rPr>
                    <w:t>A pulse of organic matter was observed passing through the system from upstream during August</w:t>
                  </w:r>
                  <w:r>
                    <w:rPr>
                      <w:sz w:val="22"/>
                      <w:szCs w:val="22"/>
                    </w:rPr>
                    <w:t xml:space="preserve"> 2014</w:t>
                  </w:r>
                  <w:r w:rsidRPr="00E65DAA">
                    <w:rPr>
                      <w:sz w:val="22"/>
                      <w:szCs w:val="22"/>
                    </w:rPr>
                    <w:t xml:space="preserve">. Very small differences between organic matter in the Wakool River in zone 2 and the other study sites were measured during the Yallakool environmental watering action. These are unlikely to be ecologically significant. </w:t>
                  </w:r>
                </w:p>
                <w:p w:rsidR="0097684C" w:rsidRPr="00E65DAA" w:rsidRDefault="0097684C" w:rsidP="003A5CB0">
                  <w:pPr>
                    <w:pStyle w:val="ListBullet"/>
                    <w:numPr>
                      <w:ilvl w:val="0"/>
                      <w:numId w:val="30"/>
                    </w:numPr>
                    <w:tabs>
                      <w:tab w:val="num" w:pos="360"/>
                    </w:tabs>
                    <w:spacing w:after="120"/>
                    <w:ind w:left="714" w:hanging="357"/>
                    <w:contextualSpacing w:val="0"/>
                    <w:jc w:val="left"/>
                    <w:rPr>
                      <w:sz w:val="22"/>
                      <w:szCs w:val="22"/>
                    </w:rPr>
                  </w:pPr>
                  <w:r w:rsidRPr="00E65DAA">
                    <w:rPr>
                      <w:sz w:val="22"/>
                      <w:szCs w:val="22"/>
                    </w:rPr>
                    <w:t>Organic matter remained well below concentrations associated with blackwater events.</w:t>
                  </w:r>
                </w:p>
              </w:txbxContent>
            </v:textbox>
            <w10:wrap type="none"/>
            <w10:anchorlock/>
          </v:shape>
        </w:pict>
      </w:r>
      <w:r w:rsidR="00572C5D">
        <w:rPr>
          <w:b/>
        </w:rPr>
        <w:br w:type="page"/>
      </w:r>
    </w:p>
    <w:p w:rsidR="00572C5D" w:rsidRPr="00F13819" w:rsidRDefault="00D177E5" w:rsidP="00572C5D">
      <w:pPr>
        <w:tabs>
          <w:tab w:val="left" w:pos="9071"/>
        </w:tabs>
        <w:spacing w:after="240"/>
        <w:ind w:right="-1"/>
        <w:rPr>
          <w:b/>
          <w:color w:val="4F6228" w:themeColor="accent3" w:themeShade="80"/>
          <w:sz w:val="24"/>
          <w:szCs w:val="24"/>
        </w:rPr>
      </w:pPr>
      <w:r>
        <w:rPr>
          <w:b/>
          <w:color w:val="4F6228" w:themeColor="accent3" w:themeShade="80"/>
          <w:sz w:val="24"/>
          <w:szCs w:val="24"/>
        </w:rPr>
        <w:t xml:space="preserve">6.1 </w:t>
      </w:r>
      <w:r w:rsidR="00572C5D" w:rsidRPr="00F13819">
        <w:rPr>
          <w:b/>
          <w:color w:val="4F6228" w:themeColor="accent3" w:themeShade="80"/>
          <w:sz w:val="24"/>
          <w:szCs w:val="24"/>
        </w:rPr>
        <w:t>Background</w:t>
      </w:r>
    </w:p>
    <w:p w:rsidR="00572C5D" w:rsidRDefault="00572C5D" w:rsidP="003F7C70">
      <w:pPr>
        <w:tabs>
          <w:tab w:val="left" w:pos="9071"/>
        </w:tabs>
        <w:spacing w:after="240"/>
        <w:ind w:right="-1"/>
        <w:jc w:val="left"/>
      </w:pPr>
      <w:r>
        <w:t>Water quality is a key indicator of aquatic ecosystem health and water quality parameters will often respond to changes</w:t>
      </w:r>
      <w:r w:rsidR="000A4F7E">
        <w:t xml:space="preserve"> in flow regimes very quickly. </w:t>
      </w:r>
      <w:r>
        <w:t xml:space="preserve">Increases in wetted benthic area can result in inputs of carbon and nutrients from previously dry parts of the channel or floodplain </w:t>
      </w:r>
      <w:r w:rsidR="00F671D2">
        <w:fldChar w:fldCharType="begin"/>
      </w:r>
      <w:r>
        <w:instrText xml:space="preserve"> ADDIN EN.CITE &lt;EndNote&gt;&lt;Cite&gt;&lt;Author&gt;Baldwin&lt;/Author&gt;&lt;Year&gt;1999&lt;/Year&gt;&lt;RecNum&gt;77&lt;/RecNum&gt;&lt;DisplayText&gt;(Baldwin 1999; Baldwin and Mitchell 2000)&lt;/DisplayText&gt;&lt;record&gt;&lt;rec-number&gt;77&lt;/rec-number&gt;&lt;foreign-keys&gt;&lt;key app="EN" db-id="s29ddxw9p900s9ef22lv2wprd9wr9rtp20ps"&gt;77&lt;/key&gt;&lt;/foreign-keys&gt;&lt;ref-type name="Journal Article"&gt;17&lt;/ref-type&gt;&lt;contributors&gt;&lt;authors&gt;&lt;author&gt;D.S. Baldwin&lt;/author&gt;&lt;/authors&gt;&lt;/contributors&gt;&lt;titles&gt;&lt;title&gt;Dissolved organic matter and phosphorus leached from fresh and &amp;apos;terrestrially&amp;apos; aged river red gum leaves: implications for assessing river-floodplain interactions&lt;/title&gt;&lt;secondary-title&gt;Freshwater Biology&lt;/secondary-title&gt;&lt;/titles&gt;&lt;periodical&gt;&lt;full-title&gt;Freshwater Biology&lt;/full-title&gt;&lt;/periodical&gt;&lt;pages&gt;675-685&lt;/pages&gt;&lt;volume&gt;41&lt;/volume&gt;&lt;keywords&gt;&lt;keyword&gt;General-DOM&lt;/keyword&gt;&lt;/keywords&gt;&lt;dates&gt;&lt;year&gt;1999&lt;/year&gt;&lt;/dates&gt;&lt;label&gt;2001&lt;/label&gt;&lt;urls&gt;&lt;/urls&gt;&lt;/record&gt;&lt;/Cite&gt;&lt;Cite&gt;&lt;Author&gt;Baldwin&lt;/Author&gt;&lt;Year&gt;2000&lt;/Year&gt;&lt;RecNum&gt;752&lt;/RecNum&gt;&lt;record&gt;&lt;rec-number&gt;752&lt;/rec-number&gt;&lt;foreign-keys&gt;&lt;key app="EN" db-id="s29ddxw9p900s9ef22lv2wprd9wr9rtp20ps"&gt;752&lt;/key&gt;&lt;/foreign-keys&gt;&lt;ref-type name="Journal Article"&gt;17&lt;/ref-type&gt;&lt;contributors&gt;&lt;authors&gt;&lt;author&gt;Baldwin, D. S.&lt;/author&gt;&lt;author&gt;Mitchell, A. M.&lt;/author&gt;&lt;/authors&gt;&lt;/contributors&gt;&lt;titles&gt;&lt;title&gt;The effects of drying and re-flooding on the sediment and soil nutrient dynamics of lowland river-floodplain systems: a synthesis&lt;/title&gt;&lt;secondary-title&gt;Regulated Rivers: Research &amp;amp; Management&lt;/secondary-title&gt;&lt;/titles&gt;&lt;periodical&gt;&lt;full-title&gt;Regulated Rivers: Research &amp;amp; Management&lt;/full-title&gt;&lt;/periodical&gt;&lt;pages&gt;457-467&lt;/pages&gt;&lt;volume&gt;16&lt;/volume&gt;&lt;keywords&gt;&lt;keyword&gt;drought&lt;/keyword&gt;&lt;keyword&gt;flood&lt;/keyword&gt;&lt;keyword&gt;floodplain&lt;/keyword&gt;&lt;keyword&gt;nitrogen&lt;/keyword&gt;&lt;keyword&gt;nutrients&lt;/keyword&gt;&lt;keyword&gt;phosphorus&lt;/keyword&gt;&lt;keyword&gt;sediment&lt;/keyword&gt;&lt;keyword&gt;soil&lt;/keyword&gt;&lt;/keywords&gt;&lt;dates&gt;&lt;year&gt;2000&lt;/year&gt;&lt;/dates&gt;&lt;label&gt;6070&lt;/label&gt;&lt;urls&gt;&lt;/urls&gt;&lt;/record&gt;&lt;/Cite&gt;&lt;/EndNote&gt;</w:instrText>
      </w:r>
      <w:r w:rsidR="00F671D2">
        <w:fldChar w:fldCharType="separate"/>
      </w:r>
      <w:r>
        <w:rPr>
          <w:noProof/>
        </w:rPr>
        <w:t>(</w:t>
      </w:r>
      <w:hyperlink w:anchor="_ENREF_3" w:tooltip="Baldwin, 1999 #77" w:history="1">
        <w:r>
          <w:rPr>
            <w:noProof/>
          </w:rPr>
          <w:t>Baldwin 1999</w:t>
        </w:r>
      </w:hyperlink>
      <w:r>
        <w:rPr>
          <w:noProof/>
        </w:rPr>
        <w:t xml:space="preserve">; </w:t>
      </w:r>
      <w:hyperlink w:anchor="_ENREF_4" w:tooltip="Baldwin, 2000 #752" w:history="1">
        <w:r>
          <w:rPr>
            <w:noProof/>
          </w:rPr>
          <w:t>Baldwin and Mitchell 2000</w:t>
        </w:r>
      </w:hyperlink>
      <w:r>
        <w:rPr>
          <w:noProof/>
        </w:rPr>
        <w:t>)</w:t>
      </w:r>
      <w:r w:rsidR="00F671D2">
        <w:fldChar w:fldCharType="end"/>
      </w:r>
      <w:r>
        <w:t xml:space="preserve">, or increased flow may have a dilution effect on these parameters instead. Whether changes in flow have positive or negative impacts on water quality depends on the initial water quality as well as the specific flow conditions, time of year and other catchment effects. </w:t>
      </w:r>
      <w:r w:rsidRPr="00EE08C6">
        <w:t xml:space="preserve">Dissolved oxygen and temperature are affected by flow through changes in water volume, depth, turbulence and through indirect processes, such as alterations in rates of bacterial metabolism and photosynthesis. </w:t>
      </w:r>
    </w:p>
    <w:p w:rsidR="00572C5D" w:rsidRPr="004372F5" w:rsidRDefault="00572C5D" w:rsidP="003F7C70">
      <w:pPr>
        <w:spacing w:after="240"/>
        <w:jc w:val="left"/>
      </w:pPr>
      <w:r w:rsidRPr="004372F5">
        <w:t>Australian riverine ecosystems can be heavily reliant on both algal and terrestrial dissolved organic matter for microbial productivity and can be limited by dissolved organic carbon concentrations</w:t>
      </w:r>
      <w:r>
        <w:t xml:space="preserve"> </w:t>
      </w:r>
      <w:r w:rsidR="00F671D2">
        <w:fldChar w:fldCharType="begin">
          <w:fldData xml:space="preserve">PEVuZE5vdGU+PENpdGU+PEF1dGhvcj5IYWR3ZW48L0F1dGhvcj48WWVhcj4yMDEwPC9ZZWFyPjxS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=
</w:fldData>
        </w:fldChar>
      </w:r>
      <w:r>
        <w:instrText xml:space="preserve"> ADDIN EN.CITE </w:instrText>
      </w:r>
      <w:r w:rsidR="00F671D2">
        <w:fldChar w:fldCharType="begin">
          <w:fldData xml:space="preserve">PEVuZE5vdGU+PENpdGU+PEF1dGhvcj5IYWR3ZW48L0F1dGhvcj48WWVhcj4yMDEwPC9ZZWFyPjxS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=
</w:fldData>
        </w:fldChar>
      </w:r>
      <w:r>
        <w:instrText xml:space="preserve"> ADDIN EN.CITE.DATA </w:instrText>
      </w:r>
      <w:r w:rsidR="00F671D2">
        <w:fldChar w:fldCharType="end"/>
      </w:r>
      <w:r w:rsidR="00F671D2">
        <w:fldChar w:fldCharType="separate"/>
      </w:r>
      <w:r>
        <w:rPr>
          <w:noProof/>
        </w:rPr>
        <w:t>(</w:t>
      </w:r>
      <w:hyperlink w:anchor="_ENREF_6" w:tooltip="Hadwen, 2010 #1577" w:history="1">
        <w:r>
          <w:rPr>
            <w:noProof/>
          </w:rPr>
          <w:t>Hadwen, Fellows</w:t>
        </w:r>
        <w:r w:rsidRPr="00FC01C7">
          <w:rPr>
            <w:i/>
            <w:noProof/>
          </w:rPr>
          <w:t xml:space="preserve"> </w:t>
        </w:r>
        <w:r w:rsidRPr="000C7056">
          <w:rPr>
            <w:noProof/>
          </w:rPr>
          <w:t>et al</w:t>
        </w:r>
        <w:r w:rsidRPr="00FC01C7">
          <w:rPr>
            <w:i/>
            <w:noProof/>
          </w:rPr>
          <w:t>.</w:t>
        </w:r>
        <w:r>
          <w:rPr>
            <w:noProof/>
          </w:rPr>
          <w:t xml:space="preserve"> 2010</w:t>
        </w:r>
      </w:hyperlink>
      <w:r>
        <w:rPr>
          <w:noProof/>
        </w:rPr>
        <w:t>)</w:t>
      </w:r>
      <w:r w:rsidR="00F671D2">
        <w:fldChar w:fldCharType="end"/>
      </w:r>
      <w:r>
        <w:t>. Aquatic environments naturally have quite variable dissolved organic matter concentrations and there are no optimal concentrations or trigger values provided for organic matter</w:t>
      </w:r>
      <w:r w:rsidR="00CF2BC4">
        <w:t xml:space="preserve"> </w:t>
      </w:r>
      <w:r w:rsidR="00F671D2">
        <w:fldChar w:fldCharType="begin"/>
      </w:r>
      <w:r>
        <w:instrText xml:space="preserve"> ADDIN EN.CITE &lt;EndNote&gt;&lt;Cite&gt;&lt;Author&gt;ANZECC&lt;/Author&gt;&lt;Year&gt;2000&lt;/Year&gt;&lt;RecNum&gt;649&lt;/RecNum&gt;&lt;DisplayText&gt;(ANZECC 2000)&lt;/DisplayText&gt;&lt;record&gt;&lt;rec-number&gt;649&lt;/rec-number&gt;&lt;foreign-keys&gt;&lt;key app="EN" db-id="s29ddxw9p900s9ef22lv2wprd9wr9rtp20ps"&gt;649&lt;/key&gt;&lt;/foreign-keys&gt;&lt;ref-type name="Report"&gt;27&lt;/ref-type&gt;&lt;contributors&gt;&lt;authors&gt;&lt;author&gt;ANZECC,&lt;/author&gt;&lt;/authors&gt;&lt;tertiary-authors&gt;&lt;author&gt;Australian and New Zealand Environment and Conservation Council &amp;amp; Agriculture and Resource Management Council of Australia and New Zealand,&lt;/author&gt;&lt;/tertiary-authors&gt;&lt;/contributors&gt;&lt;titles&gt;&lt;title&gt;National Water Quality Management Strategy: Australian and New Zealand guidelines for fresh and marine water quality.  &lt;/title&gt;&lt;/titles&gt;&lt;dates&gt;&lt;year&gt;2000&lt;/year&gt;&lt;/dates&gt;&lt;pub-location&gt;Canberra&lt;/pub-location&gt;&lt;publisher&gt;Australian and New Zealand Environment and Conservation Council &amp;amp; Agriculture and Resource Management Council of Australia and New Zealand,&lt;/publisher&gt;&lt;label&gt;8000a&lt;/label&gt;&lt;urls&gt;&lt;/urls&gt;&lt;/record&gt;&lt;/Cite&gt;&lt;/EndNote&gt;</w:instrText>
      </w:r>
      <w:r w:rsidR="00F671D2">
        <w:fldChar w:fldCharType="separate"/>
      </w:r>
      <w:r>
        <w:rPr>
          <w:noProof/>
        </w:rPr>
        <w:t>(</w:t>
      </w:r>
      <w:hyperlink w:anchor="_ENREF_1" w:tooltip="ANZECC, 2000 #649" w:history="1">
        <w:r>
          <w:rPr>
            <w:noProof/>
          </w:rPr>
          <w:t>ANZECC 2000</w:t>
        </w:r>
      </w:hyperlink>
      <w:r>
        <w:rPr>
          <w:noProof/>
        </w:rPr>
        <w:t>)</w:t>
      </w:r>
      <w:r w:rsidR="00F671D2">
        <w:fldChar w:fldCharType="end"/>
      </w:r>
      <w:r>
        <w:t>.</w:t>
      </w:r>
      <w:r w:rsidRPr="004372F5">
        <w:t xml:space="preserve"> </w:t>
      </w:r>
    </w:p>
    <w:p w:rsidR="00FD42BE" w:rsidRDefault="00572C5D" w:rsidP="003F7C70">
      <w:pPr>
        <w:spacing w:after="240"/>
        <w:jc w:val="left"/>
      </w:pPr>
      <w:r w:rsidRPr="004372F5">
        <w:t>Organic matter is made up of a complex mixture of compounds from a diverse range of sources.</w:t>
      </w:r>
      <w:r w:rsidR="00FD42BE">
        <w:t xml:space="preserve"> This mixture contains too many types of compounds to be fully characterised and so the organic matter in natural waters is usually described by the use of broad categories, the most fundamental of which are nonhumic substances and humic substances (Choudhry 1984). Nonhumic substances include relatively simple compounds belonging to recognised groups such as carbohydrates, proteins, peptides, fats and other low molecular weight organic compounds. However, the humic substances can dominate in many waters and in contrast are poorly characterised, substantially larger (molecular weights ranging from hundreds to tens of thousands) and the group is further classified into two groups (humic acids and fulvic acids) based on their properties rather than chemical structure. Humic acids are the fraction that is soluble in basic solution but precipitates in acid, while fulvic acids are soluble in both acids and bases (Choudhry 1984). Humic substances are predominantly derived from the processing of plant residues and can involve complex chains and aromatic rings which contribute to their strong yellow-brown colour.</w:t>
      </w:r>
    </w:p>
    <w:p w:rsidR="00572C5D" w:rsidRPr="004372F5" w:rsidRDefault="00572C5D" w:rsidP="004A648F">
      <w:pPr>
        <w:spacing w:after="240"/>
        <w:jc w:val="left"/>
      </w:pPr>
      <w:r w:rsidRPr="004372F5">
        <w:t>Microbial communities do not respond to all types of organic matter in the same way</w:t>
      </w:r>
      <w:r>
        <w:t xml:space="preserve"> </w:t>
      </w:r>
      <w:r w:rsidR="00F671D2">
        <w:fldChar w:fldCharType="begin">
          <w:fldData xml:space="preserve">PEVuZE5vdGU+PENpdGU+PEF1dGhvcj5CYWxkd2luPC9BdXRob3I+PFllYXI+MTk5OTwvWWVhcj48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</w:fldData>
        </w:fldChar>
      </w:r>
      <w:r>
        <w:instrText xml:space="preserve"> ADDIN EN.CITE </w:instrText>
      </w:r>
      <w:r w:rsidR="00F671D2">
        <w:fldChar w:fldCharType="begin">
          <w:fldData xml:space="preserve">PEVuZE5vdGU+PENpdGU+PEF1dGhvcj5CYWxkd2luPC9BdXRob3I+PFllYXI+MTk5OTwvWWVhcj48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</w:fldData>
        </w:fldChar>
      </w:r>
      <w:r>
        <w:instrText xml:space="preserve"> ADDIN EN.CITE.DATA </w:instrText>
      </w:r>
      <w:r w:rsidR="00F671D2">
        <w:fldChar w:fldCharType="end"/>
      </w:r>
      <w:r w:rsidR="00F671D2">
        <w:fldChar w:fldCharType="separate"/>
      </w:r>
      <w:r>
        <w:rPr>
          <w:noProof/>
        </w:rPr>
        <w:t>(</w:t>
      </w:r>
      <w:hyperlink w:anchor="_ENREF_3" w:tooltip="Baldwin, 1999 #77" w:history="1">
        <w:r>
          <w:rPr>
            <w:noProof/>
          </w:rPr>
          <w:t>Baldwin 1999</w:t>
        </w:r>
      </w:hyperlink>
      <w:r>
        <w:rPr>
          <w:noProof/>
        </w:rPr>
        <w:t xml:space="preserve">; </w:t>
      </w:r>
      <w:hyperlink w:anchor="_ENREF_12" w:tooltip="O'Connell, 2000 #241" w:history="1">
        <w:r>
          <w:rPr>
            <w:noProof/>
          </w:rPr>
          <w:t>O'Connell, Baldwin</w:t>
        </w:r>
        <w:r w:rsidRPr="00FC01C7">
          <w:rPr>
            <w:i/>
            <w:noProof/>
          </w:rPr>
          <w:t xml:space="preserve"> </w:t>
        </w:r>
        <w:r w:rsidRPr="000C7056">
          <w:rPr>
            <w:noProof/>
          </w:rPr>
          <w:t xml:space="preserve">et al. </w:t>
        </w:r>
        <w:r>
          <w:rPr>
            <w:noProof/>
          </w:rPr>
          <w:t>2000</w:t>
        </w:r>
      </w:hyperlink>
      <w:r>
        <w:rPr>
          <w:noProof/>
        </w:rPr>
        <w:t xml:space="preserve">; </w:t>
      </w:r>
      <w:hyperlink w:anchor="_ENREF_8" w:tooltip="Howitt, 2008 #1538" w:history="1">
        <w:r>
          <w:rPr>
            <w:noProof/>
          </w:rPr>
          <w:t>Howitt, Baldwin</w:t>
        </w:r>
        <w:r w:rsidRPr="00FC01C7">
          <w:rPr>
            <w:i/>
            <w:noProof/>
          </w:rPr>
          <w:t xml:space="preserve"> </w:t>
        </w:r>
        <w:r w:rsidRPr="000C7056">
          <w:rPr>
            <w:noProof/>
          </w:rPr>
          <w:t>et al.</w:t>
        </w:r>
        <w:r>
          <w:rPr>
            <w:noProof/>
          </w:rPr>
          <w:t xml:space="preserve"> 2008</w:t>
        </w:r>
      </w:hyperlink>
      <w:r>
        <w:rPr>
          <w:noProof/>
        </w:rPr>
        <w:t>)</w:t>
      </w:r>
      <w:r w:rsidR="00F671D2">
        <w:fldChar w:fldCharType="end"/>
      </w:r>
      <w:r w:rsidRPr="004372F5">
        <w:t xml:space="preserve"> although it has been shown that bacterial communities can respond to changes in organic carbon source quite rapidly</w:t>
      </w:r>
      <w:r w:rsidR="008513E0">
        <w:t xml:space="preserve"> </w:t>
      </w:r>
      <w:r w:rsidR="00F671D2">
        <w:fldChar w:fldCharType="begin"/>
      </w:r>
      <w:r>
        <w:instrText xml:space="preserve"> ADDIN EN.CITE &lt;EndNote&gt;&lt;Cite&gt;&lt;Author&gt;Wehr&lt;/Author&gt;&lt;Year&gt;1999&lt;/Year&gt;&lt;RecNum&gt;78&lt;/RecNum&gt;&lt;DisplayText&gt;(Wehr, Peterson&lt;style face="italic"&gt; et al.&lt;/style&gt; 1999)&lt;/DisplayText&gt;&lt;record&gt;&lt;rec-number&gt;78&lt;/rec-number&gt;&lt;foreign-keys&gt;&lt;key app="EN" db-id="s29ddxw9p900s9ef22lv2wprd9wr9rtp20ps"&gt;78&lt;/key&gt;&lt;/foreign-keys&gt;&lt;ref-type name="Journal Article"&gt;17&lt;/ref-type&gt;&lt;contributors&gt;&lt;authors&gt;&lt;author&gt;Wehr, J. D.&lt;/author&gt;&lt;author&gt;Peterson, J.&lt;/author&gt;&lt;author&gt;Findlay, S.&lt;/author&gt;&lt;/authors&gt;&lt;/contributors&gt;&lt;titles&gt;&lt;title&gt;Influence of three contrasting detrital carbon sources on planktonic bacterial metabolism in a mesotrophic lake&lt;/title&gt;&lt;secondary-title&gt;Microbial Ecology&lt;/secondary-title&gt;&lt;/titles&gt;&lt;periodical&gt;&lt;full-title&gt;Microbial Ecology&lt;/full-title&gt;&lt;/periodical&gt;&lt;pages&gt;23-35&lt;/pages&gt;&lt;volume&gt;37&lt;/volume&gt;&lt;dates&gt;&lt;year&gt;1999&lt;/year&gt;&lt;/dates&gt;&lt;label&gt;2002&lt;/label&gt;&lt;urls&gt;&lt;/urls&gt;&lt;/record&gt;&lt;/Cite&gt;&lt;/EndNote&gt;</w:instrText>
      </w:r>
      <w:r w:rsidR="00F671D2">
        <w:fldChar w:fldCharType="separate"/>
      </w:r>
      <w:r>
        <w:rPr>
          <w:noProof/>
        </w:rPr>
        <w:t>(</w:t>
      </w:r>
      <w:hyperlink w:anchor="_ENREF_14" w:tooltip="Wehr, 1999 #78" w:history="1">
        <w:r>
          <w:rPr>
            <w:noProof/>
          </w:rPr>
          <w:t>Wehr, Peterson</w:t>
        </w:r>
        <w:r w:rsidRPr="00FC01C7">
          <w:rPr>
            <w:i/>
            <w:noProof/>
          </w:rPr>
          <w:t xml:space="preserve"> </w:t>
        </w:r>
        <w:r w:rsidRPr="000C7056">
          <w:rPr>
            <w:noProof/>
          </w:rPr>
          <w:t>et al.</w:t>
        </w:r>
        <w:r>
          <w:rPr>
            <w:noProof/>
          </w:rPr>
          <w:t xml:space="preserve"> 1999</w:t>
        </w:r>
      </w:hyperlink>
      <w:r>
        <w:rPr>
          <w:noProof/>
        </w:rPr>
        <w:t>)</w:t>
      </w:r>
      <w:r w:rsidR="00F671D2">
        <w:fldChar w:fldCharType="end"/>
      </w:r>
      <w:r w:rsidRPr="004372F5">
        <w:t>. The very large, complex type of organic matter referred to as humic substances has been shown to be less available to bacterial communities than simpler non-humic carbon</w:t>
      </w:r>
      <w:r>
        <w:t xml:space="preserve"> </w:t>
      </w:r>
      <w:r w:rsidR="00F671D2">
        <w:fldChar w:fldCharType="begin"/>
      </w:r>
      <w:r>
        <w:instrText xml:space="preserve"> ADDIN EN.CITE &lt;EndNote&gt;&lt;Cite&gt;&lt;Author&gt;Moran&lt;/Author&gt;&lt;Year&gt;1990&lt;/Year&gt;&lt;RecNum&gt;85&lt;/RecNum&gt;&lt;DisplayText&gt;(Moran and Hodson 1990)&lt;/DisplayText&gt;&lt;record&gt;&lt;rec-number&gt;85&lt;/rec-number&gt;&lt;foreign-keys&gt;&lt;key app="EN" db-id="s29ddxw9p900s9ef22lv2wprd9wr9rtp20ps"&gt;85&lt;/key&gt;&lt;/foreign-keys&gt;&lt;ref-type name="Journal Article"&gt;17&lt;/ref-type&gt;&lt;contributors&gt;&lt;authors&gt;&lt;author&gt;Moran, Mary Ann&lt;/author&gt;&lt;author&gt;Hodson, Robert E.&lt;/author&gt;&lt;/authors&gt;&lt;/contributors&gt;&lt;titles&gt;&lt;title&gt;Bacterial production on humic and nonhumic components of dissolved organic carbon&lt;/title&gt;&lt;secondary-title&gt;Limnology and Oceanography&lt;/secondary-title&gt;&lt;/titles&gt;&lt;periodical&gt;&lt;full-title&gt;Limnology and Oceanography&lt;/full-title&gt;&lt;/periodical&gt;&lt;pages&gt;1744-1756&lt;/pages&gt;&lt;volume&gt;35&lt;/volume&gt;&lt;number&gt;8&lt;/number&gt;&lt;keywords&gt;&lt;keyword&gt;General-DOM&lt;/keyword&gt;&lt;/keywords&gt;&lt;dates&gt;&lt;year&gt;1990&lt;/year&gt;&lt;/dates&gt;&lt;label&gt;2009&lt;/label&gt;&lt;urls&gt;&lt;/urls&gt;&lt;/record&gt;&lt;/Cite&gt;&lt;/EndNote&gt;</w:instrText>
      </w:r>
      <w:r w:rsidR="00F671D2">
        <w:fldChar w:fldCharType="separate"/>
      </w:r>
      <w:r>
        <w:rPr>
          <w:noProof/>
        </w:rPr>
        <w:t>(</w:t>
      </w:r>
      <w:hyperlink w:anchor="_ENREF_10" w:tooltip="Moran, 1990 #85" w:history="1">
        <w:r>
          <w:rPr>
            <w:noProof/>
          </w:rPr>
          <w:t>Moran and Hodson 1990</w:t>
        </w:r>
      </w:hyperlink>
      <w:r>
        <w:rPr>
          <w:noProof/>
        </w:rPr>
        <w:t>)</w:t>
      </w:r>
      <w:r w:rsidR="00F671D2">
        <w:fldChar w:fldCharType="end"/>
      </w:r>
      <w:r w:rsidRPr="004372F5">
        <w:t xml:space="preserve"> although this can be altered over time with exposure to ultraviolet light</w:t>
      </w:r>
      <w:r>
        <w:t xml:space="preserve"> </w:t>
      </w:r>
      <w:r w:rsidR="00F671D2">
        <w:fldChar w:fldCharType="begin">
          <w:fldData xml:space="preserve">PEVuZE5vdGU+PENpdGU+PEF1dGhvcj5Ib3dpdHQ8L0F1dGhvcj48WWVhcj4yMDA4PC9ZZWFyPjxS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</w:fldData>
        </w:fldChar>
      </w:r>
      <w:r>
        <w:instrText xml:space="preserve"> ADDIN EN.CITE </w:instrText>
      </w:r>
      <w:r w:rsidR="00F671D2">
        <w:fldChar w:fldCharType="begin">
          <w:fldData xml:space="preserve">PEVuZE5vdGU+PENpdGU+PEF1dGhvcj5Ib3dpdHQ8L0F1dGhvcj48WWVhcj4yMDA4PC9ZZWFyPjxS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</w:fldData>
        </w:fldChar>
      </w:r>
      <w:r>
        <w:instrText xml:space="preserve"> ADDIN EN.CITE.DATA </w:instrText>
      </w:r>
      <w:r w:rsidR="00F671D2">
        <w:fldChar w:fldCharType="end"/>
      </w:r>
      <w:r w:rsidR="00F671D2">
        <w:fldChar w:fldCharType="separate"/>
      </w:r>
      <w:r>
        <w:rPr>
          <w:noProof/>
        </w:rPr>
        <w:t>(</w:t>
      </w:r>
      <w:hyperlink w:anchor="_ENREF_11" w:tooltip="Moran, 1997 #3" w:history="1">
        <w:r>
          <w:rPr>
            <w:noProof/>
          </w:rPr>
          <w:t>Moran and Zepp 1997</w:t>
        </w:r>
      </w:hyperlink>
      <w:r>
        <w:rPr>
          <w:noProof/>
        </w:rPr>
        <w:t xml:space="preserve">; </w:t>
      </w:r>
      <w:hyperlink w:anchor="_ENREF_8" w:tooltip="Howitt, 2008 #1538" w:history="1">
        <w:r>
          <w:rPr>
            <w:noProof/>
          </w:rPr>
          <w:t>Howitt, Baldwin</w:t>
        </w:r>
        <w:r w:rsidRPr="00FC01C7">
          <w:rPr>
            <w:i/>
            <w:noProof/>
          </w:rPr>
          <w:t xml:space="preserve"> </w:t>
        </w:r>
        <w:r w:rsidRPr="000C7056">
          <w:rPr>
            <w:noProof/>
          </w:rPr>
          <w:t>et al</w:t>
        </w:r>
        <w:r w:rsidRPr="00FC01C7">
          <w:rPr>
            <w:i/>
            <w:noProof/>
          </w:rPr>
          <w:t>.</w:t>
        </w:r>
        <w:r>
          <w:rPr>
            <w:noProof/>
          </w:rPr>
          <w:t xml:space="preserve"> 2008</w:t>
        </w:r>
      </w:hyperlink>
      <w:r>
        <w:rPr>
          <w:noProof/>
        </w:rPr>
        <w:t>)</w:t>
      </w:r>
      <w:r w:rsidR="00F671D2">
        <w:fldChar w:fldCharType="end"/>
      </w:r>
      <w:r w:rsidRPr="004372F5">
        <w:t xml:space="preserve">. </w:t>
      </w:r>
      <w:r w:rsidR="00FD42BE">
        <w:t xml:space="preserve">These differences in microbial response to different types of organic matter mean that it is important to consider not just the total amount of dissolved organic matter in the rivers but to monitor changes in the type of organic matter present. </w:t>
      </w:r>
      <w:r w:rsidRPr="004372F5">
        <w:t xml:space="preserve">Both absorbance and fluorescence spectra are used to examine the organic matter in this study. As a general guide, absorbance at longer wavelengths indicates larger, more complex organic matter </w:t>
      </w:r>
      <w:r w:rsidR="00F671D2" w:rsidRPr="004372F5">
        <w:fldChar w:fldCharType="begin"/>
      </w:r>
      <w:r>
        <w:instrText xml:space="preserve"> ADDIN EN.CITE &lt;EndNote&gt;&lt;Cite&gt;&lt;Author&gt;Bertilsson&lt;/Author&gt;&lt;Year&gt;1999&lt;/Year&gt;&lt;RecNum&gt;310&lt;/RecNum&gt;&lt;DisplayText&gt;(Bertilsson and Bergh 1999)&lt;/DisplayText&gt;&lt;record&gt;&lt;rec-number&gt;310&lt;/rec-number&gt;&lt;foreign-keys&gt;&lt;key app="EN" db-id="s29ddxw9p900s9ef22lv2wprd9wr9rtp20ps"&gt;310&lt;/key&gt;&lt;/foreign-keys&gt;&lt;ref-type name="Journal Article"&gt;17&lt;/ref-type&gt;&lt;contributors&gt;&lt;authors&gt;&lt;author&gt;Bertilsson, Stefan&lt;/author&gt;&lt;author&gt;Bergh, Susanne&lt;/author&gt;&lt;/authors&gt;&lt;/contributors&gt;&lt;titles&gt;&lt;title&gt;Photochemical reactivity of XAD-4 and XAD-8 adsorbable dissolved organic compounds from humic waters&lt;/title&gt;&lt;secondary-title&gt;Chemosphere&lt;/secondary-title&gt;&lt;/titles&gt;&lt;periodical&gt;&lt;full-title&gt;Chemosphere&lt;/full-title&gt;&lt;/periodical&gt;&lt;pages&gt;2289-2300&lt;/pages&gt;&lt;volume&gt;39&lt;/volume&gt;&lt;number&gt;13&lt;/number&gt;&lt;dates&gt;&lt;year&gt;1999&lt;/year&gt;&lt;/dates&gt;&lt;label&gt;1099&lt;/label&gt;&lt;urls&gt;&lt;/urls&gt;&lt;/record&gt;&lt;/Cite&gt;&lt;/EndNote&gt;</w:instrText>
      </w:r>
      <w:r w:rsidR="00F671D2" w:rsidRPr="004372F5">
        <w:fldChar w:fldCharType="separate"/>
      </w:r>
      <w:r>
        <w:rPr>
          <w:noProof/>
        </w:rPr>
        <w:t>(</w:t>
      </w:r>
      <w:hyperlink w:anchor="_ENREF_5" w:tooltip="Bertilsson, 1999 #310" w:history="1">
        <w:r>
          <w:rPr>
            <w:noProof/>
          </w:rPr>
          <w:t>Bertilsson and Bergh 1999</w:t>
        </w:r>
      </w:hyperlink>
      <w:r>
        <w:rPr>
          <w:noProof/>
        </w:rPr>
        <w:t>)</w:t>
      </w:r>
      <w:r w:rsidR="00F671D2" w:rsidRPr="004372F5">
        <w:fldChar w:fldCharType="end"/>
      </w:r>
      <w:r w:rsidR="00FD42BE">
        <w:t xml:space="preserve">. </w:t>
      </w:r>
      <w:r w:rsidRPr="004372F5">
        <w:t>Absorbance at a particular wavelength may be increased by increasing concentration of organic matter or a change in the type of organic matter.</w:t>
      </w:r>
    </w:p>
    <w:p w:rsidR="00572C5D" w:rsidRDefault="00572C5D" w:rsidP="004A648F">
      <w:pPr>
        <w:tabs>
          <w:tab w:val="left" w:pos="9071"/>
        </w:tabs>
        <w:spacing w:after="240"/>
        <w:ind w:right="-1"/>
        <w:jc w:val="left"/>
      </w:pPr>
      <w:r w:rsidRPr="00FC01C7">
        <w:t xml:space="preserve">Reconnection of the stream channel with backwater areas and dry sections of the floodplain and channel may result in additional nutrients and organic carbon. The majority of these additions are expected to occur in the first day or two after rewetting or reconnection. Inputs of these substances may have a positive influence on the river community through the stimulation of productivity and increased food availability for downstream communities </w:t>
      </w:r>
      <w:r w:rsidR="00F671D2">
        <w:fldChar w:fldCharType="begin"/>
      </w:r>
      <w:r>
        <w:instrText xml:space="preserve"> ADDIN EN.CITE &lt;EndNote&gt;&lt;Cite&gt;&lt;Author&gt;Robertson&lt;/Author&gt;&lt;Year&gt;1999&lt;/Year&gt;&lt;RecNum&gt;583&lt;/RecNum&gt;&lt;DisplayText&gt;(Robertson, Bunn&lt;style face="italic"&gt; et al.&lt;/style&gt; 1999)&lt;/DisplayText&gt;&lt;record&gt;&lt;rec-number&gt;583&lt;/rec-number&gt;&lt;foreign-keys&gt;&lt;key app="EN" db-id="s29ddxw9p900s9ef22lv2wprd9wr9rtp20ps"&gt;583&lt;/key&gt;&lt;/foreign-keys&gt;&lt;ref-type name="Journal Article"&gt;17&lt;/ref-type&gt;&lt;contributors&gt;&lt;authors&gt;&lt;author&gt;Robertson, A. I.&lt;/author&gt;&lt;author&gt;Bunn, S. E.&lt;/author&gt;&lt;author&gt;Boon, P. I.&lt;/author&gt;&lt;author&gt;Walker, K. F.&lt;/author&gt;&lt;/authors&gt;&lt;/contributors&gt;&lt;titles&gt;&lt;title&gt;Sources, sinks and transformations of organic carbon in Australian floodplain rivers&lt;/title&gt;&lt;secondary-title&gt;Marine and Freshwater Research&lt;/secondary-title&gt;&lt;/titles&gt;&lt;periodical&gt;&lt;full-title&gt;Marine and Freshwater Research&lt;/full-title&gt;&lt;/periodical&gt;&lt;pages&gt;813-829&lt;/pages&gt;&lt;volume&gt;50&lt;/volume&gt;&lt;dates&gt;&lt;year&gt;1999&lt;/year&gt;&lt;/dates&gt;&lt;label&gt;8006&lt;/label&gt;&lt;urls&gt;&lt;/urls&gt;&lt;/record&gt;&lt;/Cite&gt;&lt;/EndNote&gt;</w:instrText>
      </w:r>
      <w:r w:rsidR="00F671D2">
        <w:fldChar w:fldCharType="separate"/>
      </w:r>
      <w:r>
        <w:rPr>
          <w:noProof/>
        </w:rPr>
        <w:t>(</w:t>
      </w:r>
      <w:hyperlink w:anchor="_ENREF_13" w:tooltip="Robertson, 1999 #583" w:history="1">
        <w:r>
          <w:rPr>
            <w:noProof/>
          </w:rPr>
          <w:t>Robertson, Bunn</w:t>
        </w:r>
        <w:r w:rsidRPr="00FC01C7">
          <w:rPr>
            <w:i/>
            <w:noProof/>
          </w:rPr>
          <w:t xml:space="preserve"> </w:t>
        </w:r>
        <w:r w:rsidRPr="000C7056">
          <w:rPr>
            <w:noProof/>
          </w:rPr>
          <w:t xml:space="preserve">et al. </w:t>
        </w:r>
        <w:r>
          <w:rPr>
            <w:noProof/>
          </w:rPr>
          <w:t>1999</w:t>
        </w:r>
      </w:hyperlink>
      <w:r>
        <w:rPr>
          <w:noProof/>
        </w:rPr>
        <w:t>)</w:t>
      </w:r>
      <w:r w:rsidR="00F671D2">
        <w:fldChar w:fldCharType="end"/>
      </w:r>
      <w:r w:rsidRPr="00FC01C7">
        <w:t xml:space="preserve"> and the connection between the river and floodplain has been shown to generate essential carbon stores to sustain the system through drier periods </w:t>
      </w:r>
      <w:r w:rsidR="00F671D2" w:rsidRPr="00FC01C7">
        <w:fldChar w:fldCharType="begin">
          <w:fldData xml:space="preserve">PEVuZE5vdGU+PENpdGU+PEF1dGhvcj5CYWxkd2luPC9BdXRob3I+PFllYXI+MjAxMzwvWWVhcj48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</w:fldData>
        </w:fldChar>
      </w:r>
      <w:r>
        <w:instrText xml:space="preserve"> ADDIN EN.CITE </w:instrText>
      </w:r>
      <w:r w:rsidR="00F671D2">
        <w:fldChar w:fldCharType="begin">
          <w:fldData xml:space="preserve">PEVuZE5vdGU+PENpdGU+PEF1dGhvcj5CYWxkd2luPC9BdXRob3I+PFllYXI+MjAxMzwvWWVhcj48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</w:fldData>
        </w:fldChar>
      </w:r>
      <w:r>
        <w:instrText xml:space="preserve"> ADDIN EN.CITE.DATA </w:instrText>
      </w:r>
      <w:r w:rsidR="00F671D2">
        <w:fldChar w:fldCharType="end"/>
      </w:r>
      <w:r w:rsidR="00F671D2" w:rsidRPr="00FC01C7">
        <w:fldChar w:fldCharType="separate"/>
      </w:r>
      <w:r>
        <w:rPr>
          <w:noProof/>
        </w:rPr>
        <w:t>(</w:t>
      </w:r>
      <w:hyperlink w:anchor="_ENREF_2" w:tooltip="Baldwin, 2013 #1629" w:history="1">
        <w:r>
          <w:rPr>
            <w:noProof/>
          </w:rPr>
          <w:t>Baldwin, Rees</w:t>
        </w:r>
        <w:r w:rsidRPr="00FC01C7">
          <w:rPr>
            <w:i/>
            <w:noProof/>
          </w:rPr>
          <w:t xml:space="preserve"> </w:t>
        </w:r>
        <w:r w:rsidRPr="000C7056">
          <w:rPr>
            <w:noProof/>
          </w:rPr>
          <w:t>et al</w:t>
        </w:r>
        <w:r w:rsidRPr="00FC01C7">
          <w:rPr>
            <w:i/>
            <w:noProof/>
          </w:rPr>
          <w:t>.</w:t>
        </w:r>
        <w:r>
          <w:rPr>
            <w:noProof/>
          </w:rPr>
          <w:t xml:space="preserve"> 2013</w:t>
        </w:r>
      </w:hyperlink>
      <w:r>
        <w:rPr>
          <w:noProof/>
        </w:rPr>
        <w:t>)</w:t>
      </w:r>
      <w:r w:rsidR="00F671D2" w:rsidRPr="00FC01C7">
        <w:fldChar w:fldCharType="end"/>
      </w:r>
      <w:r w:rsidRPr="00FC01C7">
        <w:t xml:space="preserve">. However, excessive nutrient and organic carbon inputs can result in poor water quality through the development of algal blooms or blackwater events resulting in very low dissolved oxygen concentrations </w:t>
      </w:r>
      <w:r w:rsidR="00F671D2" w:rsidRPr="00FC01C7">
        <w:fldChar w:fldCharType="begin">
          <w:fldData xml:space="preserve">PEVuZE5vdGU+PENpdGU+PEF1dGhvcj5IbGFkeXo8L0F1dGhvcj48WWVhcj4yMDExPC9ZZWFyPjxS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==
</w:fldData>
        </w:fldChar>
      </w:r>
      <w:r>
        <w:instrText xml:space="preserve"> ADDIN EN.CITE </w:instrText>
      </w:r>
      <w:r w:rsidR="00F671D2">
        <w:fldChar w:fldCharType="begin">
          <w:fldData xml:space="preserve">PEVuZE5vdGU+PENpdGU+PEF1dGhvcj5IbGFkeXo8L0F1dGhvcj48WWVhcj4yMDExPC9ZZWFyPjxS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==
</w:fldData>
        </w:fldChar>
      </w:r>
      <w:r>
        <w:instrText xml:space="preserve"> ADDIN EN.CITE.DATA </w:instrText>
      </w:r>
      <w:r w:rsidR="00F671D2">
        <w:fldChar w:fldCharType="end"/>
      </w:r>
      <w:r w:rsidR="00F671D2" w:rsidRPr="00FC01C7">
        <w:fldChar w:fldCharType="separate"/>
      </w:r>
      <w:r>
        <w:rPr>
          <w:noProof/>
        </w:rPr>
        <w:t>(</w:t>
      </w:r>
      <w:hyperlink w:anchor="_ENREF_9" w:tooltip="Howitt, 2007 #902" w:history="1">
        <w:r>
          <w:rPr>
            <w:noProof/>
          </w:rPr>
          <w:t>Howitt, Baldwin</w:t>
        </w:r>
        <w:r w:rsidRPr="00FC01C7">
          <w:rPr>
            <w:i/>
            <w:noProof/>
          </w:rPr>
          <w:t xml:space="preserve"> </w:t>
        </w:r>
        <w:r w:rsidRPr="000C7056">
          <w:rPr>
            <w:noProof/>
          </w:rPr>
          <w:t>et al.</w:t>
        </w:r>
        <w:r>
          <w:rPr>
            <w:noProof/>
          </w:rPr>
          <w:t xml:space="preserve"> 2007</w:t>
        </w:r>
      </w:hyperlink>
      <w:r>
        <w:rPr>
          <w:noProof/>
        </w:rPr>
        <w:t xml:space="preserve">; </w:t>
      </w:r>
      <w:hyperlink w:anchor="_ENREF_7" w:tooltip="Hladyz, 2011 #1575" w:history="1">
        <w:r>
          <w:rPr>
            <w:noProof/>
          </w:rPr>
          <w:t>Hladyz, Watkins</w:t>
        </w:r>
        <w:r w:rsidRPr="000C7056">
          <w:rPr>
            <w:noProof/>
          </w:rPr>
          <w:t xml:space="preserve"> et al.</w:t>
        </w:r>
        <w:r>
          <w:rPr>
            <w:noProof/>
          </w:rPr>
          <w:t xml:space="preserve"> 2011</w:t>
        </w:r>
      </w:hyperlink>
      <w:r>
        <w:rPr>
          <w:noProof/>
        </w:rPr>
        <w:t>)</w:t>
      </w:r>
      <w:r w:rsidR="00F671D2" w:rsidRPr="00FC01C7">
        <w:fldChar w:fldCharType="end"/>
      </w:r>
      <w:r w:rsidRPr="00FC01C7">
        <w:t xml:space="preserve">. Inputs of large amounts of organic matter and nutrients during hot weather are particularly problematic due to the influence of temperature on the rates of microbial processes and organic matter leaching </w:t>
      </w:r>
      <w:r w:rsidR="00F671D2" w:rsidRPr="00FC01C7">
        <w:fldChar w:fldCharType="begin">
          <w:fldData xml:space="preserve">PEVuZE5vdGU+PENpdGU+PEF1dGhvcj5Ib3dpdHQ8L0F1dGhvcj48WWVhcj4yMDA3PC9ZZWFyPjxS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==
</w:fldData>
        </w:fldChar>
      </w:r>
      <w:r>
        <w:instrText xml:space="preserve"> ADDIN EN.CITE </w:instrText>
      </w:r>
      <w:r w:rsidR="00F671D2">
        <w:fldChar w:fldCharType="begin">
          <w:fldData xml:space="preserve">PEVuZE5vdGU+PENpdGU+PEF1dGhvcj5Ib3dpdHQ8L0F1dGhvcj48WWVhcj4yMDA3PC9ZZWFyPjxS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==
</w:fldData>
        </w:fldChar>
      </w:r>
      <w:r>
        <w:instrText xml:space="preserve"> ADDIN EN.CITE.DATA </w:instrText>
      </w:r>
      <w:r w:rsidR="00F671D2">
        <w:fldChar w:fldCharType="end"/>
      </w:r>
      <w:r w:rsidR="00F671D2" w:rsidRPr="00FC01C7">
        <w:fldChar w:fldCharType="separate"/>
      </w:r>
      <w:r>
        <w:rPr>
          <w:noProof/>
        </w:rPr>
        <w:t>(</w:t>
      </w:r>
      <w:hyperlink w:anchor="_ENREF_9" w:tooltip="Howitt, 2007 #902" w:history="1">
        <w:r>
          <w:rPr>
            <w:noProof/>
          </w:rPr>
          <w:t>Howitt, Baldwin</w:t>
        </w:r>
        <w:r w:rsidRPr="00FC01C7">
          <w:rPr>
            <w:i/>
            <w:noProof/>
          </w:rPr>
          <w:t xml:space="preserve"> </w:t>
        </w:r>
        <w:r w:rsidRPr="000C7056">
          <w:rPr>
            <w:noProof/>
          </w:rPr>
          <w:t>et al.</w:t>
        </w:r>
        <w:r>
          <w:rPr>
            <w:noProof/>
          </w:rPr>
          <w:t xml:space="preserve"> 2007</w:t>
        </w:r>
      </w:hyperlink>
      <w:r>
        <w:rPr>
          <w:noProof/>
        </w:rPr>
        <w:t xml:space="preserve">; </w:t>
      </w:r>
      <w:hyperlink w:anchor="_ENREF_15" w:tooltip="Whitworth, 2014 #1610" w:history="1">
        <w:r w:rsidRPr="000C7056">
          <w:rPr>
            <w:noProof/>
          </w:rPr>
          <w:t>Whitworth, Baldwin et al. 2014</w:t>
        </w:r>
      </w:hyperlink>
      <w:r w:rsidRPr="000C7056">
        <w:rPr>
          <w:noProof/>
        </w:rPr>
        <w:t>)</w:t>
      </w:r>
      <w:r w:rsidR="00F671D2" w:rsidRPr="00FC01C7">
        <w:fldChar w:fldCharType="end"/>
      </w:r>
      <w:r w:rsidRPr="00FC01C7">
        <w:t>. This project aims to assess changes to water quality in response to alterations in flow and to consider changes in both the quantity and type of organic matter present in the system. S</w:t>
      </w:r>
      <w:r>
        <w:t>pecifically, this work will be addressing the questions below.</w:t>
      </w:r>
    </w:p>
    <w:p w:rsidR="00572C5D" w:rsidRPr="002A3B1D" w:rsidRDefault="00D177E5" w:rsidP="00572C5D">
      <w:pPr>
        <w:tabs>
          <w:tab w:val="left" w:pos="9071"/>
        </w:tabs>
        <w:spacing w:after="120"/>
        <w:rPr>
          <w:b/>
          <w:color w:val="4F6228" w:themeColor="accent3" w:themeShade="80"/>
          <w:sz w:val="24"/>
          <w:szCs w:val="24"/>
        </w:rPr>
      </w:pPr>
      <w:r w:rsidRPr="002A3B1D">
        <w:rPr>
          <w:b/>
          <w:color w:val="4F6228" w:themeColor="accent3" w:themeShade="80"/>
          <w:sz w:val="24"/>
          <w:szCs w:val="24"/>
        </w:rPr>
        <w:t xml:space="preserve">6.2 </w:t>
      </w:r>
      <w:r w:rsidR="00F13819" w:rsidRPr="002A3B1D">
        <w:rPr>
          <w:b/>
          <w:color w:val="4F6228" w:themeColor="accent3" w:themeShade="80"/>
          <w:sz w:val="24"/>
          <w:szCs w:val="24"/>
        </w:rPr>
        <w:t>Questions</w:t>
      </w:r>
    </w:p>
    <w:p w:rsidR="00FD42BE" w:rsidRPr="00E741C0" w:rsidRDefault="00FD42BE" w:rsidP="004A648F">
      <w:pPr>
        <w:spacing w:after="120"/>
        <w:jc w:val="left"/>
        <w:rPr>
          <w:rFonts w:cs="Calibri"/>
        </w:rPr>
      </w:pPr>
      <w:r>
        <w:rPr>
          <w:rFonts w:cs="Calibri"/>
        </w:rPr>
        <w:t>As described above, the relationship between flow and water quality is complex and can be influenced by how changes in flow influence wetted benthic area, water depth, rate of flow and c</w:t>
      </w:r>
      <w:r w:rsidR="000A4F7E">
        <w:rPr>
          <w:rFonts w:cs="Calibri"/>
        </w:rPr>
        <w:t xml:space="preserve">onnectivity to the floodplain. </w:t>
      </w:r>
      <w:r>
        <w:rPr>
          <w:rFonts w:cs="Calibri"/>
        </w:rPr>
        <w:t>Water quality parameters may be affected in different ways due to the direct effects of changes in flow, or due to intera</w:t>
      </w:r>
      <w:r w:rsidR="004A648F">
        <w:rPr>
          <w:rFonts w:cs="Calibri"/>
        </w:rPr>
        <w:t xml:space="preserve">ctions between the parameters. </w:t>
      </w:r>
      <w:r>
        <w:rPr>
          <w:rFonts w:cs="Calibri"/>
        </w:rPr>
        <w:t xml:space="preserve">In order to obtain an understanding of the impact of environmental water deliveries to the Edward-Wakool system on the water quality in the Wakool River and Yallakool Creek we monitor a number of parameters in each site through a combination of continuous logging, spot readings on site and sample collection for laboratory analysis. Water quality will generally respond very rapidly to changes in flow but trends may also develop over a longer period, so the questions below are considered on a 1-5 year basis. We anticipate that in-channel flows will generally only have very small impacts on the organic matter and nutrient concentrations in the river but that dissolved oxygen may respond more directly to changes in flow. </w:t>
      </w:r>
    </w:p>
    <w:p w:rsidR="00FD42BE" w:rsidRPr="00BC5258" w:rsidRDefault="00BC5258" w:rsidP="004A648F">
      <w:pPr>
        <w:spacing w:after="120"/>
        <w:jc w:val="left"/>
        <w:rPr>
          <w:rFonts w:cs="Calibri"/>
        </w:rPr>
      </w:pPr>
      <w:r>
        <w:rPr>
          <w:rFonts w:cs="Calibri"/>
        </w:rPr>
        <w:t xml:space="preserve">The following questions are addressed in this report </w:t>
      </w:r>
      <w:r w:rsidR="004A648F">
        <w:rPr>
          <w:szCs w:val="22"/>
        </w:rPr>
        <w:t xml:space="preserve">to </w:t>
      </w:r>
      <w:r>
        <w:rPr>
          <w:szCs w:val="22"/>
        </w:rPr>
        <w:t>assess the effect of 2014-15 Yallakool Creek environmental watering action:</w:t>
      </w:r>
    </w:p>
    <w:p w:rsidR="00572C5D" w:rsidRPr="00C56122" w:rsidRDefault="00FD42BE" w:rsidP="00C56122">
      <w:pPr>
        <w:spacing w:after="120"/>
        <w:rPr>
          <w:rFonts w:cs="Calibri"/>
          <w:i/>
        </w:rPr>
      </w:pPr>
      <w:r>
        <w:rPr>
          <w:rFonts w:cs="Calibri"/>
        </w:rPr>
        <w:t xml:space="preserve">Q1: </w:t>
      </w:r>
      <w:r w:rsidR="00572C5D" w:rsidRPr="00C56122">
        <w:rPr>
          <w:rFonts w:cs="Calibri"/>
          <w:i/>
        </w:rPr>
        <w:t>What did Commonwealth environmental water contribute to temperature regimes?</w:t>
      </w:r>
    </w:p>
    <w:p w:rsidR="00572C5D" w:rsidRPr="00C56122" w:rsidRDefault="00FD42BE" w:rsidP="00C56122">
      <w:pPr>
        <w:spacing w:after="120"/>
        <w:rPr>
          <w:rFonts w:cs="Calibri"/>
          <w:i/>
        </w:rPr>
      </w:pPr>
      <w:r>
        <w:rPr>
          <w:rFonts w:cs="Calibri"/>
        </w:rPr>
        <w:t xml:space="preserve">Q2: </w:t>
      </w:r>
      <w:r w:rsidR="00572C5D" w:rsidRPr="00C56122">
        <w:rPr>
          <w:rFonts w:cs="Calibri"/>
          <w:i/>
        </w:rPr>
        <w:t>What did Commonwealth environmental water contribute to dissolved oxygen concentrations?</w:t>
      </w:r>
    </w:p>
    <w:p w:rsidR="00572C5D" w:rsidRPr="00FD42BE" w:rsidRDefault="00FD42BE" w:rsidP="004A648F">
      <w:pPr>
        <w:spacing w:after="120"/>
        <w:jc w:val="left"/>
        <w:rPr>
          <w:b/>
          <w:i/>
          <w:szCs w:val="22"/>
        </w:rPr>
      </w:pPr>
      <w:r w:rsidRPr="00FD42BE">
        <w:rPr>
          <w:rFonts w:cs="Calibri"/>
          <w:szCs w:val="22"/>
        </w:rPr>
        <w:t xml:space="preserve">Q3: </w:t>
      </w:r>
      <w:r w:rsidR="00572C5D" w:rsidRPr="00FD42BE">
        <w:rPr>
          <w:rFonts w:cs="Calibri"/>
          <w:i/>
          <w:szCs w:val="22"/>
        </w:rPr>
        <w:t>What did Commonwealth environmental water contribute to nutrient concentrations?</w:t>
      </w:r>
    </w:p>
    <w:p w:rsidR="00572C5D" w:rsidRPr="00FD42BE" w:rsidRDefault="00FD42BE" w:rsidP="004A648F">
      <w:pPr>
        <w:pStyle w:val="ListBullet"/>
        <w:spacing w:after="120" w:line="360" w:lineRule="auto"/>
        <w:contextualSpacing w:val="0"/>
        <w:jc w:val="left"/>
        <w:rPr>
          <w:rFonts w:cs="Calibri"/>
          <w:i/>
          <w:sz w:val="22"/>
          <w:szCs w:val="22"/>
        </w:rPr>
      </w:pPr>
      <w:r w:rsidRPr="00FD42BE">
        <w:rPr>
          <w:rFonts w:cs="Calibri"/>
          <w:sz w:val="22"/>
          <w:szCs w:val="22"/>
        </w:rPr>
        <w:t xml:space="preserve">Q4: </w:t>
      </w:r>
      <w:r w:rsidR="00572C5D" w:rsidRPr="00FD42BE">
        <w:rPr>
          <w:rFonts w:cs="Calibri"/>
          <w:i/>
          <w:sz w:val="22"/>
          <w:szCs w:val="22"/>
        </w:rPr>
        <w:t>What did Commonwealth environmental water contribute to modification of the type and amount of dissolved organic matter through reconnection with previously dry or disconnected in-channel habitat?</w:t>
      </w:r>
    </w:p>
    <w:p w:rsidR="00572C5D" w:rsidRPr="00FD42BE" w:rsidRDefault="00FD42BE" w:rsidP="004A648F">
      <w:pPr>
        <w:pStyle w:val="ListBullet"/>
        <w:spacing w:after="120" w:line="360" w:lineRule="auto"/>
        <w:jc w:val="left"/>
        <w:rPr>
          <w:rFonts w:cs="Calibri"/>
          <w:i/>
          <w:sz w:val="22"/>
          <w:szCs w:val="22"/>
        </w:rPr>
      </w:pPr>
      <w:r w:rsidRPr="00FD42BE">
        <w:rPr>
          <w:rFonts w:cs="Calibri"/>
          <w:sz w:val="22"/>
          <w:szCs w:val="22"/>
        </w:rPr>
        <w:t xml:space="preserve">Q5: </w:t>
      </w:r>
      <w:r w:rsidR="00572C5D" w:rsidRPr="00FD42BE">
        <w:rPr>
          <w:i/>
          <w:sz w:val="22"/>
          <w:szCs w:val="22"/>
        </w:rPr>
        <w:t>What did Commonwealth environmental water contribute to reducing the impact of blackwater in the system?</w:t>
      </w:r>
    </w:p>
    <w:p w:rsidR="00572C5D" w:rsidRPr="001B3A04" w:rsidRDefault="00572C5D" w:rsidP="00572C5D">
      <w:pPr>
        <w:tabs>
          <w:tab w:val="left" w:pos="9071"/>
        </w:tabs>
        <w:spacing w:after="120"/>
        <w:rPr>
          <w:b/>
        </w:rPr>
      </w:pPr>
    </w:p>
    <w:p w:rsidR="00572C5D" w:rsidRPr="00F13819" w:rsidRDefault="00D177E5" w:rsidP="00572C5D">
      <w:pPr>
        <w:tabs>
          <w:tab w:val="left" w:pos="9071"/>
        </w:tabs>
        <w:spacing w:after="240"/>
        <w:ind w:right="-1"/>
        <w:rPr>
          <w:b/>
          <w:color w:val="4F6228" w:themeColor="accent3" w:themeShade="80"/>
          <w:sz w:val="24"/>
          <w:szCs w:val="24"/>
        </w:rPr>
      </w:pPr>
      <w:r>
        <w:rPr>
          <w:b/>
          <w:color w:val="4F6228" w:themeColor="accent3" w:themeShade="80"/>
          <w:sz w:val="24"/>
          <w:szCs w:val="24"/>
        </w:rPr>
        <w:t xml:space="preserve">6.3 </w:t>
      </w:r>
      <w:r w:rsidR="00572C5D" w:rsidRPr="00F13819">
        <w:rPr>
          <w:b/>
          <w:color w:val="4F6228" w:themeColor="accent3" w:themeShade="80"/>
          <w:sz w:val="24"/>
          <w:szCs w:val="24"/>
        </w:rPr>
        <w:t>Methods</w:t>
      </w:r>
    </w:p>
    <w:p w:rsidR="00572C5D" w:rsidRPr="00DA3E0D" w:rsidRDefault="00572C5D" w:rsidP="004A648F">
      <w:pPr>
        <w:spacing w:after="200"/>
        <w:jc w:val="left"/>
      </w:pPr>
      <w:r w:rsidRPr="00DA3E0D">
        <w:t xml:space="preserve">Water temperature and dissolved oxygen were logged every ten minutes </w:t>
      </w:r>
      <w:r>
        <w:t>with two loggers located in zones 1 and 4 and one logger in each of zones 2 and 3.</w:t>
      </w:r>
      <w:r w:rsidRPr="00DA3E0D">
        <w:t xml:space="preserve"> Data were downloaded and loggers calibrated approximately once per month</w:t>
      </w:r>
      <w:r>
        <w:t xml:space="preserve"> depending on access</w:t>
      </w:r>
      <w:r w:rsidR="00867E0B">
        <w:t xml:space="preserve"> to survey site (e.g. high rainfall may prevent access)</w:t>
      </w:r>
      <w:r>
        <w:t>.</w:t>
      </w:r>
      <w:r w:rsidRPr="00DA3E0D">
        <w:t xml:space="preserve"> Light and depth loggers were also deployed and data </w:t>
      </w:r>
      <w:r>
        <w:t>were</w:t>
      </w:r>
      <w:r w:rsidRPr="00DA3E0D">
        <w:t xml:space="preserve"> downloaded on a monthly basis.</w:t>
      </w:r>
      <w:r>
        <w:t xml:space="preserve"> The data collected by the loggers was used to calculate daily </w:t>
      </w:r>
      <w:r w:rsidRPr="00BA2F8A">
        <w:t>average temperature and dissolved oxygen concentrations for each of the rivers from</w:t>
      </w:r>
      <w:r>
        <w:t xml:space="preserve"> August 2014 to March 2015. Gaps in dissolved oxygen </w:t>
      </w:r>
      <w:r w:rsidRPr="00BA2F8A">
        <w:t xml:space="preserve">data </w:t>
      </w:r>
      <w:r>
        <w:t>were</w:t>
      </w:r>
      <w:r w:rsidRPr="00BA2F8A">
        <w:t xml:space="preserve"> the resu</w:t>
      </w:r>
      <w:r>
        <w:t>lt of problems with the loggers or due to routine maintenance</w:t>
      </w:r>
      <w:r w:rsidRPr="00BA2F8A">
        <w:t>.</w:t>
      </w:r>
    </w:p>
    <w:p w:rsidR="00572C5D" w:rsidRPr="00DA3E0D" w:rsidRDefault="00572C5D" w:rsidP="004A648F">
      <w:pPr>
        <w:tabs>
          <w:tab w:val="left" w:pos="9071"/>
        </w:tabs>
        <w:ind w:right="-1"/>
        <w:jc w:val="left"/>
      </w:pPr>
      <w:r w:rsidRPr="00DA3E0D">
        <w:t>Water quality parameters (temperature (</w:t>
      </w:r>
      <w:r w:rsidRPr="00DA3E0D">
        <w:rPr>
          <w:vertAlign w:val="superscript"/>
        </w:rPr>
        <w:t>o</w:t>
      </w:r>
      <w:r w:rsidRPr="00DA3E0D">
        <w:t xml:space="preserve">C), </w:t>
      </w:r>
      <w:r>
        <w:t>electrical</w:t>
      </w:r>
      <w:r w:rsidRPr="00DA3E0D">
        <w:t xml:space="preserve"> conductivity (mS/cm), dissolved oxygen (%), pH, and turbidity (NTU)) were also measured as spot recordings </w:t>
      </w:r>
      <w:r>
        <w:t xml:space="preserve">monthly </w:t>
      </w:r>
      <w:r w:rsidRPr="00DA3E0D">
        <w:t>at two sites within each river reach.</w:t>
      </w:r>
    </w:p>
    <w:p w:rsidR="00572C5D" w:rsidRPr="00DA3E0D" w:rsidRDefault="00572C5D" w:rsidP="004A648F">
      <w:pPr>
        <w:spacing w:after="120"/>
        <w:ind w:right="-1"/>
        <w:jc w:val="left"/>
      </w:pPr>
      <w:r w:rsidRPr="00DA3E0D">
        <w:t xml:space="preserve">Water samples were collected from </w:t>
      </w:r>
      <w:r>
        <w:t>two sites within each zone, and from Stevens Weir on the Edward River and the Mulwala Canal,</w:t>
      </w:r>
      <w:r w:rsidRPr="00DA3E0D">
        <w:t xml:space="preserve"> </w:t>
      </w:r>
      <w:r>
        <w:t xml:space="preserve">and processed according </w:t>
      </w:r>
      <w:r w:rsidRPr="00DA3E0D">
        <w:t>to</w:t>
      </w:r>
      <w:r>
        <w:t xml:space="preserve"> the methods detailed in Watts et al. (2014) to</w:t>
      </w:r>
      <w:r w:rsidRPr="00DA3E0D">
        <w:t xml:space="preserve"> </w:t>
      </w:r>
      <w:r>
        <w:t>measure</w:t>
      </w:r>
      <w:r w:rsidRPr="00DA3E0D">
        <w:t>:</w:t>
      </w:r>
    </w:p>
    <w:p w:rsidR="00572C5D" w:rsidRPr="00DA3E0D" w:rsidRDefault="00572C5D" w:rsidP="004A648F">
      <w:pPr>
        <w:pStyle w:val="ListParagraph"/>
        <w:numPr>
          <w:ilvl w:val="0"/>
          <w:numId w:val="28"/>
        </w:numPr>
        <w:spacing w:after="0"/>
        <w:ind w:left="714" w:hanging="357"/>
        <w:jc w:val="left"/>
      </w:pPr>
      <w:r w:rsidRPr="00DA3E0D">
        <w:t>Dissolved Organic Carbon (DOC)</w:t>
      </w:r>
      <w:r>
        <w:t xml:space="preserve"> </w:t>
      </w:r>
    </w:p>
    <w:p w:rsidR="00572C5D" w:rsidRDefault="00572C5D" w:rsidP="004A648F">
      <w:pPr>
        <w:pStyle w:val="ListParagraph"/>
        <w:numPr>
          <w:ilvl w:val="0"/>
          <w:numId w:val="28"/>
        </w:numPr>
        <w:spacing w:after="0"/>
        <w:ind w:left="714" w:hanging="357"/>
        <w:jc w:val="left"/>
      </w:pPr>
      <w:r w:rsidRPr="00DA3E0D">
        <w:t>Nutrients (Ammonia (NH</w:t>
      </w:r>
      <w:r>
        <w:rPr>
          <w:vertAlign w:val="subscript"/>
        </w:rPr>
        <w:t>4</w:t>
      </w:r>
      <w:r w:rsidRPr="004E7BE0">
        <w:rPr>
          <w:vertAlign w:val="superscript"/>
        </w:rPr>
        <w:t>+</w:t>
      </w:r>
      <w:r w:rsidRPr="00DA3E0D">
        <w:t xml:space="preserve">), filtered reactive phosphorus (FRP), dissolved nitrate + nitrite (NOx), Total </w:t>
      </w:r>
      <w:r>
        <w:t>N</w:t>
      </w:r>
      <w:r w:rsidRPr="00DA3E0D">
        <w:t xml:space="preserve">itrogen (TN) and Total </w:t>
      </w:r>
      <w:r>
        <w:t>P</w:t>
      </w:r>
      <w:r w:rsidRPr="00DA3E0D">
        <w:t>hosphorus (TP))</w:t>
      </w:r>
    </w:p>
    <w:p w:rsidR="00572C5D" w:rsidRPr="00DA3E0D" w:rsidRDefault="00572C5D" w:rsidP="004A648F">
      <w:pPr>
        <w:pStyle w:val="ListParagraph"/>
        <w:numPr>
          <w:ilvl w:val="0"/>
          <w:numId w:val="28"/>
        </w:numPr>
        <w:spacing w:after="0"/>
        <w:ind w:left="714" w:hanging="357"/>
        <w:jc w:val="left"/>
      </w:pPr>
      <w:r>
        <w:t>Absorbance and fluorescence spectroscopy for organic matter characterisation.</w:t>
      </w:r>
    </w:p>
    <w:p w:rsidR="00572C5D" w:rsidRPr="000B513B" w:rsidRDefault="00572C5D" w:rsidP="004A648F">
      <w:pPr>
        <w:spacing w:after="0" w:line="240" w:lineRule="auto"/>
        <w:ind w:left="357" w:right="-1"/>
        <w:jc w:val="left"/>
        <w:rPr>
          <w:highlight w:val="yellow"/>
        </w:rPr>
      </w:pPr>
    </w:p>
    <w:p w:rsidR="00BC675D" w:rsidRDefault="00572C5D" w:rsidP="004A648F">
      <w:pPr>
        <w:jc w:val="left"/>
      </w:pPr>
      <w:r>
        <w:t xml:space="preserve">Water samples were filtered through a 0.2 </w:t>
      </w:r>
      <w:r w:rsidRPr="009C638D">
        <w:rPr>
          <w:rFonts w:ascii="Symbol" w:hAnsi="Symbol"/>
        </w:rPr>
        <w:t></w:t>
      </w:r>
      <w:r w:rsidRPr="009C638D">
        <w:t>m</w:t>
      </w:r>
      <w:r>
        <w:t xml:space="preserve"> pore-sized membrane at the time of sampling and then stored on ice until returned to the laboratory. DOC and nutrient samples were frozen and sent to the Water Studies Centre at Monash University for analysis. Carbon characterisation samples were returned to CSU Wagga Wagga and then analysed within a da</w:t>
      </w:r>
      <w:r w:rsidR="00BC675D">
        <w:t xml:space="preserve">y of returning from the field. </w:t>
      </w:r>
    </w:p>
    <w:p w:rsidR="00572C5D" w:rsidRDefault="00572C5D" w:rsidP="004A648F">
      <w:pPr>
        <w:jc w:val="left"/>
      </w:pPr>
      <w:r>
        <w:t>Absorbance scans were collected using a Varian Cary 4000 instrument across a wavelength range of 550 nm to 200 nm (green through to ultraviolet) with a 1 nm step size.</w:t>
      </w:r>
      <w:r w:rsidR="000A4F7E">
        <w:t xml:space="preserve"> </w:t>
      </w:r>
      <w:r w:rsidRPr="0086355D">
        <w:t>Absorbance is a measure of light absorbed by the sample and is a logarithmic scale. An absorbance of 1 indicates that only 10% of the light of that wavelength is transmitted through the sample.</w:t>
      </w:r>
      <w:r>
        <w:t xml:space="preserve"> </w:t>
      </w:r>
      <w:r w:rsidRPr="00194FC7">
        <w:t>Fluorescence scans were collected using a Varian Eclipse spectrofluorometer scanning both emission and excitation wavelengths to give an excitation-emission matrix (EEM). Excitation wavelengths were scanned from 200 to 400 nm with a 10 nm step size and for each excitation wavelength, emission of light at 90</w:t>
      </w:r>
      <w:r w:rsidRPr="00194FC7">
        <w:rPr>
          <w:vertAlign w:val="superscript"/>
        </w:rPr>
        <w:t>O</w:t>
      </w:r>
      <w:r w:rsidRPr="00194FC7">
        <w:t xml:space="preserve"> to the source was recorded from 200 nm to 550 nm with a 1 nm step size. Fluorescence results were corrected for sample absorption and plotted as contour plots </w:t>
      </w:r>
      <w:r w:rsidR="00F671D2" w:rsidRPr="00194FC7">
        <w:fldChar w:fldCharType="begin"/>
      </w:r>
      <w:r>
        <w:instrText xml:space="preserve"> ADDIN EN.CITE &lt;EndNote&gt;&lt;Cite&gt;&lt;Author&gt;Howitt&lt;/Author&gt;&lt;Year&gt;2008&lt;/Year&gt;&lt;RecNum&gt;1538&lt;/RecNum&gt;&lt;DisplayText&gt;(Howitt, Baldwin&lt;style face="italic"&gt; et al.&lt;/style&gt; 2008)&lt;/DisplayText&gt;&lt;record&gt;&lt;rec-number&gt;1538&lt;/rec-number&gt;&lt;foreign-keys&gt;&lt;key app="EN" db-id="s29ddxw9p900s9ef22lv2wprd9wr9rtp20ps"&gt;1538&lt;/key&gt;&lt;/foreign-keys&gt;&lt;ref-type name="Journal Article"&gt;17&lt;/ref-type&gt;&lt;contributors&gt;&lt;authors&gt;&lt;author&gt;Howitt, J. A.&lt;/author&gt;&lt;author&gt;Baldwin, D. S.&lt;/author&gt;&lt;author&gt;Rees, G. N.&lt;/author&gt;&lt;author&gt;Hart, B. T.&lt;/author&gt;&lt;/authors&gt;&lt;/contributors&gt;&lt;auth-address&gt;Howitt, JA&amp;#xD;Murray Darling Freshwater Res Ctr, POB 991, Wodonga, Vic 3689, Australia&amp;#xD;Murray Darling Freshwater Res Ctr, Wodonga, Vic 3689, Australia&amp;#xD;Monash Univ, Water Studies Ctr, Clayton, Vic 3800, Australia&amp;#xD;Deakin Univ, Sch Life &amp;amp; Environm Sci, Warrnambool, Vic 3280, Australia&lt;/auth-address&gt;&lt;titles&gt;&lt;title&gt;Photodegradation, interaction with iron oxides and bioavailability of dissolved organic matter from forested floodplain sources&lt;/title&gt;&lt;secondary-title&gt;Marine and Freshwater Research&lt;/secondary-title&gt;&lt;/titles&gt;&lt;periodical&gt;&lt;full-title&gt;Marine and Freshwater Research&lt;/full-title&gt;&lt;/periodical&gt;&lt;pages&gt;780-791&lt;/pages&gt;&lt;volume&gt;59&lt;/volume&gt;&lt;number&gt;9&lt;/number&gt;&lt;keywords&gt;&lt;keyword&gt;aquatic carbon cycle&lt;/keyword&gt;&lt;keyword&gt;excitation-emission matrix (eem)&lt;/keyword&gt;&lt;keyword&gt;humic substances&lt;/keyword&gt;&lt;keyword&gt;murray river&lt;/keyword&gt;&lt;keyword&gt;emission matrix characterization&lt;/keyword&gt;&lt;keyword&gt;humic substances&lt;/keyword&gt;&lt;keyword&gt;fluorescence excitation&lt;/keyword&gt;&lt;keyword&gt;water-quality&lt;/keyword&gt;&lt;keyword&gt;surface waters&lt;/keyword&gt;&lt;keyword&gt;fulvic-acid&lt;/keyword&gt;&lt;keyword&gt;lake water&lt;/keyword&gt;&lt;keyword&gt;carbon&lt;/keyword&gt;&lt;keyword&gt;marine&lt;/keyword&gt;&lt;keyword&gt;river&lt;/keyword&gt;&lt;/keywords&gt;&lt;dates&gt;&lt;year&gt;2008&lt;/year&gt;&lt;/dates&gt;&lt;isbn&gt;1323-1650&lt;/isbn&gt;&lt;accession-num&gt;ISI:000259790800004&lt;/accession-num&gt;&lt;urls&gt;&lt;related-urls&gt;&lt;url&gt;&amp;lt;Go to ISI&amp;gt;://000259790800004&lt;/url&gt;&lt;/related-urls&gt;&lt;/urls&gt;&lt;electronic-resource-num&gt;Doi 10.1071/Mf07225&lt;/electronic-resource-num&gt;&lt;language&gt;English&lt;/language&gt;&lt;/record&gt;&lt;/Cite&gt;&lt;/EndNote&gt;</w:instrText>
      </w:r>
      <w:r w:rsidR="00F671D2" w:rsidRPr="00194FC7">
        <w:fldChar w:fldCharType="separate"/>
      </w:r>
      <w:r>
        <w:rPr>
          <w:noProof/>
        </w:rPr>
        <w:t>(</w:t>
      </w:r>
      <w:hyperlink w:anchor="_ENREF_8" w:tooltip="Howitt, 2008 #1538" w:history="1">
        <w:r>
          <w:rPr>
            <w:noProof/>
          </w:rPr>
          <w:t>Howitt, Baldwin</w:t>
        </w:r>
        <w:r w:rsidRPr="00FC01C7">
          <w:rPr>
            <w:i/>
            <w:noProof/>
          </w:rPr>
          <w:t xml:space="preserve"> </w:t>
        </w:r>
        <w:r w:rsidRPr="000C7056">
          <w:rPr>
            <w:noProof/>
          </w:rPr>
          <w:t xml:space="preserve">et al. </w:t>
        </w:r>
        <w:r>
          <w:rPr>
            <w:noProof/>
          </w:rPr>
          <w:t>2008</w:t>
        </w:r>
      </w:hyperlink>
      <w:r>
        <w:rPr>
          <w:noProof/>
        </w:rPr>
        <w:t>)</w:t>
      </w:r>
      <w:r w:rsidR="00F671D2" w:rsidRPr="00194FC7">
        <w:fldChar w:fldCharType="end"/>
      </w:r>
      <w:r w:rsidRPr="00194FC7">
        <w:t>. To correct for drift in the instrument zero position, each contour plot was scaled by subtracting the average emission intensity across the range 200-210</w:t>
      </w:r>
      <w:r>
        <w:t xml:space="preserve"> </w:t>
      </w:r>
      <w:r w:rsidRPr="00194FC7">
        <w:t xml:space="preserve">nm for an excitation of 250 nm from all fluorescence intensities (effectively setting this region of the contour plot to zero on all plots). </w:t>
      </w:r>
    </w:p>
    <w:p w:rsidR="00572C5D" w:rsidRDefault="00572C5D" w:rsidP="004A648F">
      <w:pPr>
        <w:spacing w:after="240"/>
        <w:jc w:val="left"/>
      </w:pPr>
      <w:r>
        <w:t xml:space="preserve">An example of a fluorescence contour plot is shown in </w:t>
      </w:r>
      <w:r w:rsidR="00D177E5" w:rsidRPr="00D177E5">
        <w:t>Figure 6</w:t>
      </w:r>
      <w:r w:rsidRPr="00D177E5">
        <w:t>.2.</w:t>
      </w:r>
      <w:r>
        <w:t xml:space="preserve"> </w:t>
      </w:r>
      <w:r w:rsidRPr="00194FC7">
        <w:t xml:space="preserve">The </w:t>
      </w:r>
      <w:r>
        <w:t xml:space="preserve">contour </w:t>
      </w:r>
      <w:r w:rsidRPr="00194FC7">
        <w:t>plots have the excitation wavelength (light shone into the sample) on the y-axis. On the x-axis is the emission wavelength (light given off by the sample). The intensity of the fluorescence (how much light is given off, corrected for absorbance by the sample) is represented by the colours of the contour plot, with more intense fluorescence represented by the blue end of the scale. The two blue diagonal lines are artefacts of the technique and will be present in all samples- key data is found between these two lines.</w:t>
      </w:r>
    </w:p>
    <w:p w:rsidR="00572C5D" w:rsidRDefault="00572C5D" w:rsidP="00572C5D">
      <w:pPr>
        <w:spacing w:after="0" w:line="240" w:lineRule="auto"/>
      </w:pPr>
      <w:r>
        <w:rPr>
          <w:noProof/>
          <w:lang w:eastAsia="en-AU"/>
        </w:rPr>
        <w:drawing>
          <wp:inline distT="0" distB="0" distL="0" distR="0">
            <wp:extent cx="4909177" cy="4608000"/>
            <wp:effectExtent l="0" t="0" r="6350" b="2540"/>
            <wp:docPr id="36" name="Picture 1" descr="C:\Documents and Settings\jhowitt\Local Settings\Temporary Internet Files\Content.Word\Fluorescence graph for meth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jhowitt\Local Settings\Temporary Internet Files\Content.Word\Fluorescence graph for methods.jpg"/>
                    <pic:cNvPicPr>
                      <a:picLocks noChangeAspect="1" noChangeArrowheads="1"/>
                    </pic:cNvPicPr>
                  </pic:nvPicPr>
                  <pic:blipFill>
                    <a:blip r:embed="rId53" cstate="screen"/>
                    <a:srcRect/>
                    <a:stretch>
                      <a:fillRect/>
                    </a:stretch>
                  </pic:blipFill>
                  <pic:spPr bwMode="auto">
                    <a:xfrm>
                      <a:off x="0" y="0"/>
                      <a:ext cx="4909177" cy="4608000"/>
                    </a:xfrm>
                    <a:prstGeom prst="rect">
                      <a:avLst/>
                    </a:prstGeom>
                    <a:noFill/>
                    <a:ln w="9525">
                      <a:noFill/>
                      <a:miter lim="800000"/>
                      <a:headEnd/>
                      <a:tailEnd/>
                    </a:ln>
                  </pic:spPr>
                </pic:pic>
              </a:graphicData>
            </a:graphic>
          </wp:inline>
        </w:drawing>
      </w:r>
    </w:p>
    <w:p w:rsidR="00572C5D" w:rsidRPr="00AB40C6" w:rsidRDefault="00D177E5" w:rsidP="00572C5D">
      <w:pPr>
        <w:rPr>
          <w:color w:val="1F497D"/>
          <w:sz w:val="20"/>
        </w:rPr>
      </w:pPr>
      <w:r w:rsidRPr="00D177E5">
        <w:rPr>
          <w:b/>
          <w:color w:val="000000"/>
          <w:sz w:val="20"/>
        </w:rPr>
        <w:t>Figure 6</w:t>
      </w:r>
      <w:r w:rsidR="00572C5D" w:rsidRPr="00D177E5">
        <w:rPr>
          <w:b/>
          <w:color w:val="000000"/>
          <w:sz w:val="20"/>
        </w:rPr>
        <w:t>.2</w:t>
      </w:r>
      <w:r w:rsidR="00572C5D" w:rsidRPr="00D177E5">
        <w:rPr>
          <w:color w:val="000000"/>
          <w:sz w:val="20"/>
        </w:rPr>
        <w:t>.</w:t>
      </w:r>
      <w:r w:rsidR="00572C5D" w:rsidRPr="00C8226D">
        <w:rPr>
          <w:color w:val="1F497D"/>
          <w:sz w:val="20"/>
        </w:rPr>
        <w:t xml:space="preserve"> </w:t>
      </w:r>
      <w:r w:rsidR="00572C5D" w:rsidRPr="00C8226D">
        <w:rPr>
          <w:color w:val="000000"/>
          <w:sz w:val="20"/>
        </w:rPr>
        <w:t>Sample excitation emission contour plot indicating key features of the data. (Watts et al. 201</w:t>
      </w:r>
      <w:r w:rsidR="00572C5D">
        <w:rPr>
          <w:color w:val="000000"/>
          <w:sz w:val="20"/>
        </w:rPr>
        <w:t>3</w:t>
      </w:r>
      <w:r w:rsidR="00572C5D">
        <w:rPr>
          <w:color w:val="1F497D"/>
          <w:sz w:val="20"/>
        </w:rPr>
        <w:t>)</w:t>
      </w:r>
    </w:p>
    <w:p w:rsidR="00572C5D" w:rsidRDefault="00572C5D" w:rsidP="004A648F">
      <w:pPr>
        <w:jc w:val="left"/>
        <w:rPr>
          <w:b/>
        </w:rPr>
      </w:pPr>
      <w:r>
        <w:rPr>
          <w:bCs/>
        </w:rPr>
        <w:t>The monitoring results were assessed against</w:t>
      </w:r>
      <w:r w:rsidRPr="00EA195A">
        <w:rPr>
          <w:bCs/>
        </w:rPr>
        <w:t xml:space="preserve"> </w:t>
      </w:r>
      <w:r w:rsidR="00BC5258">
        <w:rPr>
          <w:bCs/>
        </w:rPr>
        <w:t xml:space="preserve">the lowland river </w:t>
      </w:r>
      <w:r>
        <w:rPr>
          <w:bCs/>
        </w:rPr>
        <w:t>trigger levels</w:t>
      </w:r>
      <w:r w:rsidR="00BC5258">
        <w:rPr>
          <w:bCs/>
        </w:rPr>
        <w:t xml:space="preserve"> for aquatic ecosystems in south-east Australia</w:t>
      </w:r>
      <w:r>
        <w:rPr>
          <w:bCs/>
        </w:rPr>
        <w:t xml:space="preserve"> from the </w:t>
      </w:r>
      <w:r w:rsidRPr="00EA195A">
        <w:rPr>
          <w:bCs/>
        </w:rPr>
        <w:t xml:space="preserve">ANZECC </w:t>
      </w:r>
      <w:r>
        <w:rPr>
          <w:bCs/>
        </w:rPr>
        <w:t>(2000) water quality guidelines</w:t>
      </w:r>
      <w:r w:rsidRPr="00EA195A">
        <w:rPr>
          <w:bCs/>
        </w:rPr>
        <w:t xml:space="preserve">. </w:t>
      </w:r>
      <w:r>
        <w:rPr>
          <w:bCs/>
        </w:rPr>
        <w:t xml:space="preserve">If the concentration of a particular water quality parameter exceeds the trigger level or falls outside of the acceptable range, </w:t>
      </w:r>
      <w:r w:rsidR="00BC5258">
        <w:rPr>
          <w:bCs/>
        </w:rPr>
        <w:t>the guidelines are written with the intention that</w:t>
      </w:r>
      <w:r>
        <w:rPr>
          <w:bCs/>
        </w:rPr>
        <w:t xml:space="preserve"> further investigation of the ecosystem is ‘triggered’ to establish whether the concentrations are causing ecological harm. Systems may vary in their sensitivity to various parameters and therefore exceeding a </w:t>
      </w:r>
      <w:r w:rsidRPr="00EA195A">
        <w:rPr>
          <w:bCs/>
        </w:rPr>
        <w:t>trigger level is not an absolute indicator of ecological harm. The ANZECC water quality guidelines do not provide trigger levels for total organic carbon and dissolved organic carbon, and this reflects the expectation that there will be large variation in the ‘normal’ concentrations of organic carbon between ecosystems and also in the chemical and biological reactivity of the mixture of organic compounds making up the DOC and TOC at a particular site. Given the variable make-up of organic carbon, and the possible range of ecological responses to this mixture, a trigger level for this parameter would not be appropriate. However, trigger levels are provided for a number of nutrients and these are discussed below.</w:t>
      </w:r>
      <w:r>
        <w:rPr>
          <w:bCs/>
        </w:rPr>
        <w:t xml:space="preserve"> </w:t>
      </w:r>
    </w:p>
    <w:p w:rsidR="00572C5D" w:rsidRPr="00F13819" w:rsidRDefault="00C56122" w:rsidP="00FD67DC">
      <w:pPr>
        <w:spacing w:after="120"/>
        <w:jc w:val="left"/>
        <w:rPr>
          <w:b/>
          <w:color w:val="4F6228" w:themeColor="accent3" w:themeShade="80"/>
          <w:sz w:val="24"/>
          <w:szCs w:val="24"/>
        </w:rPr>
      </w:pPr>
      <w:r>
        <w:rPr>
          <w:b/>
          <w:color w:val="4F6228" w:themeColor="accent3" w:themeShade="80"/>
          <w:sz w:val="24"/>
          <w:szCs w:val="24"/>
        </w:rPr>
        <w:t xml:space="preserve">6.4 </w:t>
      </w:r>
      <w:r w:rsidR="00572C5D" w:rsidRPr="00F13819">
        <w:rPr>
          <w:b/>
          <w:color w:val="4F6228" w:themeColor="accent3" w:themeShade="80"/>
          <w:sz w:val="24"/>
          <w:szCs w:val="24"/>
        </w:rPr>
        <w:t>Results</w:t>
      </w:r>
    </w:p>
    <w:p w:rsidR="00572C5D" w:rsidRDefault="00572C5D" w:rsidP="00FD67DC">
      <w:pPr>
        <w:spacing w:after="120"/>
        <w:jc w:val="left"/>
        <w:rPr>
          <w:i/>
        </w:rPr>
      </w:pPr>
      <w:r w:rsidRPr="0069753A">
        <w:rPr>
          <w:i/>
        </w:rPr>
        <w:t>Basic Water Quality Parameters</w:t>
      </w:r>
    </w:p>
    <w:p w:rsidR="00572C5D" w:rsidRPr="00914F90" w:rsidRDefault="00D177E5" w:rsidP="003F7C70">
      <w:pPr>
        <w:spacing w:after="240"/>
        <w:jc w:val="left"/>
      </w:pPr>
      <w:r>
        <w:t>The water temperature (Figure 6</w:t>
      </w:r>
      <w:r w:rsidR="00572C5D">
        <w:t xml:space="preserve">.3) was generally very similar in all study zones with the most downstream zone being fractionally warmer than the upstream zones, as would be expected. There is no discernable effect of Commonwealth </w:t>
      </w:r>
      <w:r w:rsidR="00B752C7">
        <w:t>e</w:t>
      </w:r>
      <w:r w:rsidR="00572C5D">
        <w:t>nvironmental water on water temperature, with all sites displaying the same seasonal variation and influence of weather patterns.</w:t>
      </w:r>
    </w:p>
    <w:p w:rsidR="00572C5D" w:rsidRDefault="00572C5D" w:rsidP="00FD67DC">
      <w:pPr>
        <w:spacing w:after="0" w:line="240" w:lineRule="auto"/>
        <w:rPr>
          <w:i/>
        </w:rPr>
      </w:pPr>
      <w:r w:rsidRPr="00000F24">
        <w:rPr>
          <w:i/>
          <w:noProof/>
          <w:lang w:eastAsia="en-AU"/>
        </w:rPr>
        <w:drawing>
          <wp:inline distT="0" distB="0" distL="0" distR="0">
            <wp:extent cx="4361782" cy="3168000"/>
            <wp:effectExtent l="0" t="0" r="1270" b="0"/>
            <wp:docPr id="46" name="Picture 46" descr="D:\Users\jhowitt\Documents\Research projects\Wakool\LTIM\2014-15\updated figures\Temper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jhowitt\Documents\Research projects\Wakool\LTIM\2014-15\updated figures\Temperature.JPG"/>
                    <pic:cNvPicPr>
                      <a:picLocks noChangeAspect="1" noChangeArrowheads="1"/>
                    </pic:cNvPicPr>
                  </pic:nvPicPr>
                  <pic:blipFill rotWithShape="1">
                    <a:blip r:embed="rId5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4361782" cy="316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72C5D" w:rsidRPr="00572C5D" w:rsidRDefault="00D177E5" w:rsidP="00572C5D">
      <w:pPr>
        <w:rPr>
          <w:sz w:val="20"/>
        </w:rPr>
      </w:pPr>
      <w:r w:rsidRPr="00C56122">
        <w:rPr>
          <w:b/>
          <w:sz w:val="20"/>
        </w:rPr>
        <w:t>Figure 6</w:t>
      </w:r>
      <w:r w:rsidR="00572C5D" w:rsidRPr="00C56122">
        <w:rPr>
          <w:b/>
          <w:sz w:val="20"/>
        </w:rPr>
        <w:t>.3</w:t>
      </w:r>
      <w:r w:rsidR="00572C5D" w:rsidRPr="00572C5D">
        <w:rPr>
          <w:sz w:val="20"/>
        </w:rPr>
        <w:t xml:space="preserve"> Daily average temperature results for six sample sites across four river zones.</w:t>
      </w:r>
    </w:p>
    <w:p w:rsidR="00572C5D" w:rsidRPr="00C5263B" w:rsidRDefault="00572C5D" w:rsidP="004A648F">
      <w:pPr>
        <w:spacing w:after="120"/>
        <w:jc w:val="left"/>
      </w:pPr>
      <w:r>
        <w:t xml:space="preserve">The average dissolved oxygen concentration in each zone is shown in Figure </w:t>
      </w:r>
      <w:r w:rsidR="00D177E5">
        <w:t>6</w:t>
      </w:r>
      <w:r w:rsidR="00BC5258">
        <w:t>.4. Yallakool Creek (z</w:t>
      </w:r>
      <w:r>
        <w:t>one 1) and the Wakool River in zones 3 and 4 (all receiving Commonwealth environmental water) are similar to each other throughout most of the study period, with slightly more variability observe</w:t>
      </w:r>
      <w:r w:rsidR="00BC5258">
        <w:t xml:space="preserve">d during December and January. </w:t>
      </w:r>
      <w:r>
        <w:t>Spikes in the data in this period may be indicative of biofilm developing on the sensor between cleanings. The Wa</w:t>
      </w:r>
      <w:r w:rsidR="00BC5258">
        <w:t>kool River in z</w:t>
      </w:r>
      <w:r w:rsidR="00D177E5">
        <w:t>one 2 (shown in o</w:t>
      </w:r>
      <w:r>
        <w:t xml:space="preserve">range) clearly separates from the other sites in mid August, around the time of the commencement of the Yallakool Creek </w:t>
      </w:r>
      <w:r w:rsidR="00B752C7">
        <w:t>e</w:t>
      </w:r>
      <w:r>
        <w:t xml:space="preserve">nvironmental </w:t>
      </w:r>
      <w:r w:rsidR="00B752C7">
        <w:t>w</w:t>
      </w:r>
      <w:r>
        <w:t xml:space="preserve">atering </w:t>
      </w:r>
      <w:r w:rsidR="00B752C7">
        <w:t>a</w:t>
      </w:r>
      <w:r w:rsidR="00BC5258">
        <w:t>ction, however</w:t>
      </w:r>
      <w:r>
        <w:t xml:space="preserve"> the difference between this zone and the thre</w:t>
      </w:r>
      <w:r w:rsidR="00BC5258">
        <w:t>e zones receiving Commonwealth environmental w</w:t>
      </w:r>
      <w:r>
        <w:t>ater persists beyond the end of this watering action in January. In all cases a decline in dissolved oxygen is observed during the hotter months, as expected with the increased water temperature (which decreases oxygen solubility). However, the difference in dissolved oxygen concentration between zones is not explained by temperature differences and likely reflects differences in input of oxygenated water from upstream and different rates of re-aeration and oxygen consumption associated with flow</w:t>
      </w:r>
      <w:r w:rsidR="00AF744D">
        <w:t xml:space="preserve"> (see section 7)</w:t>
      </w:r>
      <w:r>
        <w:t xml:space="preserve">. Concentrations of dissolved oxygen in the Wakool River Zone </w:t>
      </w:r>
      <w:r w:rsidR="00BC5258">
        <w:t xml:space="preserve">2 </w:t>
      </w:r>
      <w:r>
        <w:t xml:space="preserve">briefly dropped into the range of concern to fish populations </w:t>
      </w:r>
      <w:r w:rsidR="00BC5258">
        <w:t xml:space="preserve">(below 4 mg/L) </w:t>
      </w:r>
      <w:r>
        <w:t>during mid January and again in mid February.</w:t>
      </w:r>
    </w:p>
    <w:p w:rsidR="00572C5D" w:rsidRPr="00B167F9" w:rsidRDefault="00BC5258" w:rsidP="00AF744D">
      <w:pPr>
        <w:spacing w:after="0" w:line="240" w:lineRule="auto"/>
      </w:pPr>
      <w:r>
        <w:rPr>
          <w:noProof/>
          <w:lang w:eastAsia="en-AU"/>
        </w:rPr>
        <w:drawing>
          <wp:inline distT="0" distB="0" distL="0" distR="0">
            <wp:extent cx="4141594" cy="3708000"/>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4141594" cy="370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C5258" w:rsidRPr="00C56122" w:rsidRDefault="00572C5D" w:rsidP="007819D2">
      <w:pPr>
        <w:spacing w:after="240" w:line="240" w:lineRule="auto"/>
        <w:rPr>
          <w:sz w:val="20"/>
        </w:rPr>
      </w:pPr>
      <w:r w:rsidRPr="00C56122">
        <w:rPr>
          <w:b/>
          <w:sz w:val="20"/>
        </w:rPr>
        <w:t xml:space="preserve">Figure </w:t>
      </w:r>
      <w:r w:rsidR="00D177E5" w:rsidRPr="00C56122">
        <w:rPr>
          <w:b/>
          <w:sz w:val="20"/>
        </w:rPr>
        <w:t>6</w:t>
      </w:r>
      <w:r w:rsidRPr="00C56122">
        <w:rPr>
          <w:b/>
          <w:sz w:val="20"/>
        </w:rPr>
        <w:t>.4</w:t>
      </w:r>
      <w:r w:rsidRPr="00C56122">
        <w:rPr>
          <w:sz w:val="20"/>
        </w:rPr>
        <w:t xml:space="preserve"> </w:t>
      </w:r>
      <w:r w:rsidR="00BC5258" w:rsidRPr="00C56122">
        <w:rPr>
          <w:sz w:val="20"/>
        </w:rPr>
        <w:t>Daily average dissolved oxygen concentration in</w:t>
      </w:r>
      <w:r w:rsidR="00BC5258">
        <w:rPr>
          <w:sz w:val="20"/>
        </w:rPr>
        <w:t xml:space="preserve"> the</w:t>
      </w:r>
      <w:r w:rsidR="00BC5258" w:rsidRPr="00C56122">
        <w:rPr>
          <w:sz w:val="20"/>
        </w:rPr>
        <w:t xml:space="preserve"> </w:t>
      </w:r>
      <w:r w:rsidR="00FD67DC">
        <w:rPr>
          <w:sz w:val="20"/>
        </w:rPr>
        <w:t xml:space="preserve">four </w:t>
      </w:r>
      <w:r w:rsidR="00BC5258" w:rsidRPr="00C56122">
        <w:rPr>
          <w:sz w:val="20"/>
        </w:rPr>
        <w:t>zones.</w:t>
      </w:r>
      <w:r w:rsidR="00FD67DC">
        <w:rPr>
          <w:sz w:val="20"/>
        </w:rPr>
        <w:t xml:space="preserve"> H</w:t>
      </w:r>
      <w:r w:rsidR="00BC5258">
        <w:rPr>
          <w:sz w:val="20"/>
        </w:rPr>
        <w:t xml:space="preserve">ydrographs for </w:t>
      </w:r>
      <w:r w:rsidR="00426EB6">
        <w:rPr>
          <w:sz w:val="20"/>
        </w:rPr>
        <w:t xml:space="preserve">Yallakool Creek </w:t>
      </w:r>
      <w:r w:rsidR="00BC5258">
        <w:rPr>
          <w:sz w:val="20"/>
        </w:rPr>
        <w:t xml:space="preserve">Zone 1 </w:t>
      </w:r>
      <w:r w:rsidR="00AF744D">
        <w:rPr>
          <w:sz w:val="20"/>
        </w:rPr>
        <w:t xml:space="preserve">(red line) </w:t>
      </w:r>
      <w:r w:rsidR="00BC5258">
        <w:rPr>
          <w:sz w:val="20"/>
        </w:rPr>
        <w:t xml:space="preserve">and </w:t>
      </w:r>
      <w:r w:rsidR="00426EB6">
        <w:rPr>
          <w:sz w:val="20"/>
        </w:rPr>
        <w:t xml:space="preserve">Wakool River </w:t>
      </w:r>
      <w:r w:rsidR="00AF744D">
        <w:rPr>
          <w:sz w:val="20"/>
        </w:rPr>
        <w:t xml:space="preserve">zone </w:t>
      </w:r>
      <w:r w:rsidR="00BC5258">
        <w:rPr>
          <w:sz w:val="20"/>
        </w:rPr>
        <w:t xml:space="preserve">2 </w:t>
      </w:r>
      <w:r w:rsidR="00AF744D">
        <w:rPr>
          <w:sz w:val="20"/>
        </w:rPr>
        <w:t>(orange line</w:t>
      </w:r>
      <w:r w:rsidR="00426EB6">
        <w:rPr>
          <w:sz w:val="20"/>
        </w:rPr>
        <w:t>, no environmental water</w:t>
      </w:r>
      <w:r w:rsidR="00AF744D">
        <w:rPr>
          <w:sz w:val="20"/>
        </w:rPr>
        <w:t xml:space="preserve">) </w:t>
      </w:r>
      <w:r w:rsidR="00BC5258">
        <w:rPr>
          <w:sz w:val="20"/>
        </w:rPr>
        <w:t>are shown in the upper portion of the graph to indicate the difference in flow. Zone 3 and 4 have similar hydrographs to zone 1.</w:t>
      </w:r>
    </w:p>
    <w:p w:rsidR="00572C5D" w:rsidRDefault="00572C5D" w:rsidP="007819D2">
      <w:pPr>
        <w:spacing w:after="120"/>
        <w:rPr>
          <w:i/>
        </w:rPr>
      </w:pPr>
      <w:r>
        <w:rPr>
          <w:i/>
        </w:rPr>
        <w:t>DOC</w:t>
      </w:r>
    </w:p>
    <w:p w:rsidR="00572C5D" w:rsidRPr="001003F2" w:rsidRDefault="00572C5D" w:rsidP="003F7C70">
      <w:pPr>
        <w:spacing w:after="240"/>
        <w:jc w:val="left"/>
      </w:pPr>
      <w:r>
        <w:t>Concentrations of dissolved organic carbon in the four study zones and the sou</w:t>
      </w:r>
      <w:r w:rsidR="00D177E5">
        <w:t>rce waters are shown in Figure 6</w:t>
      </w:r>
      <w:r w:rsidR="000A4F7E">
        <w:t xml:space="preserve">.5. </w:t>
      </w:r>
      <w:r>
        <w:t xml:space="preserve">Note that two anomalous values have been removed from this figure- a value of 28 mg/L for Wakool River Zone 4 Site 5 in late November and a value of 15 from Wakool River </w:t>
      </w:r>
      <w:r w:rsidR="000A4F7E">
        <w:t xml:space="preserve">Zone 2 Site 1 in mid February. </w:t>
      </w:r>
      <w:r>
        <w:t>Neither of these values is consistent with the concentrations for the sites immediately upstream and downstream, or supported by the absorbance and fluorescence data. Sample contamination in the field is the most likely expla</w:t>
      </w:r>
      <w:r w:rsidR="00AF744D">
        <w:t xml:space="preserve">nation for these high results. </w:t>
      </w:r>
      <w:r>
        <w:t xml:space="preserve">The first samples were taken from a reduced number of sites and correspond to the rising hydrograph prior to the onset of the Yallakool Creek Environmental watering action. </w:t>
      </w:r>
      <w:r w:rsidR="00960287">
        <w:t xml:space="preserve">The data from this </w:t>
      </w:r>
      <w:r>
        <w:t>small number of samples hints at</w:t>
      </w:r>
      <w:r w:rsidR="00960287">
        <w:t xml:space="preserve"> a trend of</w:t>
      </w:r>
      <w:r>
        <w:t xml:space="preserve"> decreasing D</w:t>
      </w:r>
      <w:r w:rsidR="00D177E5">
        <w:t>OC progress</w:t>
      </w:r>
      <w:r w:rsidR="00960287">
        <w:t>ively</w:t>
      </w:r>
      <w:r w:rsidR="00D177E5">
        <w:t xml:space="preserve"> downstream. </w:t>
      </w:r>
      <w:r>
        <w:t>This pattern is reversed in the following sampling period (although there is some scatter in the data). Throughout most of the study period there is no clear trend in the data and the DOC remains in the low range that is common for this system. It is noted that the upstream site in the Wakool River zone 2 has lower DOC than the downstream site in this zone, however the results remain within the scatter of concentrations observed for the other sampling sites.</w:t>
      </w:r>
    </w:p>
    <w:p w:rsidR="00572C5D" w:rsidRDefault="00572C5D" w:rsidP="00FD67DC">
      <w:pPr>
        <w:spacing w:after="0" w:line="240" w:lineRule="auto"/>
        <w:rPr>
          <w:i/>
        </w:rPr>
      </w:pPr>
      <w:r w:rsidRPr="000B59A6">
        <w:rPr>
          <w:i/>
          <w:noProof/>
          <w:lang w:eastAsia="en-AU"/>
        </w:rPr>
        <w:drawing>
          <wp:inline distT="0" distB="0" distL="0" distR="0">
            <wp:extent cx="5297087" cy="3096000"/>
            <wp:effectExtent l="0" t="0" r="0" b="9525"/>
            <wp:docPr id="49" name="Picture 49" descr="D:\Users\jhowitt\Documents\Research projects\Wakool\LTIM\2014-15\updated figures\D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jhowitt\Documents\Research projects\Wakool\LTIM\2014-15\updated figures\DOC.JPG"/>
                    <pic:cNvPicPr>
                      <a:picLocks noChangeAspect="1" noChangeArrowheads="1"/>
                    </pic:cNvPicPr>
                  </pic:nvPicPr>
                  <pic:blipFill rotWithShape="1">
                    <a:blip r:embed="rId5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297087" cy="3096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72C5D" w:rsidRPr="00C56122" w:rsidRDefault="00D177E5" w:rsidP="00572C5D">
      <w:pPr>
        <w:rPr>
          <w:sz w:val="20"/>
        </w:rPr>
      </w:pPr>
      <w:r w:rsidRPr="00C56122">
        <w:rPr>
          <w:b/>
          <w:sz w:val="20"/>
        </w:rPr>
        <w:t>Figure 6</w:t>
      </w:r>
      <w:r w:rsidR="00572C5D" w:rsidRPr="00C56122">
        <w:rPr>
          <w:b/>
          <w:sz w:val="20"/>
        </w:rPr>
        <w:t>.5</w:t>
      </w:r>
      <w:r w:rsidR="00572C5D" w:rsidRPr="00C56122">
        <w:rPr>
          <w:sz w:val="20"/>
        </w:rPr>
        <w:t xml:space="preserve"> Dissolved organic carbon concentrations at study sites and water sources.</w:t>
      </w:r>
    </w:p>
    <w:p w:rsidR="00572C5D" w:rsidRDefault="00572C5D" w:rsidP="00FD67DC">
      <w:pPr>
        <w:spacing w:after="120"/>
        <w:rPr>
          <w:i/>
        </w:rPr>
      </w:pPr>
      <w:r>
        <w:rPr>
          <w:i/>
        </w:rPr>
        <w:t>Nutrients</w:t>
      </w:r>
    </w:p>
    <w:p w:rsidR="00572C5D" w:rsidRDefault="00572C5D" w:rsidP="0034707C">
      <w:pPr>
        <w:spacing w:after="120"/>
        <w:jc w:val="left"/>
      </w:pPr>
      <w:r>
        <w:t xml:space="preserve">Figure </w:t>
      </w:r>
      <w:r w:rsidR="00D177E5">
        <w:t>6</w:t>
      </w:r>
      <w:r>
        <w:t>.6 illustrates the concentrations of nitrogen found in the study zones in the form of a) Total Nitrogen, b) nitra</w:t>
      </w:r>
      <w:r w:rsidR="00AF744D">
        <w:t xml:space="preserve">te and nitrite and c) ammonia. </w:t>
      </w:r>
      <w:r>
        <w:t>Total nitrogen concentrations fluctuate above and below the ANZECC trigger value of 0.5 mg/L with a general tre</w:t>
      </w:r>
      <w:r w:rsidR="009F4D23">
        <w:t>nd towards the Yallakool Creek z</w:t>
      </w:r>
      <w:r>
        <w:t>one 1 having lower concen</w:t>
      </w:r>
      <w:r w:rsidR="009F4D23">
        <w:t>trations than the Wakool River zone 3 and the Wakool River z</w:t>
      </w:r>
      <w:r>
        <w:t>one 4, suggesting an increase in total nitrogen as the water progresses throug</w:t>
      </w:r>
      <w:r w:rsidR="009F4D23">
        <w:t>h the system. The Wakool River z</w:t>
      </w:r>
      <w:r>
        <w:t>one 2 site generally has higher total nitrogen c</w:t>
      </w:r>
      <w:r w:rsidR="009F4D23">
        <w:t>oncentrations, more similar to zone 4 than z</w:t>
      </w:r>
      <w:r>
        <w:t>one 1. Total nitrogen at this site gradually increases to a peak in December and then declines to be more similar to the other sites. However, it is known from earlier studies in this system (Watts et al</w:t>
      </w:r>
      <w:r w:rsidR="000C7056">
        <w:t>.</w:t>
      </w:r>
      <w:r>
        <w:t xml:space="preserve"> 2014) that bioavailable forms of nutrients are a more important indicator in thi</w:t>
      </w:r>
      <w:r w:rsidR="000A4F7E">
        <w:t xml:space="preserve">s system than total nutrients. </w:t>
      </w:r>
      <w:r>
        <w:t>Both NO</w:t>
      </w:r>
      <w:r>
        <w:rPr>
          <w:vertAlign w:val="subscript"/>
        </w:rPr>
        <w:t>x</w:t>
      </w:r>
      <w:r>
        <w:t xml:space="preserve"> and ammonia forms of bioavailable </w:t>
      </w:r>
      <w:r w:rsidR="00AF744D">
        <w:t xml:space="preserve">nitrogen are low in all zones. </w:t>
      </w:r>
      <w:r>
        <w:t>The very high NO</w:t>
      </w:r>
      <w:r>
        <w:rPr>
          <w:vertAlign w:val="subscript"/>
        </w:rPr>
        <w:t>x</w:t>
      </w:r>
      <w:r>
        <w:t xml:space="preserve"> concentration in the Yallakool Creek in August is unusual and unfortunately, not replicated, so care should be taken with the interpretation of this result. The high ammonia values in the Yallakool on two occasions are only found at the upstream sampling site and either suggest disturbance of the sediments while sampling or ammonia introduced from the source water that dissipates before the water reaches the downstream sampling site.</w:t>
      </w:r>
    </w:p>
    <w:p w:rsidR="00572C5D" w:rsidRPr="00E456F5" w:rsidRDefault="00572C5D" w:rsidP="00F841A9">
      <w:pPr>
        <w:spacing w:after="240"/>
        <w:jc w:val="left"/>
      </w:pPr>
      <w:r>
        <w:t>Total phosphorus and filterab</w:t>
      </w:r>
      <w:r w:rsidR="00D177E5">
        <w:t>le reactive phosphorus (Figure 6</w:t>
      </w:r>
      <w:r>
        <w:t>.7) have similar pat</w:t>
      </w:r>
      <w:r w:rsidR="00AF744D">
        <w:t xml:space="preserve">terns to the nitrogen results. </w:t>
      </w:r>
      <w:r>
        <w:t>Total phosphorus results are scattered above and below the trig</w:t>
      </w:r>
      <w:r w:rsidR="009F4D23">
        <w:t>ger value and the Wakool River z</w:t>
      </w:r>
      <w:r>
        <w:t>one 2 has the highest concentr</w:t>
      </w:r>
      <w:r w:rsidR="00D177E5">
        <w:t>ations with a peak in December.</w:t>
      </w:r>
      <w:r>
        <w:t xml:space="preserve"> Bioavailable phosphorus however, is well below the trigger value and similar across zones.</w:t>
      </w:r>
    </w:p>
    <w:p w:rsidR="00572C5D" w:rsidRDefault="00572C5D" w:rsidP="00DF407A">
      <w:pPr>
        <w:spacing w:after="120" w:line="240" w:lineRule="auto"/>
        <w:jc w:val="center"/>
        <w:rPr>
          <w:i/>
        </w:rPr>
      </w:pPr>
      <w:r w:rsidRPr="00371066">
        <w:rPr>
          <w:i/>
          <w:noProof/>
          <w:lang w:eastAsia="en-AU"/>
        </w:rPr>
        <w:drawing>
          <wp:inline distT="0" distB="0" distL="0" distR="0">
            <wp:extent cx="3755694" cy="8100000"/>
            <wp:effectExtent l="0" t="0" r="0" b="0"/>
            <wp:docPr id="50" name="Picture 50" descr="D:\Users\jhowitt\Documents\Research projects\Wakool\LTIM\2014-15\updated figures\nitro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jhowitt\Documents\Research projects\Wakool\LTIM\2014-15\updated figures\nitrogen.JPG"/>
                    <pic:cNvPicPr>
                      <a:picLocks noChangeAspect="1" noChangeArrowheads="1"/>
                    </pic:cNvPicPr>
                  </pic:nvPicPr>
                  <pic:blipFill rotWithShape="1">
                    <a:blip r:embed="rId5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3755694" cy="810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72C5D" w:rsidRDefault="00D177E5" w:rsidP="00DF407A">
      <w:pPr>
        <w:spacing w:after="120" w:line="240" w:lineRule="auto"/>
      </w:pPr>
      <w:r w:rsidRPr="00C56122">
        <w:rPr>
          <w:b/>
          <w:sz w:val="20"/>
        </w:rPr>
        <w:t>Figure 6</w:t>
      </w:r>
      <w:r w:rsidR="00572C5D" w:rsidRPr="00C56122">
        <w:rPr>
          <w:b/>
          <w:sz w:val="20"/>
        </w:rPr>
        <w:t>.6</w:t>
      </w:r>
      <w:r w:rsidR="00572C5D" w:rsidRPr="00DF407A">
        <w:rPr>
          <w:sz w:val="20"/>
        </w:rPr>
        <w:t xml:space="preserve"> Total nitrogen, nitrate + nitrite and ammonia at study sites. ANZECC (2000) guidelines for each parameter are marked as a dotted line</w:t>
      </w:r>
      <w:r w:rsidR="00572C5D" w:rsidRPr="00B84661">
        <w:t>.</w:t>
      </w:r>
      <w:r w:rsidR="00572C5D">
        <w:br w:type="page"/>
      </w:r>
    </w:p>
    <w:p w:rsidR="00572C5D" w:rsidRDefault="00572C5D" w:rsidP="00DF407A">
      <w:pPr>
        <w:spacing w:after="120" w:line="240" w:lineRule="auto"/>
        <w:rPr>
          <w:i/>
        </w:rPr>
      </w:pPr>
      <w:r w:rsidRPr="002F089A">
        <w:rPr>
          <w:i/>
          <w:noProof/>
          <w:lang w:eastAsia="en-AU"/>
        </w:rPr>
        <w:drawing>
          <wp:inline distT="0" distB="0" distL="0" distR="0">
            <wp:extent cx="5013975" cy="7200000"/>
            <wp:effectExtent l="0" t="0" r="0" b="1270"/>
            <wp:docPr id="51" name="Picture 51" descr="D:\Users\jhowitt\Documents\Research projects\Wakool\LTIM\2014-15\updated figures\Phospho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jhowitt\Documents\Research projects\Wakool\LTIM\2014-15\updated figures\Phosphorus.JPG"/>
                    <pic:cNvPicPr>
                      <a:picLocks noChangeAspect="1" noChangeArrowheads="1"/>
                    </pic:cNvPicPr>
                  </pic:nvPicPr>
                  <pic:blipFill rotWithShape="1">
                    <a:blip r:embed="rId5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013975" cy="720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72C5D" w:rsidRPr="00180D4F" w:rsidRDefault="00DF407A" w:rsidP="00DF407A">
      <w:pPr>
        <w:spacing w:after="120" w:line="240" w:lineRule="auto"/>
        <w:rPr>
          <w:sz w:val="20"/>
        </w:rPr>
      </w:pPr>
      <w:r w:rsidRPr="00180D4F">
        <w:rPr>
          <w:b/>
          <w:sz w:val="20"/>
        </w:rPr>
        <w:t xml:space="preserve">Figure </w:t>
      </w:r>
      <w:r w:rsidR="00D177E5" w:rsidRPr="00180D4F">
        <w:rPr>
          <w:b/>
          <w:sz w:val="20"/>
        </w:rPr>
        <w:t>6</w:t>
      </w:r>
      <w:r w:rsidR="00572C5D" w:rsidRPr="00180D4F">
        <w:rPr>
          <w:b/>
          <w:sz w:val="20"/>
        </w:rPr>
        <w:t>.7</w:t>
      </w:r>
      <w:r w:rsidR="00572C5D" w:rsidRPr="00180D4F">
        <w:rPr>
          <w:sz w:val="20"/>
        </w:rPr>
        <w:t xml:space="preserve"> Total and filterable reactive phosphorus in the four study zones. ANZECC (2000) trigger values are marked with dotted lines.</w:t>
      </w:r>
      <w:r w:rsidR="00572C5D" w:rsidRPr="00180D4F">
        <w:rPr>
          <w:sz w:val="20"/>
        </w:rPr>
        <w:br w:type="page"/>
      </w:r>
    </w:p>
    <w:p w:rsidR="00572C5D" w:rsidRPr="008B2035" w:rsidRDefault="00572C5D" w:rsidP="00F841A9">
      <w:pPr>
        <w:spacing w:after="240"/>
        <w:rPr>
          <w:i/>
        </w:rPr>
      </w:pPr>
      <w:r w:rsidRPr="008B2035">
        <w:rPr>
          <w:i/>
        </w:rPr>
        <w:t>Carbon Characterisation</w:t>
      </w:r>
    </w:p>
    <w:p w:rsidR="00572C5D" w:rsidRPr="004C7BB7" w:rsidRDefault="00572C5D" w:rsidP="00F841A9">
      <w:pPr>
        <w:spacing w:after="240"/>
        <w:jc w:val="left"/>
      </w:pPr>
      <w:r>
        <w:t>Organic matter composition was studi</w:t>
      </w:r>
      <w:r w:rsidR="00D177E5">
        <w:t>ed through UV-visible (Figures 6.8 and 6</w:t>
      </w:r>
      <w:r>
        <w:t>.9) and fluo</w:t>
      </w:r>
      <w:r w:rsidR="00D177E5">
        <w:t>rescence spectroscopy (Figures 6.10-6</w:t>
      </w:r>
      <w:r w:rsidR="009B3A38">
        <w:t>.18</w:t>
      </w:r>
      <w:r>
        <w:t>). Absorbance scans suggest higher organic matter inputs from the Edward River in August, decreasing down the system and in early September the end of this pulse of organic matter is working down the system, with low DOC water measured in the Edward River and upstream sites and slightly elevated absorbance at sites from the downstream zones</w:t>
      </w:r>
      <w:r w:rsidR="000A4F7E">
        <w:t xml:space="preserve">. </w:t>
      </w:r>
      <w:r>
        <w:t>Absorbance has dec</w:t>
      </w:r>
      <w:r w:rsidR="000A4F7E">
        <w:t xml:space="preserve">lined from the previous month. </w:t>
      </w:r>
      <w:r>
        <w:t>In late</w:t>
      </w:r>
      <w:r w:rsidR="009F4D23">
        <w:t xml:space="preserve"> September the Wakool River in z</w:t>
      </w:r>
      <w:r>
        <w:t xml:space="preserve">one 2 has slightly higher absorbance than seen for the sites receiving Commonwealth environmental water, but thereafter the absorbances are similar at all sites and decreasing over the season. </w:t>
      </w:r>
      <w:r w:rsidR="00D177E5">
        <w:t>Note that in February (Figure 6</w:t>
      </w:r>
      <w:r>
        <w:t>.9), the scans from zones 1 and 2 show signs of slight elevation of measured absorbance due to bubbles forming.</w:t>
      </w:r>
    </w:p>
    <w:p w:rsidR="00572C5D" w:rsidRDefault="00572C5D" w:rsidP="00F841A9">
      <w:pPr>
        <w:spacing w:after="240"/>
        <w:jc w:val="left"/>
      </w:pPr>
      <w:r>
        <w:t>The fluores</w:t>
      </w:r>
      <w:r w:rsidR="00D177E5">
        <w:t>cence scans for August (Figure 6</w:t>
      </w:r>
      <w:r>
        <w:t xml:space="preserve">.10) more clearly show the input of organic matter from upstream, with the pulse of fluorescent organic matter having not spread to the lower study zones at the time of sampling. Note this sampling aligns with the rising hydrograph prior to the onset of the Yallakool Creek </w:t>
      </w:r>
      <w:r w:rsidR="00960287">
        <w:t xml:space="preserve">environmental </w:t>
      </w:r>
      <w:r>
        <w:t xml:space="preserve">watering. Consistent with the absorbance scans, and more clearly demonstrated than in the DOC results above, </w:t>
      </w:r>
      <w:r w:rsidR="00D177E5">
        <w:t>it can clearly be seen (Figure 6</w:t>
      </w:r>
      <w:r>
        <w:t>.11) that by early September there is very little fluorescent organic matter in the upper study zones (consistent with the water quality at the source sites), but slightly elevated organic matter r</w:t>
      </w:r>
      <w:r w:rsidR="000A4F7E">
        <w:t>emains at the downstream sites.</w:t>
      </w:r>
      <w:r>
        <w:t xml:space="preserve"> Either material is being collected from low lying surfaces, or clean source water is pushing the last of the ea</w:t>
      </w:r>
      <w:r w:rsidR="00D177E5">
        <w:t>rlier pulse through the system.</w:t>
      </w:r>
      <w:r w:rsidR="009F4D23">
        <w:t xml:space="preserve"> Note in the Wakool z</w:t>
      </w:r>
      <w:r>
        <w:t xml:space="preserve">one 3 site 1 is a closer match to Yallakool Creek than the Wakool site upstream </w:t>
      </w:r>
      <w:r w:rsidR="00AF744D">
        <w:t>(zone 2 site 4)</w:t>
      </w:r>
      <w:r>
        <w:t>.</w:t>
      </w:r>
    </w:p>
    <w:p w:rsidR="00572C5D" w:rsidRDefault="00572C5D" w:rsidP="00F841A9">
      <w:pPr>
        <w:spacing w:after="240"/>
        <w:jc w:val="left"/>
      </w:pPr>
      <w:r>
        <w:t xml:space="preserve">By late Sept/early October the uppermost site on the Wakool </w:t>
      </w:r>
      <w:r w:rsidR="008966C0">
        <w:t xml:space="preserve">River (zone 2 site 1) </w:t>
      </w:r>
      <w:r>
        <w:t>shows greatest fluorescence</w:t>
      </w:r>
      <w:r w:rsidR="008966C0">
        <w:t xml:space="preserve"> (Figure 6.12)</w:t>
      </w:r>
      <w:r>
        <w:t>, followed by most downstream site suggesting a downst</w:t>
      </w:r>
      <w:r w:rsidR="008966C0">
        <w:t>ream progression through zone 1, 3 and 4, with z</w:t>
      </w:r>
      <w:r>
        <w:t>one 2 separating out due to differences in flow. The v</w:t>
      </w:r>
      <w:r w:rsidR="008966C0">
        <w:t>ery slight differences between zone 2 and z</w:t>
      </w:r>
      <w:r>
        <w:t xml:space="preserve">ones 1 and 3 (which would be expected to be most similar) persist until mid January, with the cessation of the Yallakool </w:t>
      </w:r>
      <w:r w:rsidR="008966C0">
        <w:t xml:space="preserve">Creek </w:t>
      </w:r>
      <w:r>
        <w:t>environmental watering action</w:t>
      </w:r>
      <w:r w:rsidR="008966C0">
        <w:t xml:space="preserve"> (Figures 3.13-3.16) with all sites being very similar in February and March 2015 (Figures 6.17-6.18)</w:t>
      </w:r>
      <w:r>
        <w:t>. Bioavailable carbon appear to be quite low in the upper zones throughout the summer.</w:t>
      </w:r>
    </w:p>
    <w:p w:rsidR="00572C5D" w:rsidRDefault="00572C5D" w:rsidP="004A648F">
      <w:pPr>
        <w:jc w:val="left"/>
      </w:pPr>
    </w:p>
    <w:p w:rsidR="00572C5D" w:rsidRDefault="00572C5D" w:rsidP="00DF407A">
      <w:pPr>
        <w:spacing w:after="120" w:line="240" w:lineRule="auto"/>
        <w:rPr>
          <w:b/>
        </w:rPr>
      </w:pPr>
      <w:r w:rsidRPr="00E70D16">
        <w:rPr>
          <w:b/>
          <w:noProof/>
          <w:lang w:eastAsia="en-AU"/>
        </w:rPr>
        <w:drawing>
          <wp:inline distT="0" distB="0" distL="0" distR="0">
            <wp:extent cx="5801350" cy="7560000"/>
            <wp:effectExtent l="0" t="0" r="9525" b="3175"/>
            <wp:docPr id="52" name="Picture 52" descr="D:\Users\jhowitt\Documents\Research projects\Wakool\LTIM\2014-15\updated figures\absorbanc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jhowitt\Documents\Research projects\Wakool\LTIM\2014-15\updated figures\absorbance 1.JPG"/>
                    <pic:cNvPicPr>
                      <a:picLocks noChangeAspect="1" noChangeArrowheads="1"/>
                    </pic:cNvPicPr>
                  </pic:nvPicPr>
                  <pic:blipFill>
                    <a:blip r:embed="rId5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01350" cy="7560000"/>
                    </a:xfrm>
                    <a:prstGeom prst="rect">
                      <a:avLst/>
                    </a:prstGeom>
                    <a:noFill/>
                    <a:ln>
                      <a:noFill/>
                    </a:ln>
                  </pic:spPr>
                </pic:pic>
              </a:graphicData>
            </a:graphic>
          </wp:inline>
        </w:drawing>
      </w:r>
    </w:p>
    <w:p w:rsidR="00572C5D" w:rsidRPr="00DF407A" w:rsidRDefault="00D177E5" w:rsidP="008966C0">
      <w:pPr>
        <w:spacing w:line="240" w:lineRule="auto"/>
        <w:rPr>
          <w:sz w:val="20"/>
        </w:rPr>
      </w:pPr>
      <w:r w:rsidRPr="00180D4F">
        <w:rPr>
          <w:b/>
          <w:sz w:val="20"/>
        </w:rPr>
        <w:t>Figure 6</w:t>
      </w:r>
      <w:r w:rsidR="00572C5D" w:rsidRPr="00180D4F">
        <w:rPr>
          <w:b/>
          <w:sz w:val="20"/>
        </w:rPr>
        <w:t>.8</w:t>
      </w:r>
      <w:r w:rsidR="00572C5D" w:rsidRPr="00DF407A">
        <w:rPr>
          <w:sz w:val="20"/>
        </w:rPr>
        <w:t xml:space="preserve"> Absorbance scans representing two study sites in each zone, plus source waters from August to December 2014.</w:t>
      </w:r>
    </w:p>
    <w:p w:rsidR="00572C5D" w:rsidRDefault="00572C5D" w:rsidP="00572C5D">
      <w:pPr>
        <w:rPr>
          <w:b/>
        </w:rPr>
      </w:pPr>
      <w:r w:rsidRPr="00F82D1C">
        <w:rPr>
          <w:b/>
          <w:noProof/>
          <w:lang w:eastAsia="en-AU"/>
        </w:rPr>
        <w:drawing>
          <wp:inline distT="0" distB="0" distL="0" distR="0">
            <wp:extent cx="5909733" cy="5040000"/>
            <wp:effectExtent l="0" t="0" r="0" b="8255"/>
            <wp:docPr id="53" name="Picture 53" descr="D:\Users\jhowitt\Documents\Research projects\Wakool\LTIM\2014-15\updated figures\absorbanc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jhowitt\Documents\Research projects\Wakool\LTIM\2014-15\updated figures\absorbance 2.JPG"/>
                    <pic:cNvPicPr>
                      <a:picLocks noChangeAspect="1" noChangeArrowheads="1"/>
                    </pic:cNvPicPr>
                  </pic:nvPicPr>
                  <pic:blipFill>
                    <a:blip r:embed="rId6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9733" cy="5040000"/>
                    </a:xfrm>
                    <a:prstGeom prst="rect">
                      <a:avLst/>
                    </a:prstGeom>
                    <a:noFill/>
                    <a:ln>
                      <a:noFill/>
                    </a:ln>
                  </pic:spPr>
                </pic:pic>
              </a:graphicData>
            </a:graphic>
          </wp:inline>
        </w:drawing>
      </w:r>
    </w:p>
    <w:p w:rsidR="00572C5D" w:rsidRPr="00180D4F" w:rsidRDefault="00D177E5" w:rsidP="00572C5D">
      <w:pPr>
        <w:rPr>
          <w:sz w:val="20"/>
        </w:rPr>
      </w:pPr>
      <w:r w:rsidRPr="00180D4F">
        <w:rPr>
          <w:b/>
          <w:sz w:val="20"/>
        </w:rPr>
        <w:t>Figure 6</w:t>
      </w:r>
      <w:r w:rsidR="00572C5D" w:rsidRPr="00180D4F">
        <w:rPr>
          <w:b/>
          <w:sz w:val="20"/>
        </w:rPr>
        <w:t>.9</w:t>
      </w:r>
      <w:r w:rsidR="00572C5D" w:rsidRPr="00180D4F">
        <w:rPr>
          <w:sz w:val="20"/>
        </w:rPr>
        <w:t xml:space="preserve"> Absorbance scans for four study zones and two water sources from January to March 2015.</w:t>
      </w:r>
    </w:p>
    <w:p w:rsidR="00572C5D" w:rsidRDefault="00572C5D" w:rsidP="00572C5D">
      <w:pPr>
        <w:rPr>
          <w:b/>
        </w:rPr>
      </w:pPr>
    </w:p>
    <w:p w:rsidR="00572C5D" w:rsidRDefault="00572C5D" w:rsidP="002A3B1D">
      <w:pPr>
        <w:spacing w:after="120" w:line="240" w:lineRule="auto"/>
        <w:rPr>
          <w:b/>
        </w:rPr>
      </w:pPr>
      <w:r>
        <w:rPr>
          <w:b/>
          <w:noProof/>
          <w:lang w:eastAsia="en-AU"/>
        </w:rPr>
        <w:drawing>
          <wp:inline distT="0" distB="0" distL="0" distR="0">
            <wp:extent cx="5218090" cy="2952000"/>
            <wp:effectExtent l="0" t="0" r="1905"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8090" cy="2952000"/>
                    </a:xfrm>
                    <a:prstGeom prst="rect">
                      <a:avLst/>
                    </a:prstGeom>
                    <a:noFill/>
                    <a:ln>
                      <a:noFill/>
                    </a:ln>
                  </pic:spPr>
                </pic:pic>
              </a:graphicData>
            </a:graphic>
          </wp:inline>
        </w:drawing>
      </w:r>
    </w:p>
    <w:p w:rsidR="00572C5D" w:rsidRPr="00D177E5" w:rsidRDefault="00D177E5" w:rsidP="002A3B1D">
      <w:pPr>
        <w:spacing w:after="240" w:line="240" w:lineRule="auto"/>
        <w:rPr>
          <w:sz w:val="20"/>
        </w:rPr>
      </w:pPr>
      <w:r w:rsidRPr="00180D4F">
        <w:rPr>
          <w:b/>
          <w:sz w:val="20"/>
        </w:rPr>
        <w:t>Figure 6</w:t>
      </w:r>
      <w:r w:rsidR="00572C5D" w:rsidRPr="00180D4F">
        <w:rPr>
          <w:b/>
          <w:sz w:val="20"/>
        </w:rPr>
        <w:t>.10</w:t>
      </w:r>
      <w:r w:rsidR="00572C5D" w:rsidRPr="00D177E5">
        <w:rPr>
          <w:sz w:val="20"/>
        </w:rPr>
        <w:t>- Fluorescence scans of water samples collected 06/08/14 showing decreasing organic matter as samples are taken further from the source water.</w:t>
      </w:r>
    </w:p>
    <w:p w:rsidR="00572C5D" w:rsidRDefault="00572C5D" w:rsidP="00180D4F">
      <w:pPr>
        <w:spacing w:after="120" w:line="240" w:lineRule="auto"/>
      </w:pPr>
      <w:r>
        <w:rPr>
          <w:noProof/>
          <w:lang w:eastAsia="en-AU"/>
        </w:rPr>
        <w:drawing>
          <wp:inline distT="0" distB="0" distL="0" distR="0">
            <wp:extent cx="5384625" cy="4356000"/>
            <wp:effectExtent l="0" t="0" r="6985"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84625" cy="4356000"/>
                    </a:xfrm>
                    <a:prstGeom prst="rect">
                      <a:avLst/>
                    </a:prstGeom>
                    <a:noFill/>
                    <a:ln>
                      <a:noFill/>
                    </a:ln>
                  </pic:spPr>
                </pic:pic>
              </a:graphicData>
            </a:graphic>
          </wp:inline>
        </w:drawing>
      </w:r>
    </w:p>
    <w:p w:rsidR="00572C5D" w:rsidRPr="00180D4F" w:rsidRDefault="00D177E5" w:rsidP="008966C0">
      <w:pPr>
        <w:spacing w:after="240" w:line="240" w:lineRule="auto"/>
        <w:rPr>
          <w:sz w:val="20"/>
        </w:rPr>
      </w:pPr>
      <w:r w:rsidRPr="00180D4F">
        <w:rPr>
          <w:b/>
          <w:sz w:val="20"/>
        </w:rPr>
        <w:t>Figure 6</w:t>
      </w:r>
      <w:r w:rsidR="00572C5D" w:rsidRPr="00180D4F">
        <w:rPr>
          <w:b/>
          <w:sz w:val="20"/>
        </w:rPr>
        <w:t>.11</w:t>
      </w:r>
      <w:r w:rsidR="00572C5D" w:rsidRPr="00180D4F">
        <w:rPr>
          <w:sz w:val="20"/>
        </w:rPr>
        <w:t xml:space="preserve"> Fluorescence spectra for water samples collected 01/09/14</w:t>
      </w:r>
      <w:r w:rsidR="003324CA">
        <w:rPr>
          <w:sz w:val="20"/>
        </w:rPr>
        <w:t xml:space="preserve"> showing</w:t>
      </w:r>
      <w:r w:rsidR="008966C0">
        <w:rPr>
          <w:sz w:val="20"/>
        </w:rPr>
        <w:t xml:space="preserve"> higher concentrations of fluorescent organic matter in downstream sites, with upstream sites more closely matching the source water.</w:t>
      </w:r>
      <w:r w:rsidR="008966C0" w:rsidRPr="00180D4F">
        <w:rPr>
          <w:sz w:val="20"/>
        </w:rPr>
        <w:t xml:space="preserve"> </w:t>
      </w:r>
    </w:p>
    <w:p w:rsidR="00572C5D" w:rsidRDefault="00572C5D" w:rsidP="008966C0">
      <w:pPr>
        <w:pStyle w:val="ListParagraph"/>
        <w:spacing w:after="120" w:line="240" w:lineRule="auto"/>
        <w:ind w:left="0"/>
        <w:jc w:val="left"/>
      </w:pPr>
      <w:r w:rsidRPr="006A0A63">
        <w:rPr>
          <w:noProof/>
          <w:lang w:eastAsia="en-AU"/>
        </w:rPr>
        <w:drawing>
          <wp:inline distT="0" distB="0" distL="0" distR="0">
            <wp:extent cx="4759762" cy="3852000"/>
            <wp:effectExtent l="0" t="0" r="3175" b="0"/>
            <wp:docPr id="56" name="Picture 56" descr="D:\Users\jhowitt\Documents\Research projects\Wakool\LTIM\2014-15\fluoro\October F\Sept OCt compiled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jhowitt\Documents\Research projects\Wakool\LTIM\2014-15\fluoro\October F\Sept OCt compiled b.JPG"/>
                    <pic:cNvPicPr>
                      <a:picLocks noChangeAspect="1" noChangeArrowheads="1"/>
                    </pic:cNvPicPr>
                  </pic:nvPicPr>
                  <pic:blipFill>
                    <a:blip r:embed="rId6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59762" cy="3852000"/>
                    </a:xfrm>
                    <a:prstGeom prst="rect">
                      <a:avLst/>
                    </a:prstGeom>
                    <a:noFill/>
                    <a:ln>
                      <a:noFill/>
                    </a:ln>
                  </pic:spPr>
                </pic:pic>
              </a:graphicData>
            </a:graphic>
          </wp:inline>
        </w:drawing>
      </w:r>
    </w:p>
    <w:p w:rsidR="00572C5D" w:rsidRDefault="00D177E5" w:rsidP="007819D2">
      <w:pPr>
        <w:spacing w:after="120" w:line="240" w:lineRule="auto"/>
        <w:ind w:left="357"/>
        <w:rPr>
          <w:sz w:val="20"/>
        </w:rPr>
      </w:pPr>
      <w:r w:rsidRPr="00180D4F">
        <w:rPr>
          <w:b/>
          <w:sz w:val="20"/>
        </w:rPr>
        <w:t>Figure 6</w:t>
      </w:r>
      <w:r w:rsidR="00572C5D" w:rsidRPr="00180D4F">
        <w:rPr>
          <w:b/>
          <w:sz w:val="20"/>
        </w:rPr>
        <w:t>.12</w:t>
      </w:r>
      <w:r w:rsidR="00572C5D" w:rsidRPr="00180D4F">
        <w:rPr>
          <w:sz w:val="20"/>
        </w:rPr>
        <w:t xml:space="preserve"> Fluorescence Scans for water samples collected 29/09/14</w:t>
      </w:r>
      <w:r w:rsidR="008966C0">
        <w:rPr>
          <w:sz w:val="20"/>
        </w:rPr>
        <w:t xml:space="preserve"> indicating fairly consistent organic matter across sites but slightly higher concentrations of fluorescent organic matter in zone 2.</w:t>
      </w:r>
    </w:p>
    <w:p w:rsidR="007819D2" w:rsidRPr="00180D4F" w:rsidRDefault="007819D2" w:rsidP="007819D2">
      <w:pPr>
        <w:spacing w:after="120" w:line="240" w:lineRule="auto"/>
        <w:ind w:left="357"/>
        <w:rPr>
          <w:sz w:val="20"/>
        </w:rPr>
      </w:pPr>
    </w:p>
    <w:p w:rsidR="00572C5D" w:rsidRDefault="00572C5D" w:rsidP="00DF407A">
      <w:pPr>
        <w:spacing w:after="120" w:line="240" w:lineRule="auto"/>
      </w:pPr>
      <w:r w:rsidRPr="0012711B">
        <w:rPr>
          <w:noProof/>
          <w:lang w:eastAsia="en-AU"/>
        </w:rPr>
        <w:drawing>
          <wp:inline distT="0" distB="0" distL="0" distR="0">
            <wp:extent cx="4715277" cy="3816000"/>
            <wp:effectExtent l="0" t="0" r="9525" b="0"/>
            <wp:docPr id="58" name="Picture 58" descr="D:\Users\jhowitt\Documents\Research projects\Wakool\LTIM\2014-15\fluoro\October F\October 2\Oct Compiled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jhowitt\Documents\Research projects\Wakool\LTIM\2014-15\fluoro\October F\October 2\Oct Compiled c.JPG"/>
                    <pic:cNvPicPr>
                      <a:picLocks noChangeAspect="1" noChangeArrowheads="1"/>
                    </pic:cNvPicPr>
                  </pic:nvPicPr>
                  <pic:blipFill>
                    <a:blip r:embed="rId6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15277" cy="3816000"/>
                    </a:xfrm>
                    <a:prstGeom prst="rect">
                      <a:avLst/>
                    </a:prstGeom>
                    <a:noFill/>
                    <a:ln>
                      <a:noFill/>
                    </a:ln>
                  </pic:spPr>
                </pic:pic>
              </a:graphicData>
            </a:graphic>
          </wp:inline>
        </w:drawing>
      </w:r>
    </w:p>
    <w:p w:rsidR="00572C5D" w:rsidRPr="00180D4F" w:rsidRDefault="00D177E5" w:rsidP="008966C0">
      <w:pPr>
        <w:spacing w:after="120" w:line="240" w:lineRule="auto"/>
        <w:rPr>
          <w:sz w:val="20"/>
        </w:rPr>
      </w:pPr>
      <w:r w:rsidRPr="00180D4F">
        <w:rPr>
          <w:b/>
          <w:sz w:val="20"/>
        </w:rPr>
        <w:t>Figure 6</w:t>
      </w:r>
      <w:r w:rsidR="00572C5D" w:rsidRPr="00180D4F">
        <w:rPr>
          <w:b/>
          <w:sz w:val="20"/>
        </w:rPr>
        <w:t>.13</w:t>
      </w:r>
      <w:r w:rsidR="00572C5D" w:rsidRPr="00180D4F">
        <w:rPr>
          <w:sz w:val="20"/>
        </w:rPr>
        <w:t xml:space="preserve"> Fluorescence scans for w</w:t>
      </w:r>
      <w:r w:rsidR="008966C0">
        <w:rPr>
          <w:sz w:val="20"/>
        </w:rPr>
        <w:t>ater samples collected 27/10/14 indicate decreased concentrations of fluorescent organic matter compared to the previous month, but with similar patterns among sites.</w:t>
      </w:r>
    </w:p>
    <w:p w:rsidR="00572C5D" w:rsidRDefault="00572C5D" w:rsidP="00DF407A">
      <w:pPr>
        <w:spacing w:after="120" w:line="240" w:lineRule="auto"/>
        <w:rPr>
          <w:b/>
        </w:rPr>
      </w:pPr>
      <w:r w:rsidRPr="009C1C4A">
        <w:rPr>
          <w:b/>
          <w:noProof/>
          <w:lang w:eastAsia="en-AU"/>
        </w:rPr>
        <w:drawing>
          <wp:inline distT="0" distB="0" distL="0" distR="0">
            <wp:extent cx="4759759" cy="3852000"/>
            <wp:effectExtent l="0" t="0" r="3175" b="0"/>
            <wp:docPr id="59" name="Picture 59" descr="D:\Users\jhowitt\Documents\Research projects\Wakool\LTIM\2014-15\fluoro\November\Compliled Fluoro Nov 2014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jhowitt\Documents\Research projects\Wakool\LTIM\2014-15\fluoro\November\Compliled Fluoro Nov 2014 b.JPG"/>
                    <pic:cNvPicPr>
                      <a:picLocks noChangeAspect="1" noChangeArrowheads="1"/>
                    </pic:cNvPicPr>
                  </pic:nvPicPr>
                  <pic:blipFill>
                    <a:blip r:embed="rId6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59759" cy="3852000"/>
                    </a:xfrm>
                    <a:prstGeom prst="rect">
                      <a:avLst/>
                    </a:prstGeom>
                    <a:noFill/>
                    <a:ln>
                      <a:noFill/>
                    </a:ln>
                  </pic:spPr>
                </pic:pic>
              </a:graphicData>
            </a:graphic>
          </wp:inline>
        </w:drawing>
      </w:r>
    </w:p>
    <w:p w:rsidR="00572C5D" w:rsidRDefault="00D177E5" w:rsidP="007819D2">
      <w:pPr>
        <w:spacing w:after="120"/>
        <w:rPr>
          <w:sz w:val="20"/>
        </w:rPr>
      </w:pPr>
      <w:r w:rsidRPr="00180D4F">
        <w:rPr>
          <w:b/>
          <w:sz w:val="20"/>
        </w:rPr>
        <w:t>Figure 6</w:t>
      </w:r>
      <w:r w:rsidR="00572C5D" w:rsidRPr="00180D4F">
        <w:rPr>
          <w:b/>
          <w:sz w:val="20"/>
        </w:rPr>
        <w:t>.14</w:t>
      </w:r>
      <w:r w:rsidR="00572C5D" w:rsidRPr="00180D4F">
        <w:rPr>
          <w:sz w:val="20"/>
        </w:rPr>
        <w:t xml:space="preserve"> Fluorescence scans for samples collected 24/11/14.</w:t>
      </w:r>
    </w:p>
    <w:p w:rsidR="007819D2" w:rsidRPr="00180D4F" w:rsidRDefault="007819D2" w:rsidP="007819D2">
      <w:pPr>
        <w:spacing w:after="120"/>
        <w:rPr>
          <w:sz w:val="20"/>
        </w:rPr>
      </w:pPr>
    </w:p>
    <w:p w:rsidR="00572C5D" w:rsidRDefault="00572C5D" w:rsidP="0034707C">
      <w:pPr>
        <w:spacing w:after="0" w:line="240" w:lineRule="auto"/>
        <w:rPr>
          <w:b/>
        </w:rPr>
      </w:pPr>
      <w:r w:rsidRPr="00B00ADC">
        <w:rPr>
          <w:b/>
          <w:noProof/>
          <w:lang w:eastAsia="en-AU"/>
        </w:rPr>
        <w:drawing>
          <wp:inline distT="0" distB="0" distL="0" distR="0">
            <wp:extent cx="4715276" cy="3816000"/>
            <wp:effectExtent l="0" t="0" r="9525" b="0"/>
            <wp:docPr id="60" name="Picture 60" descr="D:\Users\jhowitt\Documents\Research projects\Wakool\LTIM\2014-15\fluoro\December\Compiled Fluoro Dec 1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jhowitt\Documents\Research projects\Wakool\LTIM\2014-15\fluoro\December\Compiled Fluoro Dec 14b.JPG"/>
                    <pic:cNvPicPr>
                      <a:picLocks noChangeAspect="1" noChangeArrowheads="1"/>
                    </pic:cNvPicPr>
                  </pic:nvPicPr>
                  <pic:blipFill>
                    <a:blip r:embed="rId6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15276" cy="3816000"/>
                    </a:xfrm>
                    <a:prstGeom prst="rect">
                      <a:avLst/>
                    </a:prstGeom>
                    <a:noFill/>
                    <a:ln>
                      <a:noFill/>
                    </a:ln>
                  </pic:spPr>
                </pic:pic>
              </a:graphicData>
            </a:graphic>
          </wp:inline>
        </w:drawing>
      </w:r>
    </w:p>
    <w:p w:rsidR="00572C5D" w:rsidRPr="00496ADA" w:rsidRDefault="00496ADA" w:rsidP="007819D2">
      <w:pPr>
        <w:spacing w:after="120"/>
        <w:rPr>
          <w:sz w:val="20"/>
        </w:rPr>
      </w:pPr>
      <w:r w:rsidRPr="00180D4F">
        <w:rPr>
          <w:b/>
          <w:sz w:val="20"/>
        </w:rPr>
        <w:t>Figure 6</w:t>
      </w:r>
      <w:r w:rsidR="00572C5D" w:rsidRPr="00180D4F">
        <w:rPr>
          <w:b/>
          <w:sz w:val="20"/>
        </w:rPr>
        <w:t>.15</w:t>
      </w:r>
      <w:r w:rsidR="00572C5D" w:rsidRPr="00496ADA">
        <w:rPr>
          <w:sz w:val="20"/>
        </w:rPr>
        <w:t xml:space="preserve"> Fluorescence Scans for samples collected 21/12/14</w:t>
      </w:r>
    </w:p>
    <w:p w:rsidR="00572C5D" w:rsidRDefault="00572C5D" w:rsidP="00DF407A">
      <w:pPr>
        <w:spacing w:after="120" w:line="240" w:lineRule="auto"/>
        <w:rPr>
          <w:b/>
        </w:rPr>
      </w:pPr>
      <w:r w:rsidRPr="00C5231B">
        <w:rPr>
          <w:b/>
          <w:noProof/>
          <w:lang w:eastAsia="en-AU"/>
        </w:rPr>
        <w:drawing>
          <wp:inline distT="0" distB="0" distL="0" distR="0">
            <wp:extent cx="4759761" cy="3852000"/>
            <wp:effectExtent l="0" t="0" r="3175" b="0"/>
            <wp:docPr id="61" name="Picture 61" descr="D:\Users\jhowitt\Documents\Research projects\Wakool\LTIM\2014-15\fluoro\January 2015\Compiled Jan 15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jhowitt\Documents\Research projects\Wakool\LTIM\2014-15\fluoro\January 2015\Compiled Jan 15 b.JPG"/>
                    <pic:cNvPicPr>
                      <a:picLocks noChangeAspect="1" noChangeArrowheads="1"/>
                    </pic:cNvPicPr>
                  </pic:nvPicPr>
                  <pic:blipFill>
                    <a:blip r:embed="rId6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59761" cy="3852000"/>
                    </a:xfrm>
                    <a:prstGeom prst="rect">
                      <a:avLst/>
                    </a:prstGeom>
                    <a:noFill/>
                    <a:ln>
                      <a:noFill/>
                    </a:ln>
                  </pic:spPr>
                </pic:pic>
              </a:graphicData>
            </a:graphic>
          </wp:inline>
        </w:drawing>
      </w:r>
    </w:p>
    <w:p w:rsidR="00572C5D" w:rsidRPr="00180D4F" w:rsidRDefault="00496ADA" w:rsidP="00572C5D">
      <w:pPr>
        <w:rPr>
          <w:sz w:val="20"/>
        </w:rPr>
      </w:pPr>
      <w:r w:rsidRPr="00180D4F">
        <w:rPr>
          <w:b/>
          <w:sz w:val="20"/>
        </w:rPr>
        <w:t>Figure 6</w:t>
      </w:r>
      <w:r w:rsidR="00572C5D" w:rsidRPr="00180D4F">
        <w:rPr>
          <w:b/>
          <w:sz w:val="20"/>
        </w:rPr>
        <w:t>.16</w:t>
      </w:r>
      <w:r w:rsidR="00572C5D" w:rsidRPr="00180D4F">
        <w:rPr>
          <w:sz w:val="20"/>
        </w:rPr>
        <w:t xml:space="preserve"> Fluorescence scans for samples collected 19/01/15</w:t>
      </w:r>
    </w:p>
    <w:p w:rsidR="00572C5D" w:rsidRDefault="00572C5D" w:rsidP="00DF407A">
      <w:pPr>
        <w:spacing w:after="120" w:line="240" w:lineRule="auto"/>
        <w:rPr>
          <w:b/>
        </w:rPr>
      </w:pPr>
      <w:r w:rsidRPr="001D7975">
        <w:rPr>
          <w:b/>
          <w:noProof/>
          <w:lang w:eastAsia="en-AU"/>
        </w:rPr>
        <w:drawing>
          <wp:inline distT="0" distB="0" distL="0" distR="0">
            <wp:extent cx="4759760" cy="3852000"/>
            <wp:effectExtent l="0" t="0" r="3175" b="0"/>
            <wp:docPr id="62" name="Picture 62" descr="D:\Users\jhowitt\Documents\Research projects\Wakool\LTIM\2014-15\fluoro\February 2015\Compiled Feb 1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jhowitt\Documents\Research projects\Wakool\LTIM\2014-15\fluoro\February 2015\Compiled Feb 15b.JPG"/>
                    <pic:cNvPicPr>
                      <a:picLocks noChangeAspect="1" noChangeArrowheads="1"/>
                    </pic:cNvPicPr>
                  </pic:nvPicPr>
                  <pic:blipFill>
                    <a:blip r:embed="rId6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59760" cy="3852000"/>
                    </a:xfrm>
                    <a:prstGeom prst="rect">
                      <a:avLst/>
                    </a:prstGeom>
                    <a:noFill/>
                    <a:ln>
                      <a:noFill/>
                    </a:ln>
                  </pic:spPr>
                </pic:pic>
              </a:graphicData>
            </a:graphic>
          </wp:inline>
        </w:drawing>
      </w:r>
    </w:p>
    <w:p w:rsidR="00572C5D" w:rsidRPr="00180D4F" w:rsidRDefault="00496ADA" w:rsidP="008966C0">
      <w:pPr>
        <w:spacing w:after="120" w:line="240" w:lineRule="auto"/>
        <w:rPr>
          <w:sz w:val="20"/>
        </w:rPr>
      </w:pPr>
      <w:r w:rsidRPr="00180D4F">
        <w:rPr>
          <w:b/>
          <w:sz w:val="20"/>
        </w:rPr>
        <w:t>Figure 6</w:t>
      </w:r>
      <w:r w:rsidR="00572C5D" w:rsidRPr="00180D4F">
        <w:rPr>
          <w:b/>
          <w:sz w:val="20"/>
        </w:rPr>
        <w:t>.17</w:t>
      </w:r>
      <w:r w:rsidR="00572C5D" w:rsidRPr="00180D4F">
        <w:rPr>
          <w:sz w:val="20"/>
        </w:rPr>
        <w:t xml:space="preserve"> Fluorescence scans for water samples collected 16/02/15</w:t>
      </w:r>
      <w:r w:rsidR="008966C0">
        <w:rPr>
          <w:sz w:val="20"/>
        </w:rPr>
        <w:t xml:space="preserve"> indicating very consistent concentrations of fluorescent organic matter across sites and very low fluorescence overall.</w:t>
      </w:r>
    </w:p>
    <w:p w:rsidR="00572C5D" w:rsidRPr="00C56E1E" w:rsidRDefault="00572C5D" w:rsidP="0034707C">
      <w:pPr>
        <w:spacing w:after="120" w:line="240" w:lineRule="auto"/>
        <w:rPr>
          <w:b/>
        </w:rPr>
      </w:pPr>
      <w:r w:rsidRPr="005C0D4E">
        <w:rPr>
          <w:b/>
          <w:noProof/>
          <w:lang w:eastAsia="en-AU"/>
        </w:rPr>
        <w:drawing>
          <wp:inline distT="0" distB="0" distL="0" distR="0">
            <wp:extent cx="4848729" cy="3924000"/>
            <wp:effectExtent l="0" t="0" r="9525" b="635"/>
            <wp:docPr id="63" name="Picture 63" descr="D:\Users\jhowitt\Documents\Research projects\Wakool\LTIM\2014-15\fluoro\March 2015\Compiled March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jhowitt\Documents\Research projects\Wakool\LTIM\2014-15\fluoro\March 2015\Compiled March a.JPG"/>
                    <pic:cNvPicPr>
                      <a:picLocks noChangeAspect="1" noChangeArrowheads="1"/>
                    </pic:cNvPicPr>
                  </pic:nvPicPr>
                  <pic:blipFill>
                    <a:blip r:embed="rId6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48729" cy="3924000"/>
                    </a:xfrm>
                    <a:prstGeom prst="rect">
                      <a:avLst/>
                    </a:prstGeom>
                    <a:noFill/>
                    <a:ln>
                      <a:noFill/>
                    </a:ln>
                  </pic:spPr>
                </pic:pic>
              </a:graphicData>
            </a:graphic>
          </wp:inline>
        </w:drawing>
      </w:r>
    </w:p>
    <w:p w:rsidR="00572C5D" w:rsidRPr="00180D4F" w:rsidRDefault="00496ADA" w:rsidP="00572C5D">
      <w:pPr>
        <w:rPr>
          <w:sz w:val="20"/>
        </w:rPr>
      </w:pPr>
      <w:r w:rsidRPr="009B3A38">
        <w:rPr>
          <w:b/>
          <w:sz w:val="20"/>
        </w:rPr>
        <w:t>Figure 6</w:t>
      </w:r>
      <w:r w:rsidR="00572C5D" w:rsidRPr="009B3A38">
        <w:rPr>
          <w:b/>
          <w:sz w:val="20"/>
        </w:rPr>
        <w:t>.1</w:t>
      </w:r>
      <w:r w:rsidR="009B3A38">
        <w:rPr>
          <w:b/>
          <w:sz w:val="20"/>
        </w:rPr>
        <w:t>8</w:t>
      </w:r>
      <w:r w:rsidR="00572C5D" w:rsidRPr="00180D4F">
        <w:rPr>
          <w:sz w:val="20"/>
        </w:rPr>
        <w:t xml:space="preserve"> Fluorescence scans of samples collected 17/03.15.</w:t>
      </w:r>
    </w:p>
    <w:p w:rsidR="00572C5D" w:rsidRPr="009B3A38" w:rsidRDefault="009B3A38" w:rsidP="00F841A9">
      <w:pPr>
        <w:spacing w:after="240"/>
        <w:rPr>
          <w:b/>
          <w:color w:val="4F6228" w:themeColor="accent3" w:themeShade="80"/>
          <w:sz w:val="24"/>
          <w:szCs w:val="24"/>
        </w:rPr>
      </w:pPr>
      <w:r w:rsidRPr="009B3A38">
        <w:rPr>
          <w:b/>
          <w:color w:val="4F6228" w:themeColor="accent3" w:themeShade="80"/>
          <w:sz w:val="24"/>
          <w:szCs w:val="24"/>
        </w:rPr>
        <w:t xml:space="preserve">6.5 </w:t>
      </w:r>
      <w:r w:rsidR="00FE3947">
        <w:rPr>
          <w:b/>
          <w:color w:val="4F6228" w:themeColor="accent3" w:themeShade="80"/>
          <w:sz w:val="24"/>
          <w:szCs w:val="24"/>
        </w:rPr>
        <w:t>Discussion</w:t>
      </w:r>
    </w:p>
    <w:p w:rsidR="00572C5D" w:rsidRDefault="00572C5D" w:rsidP="00F841A9">
      <w:pPr>
        <w:spacing w:after="240"/>
        <w:jc w:val="left"/>
        <w:rPr>
          <w:rFonts w:cs="Calibri"/>
        </w:rPr>
      </w:pPr>
      <w:r>
        <w:rPr>
          <w:rFonts w:cs="Calibri"/>
        </w:rPr>
        <w:t>Returning to the questions associated with the impact of the Yallakool environmenta</w:t>
      </w:r>
      <w:r w:rsidR="00FE3947">
        <w:rPr>
          <w:rFonts w:cs="Calibri"/>
        </w:rPr>
        <w:t>l watering action on the Edward-</w:t>
      </w:r>
      <w:r>
        <w:rPr>
          <w:rFonts w:cs="Calibri"/>
        </w:rPr>
        <w:t>Wakool system, it is clear that the impact on water quality parameters was variable and in most cases very small.</w:t>
      </w:r>
    </w:p>
    <w:p w:rsidR="00572C5D" w:rsidRPr="00FD136A" w:rsidRDefault="008966C0" w:rsidP="00F841A9">
      <w:pPr>
        <w:spacing w:after="120"/>
        <w:jc w:val="left"/>
        <w:rPr>
          <w:rFonts w:cs="Calibri"/>
          <w:i/>
        </w:rPr>
      </w:pPr>
      <w:r>
        <w:rPr>
          <w:rFonts w:cs="Calibri"/>
        </w:rPr>
        <w:t xml:space="preserve">Q1: </w:t>
      </w:r>
      <w:r w:rsidR="00572C5D" w:rsidRPr="00FD136A">
        <w:rPr>
          <w:rFonts w:cs="Calibri"/>
          <w:i/>
        </w:rPr>
        <w:t>What did Commonwealth environmental water contribute to temperature regimes?</w:t>
      </w:r>
    </w:p>
    <w:p w:rsidR="00572C5D" w:rsidRPr="00FC01C7" w:rsidRDefault="00572C5D" w:rsidP="00F841A9">
      <w:pPr>
        <w:spacing w:after="240"/>
        <w:jc w:val="left"/>
        <w:rPr>
          <w:rFonts w:cs="Calibri"/>
        </w:rPr>
      </w:pPr>
      <w:r>
        <w:rPr>
          <w:rFonts w:cs="Calibri"/>
        </w:rPr>
        <w:t xml:space="preserve">Commonwealth environmental water was not observed to </w:t>
      </w:r>
      <w:r w:rsidR="00D143B3">
        <w:rPr>
          <w:rFonts w:cs="Calibri"/>
        </w:rPr>
        <w:t>affect</w:t>
      </w:r>
      <w:r>
        <w:rPr>
          <w:rFonts w:cs="Calibri"/>
        </w:rPr>
        <w:t xml:space="preserve"> temperature regimes within the system, with all study zones having very similar water temperatures. Seasonal effects were the predominant influence here.</w:t>
      </w:r>
    </w:p>
    <w:p w:rsidR="00572C5D" w:rsidRDefault="008966C0" w:rsidP="00F841A9">
      <w:pPr>
        <w:spacing w:after="120"/>
        <w:jc w:val="left"/>
        <w:rPr>
          <w:rFonts w:cs="Calibri"/>
          <w:i/>
        </w:rPr>
      </w:pPr>
      <w:r>
        <w:rPr>
          <w:rFonts w:cs="Calibri"/>
        </w:rPr>
        <w:t xml:space="preserve">Q2: </w:t>
      </w:r>
      <w:r w:rsidR="00572C5D" w:rsidRPr="00FD136A">
        <w:rPr>
          <w:rFonts w:cs="Calibri"/>
          <w:i/>
        </w:rPr>
        <w:t>What did Commonwealth environmental water contribute to dissolved oxygen concentrations?</w:t>
      </w:r>
    </w:p>
    <w:p w:rsidR="00572C5D" w:rsidRPr="00FD136A" w:rsidRDefault="00572C5D" w:rsidP="00F841A9">
      <w:pPr>
        <w:spacing w:after="240"/>
        <w:jc w:val="left"/>
        <w:rPr>
          <w:rFonts w:cs="Calibri"/>
        </w:rPr>
      </w:pPr>
      <w:r>
        <w:rPr>
          <w:rFonts w:cs="Calibri"/>
        </w:rPr>
        <w:t>The dissolved oxygen conc</w:t>
      </w:r>
      <w:r w:rsidR="00D143B3">
        <w:rPr>
          <w:rFonts w:cs="Calibri"/>
        </w:rPr>
        <w:t xml:space="preserve">entrations in the Wakool River zone 2 (no </w:t>
      </w:r>
      <w:r>
        <w:rPr>
          <w:rFonts w:cs="Calibri"/>
        </w:rPr>
        <w:t>Commonwealth environmental water</w:t>
      </w:r>
      <w:r w:rsidR="00D143B3">
        <w:rPr>
          <w:rFonts w:cs="Calibri"/>
        </w:rPr>
        <w:t>)</w:t>
      </w:r>
      <w:r>
        <w:rPr>
          <w:rFonts w:cs="Calibri"/>
        </w:rPr>
        <w:t xml:space="preserve"> were lower than the concentrations at all other study sites throughout the Yallakool environmental watering action. This difference persisted beyond the end of the watering action, however it appears that Commonwealth environmental water assisted in the maintenance of dissolved oxygen concentrations over the summer in the zones receiving additional flow.</w:t>
      </w:r>
    </w:p>
    <w:p w:rsidR="00572C5D" w:rsidRPr="005C64B3" w:rsidRDefault="008966C0" w:rsidP="00F841A9">
      <w:pPr>
        <w:spacing w:after="120"/>
        <w:jc w:val="left"/>
        <w:rPr>
          <w:rFonts w:cs="Calibri"/>
          <w:i/>
        </w:rPr>
      </w:pPr>
      <w:r>
        <w:rPr>
          <w:rFonts w:cs="Calibri"/>
        </w:rPr>
        <w:t xml:space="preserve">Q3: </w:t>
      </w:r>
      <w:r w:rsidR="00572C5D" w:rsidRPr="005C64B3">
        <w:rPr>
          <w:rFonts w:cs="Calibri"/>
          <w:i/>
        </w:rPr>
        <w:t>What did Commonwealth environmental water contribute to nutrient concentrations?</w:t>
      </w:r>
    </w:p>
    <w:p w:rsidR="00572C5D" w:rsidRPr="00572C5D" w:rsidRDefault="00572C5D" w:rsidP="00F841A9">
      <w:pPr>
        <w:spacing w:after="240"/>
        <w:jc w:val="left"/>
        <w:rPr>
          <w:b/>
          <w:szCs w:val="22"/>
        </w:rPr>
      </w:pPr>
      <w:r>
        <w:rPr>
          <w:rFonts w:cs="Calibri"/>
        </w:rPr>
        <w:t>Bioavailable nutrients were similar across study sites and do not appear to have been influenced by Com</w:t>
      </w:r>
      <w:r w:rsidR="00D143B3">
        <w:rPr>
          <w:rFonts w:cs="Calibri"/>
        </w:rPr>
        <w:t>monwealth environmental water. Total nitrogen and Total phosphorus</w:t>
      </w:r>
      <w:r>
        <w:rPr>
          <w:rFonts w:cs="Calibri"/>
        </w:rPr>
        <w:t xml:space="preserve"> were genera</w:t>
      </w:r>
      <w:r w:rsidR="00D143B3">
        <w:rPr>
          <w:rFonts w:cs="Calibri"/>
        </w:rPr>
        <w:t>lly higher in the Wakool River z</w:t>
      </w:r>
      <w:r>
        <w:rPr>
          <w:rFonts w:cs="Calibri"/>
        </w:rPr>
        <w:t>one 2 during the Yallakool environmental watering action, suggesting either dilution of these nutrients by Commonwealth environmental water at the other stud</w:t>
      </w:r>
      <w:r w:rsidR="00D143B3">
        <w:rPr>
          <w:rFonts w:cs="Calibri"/>
        </w:rPr>
        <w:t>y sites, or that conditions in z</w:t>
      </w:r>
      <w:r>
        <w:rPr>
          <w:rFonts w:cs="Calibri"/>
        </w:rPr>
        <w:t xml:space="preserve">one 2 favoured the retention of nutrients associated with organic matter or particulates (e.g. algal cells) </w:t>
      </w:r>
      <w:r w:rsidRPr="00572C5D">
        <w:rPr>
          <w:rFonts w:cs="Calibri"/>
          <w:szCs w:val="22"/>
        </w:rPr>
        <w:t>within the water column.</w:t>
      </w:r>
    </w:p>
    <w:p w:rsidR="00572C5D" w:rsidRPr="00572C5D" w:rsidRDefault="008966C0" w:rsidP="00F841A9">
      <w:pPr>
        <w:pStyle w:val="ListBullet"/>
        <w:spacing w:after="120" w:line="360" w:lineRule="auto"/>
        <w:contextualSpacing w:val="0"/>
        <w:jc w:val="left"/>
        <w:rPr>
          <w:rFonts w:cs="Calibri"/>
          <w:i/>
          <w:sz w:val="22"/>
          <w:szCs w:val="22"/>
        </w:rPr>
      </w:pPr>
      <w:r>
        <w:rPr>
          <w:rFonts w:cs="Calibri"/>
          <w:sz w:val="22"/>
          <w:szCs w:val="22"/>
        </w:rPr>
        <w:t xml:space="preserve">Q4: </w:t>
      </w:r>
      <w:r w:rsidR="00572C5D" w:rsidRPr="00572C5D">
        <w:rPr>
          <w:rFonts w:cs="Calibri"/>
          <w:i/>
          <w:sz w:val="22"/>
          <w:szCs w:val="22"/>
        </w:rPr>
        <w:t>What did Commonwealth environmental water contribute to modification of the type and amount of dissolved organic matter through reconnection with previously dry or disconnected in-channel habitat?</w:t>
      </w:r>
    </w:p>
    <w:p w:rsidR="00572C5D" w:rsidRPr="00572C5D" w:rsidRDefault="00D143B3" w:rsidP="00F841A9">
      <w:pPr>
        <w:pStyle w:val="ListBullet"/>
        <w:spacing w:after="240" w:line="360" w:lineRule="auto"/>
        <w:contextualSpacing w:val="0"/>
        <w:jc w:val="left"/>
        <w:rPr>
          <w:rFonts w:cs="Calibri"/>
          <w:sz w:val="22"/>
          <w:szCs w:val="22"/>
        </w:rPr>
      </w:pPr>
      <w:r>
        <w:rPr>
          <w:rFonts w:cs="Calibri"/>
          <w:sz w:val="22"/>
          <w:szCs w:val="22"/>
        </w:rPr>
        <w:t>The dominant e</w:t>
      </w:r>
      <w:r w:rsidRPr="00572C5D">
        <w:rPr>
          <w:rFonts w:cs="Calibri"/>
          <w:sz w:val="22"/>
          <w:szCs w:val="22"/>
        </w:rPr>
        <w:t>ffect</w:t>
      </w:r>
      <w:r w:rsidR="00572C5D" w:rsidRPr="00572C5D">
        <w:rPr>
          <w:rFonts w:cs="Calibri"/>
          <w:sz w:val="22"/>
          <w:szCs w:val="22"/>
        </w:rPr>
        <w:t xml:space="preserve"> on dissolved organic matter appear</w:t>
      </w:r>
      <w:r w:rsidR="00112CD3">
        <w:rPr>
          <w:rFonts w:cs="Calibri"/>
          <w:sz w:val="22"/>
          <w:szCs w:val="22"/>
        </w:rPr>
        <w:t>s</w:t>
      </w:r>
      <w:r w:rsidR="00572C5D" w:rsidRPr="00572C5D">
        <w:rPr>
          <w:rFonts w:cs="Calibri"/>
          <w:sz w:val="22"/>
          <w:szCs w:val="22"/>
        </w:rPr>
        <w:t xml:space="preserve"> to have been the </w:t>
      </w:r>
      <w:r>
        <w:rPr>
          <w:rFonts w:cs="Calibri"/>
          <w:sz w:val="22"/>
          <w:szCs w:val="22"/>
        </w:rPr>
        <w:t>unregulated</w:t>
      </w:r>
      <w:r w:rsidR="00572C5D" w:rsidRPr="00572C5D">
        <w:rPr>
          <w:rFonts w:cs="Calibri"/>
          <w:sz w:val="22"/>
          <w:szCs w:val="22"/>
        </w:rPr>
        <w:t xml:space="preserve"> pulse of water in early August, bringing carbon from upstream sources</w:t>
      </w:r>
      <w:r>
        <w:rPr>
          <w:rFonts w:cs="Calibri"/>
          <w:sz w:val="22"/>
          <w:szCs w:val="22"/>
        </w:rPr>
        <w:t xml:space="preserve"> (the exact source cannot be determined using this sampling design as all upstream sources have not been assessed)</w:t>
      </w:r>
      <w:r w:rsidR="00572C5D" w:rsidRPr="00572C5D">
        <w:rPr>
          <w:rFonts w:cs="Calibri"/>
          <w:sz w:val="22"/>
          <w:szCs w:val="22"/>
        </w:rPr>
        <w:t>. While some very subtle differences in carbon characterisation wer</w:t>
      </w:r>
      <w:r>
        <w:rPr>
          <w:rFonts w:cs="Calibri"/>
          <w:sz w:val="22"/>
          <w:szCs w:val="22"/>
        </w:rPr>
        <w:t>e observed in the Wakool River z</w:t>
      </w:r>
      <w:r w:rsidR="00572C5D" w:rsidRPr="00572C5D">
        <w:rPr>
          <w:rFonts w:cs="Calibri"/>
          <w:sz w:val="22"/>
          <w:szCs w:val="22"/>
        </w:rPr>
        <w:t>one 2 over the period of the Yallakool environmental watering action, these are not expected to result in large differences in ecosystem function.</w:t>
      </w:r>
    </w:p>
    <w:p w:rsidR="00572C5D" w:rsidRDefault="008966C0" w:rsidP="00F841A9">
      <w:pPr>
        <w:pStyle w:val="ListBullet"/>
        <w:spacing w:after="240" w:line="360" w:lineRule="auto"/>
        <w:jc w:val="left"/>
        <w:rPr>
          <w:i/>
          <w:sz w:val="22"/>
          <w:szCs w:val="22"/>
        </w:rPr>
      </w:pPr>
      <w:r>
        <w:rPr>
          <w:sz w:val="22"/>
          <w:szCs w:val="22"/>
        </w:rPr>
        <w:t xml:space="preserve">Q5: </w:t>
      </w:r>
      <w:r w:rsidR="00572C5D" w:rsidRPr="00572C5D">
        <w:rPr>
          <w:i/>
          <w:sz w:val="22"/>
          <w:szCs w:val="22"/>
        </w:rPr>
        <w:t>What did Commonwealth environmental water contribute to reducing the impact of blackwater in the system?</w:t>
      </w:r>
    </w:p>
    <w:p w:rsidR="00572C5D" w:rsidRPr="00572C5D" w:rsidRDefault="00572C5D" w:rsidP="00F841A9">
      <w:pPr>
        <w:pStyle w:val="ListBullet"/>
        <w:spacing w:after="240" w:line="360" w:lineRule="auto"/>
        <w:jc w:val="left"/>
        <w:rPr>
          <w:rFonts w:cs="Calibri"/>
          <w:sz w:val="22"/>
          <w:szCs w:val="22"/>
        </w:rPr>
      </w:pPr>
      <w:r w:rsidRPr="00572C5D">
        <w:rPr>
          <w:sz w:val="22"/>
          <w:szCs w:val="22"/>
        </w:rPr>
        <w:t xml:space="preserve">The conditions required to generate blackwater were not present in </w:t>
      </w:r>
      <w:r w:rsidR="00D574E2">
        <w:rPr>
          <w:sz w:val="22"/>
          <w:szCs w:val="22"/>
        </w:rPr>
        <w:t xml:space="preserve">Yallakool Creek </w:t>
      </w:r>
      <w:r w:rsidR="00D143B3">
        <w:rPr>
          <w:sz w:val="22"/>
          <w:szCs w:val="22"/>
        </w:rPr>
        <w:t>and the</w:t>
      </w:r>
      <w:r w:rsidR="00D574E2">
        <w:rPr>
          <w:sz w:val="22"/>
          <w:szCs w:val="22"/>
        </w:rPr>
        <w:t xml:space="preserve"> Wakool River</w:t>
      </w:r>
      <w:r w:rsidRPr="00572C5D">
        <w:rPr>
          <w:sz w:val="22"/>
          <w:szCs w:val="22"/>
        </w:rPr>
        <w:t xml:space="preserve"> during this season.</w:t>
      </w:r>
      <w:r w:rsidR="00D143B3">
        <w:rPr>
          <w:sz w:val="22"/>
          <w:szCs w:val="22"/>
        </w:rPr>
        <w:t xml:space="preserve"> The impact of Commonwealth environmental water on blackwater in the system could not be assessed in this water year as there was no blackwater event.</w:t>
      </w:r>
    </w:p>
    <w:p w:rsidR="00572C5D" w:rsidRPr="009B3A38" w:rsidRDefault="009B3A38" w:rsidP="00FE3947">
      <w:pPr>
        <w:spacing w:after="120"/>
        <w:rPr>
          <w:b/>
          <w:color w:val="4F6228" w:themeColor="accent3" w:themeShade="80"/>
          <w:sz w:val="24"/>
          <w:szCs w:val="24"/>
        </w:rPr>
      </w:pPr>
      <w:r w:rsidRPr="009B3A38">
        <w:rPr>
          <w:b/>
          <w:color w:val="4F6228" w:themeColor="accent3" w:themeShade="80"/>
          <w:sz w:val="24"/>
          <w:szCs w:val="24"/>
        </w:rPr>
        <w:t xml:space="preserve">6.6 </w:t>
      </w:r>
      <w:r w:rsidR="00572C5D" w:rsidRPr="009B3A38">
        <w:rPr>
          <w:b/>
          <w:color w:val="4F6228" w:themeColor="accent3" w:themeShade="80"/>
          <w:sz w:val="24"/>
          <w:szCs w:val="24"/>
        </w:rPr>
        <w:t>References</w:t>
      </w:r>
    </w:p>
    <w:p w:rsidR="00572C5D" w:rsidRPr="00084702" w:rsidRDefault="00F671D2" w:rsidP="004A648F">
      <w:pPr>
        <w:spacing w:after="120" w:line="240" w:lineRule="auto"/>
        <w:ind w:left="567" w:hanging="567"/>
        <w:jc w:val="left"/>
        <w:rPr>
          <w:noProof/>
        </w:rPr>
      </w:pPr>
      <w:r w:rsidRPr="00FC01C7">
        <w:fldChar w:fldCharType="begin"/>
      </w:r>
      <w:r w:rsidR="00572C5D" w:rsidRPr="00FC01C7">
        <w:instrText xml:space="preserve"> ADDIN EN.REFLIST </w:instrText>
      </w:r>
      <w:r w:rsidRPr="00FC01C7">
        <w:fldChar w:fldCharType="separate"/>
      </w:r>
      <w:bookmarkStart w:id="47" w:name="_ENREF_1"/>
      <w:r w:rsidR="00572C5D" w:rsidRPr="00084702">
        <w:rPr>
          <w:noProof/>
        </w:rPr>
        <w:t>ANZECC (2000) National Water Quality Management Strategy: Australian and New Zealand guidelines for fre</w:t>
      </w:r>
      <w:r w:rsidR="00D143B3">
        <w:rPr>
          <w:noProof/>
        </w:rPr>
        <w:t xml:space="preserve">sh and marine water quality. </w:t>
      </w:r>
      <w:r w:rsidR="00572C5D" w:rsidRPr="00084702">
        <w:rPr>
          <w:noProof/>
        </w:rPr>
        <w:t>Australian and New Zealand Environment and Conservation Council &amp; Agriculture and Resource Management Council of Australia and New Zealand,, Canberra.</w:t>
      </w:r>
    </w:p>
    <w:p w:rsidR="00572C5D" w:rsidRPr="00084702" w:rsidRDefault="00572C5D" w:rsidP="004A648F">
      <w:pPr>
        <w:spacing w:after="120" w:line="240" w:lineRule="auto"/>
        <w:ind w:left="567" w:hanging="567"/>
        <w:jc w:val="left"/>
        <w:rPr>
          <w:noProof/>
        </w:rPr>
      </w:pPr>
      <w:bookmarkStart w:id="48" w:name="_ENREF_2"/>
      <w:bookmarkEnd w:id="47"/>
      <w:r w:rsidRPr="00084702">
        <w:rPr>
          <w:noProof/>
        </w:rPr>
        <w:t xml:space="preserve">Baldwin, D., Rees, G., Wilson, J., Colloff, M., Whitworth, K., Pitman, T., and Wallace, T. (2013) Provisioning of bioavailable carbon between the wet and dry phases in a semi-arid floodplain. </w:t>
      </w:r>
      <w:r w:rsidRPr="00084702">
        <w:rPr>
          <w:i/>
          <w:noProof/>
        </w:rPr>
        <w:t>Oecologia</w:t>
      </w:r>
      <w:r w:rsidRPr="00084702">
        <w:rPr>
          <w:noProof/>
        </w:rPr>
        <w:t xml:space="preserve"> </w:t>
      </w:r>
      <w:r w:rsidRPr="00084702">
        <w:rPr>
          <w:b/>
          <w:noProof/>
        </w:rPr>
        <w:t>172</w:t>
      </w:r>
      <w:r w:rsidRPr="00084702">
        <w:rPr>
          <w:noProof/>
        </w:rPr>
        <w:t>(2), 539-550.</w:t>
      </w:r>
    </w:p>
    <w:p w:rsidR="00572C5D" w:rsidRPr="00084702" w:rsidRDefault="00572C5D" w:rsidP="004A648F">
      <w:pPr>
        <w:spacing w:after="120" w:line="240" w:lineRule="auto"/>
        <w:ind w:left="567" w:hanging="567"/>
        <w:jc w:val="left"/>
        <w:rPr>
          <w:noProof/>
        </w:rPr>
      </w:pPr>
      <w:bookmarkStart w:id="49" w:name="_ENREF_3"/>
      <w:bookmarkEnd w:id="48"/>
      <w:r w:rsidRPr="00084702">
        <w:rPr>
          <w:noProof/>
        </w:rPr>
        <w:t xml:space="preserve">Baldwin, D.S. (1999) Dissolved organic matter and phosphorus leached from fresh and 'terrestrially' aged river red gum leaves: implications for assessing river-floodplain interactions. </w:t>
      </w:r>
      <w:r w:rsidRPr="00084702">
        <w:rPr>
          <w:i/>
          <w:noProof/>
        </w:rPr>
        <w:t>Freshwater Biology</w:t>
      </w:r>
      <w:r w:rsidRPr="00084702">
        <w:rPr>
          <w:noProof/>
        </w:rPr>
        <w:t xml:space="preserve"> </w:t>
      </w:r>
      <w:r w:rsidRPr="00084702">
        <w:rPr>
          <w:b/>
          <w:noProof/>
        </w:rPr>
        <w:t>41</w:t>
      </w:r>
      <w:r w:rsidRPr="00084702">
        <w:rPr>
          <w:noProof/>
        </w:rPr>
        <w:t>, 675-685.</w:t>
      </w:r>
      <w:bookmarkEnd w:id="49"/>
    </w:p>
    <w:p w:rsidR="00572C5D" w:rsidRPr="00084702" w:rsidRDefault="00572C5D" w:rsidP="004A648F">
      <w:pPr>
        <w:spacing w:after="120" w:line="240" w:lineRule="auto"/>
        <w:ind w:left="567" w:hanging="567"/>
        <w:jc w:val="left"/>
        <w:rPr>
          <w:noProof/>
        </w:rPr>
      </w:pPr>
      <w:r w:rsidRPr="00084702">
        <w:rPr>
          <w:noProof/>
        </w:rPr>
        <w:t xml:space="preserve">Baldwin, D.S., and Mitchell, A.M. (2000) The effects of drying and re-flooding on the sediment and soil nutrient dynamics of lowland river-floodplain systems: a synthesis. </w:t>
      </w:r>
      <w:r w:rsidRPr="00084702">
        <w:rPr>
          <w:i/>
          <w:noProof/>
        </w:rPr>
        <w:t>Regulated Rivers: Research &amp; Management</w:t>
      </w:r>
      <w:r w:rsidRPr="00084702">
        <w:rPr>
          <w:noProof/>
        </w:rPr>
        <w:t xml:space="preserve"> </w:t>
      </w:r>
      <w:r w:rsidRPr="00084702">
        <w:rPr>
          <w:b/>
          <w:noProof/>
        </w:rPr>
        <w:t>16</w:t>
      </w:r>
      <w:r w:rsidRPr="00084702">
        <w:rPr>
          <w:noProof/>
        </w:rPr>
        <w:t>, 457-467.</w:t>
      </w:r>
    </w:p>
    <w:p w:rsidR="00572C5D" w:rsidRPr="00084702" w:rsidRDefault="00572C5D" w:rsidP="004A648F">
      <w:pPr>
        <w:spacing w:after="120" w:line="240" w:lineRule="auto"/>
        <w:ind w:left="567" w:hanging="567"/>
        <w:jc w:val="left"/>
        <w:rPr>
          <w:noProof/>
        </w:rPr>
      </w:pPr>
      <w:r w:rsidRPr="00084702">
        <w:rPr>
          <w:noProof/>
        </w:rPr>
        <w:t xml:space="preserve">Bertilsson, S., and Bergh, S. (1999) Photochemical reactivity of XAD-4 and XAD-8 adsorbable dissolved organic compounds from humic waters. </w:t>
      </w:r>
      <w:r w:rsidRPr="00084702">
        <w:rPr>
          <w:i/>
          <w:noProof/>
        </w:rPr>
        <w:t>Chemosphere</w:t>
      </w:r>
      <w:r w:rsidRPr="00084702">
        <w:rPr>
          <w:noProof/>
        </w:rPr>
        <w:t xml:space="preserve"> </w:t>
      </w:r>
      <w:r w:rsidRPr="00084702">
        <w:rPr>
          <w:b/>
          <w:noProof/>
        </w:rPr>
        <w:t>39</w:t>
      </w:r>
      <w:r w:rsidRPr="00084702">
        <w:rPr>
          <w:noProof/>
        </w:rPr>
        <w:t>(13), 2289-2300.</w:t>
      </w:r>
    </w:p>
    <w:p w:rsidR="00D143B3" w:rsidRPr="00D143B3" w:rsidRDefault="00D143B3" w:rsidP="004A648F">
      <w:pPr>
        <w:spacing w:after="120" w:line="240" w:lineRule="auto"/>
        <w:ind w:left="567" w:hanging="567"/>
        <w:jc w:val="left"/>
        <w:rPr>
          <w:rFonts w:asciiTheme="minorHAnsi" w:hAnsiTheme="minorHAnsi"/>
          <w:noProof/>
          <w:szCs w:val="22"/>
        </w:rPr>
      </w:pPr>
      <w:r w:rsidRPr="00D143B3">
        <w:rPr>
          <w:rFonts w:asciiTheme="minorHAnsi" w:hAnsiTheme="minorHAnsi" w:cs="Segoe UI"/>
          <w:szCs w:val="22"/>
          <w:lang w:eastAsia="en-AU"/>
        </w:rPr>
        <w:t>Choudhry, G.G. (1984) 'Humic Substances-Structural, Photophysical, Photochemical and Free Radical Aspects and Interactions with Environmental Chemicals.' (Gordon and Breach Science Publishers: New York) 185pp</w:t>
      </w:r>
    </w:p>
    <w:p w:rsidR="00572C5D" w:rsidRPr="00084702" w:rsidRDefault="00572C5D" w:rsidP="004A648F">
      <w:pPr>
        <w:spacing w:after="120" w:line="240" w:lineRule="auto"/>
        <w:ind w:left="567" w:hanging="567"/>
        <w:jc w:val="left"/>
        <w:rPr>
          <w:noProof/>
        </w:rPr>
      </w:pPr>
      <w:r w:rsidRPr="00084702">
        <w:rPr>
          <w:noProof/>
        </w:rPr>
        <w:t xml:space="preserve">Hadwen, W.L., Fellows, C.S., Westhorpe, D.P., Rees, G.N., Mitrovic, S.M., Taylor, B., Baldwin, D.S., Silvester, E., and Croome, R. (2010) Longitudinal trends in river functioning: patterns of nutrient and carbon processing in three Australian Rivers. </w:t>
      </w:r>
      <w:r w:rsidRPr="00084702">
        <w:rPr>
          <w:i/>
          <w:noProof/>
        </w:rPr>
        <w:t>River Research and Applications</w:t>
      </w:r>
      <w:r w:rsidRPr="00084702">
        <w:rPr>
          <w:noProof/>
        </w:rPr>
        <w:t xml:space="preserve"> </w:t>
      </w:r>
      <w:r w:rsidRPr="00084702">
        <w:rPr>
          <w:b/>
          <w:noProof/>
        </w:rPr>
        <w:t>26</w:t>
      </w:r>
      <w:r w:rsidRPr="00084702">
        <w:rPr>
          <w:noProof/>
        </w:rPr>
        <w:t>(9), 1129-1152.</w:t>
      </w:r>
    </w:p>
    <w:p w:rsidR="00572C5D" w:rsidRPr="00084702" w:rsidRDefault="00572C5D" w:rsidP="004A648F">
      <w:pPr>
        <w:spacing w:after="120" w:line="240" w:lineRule="auto"/>
        <w:ind w:left="567" w:hanging="567"/>
        <w:jc w:val="left"/>
        <w:rPr>
          <w:noProof/>
        </w:rPr>
      </w:pPr>
      <w:r w:rsidRPr="00084702">
        <w:rPr>
          <w:noProof/>
        </w:rPr>
        <w:t xml:space="preserve">Hladyz, S., Watkins, S.C., Whitworth, K.L., and Baldwin, D.S. (2011) Flows and hypoxic blackwater events in managed ephemeral river channels. </w:t>
      </w:r>
      <w:r w:rsidRPr="00084702">
        <w:rPr>
          <w:i/>
          <w:noProof/>
        </w:rPr>
        <w:t>Journal of Hydrology</w:t>
      </w:r>
      <w:r w:rsidRPr="00084702">
        <w:rPr>
          <w:noProof/>
        </w:rPr>
        <w:t xml:space="preserve"> </w:t>
      </w:r>
      <w:r w:rsidRPr="00084702">
        <w:rPr>
          <w:b/>
          <w:noProof/>
        </w:rPr>
        <w:t>401</w:t>
      </w:r>
      <w:r w:rsidRPr="00084702">
        <w:rPr>
          <w:noProof/>
        </w:rPr>
        <w:t>(1-2), 117-125.</w:t>
      </w:r>
    </w:p>
    <w:p w:rsidR="00572C5D" w:rsidRPr="00084702" w:rsidRDefault="00572C5D" w:rsidP="004A648F">
      <w:pPr>
        <w:spacing w:after="120" w:line="240" w:lineRule="auto"/>
        <w:ind w:left="567" w:hanging="567"/>
        <w:jc w:val="left"/>
        <w:rPr>
          <w:noProof/>
        </w:rPr>
      </w:pPr>
      <w:bookmarkStart w:id="50" w:name="_ENREF_8"/>
      <w:r w:rsidRPr="00084702">
        <w:rPr>
          <w:noProof/>
        </w:rPr>
        <w:t xml:space="preserve">Howitt, J.A., Baldwin, D.S., Rees, G.N., and Hart, B.T. (2008) Photodegradation, interaction with iron oxides and bioavailability of dissolved organic matter from forested floodplain sources. </w:t>
      </w:r>
      <w:r w:rsidRPr="00084702">
        <w:rPr>
          <w:i/>
          <w:noProof/>
        </w:rPr>
        <w:t>Marine and Freshwater Research</w:t>
      </w:r>
      <w:r w:rsidRPr="00084702">
        <w:rPr>
          <w:noProof/>
        </w:rPr>
        <w:t xml:space="preserve"> </w:t>
      </w:r>
      <w:r w:rsidRPr="00084702">
        <w:rPr>
          <w:b/>
          <w:noProof/>
        </w:rPr>
        <w:t>59</w:t>
      </w:r>
      <w:r w:rsidRPr="00084702">
        <w:rPr>
          <w:noProof/>
        </w:rPr>
        <w:t>(9), 780-791.</w:t>
      </w:r>
    </w:p>
    <w:p w:rsidR="00572C5D" w:rsidRPr="00084702" w:rsidRDefault="00572C5D" w:rsidP="004A648F">
      <w:pPr>
        <w:spacing w:after="120" w:line="240" w:lineRule="auto"/>
        <w:ind w:left="567" w:hanging="567"/>
        <w:jc w:val="left"/>
        <w:rPr>
          <w:noProof/>
        </w:rPr>
      </w:pPr>
      <w:bookmarkStart w:id="51" w:name="_ENREF_9"/>
      <w:bookmarkEnd w:id="50"/>
      <w:r w:rsidRPr="00084702">
        <w:rPr>
          <w:noProof/>
        </w:rPr>
        <w:t xml:space="preserve">Howitt, J.A., Baldwin, D.S., Rees, G.N., and Williams, J.L. (2007) Modelling blackwater: Predicting water quality during flooding of lowland river forests. </w:t>
      </w:r>
      <w:r w:rsidRPr="00084702">
        <w:rPr>
          <w:i/>
          <w:noProof/>
        </w:rPr>
        <w:t>Ecological Modelling</w:t>
      </w:r>
      <w:r w:rsidRPr="00084702">
        <w:rPr>
          <w:noProof/>
        </w:rPr>
        <w:t xml:space="preserve"> </w:t>
      </w:r>
      <w:r w:rsidRPr="00084702">
        <w:rPr>
          <w:b/>
          <w:noProof/>
        </w:rPr>
        <w:t>203</w:t>
      </w:r>
      <w:r w:rsidRPr="00084702">
        <w:rPr>
          <w:noProof/>
        </w:rPr>
        <w:t>(3-4), 229-242.</w:t>
      </w:r>
    </w:p>
    <w:bookmarkEnd w:id="51"/>
    <w:p w:rsidR="00572C5D" w:rsidRPr="00084702" w:rsidRDefault="00572C5D" w:rsidP="004A648F">
      <w:pPr>
        <w:spacing w:after="120" w:line="240" w:lineRule="auto"/>
        <w:ind w:left="567" w:hanging="567"/>
        <w:jc w:val="left"/>
        <w:rPr>
          <w:noProof/>
        </w:rPr>
      </w:pPr>
      <w:r w:rsidRPr="00084702">
        <w:rPr>
          <w:noProof/>
        </w:rPr>
        <w:t xml:space="preserve">Moran, M.A., and Hodson, R.E. (1990) Bacterial production on humic and nonhumic components of dissolved organic carbon. </w:t>
      </w:r>
      <w:r w:rsidRPr="00084702">
        <w:rPr>
          <w:i/>
          <w:noProof/>
        </w:rPr>
        <w:t>Limnology and Oceanography</w:t>
      </w:r>
      <w:r w:rsidRPr="00084702">
        <w:rPr>
          <w:noProof/>
        </w:rPr>
        <w:t xml:space="preserve"> </w:t>
      </w:r>
      <w:r w:rsidRPr="00084702">
        <w:rPr>
          <w:b/>
          <w:noProof/>
        </w:rPr>
        <w:t>35</w:t>
      </w:r>
      <w:r w:rsidRPr="00084702">
        <w:rPr>
          <w:noProof/>
        </w:rPr>
        <w:t>(8), 1744-1756.</w:t>
      </w:r>
    </w:p>
    <w:p w:rsidR="00572C5D" w:rsidRPr="00084702" w:rsidRDefault="00572C5D" w:rsidP="004A648F">
      <w:pPr>
        <w:spacing w:after="120" w:line="240" w:lineRule="auto"/>
        <w:ind w:left="567" w:hanging="567"/>
        <w:jc w:val="left"/>
        <w:rPr>
          <w:noProof/>
        </w:rPr>
      </w:pPr>
      <w:bookmarkStart w:id="52" w:name="_ENREF_11"/>
      <w:r w:rsidRPr="00084702">
        <w:rPr>
          <w:noProof/>
        </w:rPr>
        <w:t xml:space="preserve">Moran, M.A., and Zepp, R.G. (1997) Role of photoreactions in the formation of biologically labile compounds from dissolved organic matter. </w:t>
      </w:r>
      <w:r w:rsidRPr="00084702">
        <w:rPr>
          <w:i/>
          <w:noProof/>
        </w:rPr>
        <w:t>Limnology and Oceanography</w:t>
      </w:r>
      <w:r w:rsidRPr="00084702">
        <w:rPr>
          <w:noProof/>
        </w:rPr>
        <w:t xml:space="preserve"> </w:t>
      </w:r>
      <w:r w:rsidRPr="00084702">
        <w:rPr>
          <w:b/>
          <w:noProof/>
        </w:rPr>
        <w:t>42</w:t>
      </w:r>
      <w:r w:rsidRPr="00084702">
        <w:rPr>
          <w:noProof/>
        </w:rPr>
        <w:t>(6), 1307-1316.</w:t>
      </w:r>
    </w:p>
    <w:p w:rsidR="00572C5D" w:rsidRPr="00084702" w:rsidRDefault="00572C5D" w:rsidP="004A648F">
      <w:pPr>
        <w:spacing w:after="120" w:line="240" w:lineRule="auto"/>
        <w:ind w:left="567" w:hanging="567"/>
        <w:jc w:val="left"/>
        <w:rPr>
          <w:noProof/>
        </w:rPr>
      </w:pPr>
      <w:bookmarkStart w:id="53" w:name="_ENREF_12"/>
      <w:bookmarkEnd w:id="52"/>
      <w:r w:rsidRPr="00084702">
        <w:rPr>
          <w:noProof/>
        </w:rPr>
        <w:t xml:space="preserve">O'Connell, M., Baldwin, D.S., Robertson, A.I., and Rees, G. (2000) Release and bioavailability of dissolved organic matter from floodplain litter: influence of origin and oxygen levels. </w:t>
      </w:r>
      <w:r w:rsidRPr="00084702">
        <w:rPr>
          <w:i/>
          <w:noProof/>
        </w:rPr>
        <w:t>Freshwater Biology</w:t>
      </w:r>
      <w:r w:rsidRPr="00084702">
        <w:rPr>
          <w:noProof/>
        </w:rPr>
        <w:t xml:space="preserve"> </w:t>
      </w:r>
      <w:r w:rsidRPr="00084702">
        <w:rPr>
          <w:b/>
          <w:noProof/>
        </w:rPr>
        <w:t>45</w:t>
      </w:r>
      <w:r w:rsidRPr="00084702">
        <w:rPr>
          <w:noProof/>
        </w:rPr>
        <w:t>, 333-342.</w:t>
      </w:r>
    </w:p>
    <w:p w:rsidR="00572C5D" w:rsidRPr="00084702" w:rsidRDefault="00572C5D" w:rsidP="004A648F">
      <w:pPr>
        <w:spacing w:after="120" w:line="240" w:lineRule="auto"/>
        <w:ind w:left="567" w:hanging="567"/>
        <w:jc w:val="left"/>
        <w:rPr>
          <w:noProof/>
        </w:rPr>
      </w:pPr>
      <w:bookmarkStart w:id="54" w:name="_ENREF_13"/>
      <w:bookmarkEnd w:id="53"/>
      <w:r w:rsidRPr="00084702">
        <w:rPr>
          <w:noProof/>
        </w:rPr>
        <w:t xml:space="preserve">Robertson, A.I., Bunn, S.E., Boon, P.I., and Walker, K.F. (1999) Sources, sinks and transformations of organic carbon in Australian floodplain rivers. </w:t>
      </w:r>
      <w:r w:rsidRPr="00084702">
        <w:rPr>
          <w:i/>
          <w:noProof/>
        </w:rPr>
        <w:t>Marine and Freshwater Research</w:t>
      </w:r>
      <w:r w:rsidRPr="00084702">
        <w:rPr>
          <w:noProof/>
        </w:rPr>
        <w:t xml:space="preserve"> </w:t>
      </w:r>
      <w:r w:rsidRPr="00084702">
        <w:rPr>
          <w:b/>
          <w:noProof/>
        </w:rPr>
        <w:t>50</w:t>
      </w:r>
      <w:r w:rsidRPr="00084702">
        <w:rPr>
          <w:noProof/>
        </w:rPr>
        <w:t>, 813-829.</w:t>
      </w:r>
    </w:p>
    <w:p w:rsidR="00572C5D" w:rsidRPr="00084702" w:rsidRDefault="00572C5D" w:rsidP="004A648F">
      <w:pPr>
        <w:spacing w:after="120" w:line="240" w:lineRule="auto"/>
        <w:ind w:left="567" w:hanging="567"/>
        <w:jc w:val="left"/>
        <w:rPr>
          <w:noProof/>
        </w:rPr>
      </w:pPr>
      <w:bookmarkStart w:id="55" w:name="_ENREF_14"/>
      <w:bookmarkEnd w:id="54"/>
      <w:r w:rsidRPr="00084702">
        <w:rPr>
          <w:noProof/>
        </w:rPr>
        <w:t xml:space="preserve">Wehr, J.D., Peterson, J., and Findlay, S. (1999) Influence of three contrasting detrital carbon sources on planktonic bacterial metabolism in a mesotrophic lake. </w:t>
      </w:r>
      <w:r w:rsidRPr="00084702">
        <w:rPr>
          <w:i/>
          <w:noProof/>
        </w:rPr>
        <w:t>Microbial Ecology</w:t>
      </w:r>
      <w:r w:rsidRPr="00084702">
        <w:rPr>
          <w:noProof/>
        </w:rPr>
        <w:t xml:space="preserve"> </w:t>
      </w:r>
      <w:r w:rsidRPr="00084702">
        <w:rPr>
          <w:b/>
          <w:noProof/>
        </w:rPr>
        <w:t>37</w:t>
      </w:r>
      <w:r w:rsidRPr="00084702">
        <w:rPr>
          <w:noProof/>
        </w:rPr>
        <w:t>, 23-35.</w:t>
      </w:r>
    </w:p>
    <w:bookmarkEnd w:id="55"/>
    <w:p w:rsidR="00572C5D" w:rsidRDefault="00572C5D" w:rsidP="004A648F">
      <w:pPr>
        <w:spacing w:after="120" w:line="240" w:lineRule="auto"/>
        <w:ind w:left="567" w:hanging="567"/>
        <w:jc w:val="left"/>
        <w:rPr>
          <w:noProof/>
        </w:rPr>
      </w:pPr>
      <w:r w:rsidRPr="00084702">
        <w:rPr>
          <w:noProof/>
        </w:rPr>
        <w:t xml:space="preserve">Whitworth, K.L., Baldwin, D.S., and Kerr, J.L. (2014) The effect of temperature on leaching and subsequent decomposition of dissolved carbon from inundated floodplain litter: implications for the generation of hypoxic blackwater in lowland floodplain rivers. </w:t>
      </w:r>
      <w:r w:rsidRPr="00084702">
        <w:rPr>
          <w:i/>
          <w:noProof/>
        </w:rPr>
        <w:t>Chemistry and Ecology</w:t>
      </w:r>
      <w:r w:rsidRPr="00084702">
        <w:rPr>
          <w:noProof/>
        </w:rPr>
        <w:t>, 1-10.</w:t>
      </w:r>
    </w:p>
    <w:p w:rsidR="00524F8A" w:rsidRDefault="00F671D2" w:rsidP="00D143B3">
      <w:pPr>
        <w:spacing w:after="240" w:line="240" w:lineRule="auto"/>
        <w:ind w:left="567" w:hanging="567"/>
        <w:rPr>
          <w:sz w:val="24"/>
          <w:szCs w:val="26"/>
        </w:rPr>
      </w:pPr>
      <w:r w:rsidRPr="00FC01C7">
        <w:fldChar w:fldCharType="end"/>
      </w:r>
      <w:r w:rsidR="00524F8A">
        <w:br w:type="page"/>
      </w:r>
    </w:p>
    <w:p w:rsidR="00CB43DA" w:rsidRPr="00CB43DA" w:rsidRDefault="002A3B1D" w:rsidP="00ED6D80">
      <w:pPr>
        <w:pStyle w:val="MurrumH1"/>
      </w:pPr>
      <w:bookmarkStart w:id="56" w:name="_Toc450199552"/>
      <w:bookmarkStart w:id="57" w:name="_Toc362347840"/>
      <w:bookmarkStart w:id="58" w:name="_Toc362347835"/>
      <w:r>
        <w:t>Effect of Commonwealth environmental water on s</w:t>
      </w:r>
      <w:r w:rsidR="00981345">
        <w:t>tream metabolism</w:t>
      </w:r>
      <w:bookmarkEnd w:id="56"/>
      <w:r w:rsidR="000F5A97" w:rsidRPr="00483C1F">
        <w:t xml:space="preserve"> </w:t>
      </w:r>
      <w:bookmarkEnd w:id="57"/>
    </w:p>
    <w:p w:rsidR="00CB43DA" w:rsidRDefault="00F671D2" w:rsidP="00CB43DA">
      <w:pPr>
        <w:spacing w:after="100" w:afterAutospacing="1" w:line="240" w:lineRule="auto"/>
      </w:pPr>
      <w:r w:rsidRPr="00F671D2">
        <w:rPr>
          <w:b/>
          <w:noProof/>
          <w:lang w:eastAsia="en-AU"/>
        </w:rPr>
        <w:pict>
          <v:shape id="Text Box 792" o:spid="_x0000_s1030" type="#_x0000_t202" style="position:absolute;left:0;text-align:left;margin-left:-3pt;margin-top:9.1pt;width:447.75pt;height:57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" fillcolor="#d6e3bc [1302]">
            <v:textbox>
              <w:txbxContent>
                <w:p w:rsidR="0097684C" w:rsidRDefault="0097684C" w:rsidP="000B78D1">
                  <w:pPr>
                    <w:shd w:val="clear" w:color="auto" w:fill="D6E3BC" w:themeFill="accent3" w:themeFillTint="66"/>
                    <w:spacing w:after="120" w:line="240" w:lineRule="auto"/>
                    <w:rPr>
                      <w:b/>
                    </w:rPr>
                  </w:pPr>
                </w:p>
                <w:p w:rsidR="0097684C" w:rsidRDefault="0097684C" w:rsidP="007575C7">
                  <w:pPr>
                    <w:spacing w:after="0" w:line="240" w:lineRule="auto"/>
                    <w:jc w:val="center"/>
                  </w:pPr>
                  <w:r>
                    <w:rPr>
                      <w:noProof/>
                      <w:lang w:eastAsia="en-AU"/>
                    </w:rPr>
                    <w:drawing>
                      <wp:inline distT="0" distB="0" distL="0" distR="0">
                        <wp:extent cx="1800225" cy="2710947"/>
                        <wp:effectExtent l="19050" t="19050" r="9525" b="1333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1050135.JPG"/>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04960" cy="2718077"/>
                                </a:xfrm>
                                <a:prstGeom prst="rect">
                                  <a:avLst/>
                                </a:prstGeom>
                                <a:ln w="12700">
                                  <a:solidFill>
                                    <a:srgbClr val="000000"/>
                                  </a:solidFill>
                                </a:ln>
                              </pic:spPr>
                            </pic:pic>
                          </a:graphicData>
                        </a:graphic>
                      </wp:inline>
                    </w:drawing>
                  </w:r>
                </w:p>
                <w:p w:rsidR="0097684C" w:rsidRPr="008C4C62" w:rsidRDefault="0097684C" w:rsidP="008C4C62">
                  <w:pPr>
                    <w:spacing w:after="0" w:line="240" w:lineRule="auto"/>
                    <w:ind w:left="1701" w:right="1605"/>
                    <w:rPr>
                      <w:sz w:val="20"/>
                    </w:rPr>
                  </w:pPr>
                  <w:r>
                    <w:rPr>
                      <w:sz w:val="20"/>
                    </w:rPr>
                    <w:t>A h</w:t>
                  </w:r>
                  <w:r w:rsidRPr="008C4C62">
                    <w:rPr>
                      <w:sz w:val="20"/>
                    </w:rPr>
                    <w:t xml:space="preserve">igh level of biofilm growth </w:t>
                  </w:r>
                  <w:r w:rsidRPr="008C4C62">
                    <w:rPr>
                      <w:bCs/>
                      <w:sz w:val="20"/>
                    </w:rPr>
                    <w:t>impacted the</w:t>
                  </w:r>
                  <w:r>
                    <w:rPr>
                      <w:bCs/>
                      <w:sz w:val="20"/>
                    </w:rPr>
                    <w:t xml:space="preserve"> performance of the dissolved oxygen</w:t>
                  </w:r>
                  <w:r w:rsidRPr="008C4C62">
                    <w:rPr>
                      <w:bCs/>
                      <w:sz w:val="20"/>
                    </w:rPr>
                    <w:t xml:space="preserve"> probe in zone 2 (no environmental water) and required additional maintenance</w:t>
                  </w:r>
                  <w:r>
                    <w:rPr>
                      <w:bCs/>
                      <w:sz w:val="20"/>
                    </w:rPr>
                    <w:t>.</w:t>
                  </w:r>
                  <w:r w:rsidRPr="008C4C62">
                    <w:rPr>
                      <w:bCs/>
                      <w:sz w:val="20"/>
                    </w:rPr>
                    <w:t xml:space="preserve"> Photo: J. Abell</w:t>
                  </w:r>
                </w:p>
                <w:p w:rsidR="0097684C" w:rsidRPr="001700C6" w:rsidRDefault="0097684C" w:rsidP="000B78D1">
                  <w:pPr>
                    <w:shd w:val="clear" w:color="auto" w:fill="D6E3BC" w:themeFill="accent3" w:themeFillTint="66"/>
                    <w:spacing w:after="120"/>
                    <w:rPr>
                      <w:b/>
                    </w:rPr>
                  </w:pPr>
                  <w:r>
                    <w:rPr>
                      <w:b/>
                    </w:rPr>
                    <w:t>Summary</w:t>
                  </w:r>
                </w:p>
                <w:p w:rsidR="0097684C" w:rsidRPr="004F5E9F" w:rsidRDefault="0097684C" w:rsidP="007575C7">
                  <w:pPr>
                    <w:pStyle w:val="NoSpacing"/>
                    <w:numPr>
                      <w:ilvl w:val="0"/>
                      <w:numId w:val="4"/>
                    </w:numPr>
                    <w:spacing w:after="120"/>
                    <w:rPr>
                      <w:rFonts w:cs="Calibri"/>
                      <w:szCs w:val="22"/>
                    </w:rPr>
                  </w:pPr>
                  <w:r>
                    <w:rPr>
                      <w:color w:val="000000" w:themeColor="text1"/>
                      <w:lang w:val="en-US"/>
                    </w:rPr>
                    <w:t>Battery-powered loggers were deployed a</w:t>
                  </w:r>
                  <w:r>
                    <w:t xml:space="preserve">t the six designated sites </w:t>
                  </w:r>
                  <w:r>
                    <w:rPr>
                      <w:color w:val="000000" w:themeColor="text1"/>
                      <w:lang w:val="en-US"/>
                    </w:rPr>
                    <w:t xml:space="preserve">and recorded dissolved oxygen concentration and water temperature every 10 minutes. The metabolic parameters, gross primary production and ecosystem respiration were calculated for each day using the prescribed BASE model. </w:t>
                  </w:r>
                </w:p>
                <w:p w:rsidR="0097684C" w:rsidRPr="009401E7" w:rsidRDefault="0097684C" w:rsidP="007575C7">
                  <w:pPr>
                    <w:pStyle w:val="NoSpacing"/>
                    <w:numPr>
                      <w:ilvl w:val="0"/>
                      <w:numId w:val="4"/>
                    </w:numPr>
                    <w:spacing w:after="120"/>
                    <w:rPr>
                      <w:rFonts w:cs="Calibri"/>
                      <w:szCs w:val="22"/>
                    </w:rPr>
                  </w:pPr>
                  <w:r w:rsidRPr="009401E7">
                    <w:rPr>
                      <w:rFonts w:cs="Calibri"/>
                      <w:szCs w:val="22"/>
                    </w:rPr>
                    <w:t>Rates of primary production and ecosystem respiration during 201</w:t>
                  </w:r>
                  <w:r>
                    <w:rPr>
                      <w:rFonts w:cs="Calibri"/>
                      <w:szCs w:val="22"/>
                    </w:rPr>
                    <w:t>4</w:t>
                  </w:r>
                  <w:r w:rsidRPr="009401E7">
                    <w:rPr>
                      <w:rFonts w:cs="Calibri"/>
                      <w:szCs w:val="22"/>
                    </w:rPr>
                    <w:t>-201</w:t>
                  </w:r>
                  <w:r>
                    <w:rPr>
                      <w:rFonts w:cs="Calibri"/>
                      <w:szCs w:val="22"/>
                    </w:rPr>
                    <w:t>5</w:t>
                  </w:r>
                  <w:r w:rsidRPr="009401E7">
                    <w:rPr>
                      <w:rFonts w:cs="Calibri"/>
                      <w:szCs w:val="22"/>
                    </w:rPr>
                    <w:t xml:space="preserve"> were at the lower end of the normal range found in streams worldwide</w:t>
                  </w:r>
                  <w:r>
                    <w:rPr>
                      <w:rFonts w:cs="Calibri"/>
                      <w:szCs w:val="22"/>
                    </w:rPr>
                    <w:t>, with the exception of Zone 2, where rates were comparable with many other streams</w:t>
                  </w:r>
                  <w:r w:rsidRPr="009401E7">
                    <w:rPr>
                      <w:rFonts w:cs="Calibri"/>
                      <w:szCs w:val="22"/>
                    </w:rPr>
                    <w:t>.</w:t>
                  </w:r>
                </w:p>
                <w:p w:rsidR="0097684C" w:rsidRPr="00CA0950" w:rsidRDefault="0097684C" w:rsidP="007575C7">
                  <w:pPr>
                    <w:pStyle w:val="NoSpacing"/>
                    <w:numPr>
                      <w:ilvl w:val="0"/>
                      <w:numId w:val="4"/>
                    </w:numPr>
                    <w:spacing w:after="120"/>
                    <w:rPr>
                      <w:color w:val="000000" w:themeColor="text1"/>
                      <w:lang w:val="en-US"/>
                    </w:rPr>
                  </w:pPr>
                  <w:r w:rsidRPr="00CA0950">
                    <w:rPr>
                      <w:color w:val="000000" w:themeColor="text1"/>
                      <w:lang w:val="en-US"/>
                    </w:rPr>
                    <w:t>Much higher ecosystem respiration rates leading to low in-stream dissolved oxygen in January 2015 were observed in Zone 2 (no Commonwealth environmental water) compared to the three zones that received Commonwealth environmental water.</w:t>
                  </w:r>
                </w:p>
                <w:p w:rsidR="0097684C" w:rsidRPr="00CA0950" w:rsidRDefault="0097684C" w:rsidP="007575C7">
                  <w:pPr>
                    <w:pStyle w:val="NoSpacing"/>
                    <w:numPr>
                      <w:ilvl w:val="0"/>
                      <w:numId w:val="4"/>
                    </w:numPr>
                    <w:spacing w:after="120"/>
                  </w:pPr>
                  <w:r w:rsidRPr="00547B1F">
                    <w:rPr>
                      <w:rFonts w:cs="Calibri"/>
                      <w:szCs w:val="22"/>
                    </w:rPr>
                    <w:t xml:space="preserve">Primary production and ecosystem respiration are constrained by the very low concentrations of bioavailable nutrients and organic carbon, respectively. </w:t>
                  </w:r>
                  <w:r>
                    <w:rPr>
                      <w:rFonts w:cs="Calibri"/>
                      <w:szCs w:val="22"/>
                    </w:rPr>
                    <w:t>T</w:t>
                  </w:r>
                  <w:r w:rsidRPr="00547B1F">
                    <w:rPr>
                      <w:rFonts w:cs="Calibri"/>
                      <w:szCs w:val="22"/>
                    </w:rPr>
                    <w:t>his lack of organic carbon input into the base of the aquatic foodweb is limiting maintenance and</w:t>
                  </w:r>
                  <w:r w:rsidRPr="00547B1F">
                    <w:rPr>
                      <w:i/>
                      <w:iCs/>
                    </w:rPr>
                    <w:t xml:space="preserve"> </w:t>
                  </w:r>
                  <w:r w:rsidRPr="00547B1F">
                    <w:rPr>
                      <w:iCs/>
                    </w:rPr>
                    <w:t>recovery of fish populations</w:t>
                  </w:r>
                  <w:r w:rsidRPr="00547B1F">
                    <w:rPr>
                      <w:i/>
                      <w:iCs/>
                    </w:rPr>
                    <w:t>.</w:t>
                  </w:r>
                </w:p>
                <w:p w:rsidR="0097684C" w:rsidRPr="00CA0950" w:rsidRDefault="0097684C" w:rsidP="00CA0950">
                  <w:pPr>
                    <w:pStyle w:val="NoSpacing"/>
                    <w:numPr>
                      <w:ilvl w:val="0"/>
                      <w:numId w:val="4"/>
                    </w:numPr>
                    <w:spacing w:after="120"/>
                    <w:rPr>
                      <w:color w:val="000000" w:themeColor="text1"/>
                      <w:lang w:val="en-US"/>
                    </w:rPr>
                  </w:pPr>
                  <w:r w:rsidRPr="00CA0950">
                    <w:rPr>
                      <w:color w:val="000000" w:themeColor="text1"/>
                      <w:lang w:val="en-US"/>
                    </w:rPr>
                    <w:t>Whilst the Commonwealth environmental watering action in Yallakool Creek in 2014-15 did not appear to stimulate gross primary production (and therefore basal food resources for invertebrates and fish), they played an important role in preventing poor water quality.</w:t>
                  </w:r>
                </w:p>
              </w:txbxContent>
            </v:textbox>
          </v:shape>
        </w:pict>
      </w:r>
    </w:p>
    <w:p w:rsidR="00CB43DA" w:rsidRDefault="00CB43DA" w:rsidP="00CB43DA">
      <w:pPr>
        <w:tabs>
          <w:tab w:val="left" w:pos="9071"/>
        </w:tabs>
        <w:spacing w:after="240"/>
        <w:ind w:right="-1"/>
        <w:rPr>
          <w:b/>
        </w:rPr>
      </w:pPr>
    </w:p>
    <w:p w:rsidR="007575C7" w:rsidRDefault="007575C7">
      <w:pPr>
        <w:spacing w:after="0" w:line="240" w:lineRule="auto"/>
        <w:jc w:val="left"/>
        <w:rPr>
          <w:b/>
        </w:rPr>
      </w:pPr>
      <w:r>
        <w:rPr>
          <w:b/>
        </w:rPr>
        <w:br w:type="page"/>
      </w:r>
    </w:p>
    <w:p w:rsidR="00CB43DA" w:rsidRPr="007575C7" w:rsidRDefault="007575C7" w:rsidP="00CB43DA">
      <w:pPr>
        <w:tabs>
          <w:tab w:val="left" w:pos="9071"/>
        </w:tabs>
        <w:spacing w:after="240"/>
        <w:ind w:right="-1"/>
        <w:rPr>
          <w:b/>
          <w:color w:val="4F6228" w:themeColor="accent3" w:themeShade="80"/>
          <w:sz w:val="24"/>
          <w:szCs w:val="24"/>
        </w:rPr>
      </w:pPr>
      <w:r>
        <w:rPr>
          <w:b/>
          <w:color w:val="4F6228" w:themeColor="accent3" w:themeShade="80"/>
          <w:sz w:val="24"/>
          <w:szCs w:val="24"/>
        </w:rPr>
        <w:t xml:space="preserve">7.1 </w:t>
      </w:r>
      <w:r w:rsidR="00CB43DA" w:rsidRPr="007575C7">
        <w:rPr>
          <w:b/>
          <w:color w:val="4F6228" w:themeColor="accent3" w:themeShade="80"/>
          <w:sz w:val="24"/>
          <w:szCs w:val="24"/>
        </w:rPr>
        <w:t>Background</w:t>
      </w:r>
    </w:p>
    <w:p w:rsidR="00CB43DA" w:rsidRDefault="00CB43DA" w:rsidP="006B5205">
      <w:pPr>
        <w:spacing w:after="240"/>
        <w:jc w:val="left"/>
        <w:rPr>
          <w:lang w:val="en-US"/>
        </w:rPr>
      </w:pPr>
      <w:r>
        <w:rPr>
          <w:lang w:val="en-US"/>
        </w:rPr>
        <w:t xml:space="preserve">Whole stream metabolism measures the production and consumption of dissolved oxygen gas (‘DO’) by the key ecological processes of photosynthesis and respiration (Odum 1956). Healthy aquatic ecosystems need both processes to generate new biomass (which becomes food for organisms higher up the food chain) and to break down plant and animal detritus to recycle nutrients to enable growth to occur. Hence metabolism assesses the energy base underpinning aquatic foodwebs. The relationships between these processes are </w:t>
      </w:r>
      <w:r w:rsidRPr="00C418B1">
        <w:rPr>
          <w:lang w:val="en-US"/>
        </w:rPr>
        <w:t xml:space="preserve">shown in Figure </w:t>
      </w:r>
      <w:r w:rsidR="007575C7">
        <w:rPr>
          <w:lang w:val="en-US"/>
        </w:rPr>
        <w:t>7.</w:t>
      </w:r>
      <w:r>
        <w:rPr>
          <w:lang w:val="en-US"/>
        </w:rPr>
        <w:t>1</w:t>
      </w:r>
      <w:r w:rsidRPr="00C418B1">
        <w:rPr>
          <w:lang w:val="en-US"/>
        </w:rPr>
        <w:t>.</w:t>
      </w:r>
    </w:p>
    <w:p w:rsidR="00CB43DA" w:rsidRDefault="00CB43DA" w:rsidP="00CB43DA">
      <w:pPr>
        <w:spacing w:after="120" w:line="240" w:lineRule="auto"/>
        <w:jc w:val="center"/>
        <w:rPr>
          <w:lang w:val="en-US"/>
        </w:rPr>
      </w:pPr>
      <w:r>
        <w:rPr>
          <w:noProof/>
          <w:lang w:eastAsia="en-AU"/>
        </w:rPr>
        <w:drawing>
          <wp:inline distT="0" distB="0" distL="0" distR="0">
            <wp:extent cx="4488830" cy="2304000"/>
            <wp:effectExtent l="0" t="0" r="6985" b="0"/>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email"/>
                    <a:srcRect/>
                    <a:stretch>
                      <a:fillRect/>
                    </a:stretch>
                  </pic:blipFill>
                  <pic:spPr bwMode="auto">
                    <a:xfrm>
                      <a:off x="0" y="0"/>
                      <a:ext cx="4488830" cy="2304000"/>
                    </a:xfrm>
                    <a:prstGeom prst="rect">
                      <a:avLst/>
                    </a:prstGeom>
                    <a:noFill/>
                    <a:ln w="9525">
                      <a:noFill/>
                      <a:miter lim="800000"/>
                      <a:headEnd/>
                      <a:tailEnd/>
                    </a:ln>
                  </pic:spPr>
                </pic:pic>
              </a:graphicData>
            </a:graphic>
          </wp:inline>
        </w:drawing>
      </w:r>
    </w:p>
    <w:p w:rsidR="00CB43DA" w:rsidRDefault="00CB43DA" w:rsidP="00CB43DA">
      <w:pPr>
        <w:rPr>
          <w:sz w:val="20"/>
          <w:lang w:val="en-US"/>
        </w:rPr>
      </w:pPr>
      <w:r w:rsidRPr="007575C7">
        <w:rPr>
          <w:b/>
          <w:sz w:val="20"/>
          <w:lang w:val="en-US"/>
        </w:rPr>
        <w:t xml:space="preserve">Figure </w:t>
      </w:r>
      <w:r w:rsidR="007575C7" w:rsidRPr="007575C7">
        <w:rPr>
          <w:b/>
          <w:sz w:val="20"/>
          <w:lang w:val="en-US"/>
        </w:rPr>
        <w:t>7.</w:t>
      </w:r>
      <w:r w:rsidRPr="007575C7">
        <w:rPr>
          <w:b/>
          <w:sz w:val="20"/>
          <w:lang w:val="en-US"/>
        </w:rPr>
        <w:t>1.</w:t>
      </w:r>
      <w:r>
        <w:rPr>
          <w:sz w:val="20"/>
          <w:lang w:val="en-US"/>
        </w:rPr>
        <w:t xml:space="preserve"> Relationships between photosynthesis, respiration, organic matter, dissolved gases and nutrients</w:t>
      </w:r>
    </w:p>
    <w:p w:rsidR="00CB43DA" w:rsidRDefault="00CB43DA" w:rsidP="006B5205">
      <w:pPr>
        <w:spacing w:after="240"/>
        <w:jc w:val="left"/>
        <w:rPr>
          <w:lang w:val="en-US"/>
        </w:rPr>
      </w:pPr>
      <w:r>
        <w:rPr>
          <w:lang w:val="en-US"/>
        </w:rPr>
        <w:t xml:space="preserve">Metabolism is expressed as the increase (photosynthesis) or decrease (respiration) of </w:t>
      </w:r>
      <w:r w:rsidR="000D7EE6">
        <w:rPr>
          <w:lang w:val="en-US"/>
        </w:rPr>
        <w:t xml:space="preserve">dissolved oxygen (DO) </w:t>
      </w:r>
      <w:r>
        <w:rPr>
          <w:lang w:val="en-US"/>
        </w:rPr>
        <w:t>concentration over a given time frame; most commonly expressed as (change in) milligrams of dissolved oxygen per litre per day (mg O</w:t>
      </w:r>
      <w:r>
        <w:rPr>
          <w:vertAlign w:val="subscript"/>
          <w:lang w:val="en-US"/>
        </w:rPr>
        <w:t>2</w:t>
      </w:r>
      <w:r>
        <w:rPr>
          <w:lang w:val="en-US"/>
        </w:rPr>
        <w:t>/L/Day). Typical rates of primary production and ecosystem respiration range over two orders of magnitude, from around 0.2 to 20 mg O</w:t>
      </w:r>
      <w:r>
        <w:rPr>
          <w:vertAlign w:val="subscript"/>
          <w:lang w:val="en-US"/>
        </w:rPr>
        <w:t>2</w:t>
      </w:r>
      <w:r>
        <w:rPr>
          <w:lang w:val="en-US"/>
        </w:rPr>
        <w:t>/L/Day with most measurements falling between 0.5 and 10 mg O</w:t>
      </w:r>
      <w:r>
        <w:rPr>
          <w:vertAlign w:val="subscript"/>
          <w:lang w:val="en-US"/>
        </w:rPr>
        <w:t>2</w:t>
      </w:r>
      <w:r>
        <w:rPr>
          <w:lang w:val="en-US"/>
        </w:rPr>
        <w:t xml:space="preserve">/L/Day. </w:t>
      </w:r>
    </w:p>
    <w:p w:rsidR="00CB43DA" w:rsidRDefault="00CB43DA" w:rsidP="006B5205">
      <w:pPr>
        <w:spacing w:after="240"/>
        <w:jc w:val="left"/>
        <w:rPr>
          <w:lang w:val="en-US"/>
        </w:rPr>
      </w:pPr>
      <w:r>
        <w:rPr>
          <w:lang w:val="en-US"/>
        </w:rPr>
        <w:t xml:space="preserve">If process rates are too low, this will limit the amount of food resources (bacteria, algae and water plants) for consumers. This limitation will then constrain populations of larger organisms including fish and amphibians. Rates </w:t>
      </w:r>
      <w:r w:rsidRPr="001F0AFB">
        <w:rPr>
          <w:lang w:val="en-US"/>
        </w:rPr>
        <w:t>are</w:t>
      </w:r>
      <w:r>
        <w:rPr>
          <w:lang w:val="en-US"/>
        </w:rPr>
        <w:t xml:space="preserve"> expected to vary on a seasonal basis as warmer temperatures and more direct, and longer hours of, sunlight contribute to enhancing primary production. Warmer temperatures and a supply of organic carbon usually result in higher rates of ecosystem respiration (Roberts et al. 2007).</w:t>
      </w:r>
    </w:p>
    <w:p w:rsidR="00CB43DA" w:rsidRDefault="00CB43DA" w:rsidP="006B5205">
      <w:pPr>
        <w:spacing w:after="240"/>
        <w:jc w:val="left"/>
        <w:rPr>
          <w:lang w:val="en-US"/>
        </w:rPr>
      </w:pPr>
      <w:r>
        <w:rPr>
          <w:lang w:val="en-US"/>
        </w:rPr>
        <w:t>In general, there is concern when process rates are too high. Greatly elevated primary production rates usually equate to algal bloom conditions (or excessive growth of plants, including duckweed and azolla), which may block sunlight penetration,</w:t>
      </w:r>
      <w:r w:rsidR="006B5205">
        <w:rPr>
          <w:lang w:val="en-US"/>
        </w:rPr>
        <w:t xml:space="preserve"> </w:t>
      </w:r>
      <w:r>
        <w:rPr>
          <w:lang w:val="en-US"/>
        </w:rPr>
        <w:t xml:space="preserve">killing other submerged plants, produce algal toxins and </w:t>
      </w:r>
      <w:r w:rsidR="006B5205">
        <w:rPr>
          <w:lang w:val="en-US"/>
        </w:rPr>
        <w:t xml:space="preserve">large diel DO swings - </w:t>
      </w:r>
      <w:r>
        <w:rPr>
          <w:lang w:val="en-US"/>
        </w:rPr>
        <w:t>overnight, elevated respiration rates can drive the DO to the point of anoxia (no dissolved oxygen in the water). When an algal bloom collapses, the large biomass of labile organic material is respired, often resulting in extended anoxia. Very low (or no) DO in the water can result in fish kills and unpleasant odors. Bloom collapse often coincides with release of algal toxins; hence the water becomes unusable for stock and domestic purposes as well.</w:t>
      </w:r>
    </w:p>
    <w:p w:rsidR="00CB43DA" w:rsidRDefault="00CB43DA" w:rsidP="006B5205">
      <w:pPr>
        <w:spacing w:after="240"/>
        <w:jc w:val="left"/>
        <w:rPr>
          <w:lang w:val="en-US"/>
        </w:rPr>
      </w:pPr>
      <w:r>
        <w:rPr>
          <w:lang w:val="en-US"/>
        </w:rPr>
        <w:t xml:space="preserve">Sustainable rates of primary production will primarily depend on the characteristics of the aquatic ecosystem. Streams with naturally higher concentrations of nutrients (e.g. arising from the geology), especially those with very open canopies (hence </w:t>
      </w:r>
      <w:r w:rsidR="002F3EA4">
        <w:rPr>
          <w:lang w:val="en-US"/>
        </w:rPr>
        <w:t xml:space="preserve">a lot </w:t>
      </w:r>
      <w:r>
        <w:rPr>
          <w:lang w:val="en-US"/>
        </w:rPr>
        <w:t>of sunlight access to the water) will have much higher natural rates of primary production than forested streams, where rates might be extremely low due to heavy shading and low concentrations. Habitat availability, climate and many other factors also influence food web structure and function. Uehlinger (2000) demonstrated that freshes with sufficient stream power to cause scouring can ‘reset’ primary production to very low rates which are then maintained until biomass of primary producers is re-establish</w:t>
      </w:r>
      <w:r w:rsidRPr="006B5205">
        <w:rPr>
          <w:lang w:val="en-US"/>
        </w:rPr>
        <w:t>ed.</w:t>
      </w:r>
      <w:r w:rsidR="006B5205" w:rsidRPr="006B5205">
        <w:rPr>
          <w:lang w:val="en-US"/>
        </w:rPr>
        <w:t xml:space="preserve"> These scouring freshes are normally found in high gradient streams and are considered unlikely to occur in lowland streams such as those in the Edward-Wakool system.</w:t>
      </w:r>
    </w:p>
    <w:p w:rsidR="00CB43DA" w:rsidRPr="007575C7" w:rsidRDefault="007575C7" w:rsidP="00CB43DA">
      <w:pPr>
        <w:tabs>
          <w:tab w:val="left" w:pos="9071"/>
        </w:tabs>
        <w:spacing w:after="120"/>
        <w:rPr>
          <w:b/>
          <w:color w:val="4F6228" w:themeColor="accent3" w:themeShade="80"/>
          <w:sz w:val="24"/>
          <w:szCs w:val="24"/>
        </w:rPr>
      </w:pPr>
      <w:r>
        <w:rPr>
          <w:b/>
          <w:color w:val="4F6228" w:themeColor="accent3" w:themeShade="80"/>
          <w:sz w:val="24"/>
          <w:szCs w:val="24"/>
        </w:rPr>
        <w:t xml:space="preserve">7.2 </w:t>
      </w:r>
      <w:r w:rsidR="006B5205">
        <w:rPr>
          <w:b/>
          <w:color w:val="4F6228" w:themeColor="accent3" w:themeShade="80"/>
          <w:sz w:val="24"/>
          <w:szCs w:val="24"/>
        </w:rPr>
        <w:t>Questions</w:t>
      </w:r>
    </w:p>
    <w:p w:rsidR="006B5205" w:rsidRDefault="006B5205" w:rsidP="00311640">
      <w:pPr>
        <w:widowControl w:val="0"/>
        <w:spacing w:after="240"/>
        <w:jc w:val="left"/>
        <w:rPr>
          <w:rFonts w:cstheme="minorHAnsi"/>
        </w:rPr>
      </w:pPr>
      <w:r w:rsidRPr="005E73F2">
        <w:rPr>
          <w:rFonts w:cstheme="minorHAnsi"/>
        </w:rPr>
        <w:t>Evaluation of the response of stream metabolism to Commonwealth environmental watering is being undertaken in the Edward-Wakool River system at the i) Selected Area scale (Watts et al. 2014), and ii) Basin scale (Hale et al. 2014)</w:t>
      </w:r>
      <w:r>
        <w:rPr>
          <w:rFonts w:cstheme="minorHAnsi"/>
        </w:rPr>
        <w:t>. The Basin s</w:t>
      </w:r>
      <w:r w:rsidRPr="005E73F2">
        <w:rPr>
          <w:rFonts w:cstheme="minorHAnsi"/>
        </w:rPr>
        <w:t>cale evaluation involves the integration of multiple datasets from a number of different catchments, and this will be undertaken by the Murray-Darling Freshwater Research Centre and evaluated in a separate report</w:t>
      </w:r>
      <w:r>
        <w:rPr>
          <w:rFonts w:cstheme="minorHAnsi"/>
        </w:rPr>
        <w:t>. Questions 1 and 2 (below) relate to the basin scale evaluation. This Edward-Wakool Selected A</w:t>
      </w:r>
      <w:r w:rsidRPr="005E73F2">
        <w:rPr>
          <w:rFonts w:cstheme="minorHAnsi"/>
        </w:rPr>
        <w:t>rea report will evaluate short-term response questions</w:t>
      </w:r>
      <w:r>
        <w:rPr>
          <w:rFonts w:cstheme="minorHAnsi"/>
        </w:rPr>
        <w:t xml:space="preserve"> (questions 3 and 4 below)</w:t>
      </w:r>
      <w:r w:rsidRPr="005E73F2">
        <w:rPr>
          <w:rFonts w:cstheme="minorHAnsi"/>
        </w:rPr>
        <w:t xml:space="preserve"> specific to the Commonwealth environmental watering action in Yallakool Creek-Wakool River in 2014-15.</w:t>
      </w:r>
      <w:r>
        <w:rPr>
          <w:rFonts w:cstheme="minorHAnsi"/>
        </w:rPr>
        <w:t xml:space="preserve"> These questions arise from the importance of new organic (plant) matter, created through photosynthesis, supplying essential energy to the foodweb and the critical role of respiration in breaking down organic detritus and therefore resupplying nutrients to enable such growth to occur.</w:t>
      </w:r>
    </w:p>
    <w:p w:rsidR="006B5205" w:rsidRPr="00E741C0" w:rsidRDefault="006B5205" w:rsidP="000D7EE6">
      <w:pPr>
        <w:widowControl w:val="0"/>
        <w:spacing w:after="120"/>
        <w:jc w:val="left"/>
        <w:rPr>
          <w:rFonts w:cstheme="minorHAnsi"/>
          <w:i/>
          <w:iCs/>
        </w:rPr>
      </w:pPr>
      <w:r w:rsidRPr="006B5205">
        <w:rPr>
          <w:rFonts w:cstheme="minorHAnsi"/>
          <w:iCs/>
        </w:rPr>
        <w:t>Q1:</w:t>
      </w:r>
      <w:r w:rsidRPr="00E741C0">
        <w:rPr>
          <w:rFonts w:cstheme="minorHAnsi"/>
          <w:i/>
          <w:iCs/>
        </w:rPr>
        <w:t xml:space="preserve"> What did Commonwealth environmental water contribute to patterns and rates of decomposition?</w:t>
      </w:r>
    </w:p>
    <w:p w:rsidR="006B5205" w:rsidRPr="00E741C0" w:rsidRDefault="006B5205" w:rsidP="000D7EE6">
      <w:pPr>
        <w:widowControl w:val="0"/>
        <w:spacing w:after="120"/>
        <w:jc w:val="left"/>
        <w:rPr>
          <w:rFonts w:cstheme="minorHAnsi"/>
          <w:i/>
          <w:iCs/>
        </w:rPr>
      </w:pPr>
      <w:r>
        <w:rPr>
          <w:rFonts w:cstheme="minorHAnsi"/>
          <w:iCs/>
        </w:rPr>
        <w:t>Q2:</w:t>
      </w:r>
      <w:r w:rsidRPr="00E741C0">
        <w:rPr>
          <w:rFonts w:cstheme="minorHAnsi"/>
          <w:i/>
          <w:iCs/>
        </w:rPr>
        <w:t xml:space="preserve"> What did Commonwealth environmental water contribute to patterns and rates of primary productivity?</w:t>
      </w:r>
    </w:p>
    <w:p w:rsidR="006B5205" w:rsidRPr="00E741C0" w:rsidRDefault="006B5205" w:rsidP="000D7EE6">
      <w:pPr>
        <w:widowControl w:val="0"/>
        <w:spacing w:after="120"/>
        <w:jc w:val="left"/>
        <w:rPr>
          <w:rFonts w:cstheme="minorHAnsi"/>
          <w:i/>
          <w:iCs/>
        </w:rPr>
      </w:pPr>
      <w:r>
        <w:rPr>
          <w:rFonts w:cstheme="minorHAnsi"/>
          <w:iCs/>
        </w:rPr>
        <w:t>Q3:</w:t>
      </w:r>
      <w:r w:rsidRPr="00E741C0">
        <w:rPr>
          <w:rFonts w:cstheme="minorHAnsi"/>
          <w:i/>
          <w:iCs/>
        </w:rPr>
        <w:t xml:space="preserve"> How does the timing and magnitude of Commonwealth environmental water delivery affect rates of gross primary productivity and ecosystem respiration in the Edward- Wakool River system?</w:t>
      </w:r>
    </w:p>
    <w:p w:rsidR="006B5205" w:rsidRPr="00E741C0" w:rsidRDefault="006B5205" w:rsidP="000D7EE6">
      <w:pPr>
        <w:widowControl w:val="0"/>
        <w:spacing w:after="120"/>
        <w:jc w:val="left"/>
        <w:rPr>
          <w:rFonts w:cstheme="minorHAnsi"/>
          <w:i/>
          <w:iCs/>
        </w:rPr>
      </w:pPr>
      <w:r>
        <w:rPr>
          <w:rFonts w:cstheme="minorHAnsi"/>
          <w:iCs/>
        </w:rPr>
        <w:t>Q4:</w:t>
      </w:r>
      <w:r w:rsidRPr="00E741C0">
        <w:rPr>
          <w:rFonts w:cstheme="minorHAnsi"/>
          <w:i/>
          <w:iCs/>
        </w:rPr>
        <w:t xml:space="preserve"> What did Commonwealth environmental water contribute to patterns and rates of primary productivity?</w:t>
      </w:r>
    </w:p>
    <w:p w:rsidR="006B5205" w:rsidRPr="00AA1654" w:rsidRDefault="006B5205" w:rsidP="006B5205">
      <w:pPr>
        <w:widowControl w:val="0"/>
        <w:spacing w:after="0"/>
        <w:rPr>
          <w:rFonts w:cstheme="minorHAnsi"/>
        </w:rPr>
      </w:pPr>
      <w:r>
        <w:rPr>
          <w:rFonts w:cstheme="minorHAnsi"/>
        </w:rPr>
        <w:t>The following hypotheses were developed, partially based on earlier previous work in the Yallakool Creek – Wakool River system (Watts et al. 2014), to directly explore these evaluation questions</w:t>
      </w:r>
      <w:r w:rsidRPr="00AA1654">
        <w:rPr>
          <w:rFonts w:cstheme="minorHAnsi"/>
        </w:rPr>
        <w:t>:</w:t>
      </w:r>
    </w:p>
    <w:p w:rsidR="006B5205" w:rsidRPr="00AA1654" w:rsidRDefault="006B5205" w:rsidP="00311640">
      <w:pPr>
        <w:widowControl w:val="0"/>
        <w:numPr>
          <w:ilvl w:val="0"/>
          <w:numId w:val="29"/>
        </w:numPr>
        <w:spacing w:after="0"/>
        <w:ind w:left="567" w:hanging="567"/>
        <w:jc w:val="left"/>
        <w:rPr>
          <w:rFonts w:cstheme="minorHAnsi"/>
        </w:rPr>
      </w:pPr>
      <w:r w:rsidRPr="00AA1654">
        <w:rPr>
          <w:rFonts w:cstheme="minorHAnsi"/>
        </w:rPr>
        <w:t xml:space="preserve">Under extended ‘cease to flow’ conditions of </w:t>
      </w:r>
      <w:r>
        <w:rPr>
          <w:rFonts w:cstheme="minorHAnsi"/>
        </w:rPr>
        <w:t>several weeks or more</w:t>
      </w:r>
      <w:r w:rsidRPr="00AA1654">
        <w:rPr>
          <w:rFonts w:cstheme="minorHAnsi"/>
        </w:rPr>
        <w:t xml:space="preserve">, the responses of </w:t>
      </w:r>
      <w:r w:rsidR="000D7EE6">
        <w:rPr>
          <w:rFonts w:cstheme="minorHAnsi"/>
        </w:rPr>
        <w:t>gross primary production (</w:t>
      </w:r>
      <w:r w:rsidRPr="00AA1654">
        <w:rPr>
          <w:rFonts w:cstheme="minorHAnsi"/>
        </w:rPr>
        <w:t>GPP</w:t>
      </w:r>
      <w:r w:rsidR="000D7EE6">
        <w:rPr>
          <w:rFonts w:cstheme="minorHAnsi"/>
        </w:rPr>
        <w:t>)</w:t>
      </w:r>
      <w:r w:rsidRPr="00AA1654">
        <w:rPr>
          <w:rFonts w:cstheme="minorHAnsi"/>
        </w:rPr>
        <w:t xml:space="preserve"> and </w:t>
      </w:r>
      <w:r w:rsidR="000D7EE6">
        <w:rPr>
          <w:rFonts w:cstheme="minorHAnsi"/>
        </w:rPr>
        <w:t>ecosystem respiration (</w:t>
      </w:r>
      <w:r w:rsidRPr="00AA1654">
        <w:rPr>
          <w:rFonts w:cstheme="minorHAnsi"/>
        </w:rPr>
        <w:t>ER</w:t>
      </w:r>
      <w:r w:rsidR="000D7EE6">
        <w:rPr>
          <w:rFonts w:cstheme="minorHAnsi"/>
        </w:rPr>
        <w:t>)</w:t>
      </w:r>
      <w:r w:rsidRPr="00AA1654">
        <w:rPr>
          <w:rFonts w:cstheme="minorHAnsi"/>
        </w:rPr>
        <w:t xml:space="preserve"> will greatly depend on the available nutrient supplies and the time of year. High nutrients and warm conditions may lead to very high rates associated with excessive phytoplankton growth.</w:t>
      </w:r>
      <w:r>
        <w:rPr>
          <w:rFonts w:cstheme="minorHAnsi"/>
        </w:rPr>
        <w:t xml:space="preserve"> (Q1, Q2, Q3, Q4)</w:t>
      </w:r>
    </w:p>
    <w:p w:rsidR="006B5205" w:rsidRPr="00AA1654" w:rsidRDefault="006B5205" w:rsidP="00311640">
      <w:pPr>
        <w:widowControl w:val="0"/>
        <w:numPr>
          <w:ilvl w:val="0"/>
          <w:numId w:val="29"/>
        </w:numPr>
        <w:spacing w:after="0"/>
        <w:ind w:left="567" w:hanging="567"/>
        <w:jc w:val="left"/>
        <w:rPr>
          <w:rFonts w:cstheme="minorHAnsi"/>
        </w:rPr>
      </w:pPr>
      <w:r w:rsidRPr="00AA1654">
        <w:rPr>
          <w:rFonts w:cstheme="minorHAnsi"/>
        </w:rPr>
        <w:t>Under normal ‘base’ flow, rates of GPP and ER will be constrained to the low-moderate ra</w:t>
      </w:r>
      <w:r w:rsidR="000D7EE6">
        <w:rPr>
          <w:rFonts w:cstheme="minorHAnsi"/>
        </w:rPr>
        <w:t xml:space="preserve">nge, typically 1 to </w:t>
      </w:r>
      <w:r w:rsidRPr="00AA1654">
        <w:rPr>
          <w:rFonts w:cstheme="minorHAnsi"/>
        </w:rPr>
        <w:t>3 mg O</w:t>
      </w:r>
      <w:r w:rsidRPr="000D7EE6">
        <w:rPr>
          <w:rFonts w:cstheme="minorHAnsi"/>
          <w:vertAlign w:val="subscript"/>
        </w:rPr>
        <w:t>2</w:t>
      </w:r>
      <w:r w:rsidRPr="00AA1654">
        <w:rPr>
          <w:rFonts w:cstheme="minorHAnsi"/>
        </w:rPr>
        <w:t>/L/Day.</w:t>
      </w:r>
      <w:r>
        <w:rPr>
          <w:rFonts w:cstheme="minorHAnsi"/>
        </w:rPr>
        <w:t xml:space="preserve"> (Q3, Q4)</w:t>
      </w:r>
    </w:p>
    <w:p w:rsidR="006B5205" w:rsidRPr="00AA1654" w:rsidRDefault="006B5205" w:rsidP="00311640">
      <w:pPr>
        <w:widowControl w:val="0"/>
        <w:numPr>
          <w:ilvl w:val="0"/>
          <w:numId w:val="29"/>
        </w:numPr>
        <w:spacing w:after="0"/>
        <w:ind w:left="567" w:hanging="567"/>
        <w:jc w:val="left"/>
        <w:rPr>
          <w:rFonts w:cstheme="minorHAnsi"/>
        </w:rPr>
      </w:pPr>
      <w:r w:rsidRPr="00AA1654">
        <w:rPr>
          <w:rFonts w:cstheme="minorHAnsi"/>
        </w:rPr>
        <w:t>With in-stream freshes, rates of GPP and</w:t>
      </w:r>
      <w:r w:rsidR="000D7EE6">
        <w:rPr>
          <w:rFonts w:cstheme="minorHAnsi"/>
        </w:rPr>
        <w:t xml:space="preserve"> ER will increase slightly to 3 to </w:t>
      </w:r>
      <w:r w:rsidRPr="00AA1654">
        <w:rPr>
          <w:rFonts w:cstheme="minorHAnsi"/>
        </w:rPr>
        <w:t>5 mg O</w:t>
      </w:r>
      <w:r w:rsidRPr="000D7EE6">
        <w:rPr>
          <w:rFonts w:cstheme="minorHAnsi"/>
          <w:vertAlign w:val="subscript"/>
        </w:rPr>
        <w:t>2</w:t>
      </w:r>
      <w:r w:rsidRPr="00AA1654">
        <w:rPr>
          <w:rFonts w:cstheme="minorHAnsi"/>
        </w:rPr>
        <w:t>/L/Day. Larger increases will occur if significant backwater areas are reconnected to the main channel due to enhanced nutrient delivery.</w:t>
      </w:r>
      <w:r>
        <w:rPr>
          <w:rFonts w:cstheme="minorHAnsi"/>
        </w:rPr>
        <w:t xml:space="preserve"> (Q3, Q4)</w:t>
      </w:r>
    </w:p>
    <w:p w:rsidR="006B5205" w:rsidRPr="00AA1654" w:rsidRDefault="006B5205" w:rsidP="00311640">
      <w:pPr>
        <w:widowControl w:val="0"/>
        <w:numPr>
          <w:ilvl w:val="0"/>
          <w:numId w:val="29"/>
        </w:numPr>
        <w:spacing w:after="0"/>
        <w:ind w:left="567" w:hanging="567"/>
        <w:jc w:val="left"/>
        <w:rPr>
          <w:rFonts w:cstheme="minorHAnsi"/>
        </w:rPr>
      </w:pPr>
      <w:r w:rsidRPr="00AA1654">
        <w:rPr>
          <w:rFonts w:cstheme="minorHAnsi"/>
        </w:rPr>
        <w:t xml:space="preserve">Inundation and reconnection of backwater areas to the main channel during high flows will result in elevated rates of GPP and ER. </w:t>
      </w:r>
      <w:r>
        <w:rPr>
          <w:rFonts w:cstheme="minorHAnsi"/>
        </w:rPr>
        <w:t>(Q1, Q2, Q3, Q4)</w:t>
      </w:r>
    </w:p>
    <w:p w:rsidR="006B5205" w:rsidRPr="007575C7" w:rsidRDefault="006B5205" w:rsidP="00311640">
      <w:pPr>
        <w:widowControl w:val="0"/>
        <w:numPr>
          <w:ilvl w:val="0"/>
          <w:numId w:val="29"/>
        </w:numPr>
        <w:spacing w:after="240"/>
        <w:ind w:left="567" w:right="-1" w:hanging="567"/>
        <w:jc w:val="left"/>
        <w:rPr>
          <w:rFonts w:cstheme="minorHAnsi"/>
        </w:rPr>
      </w:pPr>
      <w:r w:rsidRPr="00AA1654">
        <w:rPr>
          <w:rFonts w:cstheme="minorHAnsi"/>
        </w:rPr>
        <w:t>Primary production in the Edward-Wakool system will be limited by low phosphorus concentrations.</w:t>
      </w:r>
      <w:r w:rsidRPr="00D441B7">
        <w:rPr>
          <w:rFonts w:cstheme="minorHAnsi"/>
          <w:sz w:val="23"/>
          <w:szCs w:val="23"/>
        </w:rPr>
        <w:t xml:space="preserve"> </w:t>
      </w:r>
      <w:r>
        <w:rPr>
          <w:rFonts w:cstheme="minorHAnsi"/>
        </w:rPr>
        <w:t>(Q3, Q4)</w:t>
      </w:r>
    </w:p>
    <w:p w:rsidR="00CB43DA" w:rsidRPr="007575C7" w:rsidRDefault="007575C7" w:rsidP="00311640">
      <w:pPr>
        <w:tabs>
          <w:tab w:val="left" w:pos="9071"/>
        </w:tabs>
        <w:spacing w:after="240"/>
        <w:ind w:right="-1"/>
        <w:jc w:val="left"/>
        <w:rPr>
          <w:b/>
          <w:color w:val="4F6228" w:themeColor="accent3" w:themeShade="80"/>
          <w:sz w:val="24"/>
          <w:szCs w:val="24"/>
        </w:rPr>
      </w:pPr>
      <w:r w:rsidRPr="007575C7">
        <w:rPr>
          <w:b/>
          <w:color w:val="4F6228" w:themeColor="accent3" w:themeShade="80"/>
          <w:sz w:val="24"/>
          <w:szCs w:val="24"/>
        </w:rPr>
        <w:t xml:space="preserve">7.3 </w:t>
      </w:r>
      <w:r w:rsidR="00CB43DA" w:rsidRPr="007575C7">
        <w:rPr>
          <w:b/>
          <w:color w:val="4F6228" w:themeColor="accent3" w:themeShade="80"/>
          <w:sz w:val="24"/>
          <w:szCs w:val="24"/>
        </w:rPr>
        <w:t>Methods</w:t>
      </w:r>
    </w:p>
    <w:p w:rsidR="00CB43DA" w:rsidRDefault="00CB43DA" w:rsidP="00311640">
      <w:pPr>
        <w:spacing w:after="200"/>
        <w:jc w:val="left"/>
      </w:pPr>
      <w:r>
        <w:t>The stream metabolism measurements were performed in accordance with the LTIM Standard Operating Procedure</w:t>
      </w:r>
      <w:r w:rsidR="000D7EE6">
        <w:t xml:space="preserve"> (Hale et al. 2014)</w:t>
      </w:r>
      <w:r>
        <w:t>.</w:t>
      </w:r>
    </w:p>
    <w:p w:rsidR="00BF10FA" w:rsidRDefault="00CB43DA" w:rsidP="00311640">
      <w:pPr>
        <w:spacing w:before="100" w:beforeAutospacing="1" w:after="100" w:afterAutospacing="1"/>
        <w:jc w:val="left"/>
      </w:pPr>
      <w:r w:rsidRPr="00DA3E0D">
        <w:t>Water temperature and dissolved oxygen were logged every ten minutes</w:t>
      </w:r>
      <w:r w:rsidR="002F3EA4">
        <w:t xml:space="preserve"> with</w:t>
      </w:r>
      <w:r w:rsidRPr="00DA3E0D">
        <w:t xml:space="preserve"> at</w:t>
      </w:r>
      <w:r>
        <w:t xml:space="preserve"> least one logger placed in </w:t>
      </w:r>
      <w:r w:rsidRPr="00DA3E0D">
        <w:t xml:space="preserve">each of the four </w:t>
      </w:r>
      <w:r>
        <w:t>study zones; in zones 1 and 4, loggers were placed at the top and bottom end of these zones</w:t>
      </w:r>
      <w:r w:rsidR="000D7EE6">
        <w:t xml:space="preserve"> (see Table 7.1)</w:t>
      </w:r>
      <w:r>
        <w:t>.</w:t>
      </w:r>
      <w:r w:rsidRPr="00DA3E0D">
        <w:t xml:space="preserve"> </w:t>
      </w:r>
      <w:r w:rsidR="00BF10FA">
        <w:t xml:space="preserve">The positioning of DO loggers at the top and bottom end of zones 1 and 4 serves two important purposes: i) it enables assessment of whether the river reach integrated by the downstream logger (encompassing much of the zone under study) is behaving similarly to the reach above the upstream logger. This will help address whether the study zone is typical of the stream behaviour over a more extensive region, and ii) to provide two daily estimates of the metabolic rates (and re-aeration) should one logger fail. </w:t>
      </w:r>
    </w:p>
    <w:p w:rsidR="000D7EE6" w:rsidRDefault="00CB43DA" w:rsidP="00311640">
      <w:pPr>
        <w:spacing w:before="100" w:beforeAutospacing="1" w:after="100" w:afterAutospacing="1"/>
        <w:jc w:val="left"/>
      </w:pPr>
      <w:r w:rsidRPr="00DA3E0D">
        <w:t>Data were downloaded and loggers calibrated approximately once per month</w:t>
      </w:r>
      <w:r>
        <w:t xml:space="preserve"> depending on access.</w:t>
      </w:r>
      <w:r w:rsidRPr="00DA3E0D">
        <w:t xml:space="preserve"> Light and depth loggers were also deployed and data </w:t>
      </w:r>
      <w:r>
        <w:t>were</w:t>
      </w:r>
      <w:r w:rsidRPr="00DA3E0D">
        <w:t xml:space="preserve"> downloaded on a monthly basis.</w:t>
      </w:r>
      <w:r>
        <w:t xml:space="preserve"> The data collected by the loggers was also used to calculate daily </w:t>
      </w:r>
      <w:r w:rsidR="00F21554">
        <w:t>average temperature</w:t>
      </w:r>
      <w:r w:rsidRPr="00BA2F8A">
        <w:t xml:space="preserve"> and dissolved oxygen concentrations (</w:t>
      </w:r>
      <w:r w:rsidR="00F21554">
        <w:t>see Section 6</w:t>
      </w:r>
      <w:r w:rsidRPr="00BA2F8A">
        <w:t xml:space="preserve">) for each of </w:t>
      </w:r>
      <w:r w:rsidR="000D7EE6">
        <w:t>zones</w:t>
      </w:r>
      <w:r w:rsidR="000D7EE6" w:rsidRPr="00BA2F8A">
        <w:t xml:space="preserve"> from</w:t>
      </w:r>
      <w:r w:rsidR="000D7EE6">
        <w:t xml:space="preserve"> early August 2014 to the end of March 2015. </w:t>
      </w:r>
    </w:p>
    <w:p w:rsidR="00A2129C" w:rsidRDefault="00A2129C" w:rsidP="00ED6D80">
      <w:pPr>
        <w:spacing w:before="240" w:after="120" w:line="240" w:lineRule="auto"/>
        <w:rPr>
          <w:color w:val="000000" w:themeColor="text1"/>
          <w:sz w:val="20"/>
          <w:lang w:val="en-US"/>
        </w:rPr>
      </w:pPr>
      <w:r>
        <w:rPr>
          <w:b/>
          <w:color w:val="000000" w:themeColor="text1"/>
          <w:sz w:val="20"/>
          <w:lang w:val="en-US"/>
        </w:rPr>
        <w:t>T</w:t>
      </w:r>
      <w:r w:rsidRPr="00A00D76">
        <w:rPr>
          <w:b/>
          <w:color w:val="000000" w:themeColor="text1"/>
          <w:sz w:val="20"/>
          <w:lang w:val="en-US"/>
        </w:rPr>
        <w:t xml:space="preserve">able </w:t>
      </w:r>
      <w:r>
        <w:rPr>
          <w:b/>
          <w:color w:val="000000" w:themeColor="text1"/>
          <w:sz w:val="20"/>
          <w:lang w:val="en-US"/>
        </w:rPr>
        <w:t>7.1</w:t>
      </w:r>
      <w:r w:rsidRPr="00A00D76">
        <w:rPr>
          <w:b/>
          <w:color w:val="000000" w:themeColor="text1"/>
          <w:sz w:val="20"/>
          <w:lang w:val="en-US"/>
        </w:rPr>
        <w:t>.</w:t>
      </w:r>
      <w:r>
        <w:rPr>
          <w:color w:val="000000" w:themeColor="text1"/>
          <w:sz w:val="20"/>
          <w:lang w:val="en-US"/>
        </w:rPr>
        <w:t xml:space="preserve"> Summary of gross primary production (GPP) and ecosystem respiration (ER) rates and production/respiration (P/R) ratios for </w:t>
      </w:r>
      <w:r w:rsidR="0052638F">
        <w:rPr>
          <w:color w:val="000000" w:themeColor="text1"/>
          <w:sz w:val="20"/>
          <w:lang w:val="en-US"/>
        </w:rPr>
        <w:t xml:space="preserve">six sites in </w:t>
      </w:r>
      <w:r>
        <w:rPr>
          <w:color w:val="000000" w:themeColor="text1"/>
          <w:sz w:val="20"/>
          <w:lang w:val="en-US"/>
        </w:rPr>
        <w:t xml:space="preserve">the </w:t>
      </w:r>
      <w:r w:rsidR="0052638F">
        <w:rPr>
          <w:color w:val="000000" w:themeColor="text1"/>
          <w:sz w:val="20"/>
          <w:lang w:val="en-US"/>
        </w:rPr>
        <w:t>four hydrological zones</w:t>
      </w:r>
      <w:r>
        <w:rPr>
          <w:color w:val="000000" w:themeColor="text1"/>
          <w:sz w:val="20"/>
          <w:lang w:val="en-US"/>
        </w:rPr>
        <w:t>, August 2014 to March 2015.</w:t>
      </w:r>
    </w:p>
    <w:tbl>
      <w:tblPr>
        <w:tblW w:w="9356" w:type="dxa"/>
        <w:tblCellMar>
          <w:left w:w="0" w:type="dxa"/>
          <w:right w:w="0" w:type="dxa"/>
        </w:tblCellMar>
        <w:tblLook w:val="04A0"/>
      </w:tblPr>
      <w:tblGrid>
        <w:gridCol w:w="2400"/>
        <w:gridCol w:w="1843"/>
        <w:gridCol w:w="2845"/>
        <w:gridCol w:w="2268"/>
      </w:tblGrid>
      <w:tr w:rsidR="00A2129C" w:rsidRPr="00C63881" w:rsidTr="0052638F">
        <w:tc>
          <w:tcPr>
            <w:tcW w:w="2400" w:type="dxa"/>
            <w:tcBorders>
              <w:top w:val="single" w:sz="4" w:space="0" w:color="auto"/>
              <w:bottom w:val="single" w:sz="4" w:space="0" w:color="auto"/>
            </w:tcBorders>
            <w:shd w:val="clear" w:color="auto" w:fill="D6E3BC" w:themeFill="accent3" w:themeFillTint="66"/>
            <w:tcMar>
              <w:top w:w="0" w:type="dxa"/>
              <w:left w:w="108" w:type="dxa"/>
              <w:bottom w:w="0" w:type="dxa"/>
              <w:right w:w="108" w:type="dxa"/>
            </w:tcMar>
            <w:hideMark/>
          </w:tcPr>
          <w:p w:rsidR="00A2129C" w:rsidRPr="00A2129C" w:rsidRDefault="00A2129C" w:rsidP="00A2129C">
            <w:pPr>
              <w:spacing w:before="100" w:beforeAutospacing="1" w:after="100" w:afterAutospacing="1" w:line="240" w:lineRule="auto"/>
              <w:jc w:val="left"/>
              <w:rPr>
                <w:rFonts w:ascii="Times New Roman" w:eastAsia="Times New Roman" w:hAnsi="Times New Roman"/>
                <w:color w:val="000000" w:themeColor="text1"/>
                <w:sz w:val="24"/>
                <w:szCs w:val="24"/>
                <w:lang w:eastAsia="zh-CN"/>
              </w:rPr>
            </w:pPr>
            <w:r w:rsidRPr="00A2129C">
              <w:rPr>
                <w:rFonts w:eastAsia="Times New Roman"/>
                <w:b/>
                <w:bCs/>
                <w:color w:val="000000" w:themeColor="text1"/>
                <w:szCs w:val="22"/>
                <w:lang w:eastAsia="zh-CN"/>
              </w:rPr>
              <w:t>Hydrological zone</w:t>
            </w:r>
          </w:p>
        </w:tc>
        <w:tc>
          <w:tcPr>
            <w:tcW w:w="1843" w:type="dxa"/>
            <w:tcBorders>
              <w:top w:val="single" w:sz="4" w:space="0" w:color="auto"/>
              <w:bottom w:val="single" w:sz="4" w:space="0" w:color="auto"/>
            </w:tcBorders>
            <w:shd w:val="clear" w:color="auto" w:fill="D6E3BC" w:themeFill="accent3" w:themeFillTint="66"/>
            <w:tcMar>
              <w:top w:w="0" w:type="dxa"/>
              <w:left w:w="108" w:type="dxa"/>
              <w:bottom w:w="0" w:type="dxa"/>
              <w:right w:w="108" w:type="dxa"/>
            </w:tcMar>
            <w:hideMark/>
          </w:tcPr>
          <w:p w:rsidR="00A2129C" w:rsidRPr="00A2129C" w:rsidRDefault="00A2129C" w:rsidP="00A2129C">
            <w:pPr>
              <w:spacing w:before="100" w:beforeAutospacing="1" w:after="100" w:afterAutospacing="1" w:line="240" w:lineRule="auto"/>
              <w:jc w:val="left"/>
              <w:rPr>
                <w:rFonts w:ascii="Times New Roman" w:eastAsia="Times New Roman" w:hAnsi="Times New Roman"/>
                <w:color w:val="000000" w:themeColor="text1"/>
                <w:sz w:val="24"/>
                <w:szCs w:val="24"/>
                <w:lang w:eastAsia="zh-CN"/>
              </w:rPr>
            </w:pPr>
            <w:r w:rsidRPr="00A2129C">
              <w:rPr>
                <w:rFonts w:eastAsia="Times New Roman"/>
                <w:b/>
                <w:bCs/>
                <w:color w:val="000000" w:themeColor="text1"/>
                <w:szCs w:val="22"/>
                <w:lang w:eastAsia="zh-CN"/>
              </w:rPr>
              <w:t>Watering action</w:t>
            </w:r>
          </w:p>
        </w:tc>
        <w:tc>
          <w:tcPr>
            <w:tcW w:w="2845" w:type="dxa"/>
            <w:tcBorders>
              <w:top w:val="single" w:sz="4" w:space="0" w:color="auto"/>
              <w:bottom w:val="single" w:sz="4" w:space="0" w:color="auto"/>
            </w:tcBorders>
            <w:shd w:val="clear" w:color="auto" w:fill="D6E3BC" w:themeFill="accent3" w:themeFillTint="66"/>
            <w:tcMar>
              <w:top w:w="0" w:type="dxa"/>
              <w:left w:w="108" w:type="dxa"/>
              <w:bottom w:w="0" w:type="dxa"/>
              <w:right w:w="108" w:type="dxa"/>
            </w:tcMar>
            <w:hideMark/>
          </w:tcPr>
          <w:p w:rsidR="00A2129C" w:rsidRPr="00A2129C" w:rsidRDefault="00A2129C" w:rsidP="00A2129C">
            <w:pPr>
              <w:spacing w:before="100" w:beforeAutospacing="1" w:after="100" w:afterAutospacing="1" w:line="240" w:lineRule="auto"/>
              <w:jc w:val="left"/>
              <w:rPr>
                <w:rFonts w:ascii="Times New Roman" w:eastAsia="Times New Roman" w:hAnsi="Times New Roman"/>
                <w:color w:val="000000" w:themeColor="text1"/>
                <w:sz w:val="24"/>
                <w:szCs w:val="24"/>
                <w:lang w:eastAsia="zh-CN"/>
              </w:rPr>
            </w:pPr>
            <w:r w:rsidRPr="00A2129C">
              <w:rPr>
                <w:rFonts w:eastAsia="Times New Roman"/>
                <w:b/>
                <w:bCs/>
                <w:color w:val="000000" w:themeColor="text1"/>
                <w:szCs w:val="22"/>
                <w:lang w:eastAsia="zh-CN"/>
              </w:rPr>
              <w:t xml:space="preserve">Upstream </w:t>
            </w:r>
            <w:r w:rsidRPr="00984CDE">
              <w:rPr>
                <w:rFonts w:eastAsia="Times New Roman"/>
                <w:b/>
                <w:bCs/>
                <w:color w:val="000000" w:themeColor="text1"/>
                <w:szCs w:val="22"/>
                <w:shd w:val="clear" w:color="auto" w:fill="D6E3BC" w:themeFill="accent3" w:themeFillTint="66"/>
                <w:lang w:eastAsia="zh-CN"/>
              </w:rPr>
              <w:t>logger</w:t>
            </w:r>
          </w:p>
        </w:tc>
        <w:tc>
          <w:tcPr>
            <w:tcW w:w="2268" w:type="dxa"/>
            <w:tcBorders>
              <w:top w:val="single" w:sz="4" w:space="0" w:color="auto"/>
              <w:bottom w:val="single" w:sz="4" w:space="0" w:color="auto"/>
            </w:tcBorders>
            <w:shd w:val="clear" w:color="auto" w:fill="D6E3BC" w:themeFill="accent3" w:themeFillTint="66"/>
            <w:tcMar>
              <w:top w:w="0" w:type="dxa"/>
              <w:left w:w="108" w:type="dxa"/>
              <w:bottom w:w="0" w:type="dxa"/>
              <w:right w:w="108" w:type="dxa"/>
            </w:tcMar>
            <w:hideMark/>
          </w:tcPr>
          <w:p w:rsidR="00A2129C" w:rsidRPr="00A2129C" w:rsidRDefault="00A2129C" w:rsidP="00A2129C">
            <w:pPr>
              <w:spacing w:before="100" w:beforeAutospacing="1" w:after="100" w:afterAutospacing="1" w:line="240" w:lineRule="auto"/>
              <w:jc w:val="left"/>
              <w:rPr>
                <w:rFonts w:ascii="Times New Roman" w:eastAsia="Times New Roman" w:hAnsi="Times New Roman"/>
                <w:color w:val="000000" w:themeColor="text1"/>
                <w:sz w:val="24"/>
                <w:szCs w:val="24"/>
                <w:lang w:eastAsia="zh-CN"/>
              </w:rPr>
            </w:pPr>
            <w:r w:rsidRPr="00A2129C">
              <w:rPr>
                <w:rFonts w:eastAsia="Times New Roman"/>
                <w:b/>
                <w:bCs/>
                <w:color w:val="000000" w:themeColor="text1"/>
                <w:szCs w:val="22"/>
                <w:lang w:eastAsia="zh-CN"/>
              </w:rPr>
              <w:t>Downstream logger</w:t>
            </w:r>
          </w:p>
        </w:tc>
      </w:tr>
      <w:tr w:rsidR="00A2129C" w:rsidRPr="00C63881" w:rsidTr="0052638F">
        <w:tc>
          <w:tcPr>
            <w:tcW w:w="2400" w:type="dxa"/>
            <w:tcBorders>
              <w:top w:val="single" w:sz="4" w:space="0" w:color="auto"/>
            </w:tcBorders>
            <w:shd w:val="clear" w:color="auto" w:fill="auto"/>
            <w:tcMar>
              <w:top w:w="0" w:type="dxa"/>
              <w:left w:w="108" w:type="dxa"/>
              <w:bottom w:w="0" w:type="dxa"/>
              <w:right w:w="108" w:type="dxa"/>
            </w:tcMar>
            <w:hideMark/>
          </w:tcPr>
          <w:p w:rsidR="00A2129C" w:rsidRPr="00A2129C" w:rsidRDefault="00A2129C" w:rsidP="00A2129C">
            <w:pPr>
              <w:spacing w:after="0" w:line="240" w:lineRule="auto"/>
              <w:jc w:val="left"/>
              <w:rPr>
                <w:rFonts w:ascii="Times New Roman" w:eastAsia="Times New Roman" w:hAnsi="Times New Roman"/>
                <w:color w:val="000000" w:themeColor="text1"/>
                <w:sz w:val="24"/>
                <w:szCs w:val="24"/>
                <w:lang w:eastAsia="zh-CN"/>
              </w:rPr>
            </w:pPr>
            <w:r w:rsidRPr="00A2129C">
              <w:rPr>
                <w:rFonts w:eastAsia="Times New Roman"/>
                <w:b/>
                <w:bCs/>
                <w:color w:val="000000" w:themeColor="text1"/>
                <w:szCs w:val="22"/>
                <w:lang w:eastAsia="zh-CN"/>
              </w:rPr>
              <w:t>1</w:t>
            </w:r>
            <w:r w:rsidRPr="00A2129C">
              <w:rPr>
                <w:rFonts w:eastAsia="Times New Roman"/>
                <w:color w:val="000000" w:themeColor="text1"/>
                <w:szCs w:val="22"/>
                <w:lang w:eastAsia="zh-CN"/>
              </w:rPr>
              <w:t xml:space="preserve"> Yallakool Creek</w:t>
            </w:r>
          </w:p>
        </w:tc>
        <w:tc>
          <w:tcPr>
            <w:tcW w:w="1843" w:type="dxa"/>
            <w:tcBorders>
              <w:top w:val="single" w:sz="4" w:space="0" w:color="auto"/>
            </w:tcBorders>
            <w:shd w:val="clear" w:color="auto" w:fill="auto"/>
            <w:tcMar>
              <w:top w:w="0" w:type="dxa"/>
              <w:left w:w="108" w:type="dxa"/>
              <w:bottom w:w="0" w:type="dxa"/>
              <w:right w:w="108" w:type="dxa"/>
            </w:tcMar>
            <w:hideMark/>
          </w:tcPr>
          <w:p w:rsidR="00A2129C" w:rsidRPr="00A2129C" w:rsidRDefault="00A2129C" w:rsidP="00A2129C">
            <w:pPr>
              <w:spacing w:after="0" w:line="240" w:lineRule="auto"/>
              <w:jc w:val="left"/>
              <w:rPr>
                <w:rFonts w:eastAsia="Times New Roman"/>
                <w:color w:val="000000" w:themeColor="text1"/>
                <w:szCs w:val="22"/>
                <w:lang w:eastAsia="zh-CN"/>
              </w:rPr>
            </w:pPr>
            <w:r w:rsidRPr="00A2129C">
              <w:rPr>
                <w:rFonts w:eastAsia="Times New Roman"/>
                <w:color w:val="000000" w:themeColor="text1"/>
                <w:szCs w:val="22"/>
                <w:lang w:eastAsia="zh-CN"/>
              </w:rPr>
              <w:t>Yallakool Creek watering action</w:t>
            </w:r>
          </w:p>
          <w:p w:rsidR="00A2129C" w:rsidRPr="00A2129C" w:rsidRDefault="00A2129C" w:rsidP="00A2129C">
            <w:pPr>
              <w:spacing w:after="0" w:line="240" w:lineRule="auto"/>
              <w:jc w:val="left"/>
              <w:rPr>
                <w:rFonts w:ascii="Times New Roman" w:eastAsia="Times New Roman" w:hAnsi="Times New Roman"/>
                <w:color w:val="000000" w:themeColor="text1"/>
                <w:sz w:val="24"/>
                <w:szCs w:val="24"/>
                <w:lang w:eastAsia="zh-CN"/>
              </w:rPr>
            </w:pPr>
          </w:p>
        </w:tc>
        <w:tc>
          <w:tcPr>
            <w:tcW w:w="2845" w:type="dxa"/>
            <w:tcBorders>
              <w:top w:val="single" w:sz="4" w:space="0" w:color="auto"/>
            </w:tcBorders>
            <w:shd w:val="clear" w:color="auto" w:fill="auto"/>
            <w:tcMar>
              <w:top w:w="0" w:type="dxa"/>
              <w:left w:w="108" w:type="dxa"/>
              <w:bottom w:w="0" w:type="dxa"/>
              <w:right w:w="108" w:type="dxa"/>
            </w:tcMar>
            <w:hideMark/>
          </w:tcPr>
          <w:p w:rsidR="00A2129C" w:rsidRPr="00A2129C" w:rsidRDefault="009F4D23" w:rsidP="00A2129C">
            <w:pPr>
              <w:spacing w:after="0" w:line="240" w:lineRule="auto"/>
              <w:jc w:val="left"/>
              <w:rPr>
                <w:rFonts w:ascii="Times New Roman" w:eastAsia="Times New Roman" w:hAnsi="Times New Roman"/>
                <w:color w:val="000000" w:themeColor="text1"/>
                <w:sz w:val="24"/>
                <w:szCs w:val="24"/>
                <w:lang w:eastAsia="zh-CN"/>
              </w:rPr>
            </w:pPr>
            <w:r>
              <w:rPr>
                <w:rFonts w:eastAsia="Times New Roman"/>
                <w:color w:val="000000" w:themeColor="text1"/>
                <w:szCs w:val="22"/>
                <w:lang w:eastAsia="zh-CN"/>
              </w:rPr>
              <w:t>z</w:t>
            </w:r>
            <w:r w:rsidR="00A2129C" w:rsidRPr="00A2129C">
              <w:rPr>
                <w:rFonts w:eastAsia="Times New Roman"/>
                <w:color w:val="000000" w:themeColor="text1"/>
                <w:szCs w:val="22"/>
                <w:lang w:eastAsia="zh-CN"/>
              </w:rPr>
              <w:t>one 1 site 1</w:t>
            </w:r>
          </w:p>
        </w:tc>
        <w:tc>
          <w:tcPr>
            <w:tcW w:w="2268" w:type="dxa"/>
            <w:tcBorders>
              <w:top w:val="single" w:sz="4" w:space="0" w:color="auto"/>
            </w:tcBorders>
            <w:shd w:val="clear" w:color="auto" w:fill="auto"/>
            <w:tcMar>
              <w:top w:w="0" w:type="dxa"/>
              <w:left w:w="108" w:type="dxa"/>
              <w:bottom w:w="0" w:type="dxa"/>
              <w:right w:w="108" w:type="dxa"/>
            </w:tcMar>
            <w:hideMark/>
          </w:tcPr>
          <w:p w:rsidR="00A2129C" w:rsidRPr="00A2129C" w:rsidRDefault="009F4D23" w:rsidP="00A2129C">
            <w:pPr>
              <w:spacing w:after="0" w:line="240" w:lineRule="auto"/>
              <w:jc w:val="left"/>
              <w:rPr>
                <w:rFonts w:ascii="Times New Roman" w:eastAsia="Times New Roman" w:hAnsi="Times New Roman"/>
                <w:color w:val="000000" w:themeColor="text1"/>
                <w:sz w:val="24"/>
                <w:szCs w:val="24"/>
                <w:lang w:eastAsia="zh-CN"/>
              </w:rPr>
            </w:pPr>
            <w:r>
              <w:rPr>
                <w:rFonts w:eastAsia="Times New Roman"/>
                <w:color w:val="000000" w:themeColor="text1"/>
                <w:szCs w:val="22"/>
                <w:lang w:eastAsia="zh-CN"/>
              </w:rPr>
              <w:t>z</w:t>
            </w:r>
            <w:r w:rsidR="00A2129C" w:rsidRPr="00A2129C">
              <w:rPr>
                <w:rFonts w:eastAsia="Times New Roman"/>
                <w:color w:val="000000" w:themeColor="text1"/>
                <w:szCs w:val="22"/>
                <w:lang w:eastAsia="zh-CN"/>
              </w:rPr>
              <w:t>one 1 site 5</w:t>
            </w:r>
          </w:p>
        </w:tc>
      </w:tr>
      <w:tr w:rsidR="00A2129C" w:rsidRPr="00C63881" w:rsidTr="0052638F">
        <w:tc>
          <w:tcPr>
            <w:tcW w:w="2400" w:type="dxa"/>
            <w:shd w:val="clear" w:color="auto" w:fill="auto"/>
            <w:tcMar>
              <w:top w:w="0" w:type="dxa"/>
              <w:left w:w="108" w:type="dxa"/>
              <w:bottom w:w="0" w:type="dxa"/>
              <w:right w:w="108" w:type="dxa"/>
            </w:tcMar>
            <w:hideMark/>
          </w:tcPr>
          <w:p w:rsidR="00A2129C" w:rsidRPr="00A2129C" w:rsidRDefault="00A2129C" w:rsidP="00A2129C">
            <w:pPr>
              <w:spacing w:after="0" w:line="240" w:lineRule="auto"/>
              <w:jc w:val="left"/>
              <w:rPr>
                <w:rFonts w:ascii="Times New Roman" w:eastAsia="Times New Roman" w:hAnsi="Times New Roman"/>
                <w:color w:val="000000" w:themeColor="text1"/>
                <w:sz w:val="24"/>
                <w:szCs w:val="24"/>
                <w:lang w:eastAsia="zh-CN"/>
              </w:rPr>
            </w:pPr>
            <w:r w:rsidRPr="00A2129C">
              <w:rPr>
                <w:rFonts w:eastAsia="Times New Roman"/>
                <w:b/>
                <w:bCs/>
                <w:color w:val="000000" w:themeColor="text1"/>
                <w:szCs w:val="22"/>
                <w:lang w:eastAsia="zh-CN"/>
              </w:rPr>
              <w:t>2</w:t>
            </w:r>
            <w:r w:rsidRPr="00A2129C">
              <w:rPr>
                <w:rFonts w:eastAsia="Times New Roman"/>
                <w:color w:val="000000" w:themeColor="text1"/>
                <w:szCs w:val="22"/>
                <w:lang w:eastAsia="zh-CN"/>
              </w:rPr>
              <w:t xml:space="preserve"> Wakool River</w:t>
            </w:r>
          </w:p>
        </w:tc>
        <w:tc>
          <w:tcPr>
            <w:tcW w:w="1843" w:type="dxa"/>
            <w:shd w:val="clear" w:color="auto" w:fill="auto"/>
            <w:tcMar>
              <w:top w:w="0" w:type="dxa"/>
              <w:left w:w="108" w:type="dxa"/>
              <w:bottom w:w="0" w:type="dxa"/>
              <w:right w:w="108" w:type="dxa"/>
            </w:tcMar>
            <w:hideMark/>
          </w:tcPr>
          <w:p w:rsidR="00A2129C" w:rsidRDefault="0052638F" w:rsidP="00A2129C">
            <w:pPr>
              <w:spacing w:after="0" w:line="240" w:lineRule="auto"/>
              <w:jc w:val="left"/>
              <w:rPr>
                <w:rFonts w:eastAsia="Times New Roman"/>
                <w:color w:val="000000" w:themeColor="text1"/>
                <w:szCs w:val="22"/>
                <w:lang w:eastAsia="zh-CN"/>
              </w:rPr>
            </w:pPr>
            <w:r>
              <w:rPr>
                <w:rFonts w:eastAsia="Times New Roman"/>
                <w:color w:val="000000" w:themeColor="text1"/>
                <w:szCs w:val="22"/>
                <w:lang w:eastAsia="zh-CN"/>
              </w:rPr>
              <w:t xml:space="preserve">no environmental </w:t>
            </w:r>
            <w:r w:rsidR="00A2129C" w:rsidRPr="00A2129C">
              <w:rPr>
                <w:rFonts w:eastAsia="Times New Roman"/>
                <w:color w:val="000000" w:themeColor="text1"/>
                <w:szCs w:val="22"/>
                <w:lang w:eastAsia="zh-CN"/>
              </w:rPr>
              <w:t>water</w:t>
            </w:r>
          </w:p>
          <w:p w:rsidR="0052638F" w:rsidRPr="00A2129C" w:rsidRDefault="0052638F" w:rsidP="00A2129C">
            <w:pPr>
              <w:spacing w:after="0" w:line="240" w:lineRule="auto"/>
              <w:jc w:val="left"/>
              <w:rPr>
                <w:rFonts w:ascii="Times New Roman" w:eastAsia="Times New Roman" w:hAnsi="Times New Roman"/>
                <w:color w:val="000000" w:themeColor="text1"/>
                <w:sz w:val="24"/>
                <w:szCs w:val="24"/>
                <w:lang w:eastAsia="zh-CN"/>
              </w:rPr>
            </w:pPr>
          </w:p>
        </w:tc>
        <w:tc>
          <w:tcPr>
            <w:tcW w:w="2845" w:type="dxa"/>
            <w:shd w:val="clear" w:color="auto" w:fill="auto"/>
            <w:tcMar>
              <w:top w:w="0" w:type="dxa"/>
              <w:left w:w="108" w:type="dxa"/>
              <w:bottom w:w="0" w:type="dxa"/>
              <w:right w:w="108" w:type="dxa"/>
            </w:tcMar>
            <w:hideMark/>
          </w:tcPr>
          <w:p w:rsidR="00A2129C" w:rsidRPr="00A2129C" w:rsidRDefault="00A2129C" w:rsidP="00A2129C">
            <w:pPr>
              <w:spacing w:after="0" w:line="240" w:lineRule="auto"/>
              <w:jc w:val="left"/>
              <w:rPr>
                <w:rFonts w:ascii="Times New Roman" w:eastAsia="Times New Roman" w:hAnsi="Times New Roman"/>
                <w:color w:val="000000" w:themeColor="text1"/>
                <w:sz w:val="24"/>
                <w:szCs w:val="24"/>
                <w:lang w:eastAsia="zh-CN"/>
              </w:rPr>
            </w:pPr>
            <w:r w:rsidRPr="00A2129C">
              <w:rPr>
                <w:rFonts w:eastAsia="Times New Roman"/>
                <w:color w:val="000000" w:themeColor="text1"/>
                <w:szCs w:val="22"/>
                <w:lang w:eastAsia="zh-CN"/>
              </w:rPr>
              <w:t>No logger available *</w:t>
            </w:r>
          </w:p>
        </w:tc>
        <w:tc>
          <w:tcPr>
            <w:tcW w:w="2268" w:type="dxa"/>
            <w:shd w:val="clear" w:color="auto" w:fill="auto"/>
            <w:tcMar>
              <w:top w:w="0" w:type="dxa"/>
              <w:left w:w="108" w:type="dxa"/>
              <w:bottom w:w="0" w:type="dxa"/>
              <w:right w:w="108" w:type="dxa"/>
            </w:tcMar>
            <w:hideMark/>
          </w:tcPr>
          <w:p w:rsidR="00A2129C" w:rsidRPr="00A2129C" w:rsidRDefault="009F4D23" w:rsidP="00A2129C">
            <w:pPr>
              <w:spacing w:after="0" w:line="240" w:lineRule="auto"/>
              <w:jc w:val="left"/>
              <w:rPr>
                <w:rFonts w:eastAsia="Times New Roman"/>
                <w:color w:val="000000" w:themeColor="text1"/>
                <w:szCs w:val="22"/>
                <w:lang w:eastAsia="zh-CN"/>
              </w:rPr>
            </w:pPr>
            <w:r>
              <w:rPr>
                <w:rFonts w:eastAsia="Times New Roman"/>
                <w:color w:val="000000" w:themeColor="text1"/>
                <w:szCs w:val="22"/>
                <w:lang w:eastAsia="zh-CN"/>
              </w:rPr>
              <w:t>z</w:t>
            </w:r>
            <w:r w:rsidR="00A2129C" w:rsidRPr="00A2129C">
              <w:rPr>
                <w:rFonts w:eastAsia="Times New Roman"/>
                <w:color w:val="000000" w:themeColor="text1"/>
                <w:szCs w:val="22"/>
                <w:lang w:eastAsia="zh-CN"/>
              </w:rPr>
              <w:t>one 2 site 4</w:t>
            </w:r>
          </w:p>
          <w:p w:rsidR="00A2129C" w:rsidRPr="00A2129C" w:rsidRDefault="00A2129C" w:rsidP="00A2129C">
            <w:pPr>
              <w:spacing w:after="0" w:line="240" w:lineRule="auto"/>
              <w:jc w:val="left"/>
              <w:rPr>
                <w:rFonts w:ascii="Times New Roman" w:eastAsia="Times New Roman" w:hAnsi="Times New Roman"/>
                <w:color w:val="000000" w:themeColor="text1"/>
                <w:sz w:val="24"/>
                <w:szCs w:val="24"/>
                <w:lang w:eastAsia="zh-CN"/>
              </w:rPr>
            </w:pPr>
          </w:p>
        </w:tc>
      </w:tr>
      <w:tr w:rsidR="00A2129C" w:rsidRPr="00C63881" w:rsidTr="0052638F">
        <w:tc>
          <w:tcPr>
            <w:tcW w:w="2400" w:type="dxa"/>
            <w:shd w:val="clear" w:color="auto" w:fill="auto"/>
            <w:tcMar>
              <w:top w:w="0" w:type="dxa"/>
              <w:left w:w="108" w:type="dxa"/>
              <w:bottom w:w="0" w:type="dxa"/>
              <w:right w:w="108" w:type="dxa"/>
            </w:tcMar>
            <w:hideMark/>
          </w:tcPr>
          <w:p w:rsidR="00A2129C" w:rsidRPr="00A2129C" w:rsidRDefault="00A2129C" w:rsidP="00A2129C">
            <w:pPr>
              <w:spacing w:after="0" w:line="240" w:lineRule="auto"/>
              <w:jc w:val="left"/>
              <w:rPr>
                <w:rFonts w:ascii="Times New Roman" w:eastAsia="Times New Roman" w:hAnsi="Times New Roman"/>
                <w:color w:val="000000" w:themeColor="text1"/>
                <w:sz w:val="24"/>
                <w:szCs w:val="24"/>
                <w:lang w:eastAsia="zh-CN"/>
              </w:rPr>
            </w:pPr>
            <w:r w:rsidRPr="00A2129C">
              <w:rPr>
                <w:rFonts w:eastAsia="Times New Roman"/>
                <w:b/>
                <w:bCs/>
                <w:color w:val="000000" w:themeColor="text1"/>
                <w:szCs w:val="22"/>
                <w:lang w:eastAsia="zh-CN"/>
              </w:rPr>
              <w:t>3</w:t>
            </w:r>
            <w:r w:rsidRPr="00A2129C">
              <w:rPr>
                <w:rFonts w:eastAsia="Times New Roman"/>
                <w:color w:val="000000" w:themeColor="text1"/>
                <w:szCs w:val="22"/>
                <w:lang w:eastAsia="zh-CN"/>
              </w:rPr>
              <w:t xml:space="preserve"> Wakool River upstream Thule Creek</w:t>
            </w:r>
          </w:p>
        </w:tc>
        <w:tc>
          <w:tcPr>
            <w:tcW w:w="1843" w:type="dxa"/>
            <w:shd w:val="clear" w:color="auto" w:fill="auto"/>
            <w:tcMar>
              <w:top w:w="0" w:type="dxa"/>
              <w:left w:w="108" w:type="dxa"/>
              <w:bottom w:w="0" w:type="dxa"/>
              <w:right w:w="108" w:type="dxa"/>
            </w:tcMar>
            <w:hideMark/>
          </w:tcPr>
          <w:p w:rsidR="00A2129C" w:rsidRPr="00A2129C" w:rsidRDefault="00A2129C" w:rsidP="00A2129C">
            <w:pPr>
              <w:spacing w:after="0" w:line="240" w:lineRule="auto"/>
              <w:jc w:val="left"/>
              <w:rPr>
                <w:rFonts w:ascii="Times New Roman" w:eastAsia="Times New Roman" w:hAnsi="Times New Roman"/>
                <w:color w:val="000000" w:themeColor="text1"/>
                <w:sz w:val="24"/>
                <w:szCs w:val="24"/>
                <w:lang w:eastAsia="zh-CN"/>
              </w:rPr>
            </w:pPr>
            <w:r w:rsidRPr="00A2129C">
              <w:rPr>
                <w:rFonts w:eastAsia="Times New Roman"/>
                <w:color w:val="000000" w:themeColor="text1"/>
                <w:szCs w:val="22"/>
                <w:lang w:eastAsia="zh-CN"/>
              </w:rPr>
              <w:t>Yallakool Creek watering action</w:t>
            </w:r>
          </w:p>
        </w:tc>
        <w:tc>
          <w:tcPr>
            <w:tcW w:w="2845" w:type="dxa"/>
            <w:shd w:val="clear" w:color="auto" w:fill="auto"/>
            <w:tcMar>
              <w:top w:w="0" w:type="dxa"/>
              <w:left w:w="108" w:type="dxa"/>
              <w:bottom w:w="0" w:type="dxa"/>
              <w:right w:w="108" w:type="dxa"/>
            </w:tcMar>
            <w:hideMark/>
          </w:tcPr>
          <w:p w:rsidR="00A2129C" w:rsidRPr="00A2129C" w:rsidRDefault="00A2129C" w:rsidP="00A2129C">
            <w:pPr>
              <w:spacing w:after="0" w:line="240" w:lineRule="auto"/>
              <w:jc w:val="left"/>
              <w:rPr>
                <w:rFonts w:eastAsia="Times New Roman"/>
                <w:color w:val="000000" w:themeColor="text1"/>
                <w:szCs w:val="22"/>
                <w:lang w:eastAsia="zh-CN"/>
              </w:rPr>
            </w:pPr>
            <w:r w:rsidRPr="00A2129C">
              <w:rPr>
                <w:rFonts w:eastAsia="Times New Roman"/>
                <w:color w:val="000000" w:themeColor="text1"/>
                <w:szCs w:val="22"/>
                <w:lang w:eastAsia="zh-CN"/>
              </w:rPr>
              <w:t>No logger installed, but future analysis may use zone 1 site 5 as a proxy because it also received e-water and had a similar hydrograph to zone 3 site 1</w:t>
            </w:r>
          </w:p>
          <w:p w:rsidR="00A2129C" w:rsidRPr="00A2129C" w:rsidRDefault="00A2129C" w:rsidP="00A2129C">
            <w:pPr>
              <w:spacing w:after="0" w:line="240" w:lineRule="auto"/>
              <w:jc w:val="left"/>
              <w:rPr>
                <w:rFonts w:ascii="Times New Roman" w:eastAsia="Times New Roman" w:hAnsi="Times New Roman"/>
                <w:color w:val="000000" w:themeColor="text1"/>
                <w:sz w:val="24"/>
                <w:szCs w:val="24"/>
                <w:lang w:eastAsia="zh-CN"/>
              </w:rPr>
            </w:pPr>
          </w:p>
        </w:tc>
        <w:tc>
          <w:tcPr>
            <w:tcW w:w="2268" w:type="dxa"/>
            <w:shd w:val="clear" w:color="auto" w:fill="auto"/>
            <w:tcMar>
              <w:top w:w="0" w:type="dxa"/>
              <w:left w:w="108" w:type="dxa"/>
              <w:bottom w:w="0" w:type="dxa"/>
              <w:right w:w="108" w:type="dxa"/>
            </w:tcMar>
            <w:hideMark/>
          </w:tcPr>
          <w:p w:rsidR="00A2129C" w:rsidRPr="00A2129C" w:rsidRDefault="009F4D23" w:rsidP="00A2129C">
            <w:pPr>
              <w:spacing w:after="0" w:line="240" w:lineRule="auto"/>
              <w:jc w:val="left"/>
              <w:rPr>
                <w:rFonts w:ascii="Times New Roman" w:eastAsia="Times New Roman" w:hAnsi="Times New Roman"/>
                <w:color w:val="000000" w:themeColor="text1"/>
                <w:sz w:val="24"/>
                <w:szCs w:val="24"/>
                <w:lang w:eastAsia="zh-CN"/>
              </w:rPr>
            </w:pPr>
            <w:r>
              <w:rPr>
                <w:rFonts w:eastAsia="Times New Roman"/>
                <w:color w:val="000000" w:themeColor="text1"/>
                <w:szCs w:val="22"/>
                <w:lang w:eastAsia="zh-CN"/>
              </w:rPr>
              <w:t>z</w:t>
            </w:r>
            <w:r w:rsidR="00A2129C" w:rsidRPr="00A2129C">
              <w:rPr>
                <w:rFonts w:eastAsia="Times New Roman"/>
                <w:color w:val="000000" w:themeColor="text1"/>
                <w:szCs w:val="22"/>
                <w:lang w:eastAsia="zh-CN"/>
              </w:rPr>
              <w:t>one 3 site 5</w:t>
            </w:r>
          </w:p>
        </w:tc>
      </w:tr>
      <w:tr w:rsidR="00A2129C" w:rsidRPr="00C63881" w:rsidTr="0052638F">
        <w:tc>
          <w:tcPr>
            <w:tcW w:w="2400" w:type="dxa"/>
            <w:tcBorders>
              <w:bottom w:val="single" w:sz="4" w:space="0" w:color="auto"/>
            </w:tcBorders>
            <w:shd w:val="clear" w:color="auto" w:fill="auto"/>
            <w:tcMar>
              <w:top w:w="0" w:type="dxa"/>
              <w:left w:w="108" w:type="dxa"/>
              <w:bottom w:w="0" w:type="dxa"/>
              <w:right w:w="108" w:type="dxa"/>
            </w:tcMar>
            <w:hideMark/>
          </w:tcPr>
          <w:p w:rsidR="00A2129C" w:rsidRPr="00A2129C" w:rsidRDefault="00A2129C" w:rsidP="00A2129C">
            <w:pPr>
              <w:spacing w:after="0" w:line="240" w:lineRule="auto"/>
              <w:jc w:val="left"/>
              <w:rPr>
                <w:rFonts w:ascii="Times New Roman" w:eastAsia="Times New Roman" w:hAnsi="Times New Roman"/>
                <w:color w:val="000000" w:themeColor="text1"/>
                <w:sz w:val="24"/>
                <w:szCs w:val="24"/>
                <w:lang w:eastAsia="zh-CN"/>
              </w:rPr>
            </w:pPr>
            <w:r w:rsidRPr="00A2129C">
              <w:rPr>
                <w:rFonts w:eastAsia="Times New Roman"/>
                <w:b/>
                <w:bCs/>
                <w:color w:val="000000" w:themeColor="text1"/>
                <w:szCs w:val="22"/>
                <w:lang w:eastAsia="zh-CN"/>
              </w:rPr>
              <w:t>4</w:t>
            </w:r>
            <w:r w:rsidRPr="00A2129C">
              <w:rPr>
                <w:rFonts w:eastAsia="Times New Roman"/>
                <w:color w:val="000000" w:themeColor="text1"/>
                <w:szCs w:val="22"/>
                <w:lang w:eastAsia="zh-CN"/>
              </w:rPr>
              <w:t xml:space="preserve"> Wakool River downstream Thule Creek</w:t>
            </w:r>
          </w:p>
        </w:tc>
        <w:tc>
          <w:tcPr>
            <w:tcW w:w="1843" w:type="dxa"/>
            <w:tcBorders>
              <w:bottom w:val="single" w:sz="4" w:space="0" w:color="auto"/>
            </w:tcBorders>
            <w:shd w:val="clear" w:color="auto" w:fill="auto"/>
            <w:tcMar>
              <w:top w:w="0" w:type="dxa"/>
              <w:left w:w="108" w:type="dxa"/>
              <w:bottom w:w="0" w:type="dxa"/>
              <w:right w:w="108" w:type="dxa"/>
            </w:tcMar>
            <w:hideMark/>
          </w:tcPr>
          <w:p w:rsidR="00A2129C" w:rsidRPr="00A2129C" w:rsidRDefault="00A2129C" w:rsidP="00A2129C">
            <w:pPr>
              <w:spacing w:after="0" w:line="240" w:lineRule="auto"/>
              <w:jc w:val="left"/>
              <w:rPr>
                <w:rFonts w:ascii="Times New Roman" w:eastAsia="Times New Roman" w:hAnsi="Times New Roman"/>
                <w:color w:val="000000" w:themeColor="text1"/>
                <w:sz w:val="24"/>
                <w:szCs w:val="24"/>
                <w:lang w:eastAsia="zh-CN"/>
              </w:rPr>
            </w:pPr>
            <w:r w:rsidRPr="00A2129C">
              <w:rPr>
                <w:rFonts w:eastAsia="Times New Roman"/>
                <w:color w:val="000000" w:themeColor="text1"/>
                <w:szCs w:val="22"/>
                <w:lang w:eastAsia="zh-CN"/>
              </w:rPr>
              <w:t>Yallakool Creek watering action</w:t>
            </w:r>
          </w:p>
        </w:tc>
        <w:tc>
          <w:tcPr>
            <w:tcW w:w="2845" w:type="dxa"/>
            <w:tcBorders>
              <w:bottom w:val="single" w:sz="4" w:space="0" w:color="auto"/>
            </w:tcBorders>
            <w:shd w:val="clear" w:color="auto" w:fill="auto"/>
            <w:tcMar>
              <w:top w:w="0" w:type="dxa"/>
              <w:left w:w="108" w:type="dxa"/>
              <w:bottom w:w="0" w:type="dxa"/>
              <w:right w:w="108" w:type="dxa"/>
            </w:tcMar>
            <w:hideMark/>
          </w:tcPr>
          <w:p w:rsidR="00A2129C" w:rsidRPr="00A2129C" w:rsidRDefault="009F4D23" w:rsidP="00A2129C">
            <w:pPr>
              <w:spacing w:after="0" w:line="240" w:lineRule="auto"/>
              <w:jc w:val="left"/>
              <w:rPr>
                <w:rFonts w:ascii="Times New Roman" w:eastAsia="Times New Roman" w:hAnsi="Times New Roman"/>
                <w:color w:val="000000" w:themeColor="text1"/>
                <w:sz w:val="24"/>
                <w:szCs w:val="24"/>
                <w:lang w:eastAsia="zh-CN"/>
              </w:rPr>
            </w:pPr>
            <w:r>
              <w:rPr>
                <w:rFonts w:eastAsia="Times New Roman"/>
                <w:color w:val="000000" w:themeColor="text1"/>
                <w:szCs w:val="22"/>
                <w:lang w:eastAsia="zh-CN"/>
              </w:rPr>
              <w:t>z</w:t>
            </w:r>
            <w:r w:rsidR="00A2129C" w:rsidRPr="00A2129C">
              <w:rPr>
                <w:rFonts w:eastAsia="Times New Roman"/>
                <w:color w:val="000000" w:themeColor="text1"/>
                <w:szCs w:val="22"/>
                <w:lang w:eastAsia="zh-CN"/>
              </w:rPr>
              <w:t>one 4 site 1</w:t>
            </w:r>
          </w:p>
        </w:tc>
        <w:tc>
          <w:tcPr>
            <w:tcW w:w="2268" w:type="dxa"/>
            <w:tcBorders>
              <w:bottom w:val="single" w:sz="4" w:space="0" w:color="auto"/>
            </w:tcBorders>
            <w:shd w:val="clear" w:color="auto" w:fill="auto"/>
            <w:tcMar>
              <w:top w:w="0" w:type="dxa"/>
              <w:left w:w="108" w:type="dxa"/>
              <w:bottom w:w="0" w:type="dxa"/>
              <w:right w:w="108" w:type="dxa"/>
            </w:tcMar>
            <w:hideMark/>
          </w:tcPr>
          <w:p w:rsidR="00A2129C" w:rsidRPr="00A2129C" w:rsidRDefault="009F4D23" w:rsidP="00A2129C">
            <w:pPr>
              <w:spacing w:after="0" w:line="240" w:lineRule="auto"/>
              <w:jc w:val="left"/>
              <w:rPr>
                <w:rFonts w:ascii="Times New Roman" w:eastAsia="Times New Roman" w:hAnsi="Times New Roman"/>
                <w:color w:val="000000" w:themeColor="text1"/>
                <w:sz w:val="24"/>
                <w:szCs w:val="24"/>
                <w:lang w:eastAsia="zh-CN"/>
              </w:rPr>
            </w:pPr>
            <w:r>
              <w:rPr>
                <w:rFonts w:eastAsia="Times New Roman"/>
                <w:color w:val="000000" w:themeColor="text1"/>
                <w:szCs w:val="22"/>
                <w:lang w:eastAsia="zh-CN"/>
              </w:rPr>
              <w:t>z</w:t>
            </w:r>
            <w:r w:rsidR="00A2129C" w:rsidRPr="00A2129C">
              <w:rPr>
                <w:rFonts w:eastAsia="Times New Roman"/>
                <w:color w:val="000000" w:themeColor="text1"/>
                <w:szCs w:val="22"/>
                <w:lang w:eastAsia="zh-CN"/>
              </w:rPr>
              <w:t>one 4 site 5</w:t>
            </w:r>
          </w:p>
        </w:tc>
      </w:tr>
    </w:tbl>
    <w:p w:rsidR="00A2129C" w:rsidRPr="00A2129C" w:rsidRDefault="00A2129C" w:rsidP="00A2129C">
      <w:pPr>
        <w:spacing w:after="0" w:line="240" w:lineRule="auto"/>
        <w:rPr>
          <w:sz w:val="20"/>
        </w:rPr>
      </w:pPr>
      <w:r w:rsidRPr="00A2129C">
        <w:rPr>
          <w:sz w:val="20"/>
        </w:rPr>
        <w:t>* Init</w:t>
      </w:r>
      <w:r w:rsidR="009F4D23">
        <w:rPr>
          <w:sz w:val="20"/>
        </w:rPr>
        <w:t>ially, it was anticipated that z</w:t>
      </w:r>
      <w:r w:rsidRPr="00A2129C">
        <w:rPr>
          <w:sz w:val="20"/>
        </w:rPr>
        <w:t>one 1, Site 5 could act as a</w:t>
      </w:r>
      <w:r w:rsidR="009F4D23">
        <w:rPr>
          <w:sz w:val="20"/>
        </w:rPr>
        <w:t>n upstream reference point for z</w:t>
      </w:r>
      <w:r w:rsidRPr="00A2129C">
        <w:rPr>
          <w:sz w:val="20"/>
        </w:rPr>
        <w:t>one 2 Site 4, but the much lower flows at the latter site mean that such analysis would be highly problematic.</w:t>
      </w:r>
    </w:p>
    <w:p w:rsidR="00A2129C" w:rsidRDefault="00A2129C" w:rsidP="000D7EE6">
      <w:pPr>
        <w:spacing w:after="200"/>
        <w:jc w:val="left"/>
      </w:pPr>
    </w:p>
    <w:p w:rsidR="00CB43DA" w:rsidRPr="00DA3E0D" w:rsidRDefault="00CB43DA" w:rsidP="00311640">
      <w:pPr>
        <w:spacing w:after="200"/>
        <w:jc w:val="left"/>
      </w:pPr>
      <w:r>
        <w:t>In accord with the LTIM Standard Protocol, w</w:t>
      </w:r>
      <w:r w:rsidRPr="00DA3E0D">
        <w:t>ater quality parameters (temperature (</w:t>
      </w:r>
      <w:r w:rsidRPr="00DA3E0D">
        <w:rPr>
          <w:vertAlign w:val="superscript"/>
        </w:rPr>
        <w:t>o</w:t>
      </w:r>
      <w:r w:rsidRPr="00DA3E0D">
        <w:t xml:space="preserve">C), </w:t>
      </w:r>
      <w:r>
        <w:t>electrical</w:t>
      </w:r>
      <w:r w:rsidRPr="00DA3E0D">
        <w:t xml:space="preserve"> conductivity (mS/cm), dissolved oxygen (%), pH, and turbidity (NTU)) were also measured as spot recordings fortnightly at two sites within each river reach.</w:t>
      </w:r>
      <w:r>
        <w:t xml:space="preserve"> </w:t>
      </w:r>
    </w:p>
    <w:p w:rsidR="00CB43DA" w:rsidRPr="00DA3E0D" w:rsidRDefault="00CB43DA" w:rsidP="00311640">
      <w:pPr>
        <w:spacing w:after="120"/>
        <w:ind w:right="-1"/>
        <w:jc w:val="left"/>
      </w:pPr>
      <w:r w:rsidRPr="00DA3E0D">
        <w:t xml:space="preserve">Water samples were collected from </w:t>
      </w:r>
      <w:r>
        <w:t>two sites within each zone, and from Stevens Weir on the Edward River and the Mulwala Canal,</w:t>
      </w:r>
      <w:r w:rsidRPr="00DA3E0D">
        <w:t xml:space="preserve"> </w:t>
      </w:r>
      <w:r>
        <w:t xml:space="preserve">and processed according </w:t>
      </w:r>
      <w:r w:rsidRPr="00DA3E0D">
        <w:t>to</w:t>
      </w:r>
      <w:r>
        <w:t xml:space="preserve"> the methods detailed in Watts et al. (2014) to</w:t>
      </w:r>
      <w:r w:rsidRPr="00DA3E0D">
        <w:t xml:space="preserve"> </w:t>
      </w:r>
      <w:r>
        <w:t>measure</w:t>
      </w:r>
      <w:r w:rsidRPr="00DA3E0D">
        <w:t>:</w:t>
      </w:r>
    </w:p>
    <w:p w:rsidR="00CB43DA" w:rsidRPr="00DA3E0D" w:rsidRDefault="00CB43DA" w:rsidP="00311640">
      <w:pPr>
        <w:pStyle w:val="ListParagraph"/>
        <w:numPr>
          <w:ilvl w:val="0"/>
          <w:numId w:val="28"/>
        </w:numPr>
        <w:spacing w:after="0"/>
        <w:ind w:left="714" w:hanging="357"/>
        <w:jc w:val="left"/>
      </w:pPr>
      <w:r w:rsidRPr="00DA3E0D">
        <w:t>Total Organic Carbon (TOC)</w:t>
      </w:r>
    </w:p>
    <w:p w:rsidR="00CB43DA" w:rsidRPr="00DA3E0D" w:rsidRDefault="00CB43DA" w:rsidP="00311640">
      <w:pPr>
        <w:pStyle w:val="ListParagraph"/>
        <w:numPr>
          <w:ilvl w:val="0"/>
          <w:numId w:val="28"/>
        </w:numPr>
        <w:spacing w:after="0"/>
        <w:ind w:left="714" w:hanging="357"/>
        <w:jc w:val="left"/>
      </w:pPr>
      <w:r w:rsidRPr="00DA3E0D">
        <w:t>Dissolved Organic Carbon (DOC)</w:t>
      </w:r>
      <w:r>
        <w:t xml:space="preserve"> and Particulate Organic Carbon (POC)</w:t>
      </w:r>
    </w:p>
    <w:p w:rsidR="00CB43DA" w:rsidRDefault="00CB43DA" w:rsidP="00311640">
      <w:pPr>
        <w:pStyle w:val="ListParagraph"/>
        <w:numPr>
          <w:ilvl w:val="0"/>
          <w:numId w:val="28"/>
        </w:numPr>
        <w:spacing w:after="0"/>
        <w:ind w:left="714" w:hanging="357"/>
        <w:jc w:val="left"/>
      </w:pPr>
      <w:r w:rsidRPr="00DA3E0D">
        <w:t>Nutrients (Ammonia (NH</w:t>
      </w:r>
      <w:r>
        <w:rPr>
          <w:vertAlign w:val="subscript"/>
        </w:rPr>
        <w:t>4</w:t>
      </w:r>
      <w:r w:rsidRPr="004E7BE0">
        <w:rPr>
          <w:vertAlign w:val="superscript"/>
        </w:rPr>
        <w:t>+</w:t>
      </w:r>
      <w:r w:rsidRPr="00DA3E0D">
        <w:t xml:space="preserve">), filtered reactive phosphorus (FRP), dissolved nitrate + nitrite (NOx), Total </w:t>
      </w:r>
      <w:r>
        <w:t>N</w:t>
      </w:r>
      <w:r w:rsidRPr="00DA3E0D">
        <w:t xml:space="preserve">itrogen (TN) and Total </w:t>
      </w:r>
      <w:r>
        <w:t>P</w:t>
      </w:r>
      <w:r w:rsidRPr="00DA3E0D">
        <w:t>hosphorus (TP))</w:t>
      </w:r>
    </w:p>
    <w:p w:rsidR="00CB43DA" w:rsidRPr="00AD3F89" w:rsidRDefault="00CB43DA" w:rsidP="00311640">
      <w:pPr>
        <w:spacing w:after="0"/>
        <w:jc w:val="left"/>
      </w:pPr>
      <w:r w:rsidRPr="00AD3F89">
        <w:t>Acceptance criteria for inclusion of daily results</w:t>
      </w:r>
      <w:r>
        <w:t xml:space="preserve"> </w:t>
      </w:r>
      <w:r w:rsidRPr="00AD3F89">
        <w:t xml:space="preserve">from the BASE model </w:t>
      </w:r>
      <w:r w:rsidR="000C7056">
        <w:t>(Grace et al.</w:t>
      </w:r>
      <w:r>
        <w:t xml:space="preserve"> </w:t>
      </w:r>
      <w:r w:rsidRPr="00F21554">
        <w:t>2015) in the data analysis presented here were established at the July 2015 LTIM Workshop in Sydney. T</w:t>
      </w:r>
      <w:r w:rsidRPr="00AD3F89">
        <w:t>hese criteria were that the fitted model for a day must have both an r</w:t>
      </w:r>
      <w:r w:rsidRPr="00AD3F89">
        <w:rPr>
          <w:vertAlign w:val="superscript"/>
        </w:rPr>
        <w:t>2</w:t>
      </w:r>
      <w:r w:rsidRPr="00AD3F89">
        <w:t xml:space="preserve"> value of at least 0.90 </w:t>
      </w:r>
      <w:r w:rsidRPr="00AD3F89">
        <w:rPr>
          <w:i/>
          <w:iCs/>
        </w:rPr>
        <w:t>and</w:t>
      </w:r>
      <w:r w:rsidRPr="00AD3F89">
        <w:t xml:space="preserve"> a coefficient of variation for the GPP parameter of &lt; 50%.</w:t>
      </w:r>
    </w:p>
    <w:p w:rsidR="00CB43DA" w:rsidRDefault="00CB43DA" w:rsidP="00311640">
      <w:pPr>
        <w:spacing w:after="0" w:line="240" w:lineRule="auto"/>
        <w:ind w:right="-1"/>
        <w:jc w:val="left"/>
        <w:rPr>
          <w:highlight w:val="yellow"/>
        </w:rPr>
      </w:pPr>
    </w:p>
    <w:p w:rsidR="00CB43DA" w:rsidRPr="00F21554" w:rsidRDefault="00F21554" w:rsidP="00311640">
      <w:pPr>
        <w:jc w:val="left"/>
        <w:rPr>
          <w:b/>
          <w:color w:val="4F6228" w:themeColor="accent3" w:themeShade="80"/>
          <w:sz w:val="24"/>
          <w:szCs w:val="24"/>
        </w:rPr>
      </w:pPr>
      <w:r w:rsidRPr="00F21554">
        <w:rPr>
          <w:b/>
          <w:color w:val="4F6228" w:themeColor="accent3" w:themeShade="80"/>
          <w:sz w:val="24"/>
          <w:szCs w:val="24"/>
        </w:rPr>
        <w:t xml:space="preserve">7.4 </w:t>
      </w:r>
      <w:r w:rsidR="00CB43DA" w:rsidRPr="00F21554">
        <w:rPr>
          <w:b/>
          <w:color w:val="4F6228" w:themeColor="accent3" w:themeShade="80"/>
          <w:sz w:val="24"/>
          <w:szCs w:val="24"/>
        </w:rPr>
        <w:t>Results</w:t>
      </w:r>
    </w:p>
    <w:p w:rsidR="00CB43DA" w:rsidRDefault="00BC51A1" w:rsidP="00311640">
      <w:pPr>
        <w:jc w:val="left"/>
        <w:rPr>
          <w:bCs/>
        </w:rPr>
      </w:pPr>
      <w:r>
        <w:rPr>
          <w:bCs/>
        </w:rPr>
        <w:t>Estimates of gross primary p</w:t>
      </w:r>
      <w:r w:rsidR="00CB43DA">
        <w:rPr>
          <w:bCs/>
        </w:rPr>
        <w:t xml:space="preserve">roduction </w:t>
      </w:r>
      <w:r>
        <w:rPr>
          <w:bCs/>
        </w:rPr>
        <w:t>(GPP) and ecosystem r</w:t>
      </w:r>
      <w:r w:rsidR="00CB43DA">
        <w:rPr>
          <w:bCs/>
        </w:rPr>
        <w:t xml:space="preserve">espiration </w:t>
      </w:r>
      <w:r>
        <w:rPr>
          <w:bCs/>
        </w:rPr>
        <w:t xml:space="preserve">(ER) </w:t>
      </w:r>
      <w:r w:rsidR="00CB43DA">
        <w:rPr>
          <w:bCs/>
        </w:rPr>
        <w:t>for the 6 sites were produced usi</w:t>
      </w:r>
      <w:r w:rsidR="000C7056">
        <w:rPr>
          <w:bCs/>
        </w:rPr>
        <w:t>ng the BASE model (Grace et al.</w:t>
      </w:r>
      <w:r w:rsidR="00CB43DA">
        <w:rPr>
          <w:bCs/>
        </w:rPr>
        <w:t xml:space="preserve"> 2015). Data loggers were in place from early August 2014 until mid-March 2015. Regular maintenance and occasional problems with some loggers meant that there were less than the maximum 217 daily results for each site. </w:t>
      </w:r>
      <w:r w:rsidR="00CB43DA" w:rsidRPr="00286550">
        <w:rPr>
          <w:bCs/>
        </w:rPr>
        <w:t xml:space="preserve">Using the acceptance criteria for each day’s diel DO curve, the acceptance rate ranged from 91% of all days </w:t>
      </w:r>
      <w:r w:rsidR="00CB43DA">
        <w:rPr>
          <w:bCs/>
        </w:rPr>
        <w:t xml:space="preserve">with data available </w:t>
      </w:r>
      <w:r w:rsidR="009F4D23">
        <w:rPr>
          <w:bCs/>
        </w:rPr>
        <w:t>(185 from 205) for z</w:t>
      </w:r>
      <w:r w:rsidR="00CB43DA" w:rsidRPr="00286550">
        <w:rPr>
          <w:bCs/>
        </w:rPr>
        <w:t>one 2 Site</w:t>
      </w:r>
      <w:r w:rsidR="009F4D23">
        <w:rPr>
          <w:bCs/>
        </w:rPr>
        <w:t xml:space="preserve"> 4, down to 26% (48 of 182) at z</w:t>
      </w:r>
      <w:r w:rsidR="00CB43DA" w:rsidRPr="00286550">
        <w:rPr>
          <w:bCs/>
        </w:rPr>
        <w:t>one 4 Site 5.</w:t>
      </w:r>
      <w:r>
        <w:rPr>
          <w:bCs/>
        </w:rPr>
        <w:t xml:space="preserve"> </w:t>
      </w:r>
      <w:r w:rsidR="009F4D23">
        <w:rPr>
          <w:bCs/>
        </w:rPr>
        <w:t>The other sites were zone 1 Site 1 62% (109 of 177), z</w:t>
      </w:r>
      <w:r w:rsidR="00CB43DA">
        <w:rPr>
          <w:bCs/>
        </w:rPr>
        <w:t xml:space="preserve">one 1 Site 5 79% (161 </w:t>
      </w:r>
      <w:r w:rsidR="009F4D23">
        <w:rPr>
          <w:bCs/>
        </w:rPr>
        <w:t>of 205), z</w:t>
      </w:r>
      <w:r w:rsidR="00CB43DA">
        <w:rPr>
          <w:bCs/>
        </w:rPr>
        <w:t>on</w:t>
      </w:r>
      <w:r w:rsidR="009F4D23">
        <w:rPr>
          <w:bCs/>
        </w:rPr>
        <w:t>e 3 Site 5 47% (85 of 180) and z</w:t>
      </w:r>
      <w:r w:rsidR="00CB43DA">
        <w:rPr>
          <w:bCs/>
        </w:rPr>
        <w:t>one 4 Site 1 66% (121 of 182).</w:t>
      </w:r>
    </w:p>
    <w:p w:rsidR="001F0AFB" w:rsidRDefault="00BC51A1" w:rsidP="00311640">
      <w:pPr>
        <w:jc w:val="left"/>
        <w:rPr>
          <w:bCs/>
        </w:rPr>
      </w:pPr>
      <w:r>
        <w:rPr>
          <w:bCs/>
        </w:rPr>
        <w:t xml:space="preserve">Figures 7.2 to 7.4 display the daily rates of GPP, ER and the P/R ratio (ratio of oxygen produced by GPP to oxygen consumed by ER) at all 6 sites (each plot is for one zone). </w:t>
      </w:r>
      <w:r w:rsidR="001F0AFB" w:rsidRPr="0052776B">
        <w:rPr>
          <w:bCs/>
        </w:rPr>
        <w:t xml:space="preserve">Table </w:t>
      </w:r>
      <w:r w:rsidR="001F0AFB">
        <w:rPr>
          <w:bCs/>
        </w:rPr>
        <w:t>7.</w:t>
      </w:r>
      <w:r>
        <w:rPr>
          <w:bCs/>
        </w:rPr>
        <w:t>2</w:t>
      </w:r>
      <w:r w:rsidR="001F0AFB" w:rsidRPr="0052776B">
        <w:rPr>
          <w:bCs/>
        </w:rPr>
        <w:t xml:space="preserve"> summarizes the daily metabolism results portrayed in Figures </w:t>
      </w:r>
      <w:r w:rsidR="001F0AFB">
        <w:rPr>
          <w:bCs/>
        </w:rPr>
        <w:t>7.2 to 7.4</w:t>
      </w:r>
      <w:r w:rsidR="001F0AFB" w:rsidRPr="0052776B">
        <w:rPr>
          <w:bCs/>
        </w:rPr>
        <w:t>. Each metabolic parameter is expressed as a median with minimum and maximum values also included. The median provides a more representative estimate without the bias in the mean arising from a relatively few much higher values. The median GPP values for all six sites fall within a narrow range of 1.25 to 2.69 mg O</w:t>
      </w:r>
      <w:r w:rsidR="001F0AFB" w:rsidRPr="0052776B">
        <w:rPr>
          <w:bCs/>
          <w:vertAlign w:val="subscript"/>
        </w:rPr>
        <w:t>2</w:t>
      </w:r>
      <w:r w:rsidR="001F0AFB" w:rsidRPr="0052776B">
        <w:rPr>
          <w:bCs/>
        </w:rPr>
        <w:t xml:space="preserve">/L/Day. This closeness in these median GPP rates is unsurprising given the similarity in the biogeochemical environments as noted in previous years (Watts et al. 2014). With the exception of a </w:t>
      </w:r>
      <w:r w:rsidR="009F4D23">
        <w:rPr>
          <w:bCs/>
        </w:rPr>
        <w:t>significantly higher value for z</w:t>
      </w:r>
      <w:r w:rsidR="001F0AFB" w:rsidRPr="0052776B">
        <w:rPr>
          <w:bCs/>
        </w:rPr>
        <w:t>one 2 Site 4, all median ER values fell within the range 2.07 to 2.47 mg O</w:t>
      </w:r>
      <w:r w:rsidR="001F0AFB" w:rsidRPr="0052776B">
        <w:rPr>
          <w:bCs/>
          <w:vertAlign w:val="subscript"/>
        </w:rPr>
        <w:t>2</w:t>
      </w:r>
      <w:r w:rsidR="001F0AFB" w:rsidRPr="0052776B">
        <w:rPr>
          <w:bCs/>
        </w:rPr>
        <w:t>/L/Day.</w:t>
      </w:r>
    </w:p>
    <w:p w:rsidR="00BF10FA" w:rsidRDefault="00BF10FA">
      <w:pPr>
        <w:spacing w:after="0" w:line="240" w:lineRule="auto"/>
        <w:jc w:val="left"/>
        <w:rPr>
          <w:b/>
          <w:color w:val="000000" w:themeColor="text1"/>
          <w:sz w:val="20"/>
          <w:lang w:val="en-US"/>
        </w:rPr>
      </w:pPr>
      <w:r>
        <w:rPr>
          <w:b/>
          <w:color w:val="000000" w:themeColor="text1"/>
          <w:sz w:val="20"/>
          <w:lang w:val="en-US"/>
        </w:rPr>
        <w:br w:type="page"/>
      </w:r>
    </w:p>
    <w:p w:rsidR="001F0AFB" w:rsidRDefault="001F0AFB" w:rsidP="001F0AFB">
      <w:pPr>
        <w:spacing w:after="120" w:line="240" w:lineRule="auto"/>
        <w:rPr>
          <w:color w:val="000000" w:themeColor="text1"/>
          <w:sz w:val="20"/>
          <w:lang w:val="en-US"/>
        </w:rPr>
      </w:pPr>
      <w:r>
        <w:rPr>
          <w:b/>
          <w:color w:val="000000" w:themeColor="text1"/>
          <w:sz w:val="20"/>
          <w:lang w:val="en-US"/>
        </w:rPr>
        <w:t>T</w:t>
      </w:r>
      <w:r w:rsidRPr="00A00D76">
        <w:rPr>
          <w:b/>
          <w:color w:val="000000" w:themeColor="text1"/>
          <w:sz w:val="20"/>
          <w:lang w:val="en-US"/>
        </w:rPr>
        <w:t xml:space="preserve">able </w:t>
      </w:r>
      <w:r w:rsidR="00542694">
        <w:rPr>
          <w:b/>
          <w:color w:val="000000" w:themeColor="text1"/>
          <w:sz w:val="20"/>
          <w:lang w:val="en-US"/>
        </w:rPr>
        <w:t>7.2</w:t>
      </w:r>
      <w:r w:rsidRPr="00A00D76">
        <w:rPr>
          <w:b/>
          <w:color w:val="000000" w:themeColor="text1"/>
          <w:sz w:val="20"/>
          <w:lang w:val="en-US"/>
        </w:rPr>
        <w:t>.</w:t>
      </w:r>
      <w:r>
        <w:rPr>
          <w:color w:val="000000" w:themeColor="text1"/>
          <w:sz w:val="20"/>
          <w:lang w:val="en-US"/>
        </w:rPr>
        <w:t xml:space="preserve"> Summary of primary production (GPP) and ecosystem respiration (ER) rates and P/R ratios for th</w:t>
      </w:r>
      <w:r w:rsidR="00BC51A1">
        <w:rPr>
          <w:color w:val="000000" w:themeColor="text1"/>
          <w:sz w:val="20"/>
          <w:lang w:val="en-US"/>
        </w:rPr>
        <w:t>e six study sites, August 2014 to</w:t>
      </w:r>
      <w:r>
        <w:rPr>
          <w:color w:val="000000" w:themeColor="text1"/>
          <w:sz w:val="20"/>
          <w:lang w:val="en-US"/>
        </w:rPr>
        <w:t xml:space="preserve"> March </w:t>
      </w:r>
      <w:r w:rsidR="00BC51A1">
        <w:rPr>
          <w:color w:val="000000" w:themeColor="text1"/>
          <w:sz w:val="20"/>
          <w:lang w:val="en-US"/>
        </w:rPr>
        <w:t>2015. ‘</w:t>
      </w:r>
      <w:proofErr w:type="gramStart"/>
      <w:r w:rsidR="00BC51A1">
        <w:rPr>
          <w:color w:val="000000" w:themeColor="text1"/>
          <w:sz w:val="20"/>
          <w:lang w:val="en-US"/>
        </w:rPr>
        <w:t>n</w:t>
      </w:r>
      <w:proofErr w:type="gramEnd"/>
      <w:r w:rsidR="00BC51A1">
        <w:rPr>
          <w:color w:val="000000" w:themeColor="text1"/>
          <w:sz w:val="20"/>
          <w:lang w:val="en-US"/>
        </w:rPr>
        <w:t>’ is the number of days for which successful estimates of metabolic parameters were obtained.</w:t>
      </w:r>
    </w:p>
    <w:p w:rsidR="00AB74C7" w:rsidRDefault="00F671D2" w:rsidP="00AB74C7">
      <w:pPr>
        <w:spacing w:after="0" w:line="240" w:lineRule="auto"/>
        <w:jc w:val="left"/>
        <w:rPr>
          <w:bCs/>
        </w:rPr>
      </w:pPr>
      <w:r w:rsidRPr="00F671D2">
        <w:rPr>
          <w:b/>
          <w:noProof/>
          <w:lang w:eastAsia="en-AU"/>
        </w:rPr>
      </w:r>
      <w:r w:rsidRPr="00F671D2">
        <w:rPr>
          <w:b/>
          <w:noProof/>
          <w:lang w:eastAsia="en-AU"/>
        </w:rPr>
        <w:pict>
          <v:group id="Canvas 972" o:spid="_x0000_s1031" editas="canvas" style="width:406.6pt;height:100.3pt;mso-position-horizontal-relative:char;mso-position-vertical-relative:line" coordsize="51638,12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width:51638;height:12738;visibility:visible;mso-wrap-style:square">
              <v:fill o:detectmouseclick="t"/>
              <v:path o:connecttype="none"/>
            </v:shape>
            <v:rect id="Rectangle 461" o:spid="_x0000_s1033" style="position:absolute;left:12807;top:2051;width:4350;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YmXcEA&#10;AADcAAAADwAAAGRycy9kb3ducmV2LnhtbESPzYoCMRCE7wu+Q2jB25pRQWTWKCIIKl4c9wGaSc8P&#10;Jp0hic749kZY2GNRVV9R6+1gjXiSD61jBbNpBoK4dLrlWsHv7fC9AhEiskbjmBS8KMB2M/paY65d&#10;z1d6FrEWCcIhRwVNjF0uZSgbshimriNOXuW8xZikr6X22Ce4NXKeZUtpseW00GBH+4bKe/GwCuSt&#10;OPSrwvjMnefVxZyO14qcUpPxsPsBEWmI/+G/9lErWCyW8DmTjoD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WJl3BAAAA3AAAAA8AAAAAAAAAAAAAAAAAmAIAAGRycy9kb3du&#10;cmV2LnhtbFBLBQYAAAAABAAEAPUAAACGAwAAAAA=&#10;" filled="f" stroked="f">
              <v:textbox style="mso-fit-shape-to-text:t" inset="0,0,0,0">
                <w:txbxContent>
                  <w:p w:rsidR="0097684C" w:rsidRDefault="0097684C" w:rsidP="001F0AFB">
                    <w:r>
                      <w:rPr>
                        <w:rFonts w:cs="Calibri"/>
                        <w:color w:val="000000"/>
                        <w:lang w:val="en-US"/>
                      </w:rPr>
                      <w:t>Median</w:t>
                    </w:r>
                  </w:p>
                </w:txbxContent>
              </v:textbox>
            </v:rect>
            <v:rect id="Rectangle 465" o:spid="_x0000_s1034" style="position:absolute;left:19970;top:2051;width:2255;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qDxsIA&#10;AADcAAAADwAAAGRycy9kb3ducmV2LnhtbESPzYoCMRCE74LvEFrwphkVVGaNIoKgixfHfYBm0vOD&#10;SWdIss7s228WFjwWVfUVtTsM1ogX+dA6VrCYZyCIS6dbrhV8Pc6zLYgQkTUax6TghwIc9uPRDnPt&#10;er7Tq4i1SBAOOSpoYuxyKUPZkMUwdx1x8irnLcYkfS21xz7BrZHLLFtLiy2nhQY7OjVUPotvq0A+&#10;inO/LYzP3Oeyupnr5V6RU2o6GY4fICIN8R3+b1+0gtVqA3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WoPGwgAAANwAAAAPAAAAAAAAAAAAAAAAAJgCAABkcnMvZG93&#10;bnJldi54bWxQSwUGAAAAAAQABAD1AAAAhwMAAAAA&#10;" filled="f" stroked="f">
              <v:textbox style="mso-fit-shape-to-text:t" inset="0,0,0,0">
                <w:txbxContent>
                  <w:p w:rsidR="0097684C" w:rsidRDefault="0097684C" w:rsidP="001F0AFB">
                    <w:r>
                      <w:rPr>
                        <w:rFonts w:cs="Calibri"/>
                        <w:color w:val="000000"/>
                        <w:lang w:val="en-US"/>
                      </w:rPr>
                      <w:t>Min</w:t>
                    </w:r>
                  </w:p>
                </w:txbxContent>
              </v:textbox>
            </v:rect>
            <v:rect id="Rectangle 466" o:spid="_x0000_s1035" style="position:absolute;left:25920;top:2051;width:2470;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UXtMAA&#10;AADcAAAADwAAAGRycy9kb3ducmV2LnhtbERPS2rDMBDdF3IHMYHsGrkJFONaDqUQSEI2sXuAwRp/&#10;qDQykhK7t68WgS4f718eFmvEg3wYHSt422YgiFunR+4VfDfH1xxEiMgajWNS8EsBDtXqpcRCu5lv&#10;9KhjL1IIhwIVDDFOhZShHchi2LqJOHGd8xZjgr6X2uOcwq2Ruyx7lxZHTg0DTvQ1UPtT360C2dTH&#10;Oa+Nz9xl113N+XTryCm1WS+fHyAiLfFf/HSftIL9Pq1NZ9IRkN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cUXtMAAAADcAAAADwAAAAAAAAAAAAAAAACYAgAAZHJzL2Rvd25y&#10;ZXYueG1sUEsFBgAAAAAEAAQA9QAAAIUDAAAAAA==&#10;" filled="f" stroked="f">
              <v:textbox style="mso-fit-shape-to-text:t" inset="0,0,0,0">
                <w:txbxContent>
                  <w:p w:rsidR="0097684C" w:rsidRDefault="0097684C" w:rsidP="001F0AFB">
                    <w:r>
                      <w:rPr>
                        <w:rFonts w:cs="Calibri"/>
                        <w:color w:val="000000"/>
                        <w:lang w:val="en-US"/>
                      </w:rPr>
                      <w:t>Max</w:t>
                    </w:r>
                  </w:p>
                </w:txbxContent>
              </v:textbox>
            </v:rect>
            <v:rect id="Rectangle 467" o:spid="_x0000_s1036" style="position:absolute;left:31102;top:2051;width:4350;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myL8IA&#10;AADcAAAADwAAAGRycy9kb3ducmV2LnhtbESPzYoCMRCE7wu+Q2jB25pRYXFHo4ggqOzFcR+gmfT8&#10;YNIZkuiMb2+EhT0WVfUVtd4O1ogH+dA6VjCbZiCIS6dbrhX8Xg+fSxAhIms0jknBkwJsN6OPNeba&#10;9XyhRxFrkSAcclTQxNjlUoayIYth6jri5FXOW4xJ+lpqj32CWyPnWfYlLbacFhrsaN9QeSvuVoG8&#10;Fod+WRifufO8+jGn46Uip9RkPOxWICIN8T/81z5qBYvFN7zPpCM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ibIvwgAAANwAAAAPAAAAAAAAAAAAAAAAAJgCAABkcnMvZG93&#10;bnJldi54bWxQSwUGAAAAAAQABAD1AAAAhwMAAAAA&#10;" filled="f" stroked="f">
              <v:textbox style="mso-fit-shape-to-text:t" inset="0,0,0,0">
                <w:txbxContent>
                  <w:p w:rsidR="0097684C" w:rsidRDefault="0097684C" w:rsidP="001F0AFB">
                    <w:r>
                      <w:rPr>
                        <w:rFonts w:cs="Calibri"/>
                        <w:color w:val="000000"/>
                        <w:lang w:val="en-US"/>
                      </w:rPr>
                      <w:t>Median</w:t>
                    </w:r>
                  </w:p>
                </w:txbxContent>
              </v:textbox>
            </v:rect>
            <v:rect id="Rectangle 472" o:spid="_x0000_s1037" style="position:absolute;left:38265;top:2051;width:2254;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Voz78A&#10;AADcAAAADwAAAGRycy9kb3ducmV2LnhtbERPy4rCMBTdC/MP4Q7MTtNREalGkQFBBze2fsCluX1g&#10;clOSaOvfTxYDLg/nvd2P1ogn+dA5VvA9y0AQV0533Ci4lcfpGkSIyBqNY1LwogD73cdki7l2A1/p&#10;WcRGpBAOOSpoY+xzKUPVksUwcz1x4mrnLcYEfSO1xyGFWyPnWbaSFjtODS329NNSdS8eVoEsi+Ow&#10;LozP3O+8vpjz6VqTU+rrczxsQEQa41v87z5pBYtlmp/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TtWjPvwAAANwAAAAPAAAAAAAAAAAAAAAAAJgCAABkcnMvZG93bnJl&#10;di54bWxQSwUGAAAAAAQABAD1AAAAhAMAAAAA&#10;" filled="f" stroked="f">
              <v:textbox style="mso-fit-shape-to-text:t" inset="0,0,0,0">
                <w:txbxContent>
                  <w:p w:rsidR="0097684C" w:rsidRDefault="0097684C" w:rsidP="001F0AFB">
                    <w:r>
                      <w:rPr>
                        <w:rFonts w:cs="Calibri"/>
                        <w:color w:val="000000"/>
                        <w:lang w:val="en-US"/>
                      </w:rPr>
                      <w:t>Min</w:t>
                    </w:r>
                  </w:p>
                </w:txbxContent>
              </v:textbox>
            </v:rect>
            <v:rect id="Rectangle 473" o:spid="_x0000_s1038" style="position:absolute;left:44215;top:2051;width:2470;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nNVMIA&#10;AADcAAAADwAAAGRycy9kb3ducmV2LnhtbESPzYoCMRCE74LvEFrwphl/WGQ0igiCu3hx9AGaSc8P&#10;Jp0hic7s228WFvZYVNVX1O4wWCPe5EPrWMFinoEgLp1uuVbwuJ9nGxAhIms0jknBNwU47MejHeba&#10;9XyjdxFrkSAcclTQxNjlUoayIYth7jri5FXOW4xJ+lpqj32CWyOXWfYhLbacFhrs6NRQ+SxeVoG8&#10;F+d+Uxifua9ldTWfl1tFTqnpZDhuQUQa4n/4r33RClbrBfyeSUdA7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c1UwgAAANwAAAAPAAAAAAAAAAAAAAAAAJgCAABkcnMvZG93&#10;bnJldi54bWxQSwUGAAAAAAQABAD1AAAAhwMAAAAA&#10;" filled="f" stroked="f">
              <v:textbox style="mso-fit-shape-to-text:t" inset="0,0,0,0">
                <w:txbxContent>
                  <w:p w:rsidR="0097684C" w:rsidRDefault="0097684C" w:rsidP="001F0AFB">
                    <w:r>
                      <w:rPr>
                        <w:rFonts w:cs="Calibri"/>
                        <w:color w:val="000000"/>
                        <w:lang w:val="en-US"/>
                      </w:rPr>
                      <w:t>Max</w:t>
                    </w:r>
                  </w:p>
                </w:txbxContent>
              </v:textbox>
            </v:rect>
            <v:rect id="Rectangle 11" o:spid="_x0000_s1039" style="position:absolute;left:304;top:4019;width:6084;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tTI8IA&#10;AADcAAAADwAAAGRycy9kb3ducmV2LnhtbESP3WoCMRSE7wXfIRzBO826liKrUUQQbOmNqw9w2Jz9&#10;weRkSaK7ffumUOjlMDPfMLvDaI14kQ+dYwWrZQaCuHK640bB/XZebECEiKzROCYF3xTgsJ9Odlho&#10;N/CVXmVsRIJwKFBBG2NfSBmqliyGpeuJk1c7bzEm6RupPQ4Jbo3Ms+xdWuw4LbTY06ml6lE+rQJ5&#10;K8/DpjQ+c595/WU+LteanFLz2Xjcgog0xv/wX/uiFazfcv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K1MjwgAAANwAAAAPAAAAAAAAAAAAAAAAAJgCAABkcnMvZG93&#10;bnJldi54bWxQSwUGAAAAAAQABAD1AAAAhwMAAAAA&#10;" filled="f" stroked="f">
              <v:textbox style="mso-fit-shape-to-text:t" inset="0,0,0,0">
                <w:txbxContent>
                  <w:p w:rsidR="0097684C" w:rsidRDefault="0097684C" w:rsidP="001F0AFB">
                    <w:r>
                      <w:rPr>
                        <w:rFonts w:cs="Calibri"/>
                        <w:color w:val="000000"/>
                        <w:lang w:val="en-US"/>
                      </w:rPr>
                      <w:t>GPP (mg O</w:t>
                    </w:r>
                  </w:p>
                </w:txbxContent>
              </v:textbox>
            </v:rect>
            <v:rect id="Rectangle 12" o:spid="_x0000_s1040" style="position:absolute;left:6096;top:4705;width:450;height:391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f2uMIA&#10;AADcAAAADwAAAGRycy9kb3ducmV2LnhtbESPzYoCMRCE74LvEFrwphl/EJk1igiCLl4c9wGaSc8P&#10;Jp0hyTqzb79ZWPBYVNVX1O4wWCNe5EPrWMFinoEgLp1uuVbw9TjPtiBCRNZoHJOCHwpw2I9HO8y1&#10;6/lOryLWIkE45KigibHLpQxlQxbD3HXEyauctxiT9LXUHvsEt0Yus2wjLbacFhrs6NRQ+Sy+rQL5&#10;KM79tjA+c5/L6maul3tFTqnpZDh+gIg0xHf4v33RClbrFfydS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Z/a4wgAAANwAAAAPAAAAAAAAAAAAAAAAAJgCAABkcnMvZG93&#10;bnJldi54bWxQSwUGAAAAAAQABAD1AAAAhwMAAAAA&#10;" filled="f" stroked="f">
              <v:textbox style="mso-fit-shape-to-text:t" inset="0,0,0,0">
                <w:txbxContent>
                  <w:p w:rsidR="0097684C" w:rsidRDefault="0097684C" w:rsidP="001F0AFB">
                    <w:r>
                      <w:rPr>
                        <w:rFonts w:cs="Calibri"/>
                        <w:color w:val="000000"/>
                        <w:sz w:val="14"/>
                        <w:szCs w:val="14"/>
                        <w:lang w:val="en-US"/>
                      </w:rPr>
                      <w:t>2</w:t>
                    </w:r>
                  </w:p>
                </w:txbxContent>
              </v:textbox>
            </v:rect>
            <v:rect id="Rectangle 13" o:spid="_x0000_s1041" style="position:absolute;left:6553;top:4019;width:4254;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5uzMIA&#10;AADcAAAADwAAAGRycy9kb3ducmV2LnhtbESPzYoCMRCE74LvEFrYm2b8YZFZo4ggqHhx3AdoJj0/&#10;mHSGJOvMvv1GEPZYVNVX1GY3WCOe5EPrWMF8loEgLp1uuVbwfT9O1yBCRNZoHJOCXwqw245HG8y1&#10;6/lGzyLWIkE45KigibHLpQxlQxbDzHXEyauctxiT9LXUHvsEt0YusuxTWmw5LTTY0aGh8lH8WAXy&#10;Xhz7dWF85i6L6mrOp1tFTqmPybD/AhFpiP/hd/ukFSxXK3idSUd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jm7MwgAAANwAAAAPAAAAAAAAAAAAAAAAAJgCAABkcnMvZG93&#10;bnJldi54bWxQSwUGAAAAAAQABAD1AAAAhwMAAAAA&#10;" filled="f" stroked="f">
              <v:textbox style="mso-fit-shape-to-text:t" inset="0,0,0,0">
                <w:txbxContent>
                  <w:p w:rsidR="0097684C" w:rsidRDefault="0097684C" w:rsidP="001F0AFB">
                    <w:r>
                      <w:rPr>
                        <w:rFonts w:cs="Calibri"/>
                        <w:color w:val="000000"/>
                        <w:lang w:val="en-US"/>
                      </w:rPr>
                      <w:t>/L/Day)</w:t>
                    </w:r>
                  </w:p>
                </w:txbxContent>
              </v:textbox>
            </v:rect>
            <v:rect id="Rectangle 14" o:spid="_x0000_s1042" style="position:absolute;left:13722;top:4019;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LLV8IA&#10;AADcAAAADwAAAGRycy9kb3ducmV2LnhtbESP3WoCMRSE7wu+QziCdzWrVpHVKFIQbPHG1Qc4bM7+&#10;YHKyJKm7ffumIHg5zMw3zHY/WCMe5EPrWMFsmoEgLp1uuVZwux7f1yBCRNZoHJOCXwqw343etphr&#10;1/OFHkWsRYJwyFFBE2OXSxnKhiyGqeuIk1c5bzEm6WupPfYJbo2cZ9lKWmw5LTTY0WdD5b34sQrk&#10;tTj268L4zH3Pq7P5Ol0qckpNxsNhAyLSEF/hZ/ukFSw+l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wstXwgAAANwAAAAPAAAAAAAAAAAAAAAAAJgCAABkcnMvZG93&#10;bnJldi54bWxQSwUGAAAAAAQABAD1AAAAhwMAAAAA&#10;" filled="f" stroked="f">
              <v:textbox style="mso-fit-shape-to-text:t" inset="0,0,0,0">
                <w:txbxContent>
                  <w:p w:rsidR="0097684C" w:rsidRDefault="0097684C" w:rsidP="001F0AFB">
                    <w:r>
                      <w:rPr>
                        <w:rFonts w:cs="Calibri"/>
                        <w:color w:val="000000"/>
                        <w:lang w:val="en-US"/>
                      </w:rPr>
                      <w:t>1.25</w:t>
                    </w:r>
                  </w:p>
                </w:txbxContent>
              </v:textbox>
            </v:rect>
            <v:rect id="Rectangle 15" o:spid="_x0000_s1043" style="position:absolute;left:19818;top:4019;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BVIMIA&#10;AADcAAAADwAAAGRycy9kb3ducmV2LnhtbESPzYoCMRCE74LvEFrwphl1EZk1igiCLl4c9wGaSc8P&#10;Jp0hyTqzb28WhD0WVfUVtd0P1ogn+dA6VrCYZyCIS6dbrhV830+zDYgQkTUax6TglwLsd+PRFnPt&#10;er7Rs4i1SBAOOSpoYuxyKUPZkMUwdx1x8irnLcYkfS21xz7BrZHLLFtLiy2nhQY7OjZUPoofq0De&#10;i1O/KYzP3NeyuprL+VaRU2o6GQ6fICIN8T/8bp+1gtXHG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EFUgwgAAANwAAAAPAAAAAAAAAAAAAAAAAJgCAABkcnMvZG93&#10;bnJldi54bWxQSwUGAAAAAAQABAD1AAAAhwMAAAAA&#10;" filled="f" stroked="f">
              <v:textbox style="mso-fit-shape-to-text:t" inset="0,0,0,0">
                <w:txbxContent>
                  <w:p w:rsidR="0097684C" w:rsidRDefault="0097684C" w:rsidP="001F0AFB">
                    <w:r>
                      <w:rPr>
                        <w:rFonts w:cs="Calibri"/>
                        <w:color w:val="000000"/>
                        <w:lang w:val="en-US"/>
                      </w:rPr>
                      <w:t>0.46</w:t>
                    </w:r>
                  </w:p>
                </w:txbxContent>
              </v:textbox>
            </v:rect>
            <v:rect id="Rectangle 16" o:spid="_x0000_s1044" style="position:absolute;left:25920;top:4019;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zwu8IA&#10;AADcAAAADwAAAGRycy9kb3ducmV2LnhtbESP3WoCMRSE7wu+QziCdzWrFpXVKFIQbPHG1Qc4bM7+&#10;YHKyJKm7ffumIHg5zMw3zHY/WCMe5EPrWMFsmoEgLp1uuVZwux7f1yBCRNZoHJOCXwqw343etphr&#10;1/OFHkWsRYJwyFFBE2OXSxnKhiyGqeuIk1c5bzEm6WupPfYJbo2cZ9lSWmw5LTTY0WdD5b34sQrk&#10;tTj268L4zH3Pq7P5Ol0qckpNxsNhAyLSEF/hZ/ukFSw+V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XPC7wgAAANwAAAAPAAAAAAAAAAAAAAAAAJgCAABkcnMvZG93&#10;bnJldi54bWxQSwUGAAAAAAQABAD1AAAAhwMAAAAA&#10;" filled="f" stroked="f">
              <v:textbox style="mso-fit-shape-to-text:t" inset="0,0,0,0">
                <w:txbxContent>
                  <w:p w:rsidR="0097684C" w:rsidRDefault="0097684C" w:rsidP="001F0AFB">
                    <w:r>
                      <w:rPr>
                        <w:rFonts w:cs="Calibri"/>
                        <w:color w:val="000000"/>
                        <w:lang w:val="en-US"/>
                      </w:rPr>
                      <w:t>4.09</w:t>
                    </w:r>
                  </w:p>
                </w:txbxContent>
              </v:textbox>
            </v:rect>
            <v:rect id="Rectangle 17" o:spid="_x0000_s1045" style="position:absolute;left:32016;top:4019;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Nkyb8A&#10;AADcAAAADwAAAGRycy9kb3ducmV2LnhtbERPy4rCMBTdC/MP4Q7MTtNREalGkQFBBze2fsCluX1g&#10;clOSaOvfTxYDLg/nvd2P1ogn+dA5VvA9y0AQV0533Ci4lcfpGkSIyBqNY1LwogD73cdki7l2A1/p&#10;WcRGpBAOOSpoY+xzKUPVksUwcz1x4mrnLcYEfSO1xyGFWyPnWbaSFjtODS329NNSdS8eVoEsi+Ow&#10;LozP3O+8vpjz6VqTU+rrczxsQEQa41v87z5pBYtlWpv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w2TJvwAAANwAAAAPAAAAAAAAAAAAAAAAAJgCAABkcnMvZG93bnJl&#10;di54bWxQSwUGAAAAAAQABAD1AAAAhAMAAAAA&#10;" filled="f" stroked="f">
              <v:textbox style="mso-fit-shape-to-text:t" inset="0,0,0,0">
                <w:txbxContent>
                  <w:p w:rsidR="0097684C" w:rsidRDefault="0097684C" w:rsidP="001F0AFB">
                    <w:r>
                      <w:rPr>
                        <w:rFonts w:cs="Calibri"/>
                        <w:color w:val="000000"/>
                        <w:lang w:val="en-US"/>
                      </w:rPr>
                      <w:t>1.28</w:t>
                    </w:r>
                  </w:p>
                </w:txbxContent>
              </v:textbox>
            </v:rect>
            <v:rect id="Rectangle 18" o:spid="_x0000_s1046" style="position:absolute;left:38112;top:4019;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BUsIA&#10;AADcAAAADwAAAGRycy9kb3ducmV2LnhtbESP3WoCMRSE7wu+QziCdzWrFtHVKFIQbPHG1Qc4bM7+&#10;YHKyJKm7ffumIHg5zMw3zHY/WCMe5EPrWMFsmoEgLp1uuVZwux7fVyBCRNZoHJOCXwqw343etphr&#10;1/OFHkWsRYJwyFFBE2OXSxnKhiyGqeuIk1c5bzEm6WupPfYJbo2cZ9lSWmw5LTTY0WdD5b34sQrk&#10;tTj2q8L4zH3Pq7P5Ol0qckpNxsNhAyLSEF/hZ/ukFSw+1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j8FSwgAAANwAAAAPAAAAAAAAAAAAAAAAAJgCAABkcnMvZG93&#10;bnJldi54bWxQSwUGAAAAAAQABAD1AAAAhwMAAAAA&#10;" filled="f" stroked="f">
              <v:textbox style="mso-fit-shape-to-text:t" inset="0,0,0,0">
                <w:txbxContent>
                  <w:p w:rsidR="0097684C" w:rsidRDefault="0097684C" w:rsidP="001F0AFB">
                    <w:r>
                      <w:rPr>
                        <w:rFonts w:cs="Calibri"/>
                        <w:color w:val="000000"/>
                        <w:lang w:val="en-US"/>
                      </w:rPr>
                      <w:t>0.49</w:t>
                    </w:r>
                  </w:p>
                </w:txbxContent>
              </v:textbox>
            </v:rect>
            <v:rect id="Rectangle 19" o:spid="_x0000_s1047" style="position:absolute;left:44215;top:4019;width:2482;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z+Er8A&#10;AADcAAAADwAAAGRycy9kb3ducmV2LnhtbERPy4rCMBTdC/MP4Q7MTtNRFKlGkQFBBze2fsCluX1g&#10;clOSaOvfTxYDLg/nvd2P1ogn+dA5VvA9y0AQV0533Ci4lcfpGkSIyBqNY1LwogD73cdki7l2A1/p&#10;WcRGpBAOOSpoY+xzKUPVksUwcz1x4mrnLcYEfSO1xyGFWyPnWbaSFjtODS329NNSdS8eVoEsi+Ow&#10;LozP3O+8vpjz6VqTU+rrczxsQEQa41v87z5pBYtlmp/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WbP4SvwAAANwAAAAPAAAAAAAAAAAAAAAAAJgCAABkcnMvZG93bnJl&#10;di54bWxQSwUGAAAAAAQABAD1AAAAhAMAAAAA&#10;" filled="f" stroked="f">
              <v:textbox style="mso-fit-shape-to-text:t" inset="0,0,0,0">
                <w:txbxContent>
                  <w:p w:rsidR="0097684C" w:rsidRDefault="0097684C" w:rsidP="001F0AFB">
                    <w:r>
                      <w:rPr>
                        <w:rFonts w:cs="Calibri"/>
                        <w:color w:val="000000"/>
                        <w:lang w:val="en-US"/>
                      </w:rPr>
                      <w:t>6.11</w:t>
                    </w:r>
                  </w:p>
                </w:txbxContent>
              </v:textbox>
            </v:rect>
            <v:rect id="Rectangle 20" o:spid="_x0000_s1048" style="position:absolute;left:304;top:5994;width:5201;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BbicIA&#10;AADcAAAADwAAAGRycy9kb3ducmV2LnhtbESPzYoCMRCE74LvEFrwphkVFxmNIoLgLl4cfYBm0vOD&#10;SWdIojP79puFhT0WVfUVtTsM1og3+dA6VrCYZyCIS6dbrhU87ufZBkSIyBqNY1LwTQEO+/Foh7l2&#10;Pd/oXcRaJAiHHBU0MXa5lKFsyGKYu444eZXzFmOSvpbaY5/g1shlln1Iiy2nhQY7OjVUPouXVSDv&#10;xbnfFMZn7mtZXc3n5VaRU2o6GY5bEJGG+B/+a1+0gtV6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IFuJwgAAANwAAAAPAAAAAAAAAAAAAAAAAJgCAABkcnMvZG93&#10;bnJldi54bWxQSwUGAAAAAAQABAD1AAAAhwMAAAAA&#10;" filled="f" stroked="f">
              <v:textbox style="mso-fit-shape-to-text:t" inset="0,0,0,0">
                <w:txbxContent>
                  <w:p w:rsidR="0097684C" w:rsidRDefault="0097684C" w:rsidP="001F0AFB">
                    <w:r>
                      <w:rPr>
                        <w:rFonts w:cs="Calibri"/>
                        <w:color w:val="000000"/>
                        <w:lang w:val="en-US"/>
                      </w:rPr>
                      <w:t>ER (mg O</w:t>
                    </w:r>
                  </w:p>
                </w:txbxContent>
              </v:textbox>
            </v:rect>
            <v:rect id="Rectangle 21" o:spid="_x0000_s1049" style="position:absolute;left:5334;top:6680;width:450;height:391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jviMMA&#10;AADcAAAADwAAAGRycy9kb3ducmV2LnhtbESPzWrDMBCE74W+g9hCbo1cH0pwo4RSMLillzh5gMVa&#10;/1BpZSQ1dt++ewjktsvMzny7P67eqSvFNAU28LItQBF3wU48GLic6+cdqJSRLbrAZOCPEhwPjw97&#10;rGxY+ETXNg9KQjhVaGDMea60Tt1IHtM2zMSi9SF6zLLGQduIi4R7p8uieNUeJ5aGEWf6GKn7aX+9&#10;AX1u62XXuliEr7L/dp/NqadgzOZpfX8DlWnNd/PturGCXwqtPCMT6M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jviMMAAADcAAAADwAAAAAAAAAAAAAAAACYAgAAZHJzL2Rv&#10;d25yZXYueG1sUEsFBgAAAAAEAAQA9QAAAIgDAAAAAA==&#10;" filled="f" stroked="f">
              <v:textbox style="mso-fit-shape-to-text:t" inset="0,0,0,0">
                <w:txbxContent>
                  <w:p w:rsidR="0097684C" w:rsidRDefault="0097684C" w:rsidP="001F0AFB">
                    <w:r>
                      <w:rPr>
                        <w:rFonts w:cs="Calibri"/>
                        <w:color w:val="000000"/>
                        <w:sz w:val="14"/>
                        <w:szCs w:val="14"/>
                        <w:lang w:val="en-US"/>
                      </w:rPr>
                      <w:t>2</w:t>
                    </w:r>
                  </w:p>
                </w:txbxContent>
              </v:textbox>
            </v:rect>
            <v:rect id="Rectangle 22" o:spid="_x0000_s1050" style="position:absolute;left:5791;top:5994;width:4254;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RKE78A&#10;AADcAAAADwAAAGRycy9kb3ducmV2LnhtbERPzYrCMBC+C/sOYRa8aWoPi1uNIoKgixerDzA00x9M&#10;JiWJtvv2G0HY23x8v7PejtaIJ/nQOVawmGcgiCunO24U3K6H2RJEiMgajWNS8EsBtpuPyRoL7Qa+&#10;0LOMjUghHApU0MbYF1KGqiWLYe564sTVzluMCfpGao9DCrdG5ln2JS12nBpa7GnfUnUvH1aBvJaH&#10;YVkan7mfvD6b0/FSk1Nq+jnuViAijfFf/HYfdZqff8PrmXSB3P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lEoTvwAAANwAAAAPAAAAAAAAAAAAAAAAAJgCAABkcnMvZG93bnJl&#10;di54bWxQSwUGAAAAAAQABAD1AAAAhAMAAAAA&#10;" filled="f" stroked="f">
              <v:textbox style="mso-fit-shape-to-text:t" inset="0,0,0,0">
                <w:txbxContent>
                  <w:p w:rsidR="0097684C" w:rsidRDefault="0097684C" w:rsidP="001F0AFB">
                    <w:r>
                      <w:rPr>
                        <w:rFonts w:cs="Calibri"/>
                        <w:color w:val="000000"/>
                        <w:lang w:val="en-US"/>
                      </w:rPr>
                      <w:t>/L/Day)</w:t>
                    </w:r>
                  </w:p>
                </w:txbxContent>
              </v:textbox>
            </v:rect>
            <v:rect id="Rectangle 23" o:spid="_x0000_s1051" style="position:absolute;left:13722;top:5994;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d1U8MA&#10;AADcAAAADwAAAGRycy9kb3ducmV2LnhtbESP3WoCMRCF74W+Q5hC7zRbCyJbo5SCoMUbVx9g2Mz+&#10;0GSyJKm7vn3nQvBuhnPmnG82u8k7daOY+sAG3hcFKOI62J5bA9fLfr4GlTKyRReYDNwpwW77Mttg&#10;acPIZ7pVuVUSwqlEA13OQ6l1qjvymBZhIBatCdFjljW22kYcJdw7vSyKlfbYszR0ONB3R/Vv9ecN&#10;6Eu1H9eVi0X4WTYndzycGwrGvL1OX5+gMk35aX5cH6zgfwi+PCMT6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d1U8MAAADcAAAADwAAAAAAAAAAAAAAAACYAgAAZHJzL2Rv&#10;d25yZXYueG1sUEsFBgAAAAAEAAQA9QAAAIgDAAAAAA==&#10;" filled="f" stroked="f">
              <v:textbox style="mso-fit-shape-to-text:t" inset="0,0,0,0">
                <w:txbxContent>
                  <w:p w:rsidR="0097684C" w:rsidRDefault="0097684C" w:rsidP="001F0AFB">
                    <w:r>
                      <w:rPr>
                        <w:rFonts w:cs="Calibri"/>
                        <w:color w:val="000000"/>
                        <w:lang w:val="en-US"/>
                      </w:rPr>
                      <w:t>2.07</w:t>
                    </w:r>
                  </w:p>
                </w:txbxContent>
              </v:textbox>
            </v:rect>
            <v:rect id="Rectangle 24" o:spid="_x0000_s1052" style="position:absolute;left:19818;top:5994;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vQyL4A&#10;AADcAAAADwAAAGRycy9kb3ducmV2LnhtbERP24rCMBB9X/Afwgi+rakuLFKNIoKgiy9WP2BophdM&#10;JiWJtv69EYR9m8O5zmozWCMe5EPrWMFsmoEgLp1uuVZwvey/FyBCRNZoHJOCJwXYrEdfK8y16/lM&#10;jyLWIoVwyFFBE2OXSxnKhiyGqeuIE1c5bzEm6GupPfYp3Bo5z7JfabHl1NBgR7uGyltxtwrkpdj3&#10;i8L4zP3Nq5M5Hs4VOaUm42G7BBFpiP/ij/ug0/yfGb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k70Mi+AAAA3AAAAA8AAAAAAAAAAAAAAAAAmAIAAGRycy9kb3ducmV2&#10;LnhtbFBLBQYAAAAABAAEAPUAAACDAwAAAAA=&#10;" filled="f" stroked="f">
              <v:textbox style="mso-fit-shape-to-text:t" inset="0,0,0,0">
                <w:txbxContent>
                  <w:p w:rsidR="0097684C" w:rsidRDefault="0097684C" w:rsidP="001F0AFB">
                    <w:r>
                      <w:rPr>
                        <w:rFonts w:cs="Calibri"/>
                        <w:color w:val="000000"/>
                        <w:lang w:val="en-US"/>
                      </w:rPr>
                      <w:t>0.49</w:t>
                    </w:r>
                  </w:p>
                </w:txbxContent>
              </v:textbox>
            </v:rect>
            <v:rect id="Rectangle 25" o:spid="_x0000_s1053" style="position:absolute;left:25920;top:5994;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XrJL4A&#10;AADcAAAADwAAAGRycy9kb3ducmV2LnhtbERP24rCMBB9X/Afwgi+rakKi1SjiCC44ovVDxia6QWT&#10;SUmi7f69EYR9m8O5zno7WCOe5EPrWMFsmoEgLp1uuVZwux6+lyBCRNZoHJOCPwqw3Yy+1phr1/OF&#10;nkWsRQrhkKOCJsYulzKUDVkMU9cRJ65y3mJM0NdSe+xTuDVynmU/0mLLqaHBjvYNlffiYRXIa3Ho&#10;l4XxmTvNq7P5PV4qckpNxsNuBSLSEP/FH/dRp/mLBbyfS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al6yS+AAAA3AAAAA8AAAAAAAAAAAAAAAAAmAIAAGRycy9kb3ducmV2&#10;LnhtbFBLBQYAAAAABAAEAPUAAACDAwAAAAA=&#10;" filled="f" stroked="f">
              <v:textbox style="mso-fit-shape-to-text:t" inset="0,0,0,0">
                <w:txbxContent>
                  <w:p w:rsidR="0097684C" w:rsidRDefault="0097684C" w:rsidP="001F0AFB">
                    <w:r>
                      <w:rPr>
                        <w:rFonts w:cs="Calibri"/>
                        <w:color w:val="000000"/>
                        <w:lang w:val="en-US"/>
                      </w:rPr>
                      <w:t>8.36</w:t>
                    </w:r>
                  </w:p>
                </w:txbxContent>
              </v:textbox>
            </v:rect>
            <v:rect id="Rectangle 26" o:spid="_x0000_s1054" style="position:absolute;left:32016;top:5994;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xzUL8A&#10;AADcAAAADwAAAGRycy9kb3ducmV2LnhtbERP24rCMBB9F/yHMIJvmqrLItUoIgi67IvVDxia6QWT&#10;SUmirX+/WVjYtzmc62z3gzXiRT60jhUs5hkI4tLplmsF99tptgYRIrJG45gUvCnAfjcebTHXrucr&#10;vYpYixTCIUcFTYxdLmUoG7IY5q4jTlzlvMWYoK+l9tincGvkMss+pcWWU0ODHR0bKh/F0yqQt+LU&#10;rwvjM/e1rL7N5XytyCk1nQyHDYhIQ/wX/7nPOs1ffcD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THNQvwAAANwAAAAPAAAAAAAAAAAAAAAAAJgCAABkcnMvZG93bnJl&#10;di54bWxQSwUGAAAAAAQABAD1AAAAhAMAAAAA&#10;" filled="f" stroked="f">
              <v:textbox style="mso-fit-shape-to-text:t" inset="0,0,0,0">
                <w:txbxContent>
                  <w:p w:rsidR="0097684C" w:rsidRDefault="0097684C" w:rsidP="001F0AFB">
                    <w:r>
                      <w:rPr>
                        <w:rFonts w:cs="Calibri"/>
                        <w:color w:val="000000"/>
                        <w:lang w:val="en-US"/>
                      </w:rPr>
                      <w:t>2.71</w:t>
                    </w:r>
                  </w:p>
                </w:txbxContent>
              </v:textbox>
            </v:rect>
            <v:rect id="Rectangle 27" o:spid="_x0000_s1055" style="position:absolute;left:38112;top:5994;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DWy78A&#10;AADcAAAADwAAAGRycy9kb3ducmV2LnhtbERP24rCMBB9F/yHMIJvmqrsItUoIgi67IvVDxia6QWT&#10;SUmirX+/WVjYtzmc62z3gzXiRT60jhUs5hkI4tLplmsF99tptgYRIrJG45gUvCnAfjcebTHXrucr&#10;vYpYixTCIUcFTYxdLmUoG7IY5q4jTlzlvMWYoK+l9tincGvkMss+pcWWU0ODHR0bKh/F0yqQt+LU&#10;rwvjM/e1rL7N5XytyCk1nQyHDYhIQ/wX/7nPOs1ffcD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2ANbLvwAAANwAAAAPAAAAAAAAAAAAAAAAAJgCAABkcnMvZG93bnJl&#10;di54bWxQSwUGAAAAAAQABAD1AAAAhAMAAAAA&#10;" filled="f" stroked="f">
              <v:textbox style="mso-fit-shape-to-text:t" inset="0,0,0,0">
                <w:txbxContent>
                  <w:p w:rsidR="0097684C" w:rsidRDefault="0097684C" w:rsidP="001F0AFB">
                    <w:r>
                      <w:rPr>
                        <w:rFonts w:cs="Calibri"/>
                        <w:color w:val="000000"/>
                        <w:lang w:val="en-US"/>
                      </w:rPr>
                      <w:t>0.34</w:t>
                    </w:r>
                  </w:p>
                </w:txbxContent>
              </v:textbox>
            </v:rect>
            <v:rect id="Rectangle 28" o:spid="_x0000_s1056" style="position:absolute;left:43834;top:5994;width:3187;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JIvL4A&#10;AADcAAAADwAAAGRycy9kb3ducmV2LnhtbERP24rCMBB9X/Afwgi+rakKItUoIgiu+GL1A4ZmesFk&#10;UpJou39vhIV9m8O5zmY3WCNe5EPrWMFsmoEgLp1uuVZwvx2/VyBCRNZoHJOCXwqw246+Nphr1/OV&#10;XkWsRQrhkKOCJsYulzKUDVkMU9cRJ65y3mJM0NdSe+xTuDVynmVLabHl1NBgR4eGykfxtArkrTj2&#10;q8L4zJ3n1cX8nK4VOaUm42G/BhFpiP/iP/dJp/mLJXye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bSSLy+AAAA3AAAAA8AAAAAAAAAAAAAAAAAmAIAAGRycy9kb3ducmV2&#10;LnhtbFBLBQYAAAAABAAEAPUAAACDAwAAAAA=&#10;" filled="f" stroked="f">
              <v:textbox style="mso-fit-shape-to-text:t" inset="0,0,0,0">
                <w:txbxContent>
                  <w:p w:rsidR="0097684C" w:rsidRDefault="0097684C" w:rsidP="001F0AFB">
                    <w:r>
                      <w:rPr>
                        <w:rFonts w:cs="Calibri"/>
                        <w:color w:val="000000"/>
                        <w:lang w:val="en-US"/>
                      </w:rPr>
                      <w:t>12.76</w:t>
                    </w:r>
                  </w:p>
                </w:txbxContent>
              </v:textbox>
            </v:rect>
            <v:rect id="Rectangle 29" o:spid="_x0000_s1057" style="position:absolute;left:304;top:7893;width:2655;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7tJ78A&#10;AADcAAAADwAAAGRycy9kb3ducmV2LnhtbERP24rCMBB9F/yHMIJvmqqwK9UoIgi67IvVDxia6QWT&#10;SUmirX+/WVjYtzmc62z3gzXiRT60jhUs5hkI4tLplmsF99tptgYRIrJG45gUvCnAfjcebTHXrucr&#10;vYpYixTCIUcFTYxdLmUoG7IY5q4jTlzlvMWYoK+l9tincGvkMss+pMWWU0ODHR0bKh/F0yqQt+LU&#10;rwvjM/e1rL7N5XytyCk1nQyHDYhIQ/wX/7nPOs1ffcL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nu0nvwAAANwAAAAPAAAAAAAAAAAAAAAAAJgCAABkcnMvZG93bnJl&#10;di54bWxQSwUGAAAAAAQABAD1AAAAhAMAAAAA&#10;" filled="f" stroked="f">
              <v:textbox style="mso-fit-shape-to-text:t" inset="0,0,0,0">
                <w:txbxContent>
                  <w:p w:rsidR="0097684C" w:rsidRDefault="0097684C" w:rsidP="001F0AFB">
                    <w:r>
                      <w:rPr>
                        <w:rFonts w:cs="Calibri"/>
                        <w:color w:val="000000"/>
                        <w:lang w:val="en-US"/>
                      </w:rPr>
                      <w:t>P / R</w:t>
                    </w:r>
                  </w:p>
                </w:txbxContent>
              </v:textbox>
            </v:rect>
            <v:rect id="Rectangle 30" o:spid="_x0000_s1058" style="position:absolute;left:13722;top:7893;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5VcMA&#10;AADcAAAADwAAAGRycy9kb3ducmV2LnhtbESP3WoCMRCF74W+Q5hC7zRbCyJbo5SCoMUbVx9g2Mz+&#10;0GSyJKm7vn3nQvBuhnPmnG82u8k7daOY+sAG3hcFKOI62J5bA9fLfr4GlTKyRReYDNwpwW77Mttg&#10;acPIZ7pVuVUSwqlEA13OQ6l1qjvymBZhIBatCdFjljW22kYcJdw7vSyKlfbYszR0ONB3R/Vv9ecN&#10;6Eu1H9eVi0X4WTYndzycGwrGvL1OX5+gMk35aX5cH6zgfwitPCMT6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F5VcMAAADcAAAADwAAAAAAAAAAAAAAAACYAgAAZHJzL2Rv&#10;d25yZXYueG1sUEsFBgAAAAAEAAQA9QAAAIgDAAAAAA==&#10;" filled="f" stroked="f">
              <v:textbox style="mso-fit-shape-to-text:t" inset="0,0,0,0">
                <w:txbxContent>
                  <w:p w:rsidR="0097684C" w:rsidRDefault="0097684C" w:rsidP="001F0AFB">
                    <w:r>
                      <w:rPr>
                        <w:rFonts w:cs="Calibri"/>
                        <w:color w:val="000000"/>
                        <w:lang w:val="en-US"/>
                      </w:rPr>
                      <w:t>0.56</w:t>
                    </w:r>
                  </w:p>
                </w:txbxContent>
              </v:textbox>
            </v:rect>
            <v:rect id="Rectangle 31" o:spid="_x0000_s1059" style="position:absolute;left:19818;top:7893;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3czr8A&#10;AADcAAAADwAAAGRycy9kb3ducmV2LnhtbERP24rCMBB9X/Afwgi+rakKi1ajiCCo7IvVDxia6QWT&#10;SUmytvv3RljYtzmc62x2gzXiST60jhXMphkI4tLplmsF99vxcwkiRGSNxjEp+KUAu+3oY4O5dj1f&#10;6VnEWqQQDjkqaGLscilD2ZDFMHUdceIq5y3GBH0ttcc+hVsj51n2JS22nBoa7OjQUPkofqwCeSuO&#10;/bIwPnOXefVtzqdrRU6pyXjYr0FEGuK/+M990mn+YgXvZ9IFcv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3TdzOvwAAANwAAAAPAAAAAAAAAAAAAAAAAJgCAABkcnMvZG93bnJl&#10;di54bWxQSwUGAAAAAAQABAD1AAAAhAMAAAAA&#10;" filled="f" stroked="f">
              <v:textbox style="mso-fit-shape-to-text:t" inset="0,0,0,0">
                <w:txbxContent>
                  <w:p w:rsidR="0097684C" w:rsidRDefault="0097684C" w:rsidP="001F0AFB">
                    <w:r>
                      <w:rPr>
                        <w:rFonts w:cs="Calibri"/>
                        <w:color w:val="000000"/>
                        <w:lang w:val="en-US"/>
                      </w:rPr>
                      <w:t>0.29</w:t>
                    </w:r>
                  </w:p>
                </w:txbxContent>
              </v:textbox>
            </v:rect>
            <v:rect id="Rectangle 32" o:spid="_x0000_s1060" style="position:absolute;left:25920;top:7893;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GLsMA&#10;AADcAAAADwAAAGRycy9kb3ducmV2LnhtbESP3WoCMRCF74W+Q5hC7zRbKSJbo5SCoMUbVx9g2Mz+&#10;0GSyJKm7vn3nQvBuhnPmnG82u8k7daOY+sAG3hcFKOI62J5bA9fLfr4GlTKyRReYDNwpwW77Mttg&#10;acPIZ7pVuVUSwqlEA13OQ6l1qjvymBZhIBatCdFjljW22kYcJdw7vSyKlfbYszR0ONB3R/Vv9ecN&#10;6Eu1H9eVi0X4WTYndzycGwrGvL1OX5+gMk35aX5cH6zgfwi+PCMT6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GLsMAAADcAAAADwAAAAAAAAAAAAAAAACYAgAAZHJzL2Rv&#10;d25yZXYueG1sUEsFBgAAAAAEAAQA9QAAAIgDAAAAAA==&#10;" filled="f" stroked="f">
              <v:textbox style="mso-fit-shape-to-text:t" inset="0,0,0,0">
                <w:txbxContent>
                  <w:p w:rsidR="0097684C" w:rsidRDefault="0097684C" w:rsidP="001F0AFB">
                    <w:r>
                      <w:rPr>
                        <w:rFonts w:cs="Calibri"/>
                        <w:color w:val="000000"/>
                        <w:lang w:val="en-US"/>
                      </w:rPr>
                      <w:t>2.61</w:t>
                    </w:r>
                  </w:p>
                </w:txbxContent>
              </v:textbox>
            </v:rect>
            <v:rect id="Rectangle 33" o:spid="_x0000_s1061" style="position:absolute;left:32016;top:7893;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2jtb4A&#10;AADcAAAADwAAAGRycy9kb3ducmV2LnhtbERP24rCMBB9X/Afwgi+ramyLFKNIoKgiy9WP2BophdM&#10;JiWJtv69EYR9m8O5zmozWCMe5EPrWMFsmoEgLp1uuVZwvey/FyBCRNZoHJOCJwXYrEdfK8y16/lM&#10;jyLWIoVwyFFBE2OXSxnKhiyGqeuIE1c5bzEm6GupPfYp3Bo5z7JfabHl1NBgR7uGyltxtwrkpdj3&#10;i8L4zP3Nq5M5Hs4VOaUm42G7BBFpiP/ij/ug0/yfGb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E9o7W+AAAA3AAAAA8AAAAAAAAAAAAAAAAAmAIAAGRycy9kb3ducmV2&#10;LnhtbFBLBQYAAAAABAAEAPUAAACDAwAAAAA=&#10;" filled="f" stroked="f">
              <v:textbox style="mso-fit-shape-to-text:t" inset="0,0,0,0">
                <w:txbxContent>
                  <w:p w:rsidR="0097684C" w:rsidRDefault="0097684C" w:rsidP="001F0AFB">
                    <w:r>
                      <w:rPr>
                        <w:rFonts w:cs="Calibri"/>
                        <w:color w:val="000000"/>
                        <w:lang w:val="en-US"/>
                      </w:rPr>
                      <w:t>0.48</w:t>
                    </w:r>
                  </w:p>
                </w:txbxContent>
              </v:textbox>
            </v:rect>
            <v:rect id="Rectangle 34" o:spid="_x0000_s1062" style="position:absolute;left:38112;top:7893;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89wr8A&#10;AADcAAAADwAAAGRycy9kb3ducmV2LnhtbERP24rCMBB9F/yHMMK+aWqRRbpGEUFQ2RfrfsDQTC+Y&#10;TEoSbf17s7Cwb3M419nsRmvEk3zoHCtYLjIQxJXTHTcKfm7H+RpEiMgajWNS8KIAu+10ssFCu4Gv&#10;9CxjI1IIhwIVtDH2hZShasliWLieOHG18xZjgr6R2uOQwq2ReZZ9Sosdp4YWezq0VN3Lh1Ugb+Vx&#10;WJfGZ+6S19/mfLrW5JT6mI37LxCRxvgv/nOfdJq/yuH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7z3CvwAAANwAAAAPAAAAAAAAAAAAAAAAAJgCAABkcnMvZG93bnJl&#10;di54bWxQSwUGAAAAAAQABAD1AAAAhAMAAAAA&#10;" filled="f" stroked="f">
              <v:textbox style="mso-fit-shape-to-text:t" inset="0,0,0,0">
                <w:txbxContent>
                  <w:p w:rsidR="0097684C" w:rsidRDefault="0097684C" w:rsidP="001F0AFB">
                    <w:r>
                      <w:rPr>
                        <w:rFonts w:cs="Calibri"/>
                        <w:color w:val="000000"/>
                        <w:lang w:val="en-US"/>
                      </w:rPr>
                      <w:t>0.19</w:t>
                    </w:r>
                  </w:p>
                </w:txbxContent>
              </v:textbox>
            </v:rect>
            <v:rect id="Rectangle 35" o:spid="_x0000_s1063" style="position:absolute;left:44215;top:7893;width:2482;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OYWb8A&#10;AADcAAAADwAAAGRycy9kb3ducmV2LnhtbERP24rCMBB9F/yHMIJvmqrLItUoIgi67IvVDxia6QWT&#10;SUmirX+/WVjYtzmc62z3gzXiRT60jhUs5hkI4tLplmsF99tptgYRIrJG45gUvCnAfjcebTHXrucr&#10;vYpYixTCIUcFTYxdLmUoG7IY5q4jTlzlvMWYoK+l9tincGvkMss+pcWWU0ODHR0bKh/F0yqQt+LU&#10;rwvjM/e1rL7N5XytyCk1nQyHDYhIQ/wX/7nPOs3/WMH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o5hZvwAAANwAAAAPAAAAAAAAAAAAAAAAAJgCAABkcnMvZG93bnJl&#10;di54bWxQSwUGAAAAAAQABAD1AAAAhAMAAAAA&#10;" filled="f" stroked="f">
              <v:textbox style="mso-fit-shape-to-text:t" inset="0,0,0,0">
                <w:txbxContent>
                  <w:p w:rsidR="0097684C" w:rsidRDefault="0097684C" w:rsidP="001F0AFB">
                    <w:r>
                      <w:rPr>
                        <w:rFonts w:cs="Calibri"/>
                        <w:color w:val="000000"/>
                        <w:lang w:val="en-US"/>
                      </w:rPr>
                      <w:t>2.43</w:t>
                    </w:r>
                  </w:p>
                </w:txbxContent>
              </v:textbox>
            </v:rect>
            <v:rect id="Rectangle 36" o:spid="_x0000_s1064" style="position:absolute;left:14789;top:152;width:12979;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oALb4A&#10;AADcAAAADwAAAGRycy9kb3ducmV2LnhtbERP24rCMBB9X/Afwgi+rakii1SjiCC44ovVDxia6QWT&#10;SUmi7f69EYR9m8O5zno7WCOe5EPrWMFsmoEgLp1uuVZwux6+lyBCRNZoHJOCPwqw3Yy+1phr1/OF&#10;nkWsRQrhkKOCJsYulzKUDVkMU9cRJ65y3mJM0NdSe+xTuDVynmU/0mLLqaHBjvYNlffiYRXIa3Ho&#10;l4XxmTvNq7P5PV4qckpNxsNuBSLSEP/FH/dRp/mLBbyfS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FKAC2+AAAA3AAAAA8AAAAAAAAAAAAAAAAAmAIAAGRycy9kb3ducmV2&#10;LnhtbFBLBQYAAAAABAAEAPUAAACDAwAAAAA=&#10;" filled="f" stroked="f">
              <v:textbox style="mso-fit-shape-to-text:t" inset="0,0,0,0">
                <w:txbxContent>
                  <w:p w:rsidR="0097684C" w:rsidRDefault="0097684C" w:rsidP="001F0AFB">
                    <w:r>
                      <w:rPr>
                        <w:rFonts w:cs="Calibri"/>
                        <w:color w:val="000000"/>
                        <w:lang w:val="en-US"/>
                      </w:rPr>
                      <w:t xml:space="preserve">Zone 1 Site </w:t>
                    </w:r>
                    <w:proofErr w:type="gramStart"/>
                    <w:r>
                      <w:rPr>
                        <w:rFonts w:cs="Calibri"/>
                        <w:color w:val="000000"/>
                        <w:lang w:val="en-US"/>
                      </w:rPr>
                      <w:t>1  (</w:t>
                    </w:r>
                    <w:proofErr w:type="gramEnd"/>
                    <w:r>
                      <w:rPr>
                        <w:rFonts w:cs="Calibri"/>
                        <w:color w:val="000000"/>
                        <w:lang w:val="en-US"/>
                      </w:rPr>
                      <w:t>n = 109)</w:t>
                    </w:r>
                  </w:p>
                </w:txbxContent>
              </v:textbox>
            </v:rect>
            <v:rect id="Rectangle 37" o:spid="_x0000_s1065" style="position:absolute;left:33083;top:152;width:12979;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altr8A&#10;AADcAAAADwAAAGRycy9kb3ducmV2LnhtbERP24rCMBB9F/yHMIJvmiruItUoIgi67IvVDxia6QWT&#10;SUmirX+/WVjYtzmc62z3gzXiRT60jhUs5hkI4tLplmsF99tptgYRIrJG45gUvCnAfjcebTHXrucr&#10;vYpYixTCIUcFTYxdLmUoG7IY5q4jTlzlvMWYoK+l9tincGvkMss+pcWWU0ODHR0bKh/F0yqQt+LU&#10;rwvjM/e1rL7N5XytyCk1nQyHDYhIQ/wX/7nPOs1ffcD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BqW2vwAAANwAAAAPAAAAAAAAAAAAAAAAAJgCAABkcnMvZG93bnJl&#10;di54bWxQSwUGAAAAAAQABAD1AAAAhAMAAAAA&#10;" filled="f" stroked="f">
              <v:textbox style="mso-fit-shape-to-text:t" inset="0,0,0,0">
                <w:txbxContent>
                  <w:p w:rsidR="0097684C" w:rsidRDefault="0097684C" w:rsidP="001F0AFB">
                    <w:r>
                      <w:rPr>
                        <w:rFonts w:cs="Calibri"/>
                        <w:color w:val="000000"/>
                        <w:lang w:val="en-US"/>
                      </w:rPr>
                      <w:t xml:space="preserve">Zone 1 Site </w:t>
                    </w:r>
                    <w:proofErr w:type="gramStart"/>
                    <w:r>
                      <w:rPr>
                        <w:rFonts w:cs="Calibri"/>
                        <w:color w:val="000000"/>
                        <w:lang w:val="en-US"/>
                      </w:rPr>
                      <w:t>5  (</w:t>
                    </w:r>
                    <w:proofErr w:type="gramEnd"/>
                    <w:r>
                      <w:rPr>
                        <w:rFonts w:cs="Calibri"/>
                        <w:color w:val="000000"/>
                        <w:lang w:val="en-US"/>
                      </w:rPr>
                      <w:t>n = 161)</w:t>
                    </w:r>
                  </w:p>
                </w:txbxContent>
              </v:textbox>
            </v:rect>
            <v:line id="Line 38" o:spid="_x0000_s1066" style="position:absolute;visibility:visible;mso-wrap-style:square" from="0,0" to="117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jHkcMAAADcAAAADwAAAGRycy9kb3ducmV2LnhtbERPS4vCMBC+C/sfwix4EU19IFKNslQE&#10;Dx7W7orXsRnbus2kNFHrv98Igrf5+J6zWLWmEjdqXGlZwXAQgSDOrC45V/D7s+nPQDiPrLGyTAoe&#10;5GC1/OgsMNb2znu6pT4XIYRdjAoK7+tYSpcVZNANbE0cuLNtDPoAm1zqBu8h3FRyFEVTabDk0FBg&#10;TUlB2V96NQp6x1lvjIf0kgzzUUKX791pvXdKdT/brzkIT61/i1/urQ7zJ1N4PhMukM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fYx5HDAAAA3AAAAA8AAAAAAAAAAAAA&#10;AAAAoQIAAGRycy9kb3ducmV2LnhtbFBLBQYAAAAABAAEAPkAAACRAwAAAAA=&#10;" strokecolor="#dadcdd" strokeweight="0"/>
            <v:rect id="Rectangle 39" o:spid="_x0000_s1067" style="position:absolute;width:11741;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PZ2cIA&#10;AADcAAAADwAAAGRycy9kb3ducmV2LnhtbERP22oCMRB9L/gPYYS+1aylqKxGUaFSKBS84uOwGTfB&#10;zWTZRN39+6ZQ8G0O5zqzResqcacmWM8KhoMMBHHhteVSwWH/+TYBESKyxsozKegowGLee5lhrv2D&#10;t3TfxVKkEA45KjAx1rmUoTDkMAx8TZy4i28cxgSbUuoGHyncVfI9y0bSoeXUYLCmtaHiurs5Bd/d&#10;yR5HeojH8+mnM+PNyrpsq9Rrv11OQURq41P87/7Saf7HGP6eSRfI+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A9nZwgAAANwAAAAPAAAAAAAAAAAAAAAAAJgCAABkcnMvZG93&#10;bnJldi54bWxQSwUGAAAAAAQABAD1AAAAhwMAAAAA&#10;" fillcolor="#dadcdd" stroked="f"/>
            <v:line id="Line 40" o:spid="_x0000_s1068" style="position:absolute;flip:y;visibility:visible;mso-wrap-style:square" from="11817,0" to="118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u9I8cAAADcAAAADwAAAGRycy9kb3ducmV2LnhtbESPT2vDMAzF74N9B6NBL2V1WkYpWd0y&#10;+ocOylqWbXcRa0loLIfYrbNvPx0Gu0m8p/d+Wq4H16ob9aHxbGA6yUARl942XBn4/Ng/LkCFiGyx&#10;9UwGfijAenV/t8Tc+sTvdCtipSSEQ44G6hi7XOtQ1uQwTHxHLNq37x1GWftK2x6ThLtWz7Jsrh02&#10;LA01drSpqbwUV2fgNN6ly/Zt+nVM47SdNQWf58eDMaOH4eUZVKQh/pv/rl+t4D8JrTwjE+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a70jxwAAANwAAAAPAAAAAAAA&#10;AAAAAAAAAKECAABkcnMvZG93bnJldi54bWxQSwUGAAAAAAQABAD5AAAAlQMAAAAA&#10;" strokecolor="#dadcdd" strokeweight="0"/>
            <v:rect id="Rectangle 41" o:spid="_x0000_s1069" style="position:absolute;left:11817;top:-76;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DoMMMA&#10;AADcAAAADwAAAGRycy9kb3ducmV2LnhtbERP32vCMBB+F/Y/hBv4pqljOFeNsg0mwkCwTvHxaG5N&#10;WHMpTdT2v1+EgW/38f28xapztbhQG6xnBZNxBoK49NpypeB7/zmagQgRWWPtmRT0FGC1fBgsMNf+&#10;yju6FLESKYRDjgpMjE0uZSgNOQxj3xAn7se3DmOCbSV1i9cU7mr5lGVT6dByajDY0Ieh8rc4OwVf&#10;/dEepnqCh9Nx25uX9bt12U6p4WP3NgcRqYt38b97o9P851e4PZMu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DoMMMAAADcAAAADwAAAAAAAAAAAAAAAACYAgAAZHJzL2Rv&#10;d25yZXYueG1sUEsFBgAAAAAEAAQA9QAAAIgDAAAAAA==&#10;" fillcolor="#dadcdd" stroked="f"/>
            <v:line id="Line 42" o:spid="_x0000_s1070" style="position:absolute;flip:y;visibility:visible;mso-wrap-style:square" from="30111,0" to="301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Qn+McAAADcAAAADwAAAGRycy9kb3ducmV2LnhtbESPT2vDMAzF74N9B6NBL2V1WlgpWd0y&#10;+ocOylqWbXcRa0loLIfYrbNvPx0Gu0m8p/d+Wq4H16ob9aHxbGA6yUARl942XBn4/Ng/LkCFiGyx&#10;9UwGfijAenV/t8Tc+sTvdCtipSSEQ44G6hi7XOtQ1uQwTHxHLNq37x1GWftK2x6ThLtWz7Jsrh02&#10;LA01drSpqbwUV2fgNN6ly/Zt+nVM47SdNQWf58eDMaOH4eUZVKQh/pv/rl+t4D8JvjwjE+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xCf4xwAAANwAAAAPAAAAAAAA&#10;AAAAAAAAAKECAABkcnMvZG93bnJldi54bWxQSwUGAAAAAAQABAD5AAAAlQMAAAAA&#10;" strokecolor="#dadcdd" strokeweight="0"/>
            <v:rect id="Rectangle 43" o:spid="_x0000_s1071" style="position:absolute;left:30111;top:-76;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9y68IA&#10;AADcAAAADwAAAGRycy9kb3ducmV2LnhtbERP32vCMBB+H/g/hBP2NtMOdFKNogNlMBjoVHw8mrMJ&#10;NpfSRG3/+2Uw2Nt9fD9vvuxcLe7UButZQT7KQBCXXluuFBy+Ny9TECEia6w9k4KeAiwXg6c5Fto/&#10;eEf3faxECuFQoAITY1NIGUpDDsPIN8SJu/jWYUywraRu8ZHCXS1fs2wiHVpODQYbejdUXvc3p+Cz&#10;P9njROd4PJ++evO2XVuX7ZR6HnarGYhIXfwX/7k/dJo/zuH3mXSBX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f3LrwgAAANwAAAAPAAAAAAAAAAAAAAAAAJgCAABkcnMvZG93&#10;bnJldi54bWxQSwUGAAAAAAQABAD1AAAAhwMAAAAA&#10;" fillcolor="#dadcdd" stroked="f"/>
            <v:rect id="Rectangle 44" o:spid="_x0000_s1072" style="position:absolute;left:11893;top:-76;width:36589;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BH3MQA&#10;AADcAAAADwAAAGRycy9kb3ducmV2LnhtbERPS2vCQBC+F/wPyxS81U2DFpu6ES0IXoT6ONTbmJ0m&#10;IdnZdHfV6K/vFgq9zcf3nNm8N624kPO1ZQXPowQEcWF1zaWCw371NAXhA7LG1jIpuJGHeT54mGGm&#10;7ZW3dNmFUsQQ9hkqqELoMil9UZFBP7IdceS+rDMYInSl1A6vMdy0Mk2SF2mw5thQYUfvFRXN7mwU&#10;LF+ny++PMW/u29ORjp+nZpK6RKnhY794AxGoD//iP/dax/mTFH6fiRf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AR9zEAAAA3AAAAA8AAAAAAAAAAAAAAAAAmAIAAGRycy9k&#10;b3ducmV2LnhtbFBLBQYAAAAABAAEAPUAAACJAwAAAAA=&#10;" fillcolor="black" stroked="f"/>
            <v:line id="Line 45" o:spid="_x0000_s1073" style="position:absolute;flip:y;visibility:visible;mso-wrap-style:square" from="48406,0" to="484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a5j8MAAADcAAAADwAAAGRycy9kb3ducmV2LnhtbERP32vCMBB+H+x/CCfsRTRVmUg1ylDH&#10;BuLEqu9Hc7bF5lKazNT/fhkM9nYf389brDpTizu1rrKsYDRMQBDnVldcKDif3gczEM4ja6wtk4IH&#10;OVgtn58WmGob+Ej3zBcihrBLUUHpfZNK6fKSDLqhbYgjd7WtQR9hW0jdYojhppbjJJlKgxXHhhIb&#10;WpeU37Jvo+Crvw23zX502YV+2IyrjA/T3YdSL73ubQ7CU+f/xX/uTx3nv07g95l4gV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WuY/DAAAA3AAAAA8AAAAAAAAAAAAA&#10;AAAAoQIAAGRycy9kb3ducmV2LnhtbFBLBQYAAAAABAAEAPkAAACRAwAAAAA=&#10;" strokecolor="#dadcdd" strokeweight="0"/>
            <v:rect id="Rectangle 46" o:spid="_x0000_s1074" style="position:absolute;left:48406;top:-76;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jRc8MA&#10;AADcAAAADwAAAGRycy9kb3ducmV2LnhtbERP32vCMBB+H+x/CDfwbabKpqMaZRM2BoJgneLj0dya&#10;sOZSmqjtf78Igm/38f28+bJztThTG6xnBaNhBoK49NpypeBn9/n8BiJEZI21Z1LQU4Dl4vFhjrn2&#10;F97SuYiVSCEcclRgYmxyKUNpyGEY+oY4cb++dRgTbCupW7ykcFfLcZZNpEPLqcFgQytD5V9xcgrW&#10;/cHuJ3qE++Nh05vp14d12VapwVP3PgMRqYt38c39rdP81xe4PpMu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jRc8MAAADcAAAADwAAAAAAAAAAAAAAAACYAgAAZHJzL2Rv&#10;d25yZXYueG1sUEsFBgAAAAAEAAQA9QAAAIgDAAAAAA==&#10;" fillcolor="#dadcdd" stroked="f"/>
            <v:line id="Line 47" o:spid="_x0000_s1075" style="position:absolute;visibility:visible;mso-wrap-style:square" from="0,1898" to="11741,1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PPO8QAAADcAAAADwAAAGRycy9kb3ducmV2LnhtbERPTWvCQBC9F/oflil4Ed0kxSKpq5QU&#10;wUMPNVW8TrPTJDY7G7JrEv+9Wyh4m8f7nNVmNI3oqXO1ZQXxPAJBXFhdc6ng8LWdLUE4j6yxsUwK&#10;ruRgs358WGGq7cB76nNfihDCLkUFlfdtKqUrKjLo5rYlDtyP7Qz6ALtS6g6HEG4amUTRizRYc2io&#10;sKWsouI3vxgF09Ny+ozH/JzFZZLR+fPj+33vlJo8jW+vIDyN/i7+d+90mL9YwN8z4QK5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0887xAAAANwAAAAPAAAAAAAAAAAA&#10;AAAAAKECAABkcnMvZG93bnJldi54bWxQSwUGAAAAAAQABAD5AAAAkgMAAAAA&#10;" strokecolor="#dadcdd" strokeweight="0"/>
            <v:rect id="Rectangle 48" o:spid="_x0000_s1076" style="position:absolute;top:1898;width:11741;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bqn8IA&#10;AADcAAAADwAAAGRycy9kb3ducmV2LnhtbERP32vCMBB+H/g/hBP2NlMHdlKNooPJYCDoVHw8mrMJ&#10;NpfSZNr+94sw2Nt9fD9vvuxcLW7UButZwXiUgSAuvbZcKTh8f7xMQYSIrLH2TAp6CrBcDJ7mWGh/&#10;5x3d9rESKYRDgQpMjE0hZSgNOQwj3xAn7uJbhzHBtpK6xXsKd7V8zbJcOrScGgw29G6ovO5/nIKv&#10;/mSPuR7j8Xza9uZts7Yu2yn1POxWMxCRuvgv/nN/6jR/ksPjmXSBX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luqfwgAAANwAAAAPAAAAAAAAAAAAAAAAAJgCAABkcnMvZG93&#10;bnJldi54bWxQSwUGAAAAAAQABAD1AAAAhwMAAAAA&#10;" fillcolor="#dadcdd" stroked="f"/>
            <v:line id="Line 49" o:spid="_x0000_s1077" style="position:absolute;flip:y;visibility:visible;mso-wrap-style:square" from="17913,0" to="179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2/jMMAAADcAAAADwAAAGRycy9kb3ducmV2LnhtbERP32vCMBB+H+x/CCfsRTRV0Ek1ylDH&#10;BuLEqu9Hc7bF5lKazNT/fhkM9nYf389brDpTizu1rrKsYDRMQBDnVldcKDif3gczEM4ja6wtk4IH&#10;OVgtn58WmGob+Ej3zBcihrBLUUHpfZNK6fKSDLqhbYgjd7WtQR9hW0jdYojhppbjJJlKgxXHhhIb&#10;WpeU37Jvo+Crvw23zX502YV+2IyrjA/T3YdSL73ubQ7CU+f/xX/uTx3nT17h95l4gV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Ytv4zDAAAA3AAAAA8AAAAAAAAAAAAA&#10;AAAAoQIAAGRycy9kb3ducmV2LnhtbFBLBQYAAAAABAAEAPkAAACRAwAAAAA=&#10;" strokecolor="#dadcdd" strokeweight="0"/>
            <v:rect id="Rectangle 50" o:spid="_x0000_s1078" style="position:absolute;left:17913;top:-76;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XbdsUA&#10;AADcAAAADwAAAGRycy9kb3ducmV2LnhtbESPQWsCMRCF70L/Q5hCb5pVqC1bo7RCS0EQ1Co9Dpvp&#10;JnQzWTap7v575yD0NsN78943i1UfGnWmLvnIBqaTAhRxFa3n2sDX4X38DCplZItNZDIwUILV8m60&#10;wNLGC+/ovM+1khBOJRpwObel1qlyFDBNYkss2k/sAmZZu1rbDi8SHho9K4q5DuhZGhy2tHZU/e7/&#10;goHNcPLHuZ3i8fu0HdzTx5sPxc6Yh/v+9QVUpj7/m2/Xn1bwH4VWnpEJ9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Rdt2xQAAANwAAAAPAAAAAAAAAAAAAAAAAJgCAABkcnMv&#10;ZG93bnJldi54bWxQSwUGAAAAAAQABAD1AAAAigMAAAAA&#10;" fillcolor="#dadcdd" stroked="f"/>
            <v:line id="Line 51" o:spid="_x0000_s1079" style="position:absolute;flip:y;visibility:visible;mso-wrap-style:square" from="24009,0" to="240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6OZcMAAADcAAAADwAAAGRycy9kb3ducmV2LnhtbERP32vCMBB+H+x/CCfsRTRVUGY1ylDH&#10;BuLEqu9Hc7bF5lKazNT/fhkM9nYf389brDpTizu1rrKsYDRMQBDnVldcKDif3gevIJxH1lhbJgUP&#10;crBaPj8tMNU28JHumS9EDGGXooLS+yaV0uUlGXRD2xBH7mpbgz7CtpC6xRDDTS3HSTKVBiuODSU2&#10;tC4pv2XfRsFXfxtum/3osgv9sBlXGR+muw+lXnrd2xyEp87/i//cnzrOn8zg95l4gV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jmXDAAAA3AAAAA8AAAAAAAAAAAAA&#10;AAAAoQIAAGRycy9kb3ducmV2LnhtbFBLBQYAAAAABAAEAPkAAACRAwAAAAA=&#10;" strokecolor="#dadcdd" strokeweight="0"/>
            <v:rect id="Rectangle 52" o:spid="_x0000_s1080" style="position:absolute;left:24009;top:-76;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uw8EA&#10;AADcAAAADwAAAGRycy9kb3ducmV2LnhtbERPy2oCMRTdC/5DuII7TezCymiUKrQIhYJPurxMbieh&#10;k5thkurM3zcLweXhvFebztfiRm10gTXMpgoEcRmM40rD+fQ+WYCICdlgHZg09BRhsx4OVliYcOcD&#10;3Y6pEjmEY4EabEpNIWUsLXmM09AQZ+4ntB5Thm0lTYv3HO5r+aLUXHp0nBssNrSzVP4e/7yGz/7q&#10;LnMzw8v39au3rx9b59VB6/Goe1uCSNSlp/jh3hsNC5Xn5zP5CMj1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rsPBAAAA3AAAAA8AAAAAAAAAAAAAAAAAmAIAAGRycy9kb3du&#10;cmV2LnhtbFBLBQYAAAAABAAEAPUAAACGAwAAAAA=&#10;" fillcolor="#dadcdd" stroked="f"/>
            <v:line id="Line 53" o:spid="_x0000_s1081" style="position:absolute;flip:y;visibility:visible;mso-wrap-style:square" from="36207,0" to="362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T70MUAAADcAAAADwAAAGRycy9kb3ducmV2LnhtbESPQWvCQBSE74L/YXlCL6KbeBBJXaVU&#10;pQVRMbX3R/Y1CWbfhuzWTf99VxA8DjPzDbNc96YRN+pcbVlBOk1AEBdW11wquHztJgsQziNrbCyT&#10;gj9ysF4NB0vMtA18plvuSxEh7DJUUHnfZlK6oiKDbmpb4uj92M6gj7Irpe4wRLhp5CxJ5tJgzXGh&#10;wpbeKyqu+a9RcBxvw3VzSL/3YRw2szrn03z/odTLqH97BeGp98/wo/2pFSySFO5n4hGQq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cT70MUAAADcAAAADwAAAAAAAAAA&#10;AAAAAAChAgAAZHJzL2Rvd25yZXYueG1sUEsFBgAAAAAEAAQA+QAAAJMDAAAAAA==&#10;" strokecolor="#dadcdd" strokeweight="0"/>
            <v:rect id="Rectangle 54" o:spid="_x0000_s1082" style="position:absolute;left:36207;top:-76;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GVL8QA&#10;AADcAAAADwAAAGRycy9kb3ducmV2LnhtbESPQWsCMRSE7wX/Q3iCt5rowcrWKCq0CEJBrdLjY/O6&#10;CW5elk3U3X/fFAo9DjPzDbNYdb4Wd2qjC6xhMlYgiMtgHFcaPk9vz3MQMSEbrAOThp4irJaDpwUW&#10;Jjz4QPdjqkSGcCxQg02pKaSMpSWPcRwa4ux9h9ZjyrKtpGnxkeG+llOlZtKj47xgsaGtpfJ6vHkN&#10;+/7izjMzwfPX5aO3L+8b59VB69GwW7+CSNSl//Bfe2c0zNUUfs/kIy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hlS/EAAAA3AAAAA8AAAAAAAAAAAAAAAAAmAIAAGRycy9k&#10;b3ducmV2LnhtbFBLBQYAAAAABAAEAPUAAACJAwAAAAA=&#10;" fillcolor="#dadcdd" stroked="f"/>
            <v:line id="Line 55" o:spid="_x0000_s1083" style="position:absolute;flip:y;visibility:visible;mso-wrap-style:square" from="42310,0" to="423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rAPMUAAADcAAAADwAAAGRycy9kb3ducmV2LnhtbESPQWvCQBSE74X+h+UJXkQ3WhCJriK1&#10;RUFqadT7I/tMgtm3Ibu66b93hUKPw8x8wyxWnanFnVpXWVYwHiUgiHOrKy4UnI6fwxkI55E11pZJ&#10;wS85WC1fXxaYahv4h+6ZL0SEsEtRQel9k0rp8pIMupFtiKN3sa1BH2VbSN1iiHBTy0mSTKXBiuNC&#10;iQ29l5Rfs5tRcBh8hOvma3zeh0HYTKqMv6f7rVL9Xreeg/DU+f/wX3unFcySN3ieiUdAL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lrAPMUAAADcAAAADwAAAAAAAAAA&#10;AAAAAAChAgAAZHJzL2Rvd25yZXYueG1sUEsFBgAAAAAEAAQA+QAAAJMDAAAAAA==&#10;" strokecolor="#dadcdd" strokeweight="0"/>
            <v:rect id="Rectangle 56" o:spid="_x0000_s1084" style="position:absolute;left:42310;top:-76;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SowMQA&#10;AADcAAAADwAAAGRycy9kb3ducmV2LnhtbESPQWsCMRSE70L/Q3iF3jSxiJWtUdqCUigI2io9PjbP&#10;TXDzsmyi7v77Rih4HGbmG2a+7HwtLtRGF1jDeKRAEJfBOK40/HyvhjMQMSEbrAOThp4iLBcPgzkW&#10;Jlx5S5ddqkSGcCxQg02pKaSMpSWPcRQa4uwdQ+sxZdlW0rR4zXBfy2elptKj47xgsaEPS+Vpd/Ya&#10;vvqD20/NGPe/h01vX9bvzqut1k+P3dsriERduof/259Gw0xN4HYmHw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EqMDEAAAA3AAAAA8AAAAAAAAAAAAAAAAAmAIAAGRycy9k&#10;b3ducmV2LnhtbFBLBQYAAAAABAAEAPUAAACJAwAAAAA=&#10;" fillcolor="#dadcdd" stroked="f"/>
            <v:rect id="Rectangle 57" o:spid="_x0000_s1085" style="position:absolute;left:11893;top:1822;width:36589;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WmG8YA&#10;AADcAAAADwAAAGRycy9kb3ducmV2LnhtbESPT2sCMRTE74LfIbyCN00qtWy3RtFCwYtQ/xzq7bl5&#10;3V3cvGyTqNt++qYgeBxm5jfMdN7ZRlzIh9qxhseRAkFcOFNzqWG/ex9mIEJENtg4Jg0/FGA+6/em&#10;mBt35Q1dtrEUCcIhRw1VjG0uZSgqshhGriVO3pfzFmOSvpTG4zXBbSPHSj1LizWnhQpbequoOG3P&#10;VsPyJVt+fzzx+ndzPNDh83iajL3SevDQLV5BROriPXxrr4yGTE3g/0w6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WmG8YAAADcAAAADwAAAAAAAAAAAAAAAACYAgAAZHJz&#10;L2Rvd25yZXYueG1sUEsFBgAAAAAEAAQA9QAAAIsDAAAAAA==&#10;" fillcolor="black" stroked="f"/>
            <v:line id="Line 58" o:spid="_x0000_s1086" style="position:absolute;visibility:visible;mso-wrap-style:square" from="0,0" to="0,3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0o/8YAAADcAAAADwAAAGRycy9kb3ducmV2LnhtbESPQWvCQBSE74L/YXlCL8FstBBCmlUk&#10;pdBDDzWteH1mX5No9m3IbjX9991CweMwM98wxXYyvbjS6DrLClZxAoK4trrjRsHnx8syA+E8ssbe&#10;Min4IQfbzXxWYK7tjfd0rXwjAoRdjgpa74dcSle3ZNDFdiAO3pcdDfogx0bqEW8Bbnq5TpJUGuw4&#10;LLQ4UNlSfam+jYLomEWPeKjO5apZl3R+fzs9751SD4tp9wTC0+Tv4f/2q1aQJSn8nQlHQG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NKP/GAAAA3AAAAA8AAAAAAAAA&#10;AAAAAAAAoQIAAGRycy9kb3ducmV2LnhtbFBLBQYAAAAABAAEAPkAAACUAwAAAAA=&#10;" strokecolor="#dadcdd" strokeweight="0"/>
            <v:rect id="Rectangle 59" o:spid="_x0000_s1087" style="position:absolute;width:76;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Y4HsEA&#10;AADcAAAADwAAAGRycy9kb3ducmV2LnhtbERPy4rCMBTdC/5DuAOz07QuHKlGcQSHAWHAJ7O8NHea&#10;YHNTmoy2f28WgsvDeS9WnavFjdpgPSvIxxkI4tJry5WC03E7moEIEVlj7ZkU9BRgtRwOFlhof+c9&#10;3Q6xEimEQ4EKTIxNIWUoDTkMY98QJ+7Ptw5jgm0ldYv3FO5qOcmyqXRoOTUYbGhjqLwe/p2CXX+x&#10;56nO8fx7+enNx9enddleqfe3bj0HEamLL/HT/a0VzPI0P51JR0A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mOB7BAAAA3AAAAA8AAAAAAAAAAAAAAAAAmAIAAGRycy9kb3du&#10;cmV2LnhtbFBLBQYAAAAABAAEAPUAAACGAwAAAAA=&#10;" fillcolor="#dadcdd" stroked="f"/>
            <v:rect id="Rectangle 60" o:spid="_x0000_s1088" style="position:absolute;left:76;top:3721;width:48406;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2xcYA&#10;AADcAAAADwAAAGRycy9kb3ducmV2LnhtbESPQWvCQBSE70L/w/IK3nQTsSWNrlIFoZeC2h7q7Zl9&#10;JsHs23R3q9Ff3xUEj8PMfMNM551pxImcry0rSIcJCOLC6ppLBd9fq0EGwgdkjY1lUnAhD/PZU2+K&#10;ubZn3tBpG0oRIexzVFCF0OZS+qIig35oW+LoHawzGKJ0pdQOzxFuGjlKkldpsOa4UGFLy4qK4/bP&#10;KFi8ZYvf9Zg/r5v9jnY/++PLyCVK9Z+79wmIQF14hO/tD60gS1O4nYlH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2xcYAAADcAAAADwAAAAAAAAAAAAAAAACYAgAAZHJz&#10;L2Rvd25yZXYueG1sUEsFBgAAAAAEAAQA9QAAAIsDAAAAAA==&#10;" fillcolor="black" stroked="f"/>
            <v:line id="Line 61" o:spid="_x0000_s1089" style="position:absolute;visibility:visible;mso-wrap-style:square" from="76,5765" to="11741,5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4IcUAAADcAAAADwAAAGRycy9kb3ducmV2LnhtbESPQWvCQBSE74L/YXlCL1I3SUFCdBWJ&#10;FHrooUal12f2NYnNvg3Zrab/3hUEj8PMfMMs14NpxYV611hWEM8iEMSl1Q1XCg7799cUhPPIGlvL&#10;pOCfHKxX49ESM22vvKNL4SsRIOwyVFB732VSurImg25mO+Lg/djeoA+yr6Tu8RrgppVJFM2lwYbD&#10;Qo0d5TWVv8WfUTD9TqdveCzOeVwlOZ2/Pk/bnVPqZTJsFiA8Df4ZfrQ/tII0TuB+JhwBub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6+4IcUAAADcAAAADwAAAAAAAAAA&#10;AAAAAAChAgAAZHJzL2Rvd25yZXYueG1sUEsFBgAAAAAEAAQA+QAAAJMDAAAAAA==&#10;" strokecolor="#dadcdd" strokeweight="0"/>
            <v:rect id="Rectangle 62" o:spid="_x0000_s1090" style="position:absolute;left:76;top:5765;width:11665;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SmacQA&#10;AADcAAAADwAAAGRycy9kb3ducmV2LnhtbESP3WoCMRSE7wu+QzhC72p2K1jZGkULlYIg+EsvD5vT&#10;TejmZNmkuvv2Rih4OczMN8xs0blaXKgN1rOCfJSBIC69tlwpOB4+X6YgQkTWWHsmBT0FWMwHTzMs&#10;tL/yji77WIkE4VCgAhNjU0gZSkMOw8g3xMn78a3DmGRbSd3iNcFdLV+zbCIdWk4LBhv6MFT+7v+c&#10;gk1/tqeJzvH0fd725m29si7bKfU87JbvICJ18RH+b39pBdN8DPcz6Qj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0pmnEAAAA3AAAAA8AAAAAAAAAAAAAAAAAmAIAAGRycy9k&#10;b3ducmV2LnhtbFBLBQYAAAAABAAEAPUAAACJAwAAAAA=&#10;" fillcolor="#dadcdd" stroked="f"/>
            <v:line id="Line 63" o:spid="_x0000_s1091" style="position:absolute;visibility:visible;mso-wrap-style:square" from="11893,5765" to="17837,5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qFzsYAAADcAAAADwAAAGRycy9kb3ducmV2LnhtbESPT2vCQBTE70K/w/KEXqRuYkVCdCMl&#10;IvTQg6aWXl+zz/wx+zZkt5p+e7dQ6HGYmd8wm+1oOnGlwTWWFcTzCARxaXXDlYLT+/4pAeE8ssbO&#10;Min4IQfb7GGywVTbGx/pWvhKBAi7FBXU3veplK6syaCb2544eGc7GPRBDpXUA94C3HRyEUUrabDh&#10;sFBjT3lN5aX4Ngpmn8nsGT+KNo+rRU7t4e1rd3RKPU7HlzUIT6P/D/+1X7WCJF7C75lwBGR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sKhc7GAAAA3AAAAA8AAAAAAAAA&#10;AAAAAAAAoQIAAGRycy9kb3ducmV2LnhtbFBLBQYAAAAABAAEAPkAAACUAwAAAAA=&#10;" strokecolor="#dadcdd" strokeweight="0"/>
            <v:rect id="Rectangle 64" o:spid="_x0000_s1092" style="position:absolute;left:11893;top:5765;width:5944;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GbhsQA&#10;AADcAAAADwAAAGRycy9kb3ducmV2LnhtbESP3WoCMRSE7wu+QzhC72p2C1rZGkULlYIg+EsvD5vT&#10;TejmZNmkuvv2Rih4OczMN8xs0blaXKgN1rOCfJSBIC69tlwpOB4+X6YgQkTWWHsmBT0FWMwHTzMs&#10;tL/yji77WIkE4VCgAhNjU0gZSkMOw8g3xMn78a3DmGRbSd3iNcFdLV+zbCIdWk4LBhv6MFT+7v+c&#10;gk1/tqeJzvH0fd725m29si7bKfU87JbvICJ18RH+b39pBdN8DPcz6Qj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Rm4bEAAAA3AAAAA8AAAAAAAAAAAAAAAAAmAIAAGRycy9k&#10;b3ducmV2LnhtbFBLBQYAAAAABAAEAPUAAACJAwAAAAA=&#10;" fillcolor="#dadcdd" stroked="f"/>
            <v:line id="Line 65" o:spid="_x0000_s1093" style="position:absolute;visibility:visible;mso-wrap-style:square" from="17989,5765" to="23933,5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S+IsYAAADcAAAADwAAAGRycy9kb3ducmV2LnhtbESPT2vCQBTE70K/w/IKvUjdREFCdA0l&#10;peChh5pWvL5mn/nT7NuQXTX99q4geBxm5jfMOhtNJ840uMaygngWgSAurW64UvDz/fGagHAeWWNn&#10;mRT8k4Ns8zRZY6rthXd0LnwlAoRdigpq7/tUSlfWZNDNbE8cvKMdDPogh0rqAS8Bbjo5j6KlNNhw&#10;WKixp7ym8q84GQXTQzJd4L5o87ia59R+ff6+75xSL8/j2wqEp9E/wvf2VitI4iXczoQjID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SUviLGAAAA3AAAAA8AAAAAAAAA&#10;AAAAAAAAoQIAAGRycy9kb3ducmV2LnhtbFBLBQYAAAAABAAEAPkAAACUAwAAAAA=&#10;" strokecolor="#dadcdd" strokeweight="0"/>
            <v:rect id="Rectangle 66" o:spid="_x0000_s1094" style="position:absolute;left:17989;top:5765;width:5944;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gasQA&#10;AADcAAAADwAAAGRycy9kb3ducmV2LnhtbESPT2sCMRTE70K/Q3hCb5pdDyqrUWrBUhAE/9LjY/O6&#10;Cd28LJtUd7+9EQo9DjPzG2a57lwtbtQG61lBPs5AEJdeW64UnE/b0RxEiMgaa8+koKcA69XLYImF&#10;9nc+0O0YK5EgHApUYGJsCilDachhGPuGOHnfvnUYk2wrqVu8J7ir5STLptKh5bRgsKF3Q+XP8dcp&#10;2PVXe5nqHC9f131vZh8b67KDUq/D7m0BIlIX/8N/7U+tYJ7P4HkmHQ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PoGrEAAAA3AAAAA8AAAAAAAAAAAAAAAAAmAIAAGRycy9k&#10;b3ducmV2LnhtbFBLBQYAAAAABAAEAPUAAACJAwAAAAA=&#10;" fillcolor="#dadcdd" stroked="f"/>
            <v:line id="Line 67" o:spid="_x0000_s1095" style="position:absolute;visibility:visible;mso-wrap-style:square" from="24085,5765" to="30035,5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ePy8IAAADcAAAADwAAAGRycy9kb3ducmV2LnhtbERPTYvCMBC9L/gfwgheRNMqLKUaRSrC&#10;Hjxod8Xr2IxttZmUJqv135vDwh4f73u57k0jHtS52rKCeBqBIC6srrlU8PO9myQgnEfW2FgmBS9y&#10;sF4NPpaYavvkIz1yX4oQwi5FBZX3bSqlKyoy6Ka2JQ7c1XYGfYBdKXWHzxBuGjmLok9psObQUGFL&#10;WUXFPf81CsbnZDzHU37L4nKW0e2wv2yPTqnRsN8sQHjq/b/4z/2lFSRxWBvOhCMgV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kePy8IAAADcAAAADwAAAAAAAAAAAAAA&#10;AAChAgAAZHJzL2Rvd25yZXYueG1sUEsFBgAAAAAEAAQA+QAAAJADAAAAAA==&#10;" strokecolor="#dadcdd" strokeweight="0"/>
            <v:rect id="Rectangle 68" o:spid="_x0000_s1096" style="position:absolute;left:24085;top:5765;width:5950;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yRg8UA&#10;AADcAAAADwAAAGRycy9kb3ducmV2LnhtbESPT2sCMRTE7wW/Q3hCbzW7PfhnaxQVWgqCoFbp8bF5&#10;3QQ3L8sm1d1vbwoFj8PM/IaZLztXiyu1wXpWkI8yEMSl15YrBV/H95cpiBCRNdaeSUFPAZaLwdMc&#10;C+1vvKfrIVYiQTgUqMDE2BRShtKQwzDyDXHyfnzrMCbZVlK3eEtwV8vXLBtLh5bTgsGGNobKy+HX&#10;Kdj2Z3sa6xxP3+ddbyYfa+uyvVLPw271BiJSFx/h//anVjDNZ/B3Jh0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nJGDxQAAANwAAAAPAAAAAAAAAAAAAAAAAJgCAABkcnMv&#10;ZG93bnJldi54bWxQSwUGAAAAAAQABAD1AAAAigMAAAAA&#10;" fillcolor="#dadcdd" stroked="f"/>
            <v:line id="Line 69" o:spid="_x0000_s1097" style="position:absolute;visibility:visible;mso-wrap-style:square" from="30187,5765" to="36131,5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1JcMMAAADcAAAADwAAAGRycy9kb3ducmV2LnhtbERPTWuDQBC9F/Iflgn0InGNgSLWTQiG&#10;QA89VNvS68Sdqok7K+42sf8+eyj0+HjfxW42g7jS5HrLCtZxAoK4sbrnVsHH+3GVgXAeWeNgmRT8&#10;koPddvFQYK7tjSu61r4VIYRdjgo678dcStd0ZNDFdiQO3LedDPoAp1bqCW8h3AwyTZInabDn0NDh&#10;SGVHzaX+MQqiryza4Gd9LtdtWtL57fV0qJxSj8t5/wzC0+z/xX/uF60gS8P8cCYcAbm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pdSXDDAAAA3AAAAA8AAAAAAAAAAAAA&#10;AAAAoQIAAGRycy9kb3ducmV2LnhtbFBLBQYAAAAABAAEAPkAAACRAwAAAAA=&#10;" strokecolor="#dadcdd" strokeweight="0"/>
            <v:rect id="Rectangle 70" o:spid="_x0000_s1098" style="position:absolute;left:30187;top:5765;width:5944;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ZXOMQA&#10;AADcAAAADwAAAGRycy9kb3ducmV2LnhtbESPT2sCMRTE74LfITzBm2bXg5XVKFVoEYSCf+nxsXnd&#10;hG5elk3U3W/fFAo9DjPzG2a16VwtHtQG61lBPs1AEJdeW64UXM5vkwWIEJE11p5JQU8BNuvhYIWF&#10;9k8+0uMUK5EgHApUYGJsCilDachhmPqGOHlfvnUYk2wrqVt8Jrir5SzL5tKh5bRgsKGdofL7dHcK&#10;Dv3NXuc6x+vn7aM3L+9b67KjUuNR97oEEamL/+G/9l4rWMxy+D2Tjo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GVzjEAAAA3AAAAA8AAAAAAAAAAAAAAAAAmAIAAGRycy9k&#10;b3ducmV2LnhtbFBLBQYAAAAABAAEAPUAAACJAwAAAAA=&#10;" fillcolor="#dadcdd" stroked="f"/>
            <v:line id="Line 71" o:spid="_x0000_s1099" style="position:absolute;visibility:visible;mso-wrap-style:square" from="36283,5765" to="42233,5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NynMUAAADcAAAADwAAAGRycy9kb3ducmV2LnhtbESPQWvCQBSE74L/YXlCL6IbUyghuopE&#10;Cj14qLHF6zP7TKLZtyG71fjvXaHgcZiZb5jFqjeNuFLnassKZtMIBHFhdc2lgp/95yQB4TyyxsYy&#10;KbiTg9VyOFhgqu2Nd3TNfSkChF2KCirv21RKV1Rk0E1tSxy8k+0M+iC7UuoObwFuGhlH0Yc0WHNY&#10;qLClrKLikv8ZBeNDMn7H3/yczco4o/P39rjZOaXeRv16DsJT71/h//aXVpDEMTzPhCMgl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cNynMUAAADcAAAADwAAAAAAAAAA&#10;AAAAAAChAgAAZHJzL2Rvd25yZXYueG1sUEsFBgAAAAAEAAQA+QAAAJMDAAAAAA==&#10;" strokecolor="#dadcdd" strokeweight="0"/>
            <v:rect id="Rectangle 72" o:spid="_x0000_s1100" style="position:absolute;left:36283;top:5765;width:5950;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hs1MQA&#10;AADcAAAADwAAAGRycy9kb3ducmV2LnhtbESPQWsCMRSE7wX/Q3hCbzWrgpXVKCoohUJBq+LxsXlu&#10;gpuXZRN19983hUKPw8x8w8yXravEg5pgPSsYDjIQxIXXlksFx+/t2xREiMgaK8+koKMAy0XvZY65&#10;9k/e0+MQS5EgHHJUYGKscylDYchhGPiaOHlX3ziMSTal1A0+E9xVcpRlE+nQclowWNPGUHE73J2C&#10;z+5sTxM9xNPl/NWZ993aumyv1Gu/Xc1ARGrjf/iv/aEVTEdj+D2TjoB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YbNTEAAAA3AAAAA8AAAAAAAAAAAAAAAAAmAIAAGRycy9k&#10;b3ducmV2LnhtbFBLBQYAAAAABAAEAPUAAACJAwAAAAA=&#10;" fillcolor="#dadcdd" stroked="f"/>
            <v:line id="Line 73" o:spid="_x0000_s1101" style="position:absolute;visibility:visible;mso-wrap-style:square" from="42386,5765" to="48329,5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ZPc8YAAADcAAAADwAAAGRycy9kb3ducmV2LnhtbESPT2vCQBTE70K/w/KEXqRuTEVCdCMl&#10;IvTQg6aWXl+zz/wx+zZkt5p+e7dQ6HGYmd8wm+1oOnGlwTWWFSzmEQji0uqGKwWn9/1TAsJ5ZI2d&#10;ZVLwQw622cNkg6m2Nz7StfCVCBB2KSqove9TKV1Zk0E3tz1x8M52MOiDHCqpB7wFuOlkHEUrabDh&#10;sFBjT3lN5aX4Ngpmn8nsGT+KNl9UcU7t4e1rd3RKPU7HlzUIT6P/D/+1X7WCJF7C75lwBGR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mT3PGAAAA3AAAAA8AAAAAAAAA&#10;AAAAAAAAoQIAAGRycy9kb3ducmV2LnhtbFBLBQYAAAAABAAEAPkAAACUAwAAAAA=&#10;" strokecolor="#dadcdd" strokeweight="0"/>
            <v:rect id="Rectangle 74" o:spid="_x0000_s1102" style="position:absolute;left:42386;top:5765;width:5943;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1RO8QA&#10;AADcAAAADwAAAGRycy9kb3ducmV2LnhtbESPQWsCMRSE7wX/Q3hCbzWroJXVKCoohUJBq+LxsXlu&#10;gpuXZRN19983hUKPw8x8w8yXravEg5pgPSsYDjIQxIXXlksFx+/t2xREiMgaK8+koKMAy0XvZY65&#10;9k/e0+MQS5EgHHJUYGKscylDYchhGPiaOHlX3ziMSTal1A0+E9xVcpRlE+nQclowWNPGUHE73J2C&#10;z+5sTxM9xNPl/NWZ993aumyv1Gu/Xc1ARGrjf/iv/aEVTEdj+D2TjoB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9UTvEAAAA3AAAAA8AAAAAAAAAAAAAAAAAmAIAAGRycy9k&#10;b3ducmV2LnhtbFBLBQYAAAAABAAEAPUAAACJAwAAAAA=&#10;" fillcolor="#dadcdd" stroked="f"/>
            <v:line id="Line 75" o:spid="_x0000_s1103" style="position:absolute;visibility:visible;mso-wrap-style:square" from="76,7740" to="11741,7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h0n8YAAADcAAAADwAAAGRycy9kb3ducmV2LnhtbESPT2vCQBTE74V+h+UVvIhuTEFCdA0l&#10;peDBg6YtvT6zz/xp9m3Irhq/fVcQehxm5jfMOhtNJy40uMaygsU8AkFcWt1wpeDr82OWgHAeWWNn&#10;mRTcyEG2eX5aY6rtlQ90KXwlAoRdigpq7/tUSlfWZNDNbU8cvJMdDPogh0rqAa8BbjoZR9FSGmw4&#10;LNTYU15T+VucjYLpTzJ9xe+izRdVnFO73x3fD06pycv4tgLhafT/4Ud7qxUk8RLuZ8IRkJ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r4dJ/GAAAA3AAAAA8AAAAAAAAA&#10;AAAAAAAAoQIAAGRycy9kb3ducmV2LnhtbFBLBQYAAAAABAAEAPkAAACUAwAAAAA=&#10;" strokecolor="#dadcdd" strokeweight="0"/>
            <v:rect id="Rectangle 76" o:spid="_x0000_s1104" style="position:absolute;left:76;top:7740;width:11665;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Nq18UA&#10;AADcAAAADwAAAGRycy9kb3ducmV2LnhtbESPT2sCMRTE74LfITyhN83qQWVrlLbQUigI/lnp8bF5&#10;boKbl2WT6u63bwTB4zAzv2FWm87V4kptsJ4VTCcZCOLSa8uVguPhc7wEESKyxtozKegpwGY9HKww&#10;1/7GO7ruYyUShEOOCkyMTS5lKA05DBPfECfv7FuHMcm2krrFW4K7Ws6ybC4dWk4LBhv6MFRe9n9O&#10;wU9/ssVcT7H4PW17s/h6ty7bKfUy6t5eQUTq4jP8aH9rBcvZAu5n0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I2rXxQAAANwAAAAPAAAAAAAAAAAAAAAAAJgCAABkcnMv&#10;ZG93bnJldi54bWxQSwUGAAAAAAQABAD1AAAAigMAAAAA&#10;" fillcolor="#dadcdd" stroked="f"/>
            <v:line id="Line 77" o:spid="_x0000_s1105" style="position:absolute;visibility:visible;mso-wrap-style:square" from="11893,7740" to="17837,7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tFdsMAAADcAAAADwAAAGRycy9kb3ducmV2LnhtbERPTWuDQBC9F/Iflgn0InGNgSLWTQiG&#10;QA89VNvS68Sdqok7K+42sf8+eyj0+HjfxW42g7jS5HrLCtZxAoK4sbrnVsHH+3GVgXAeWeNgmRT8&#10;koPddvFQYK7tjSu61r4VIYRdjgo678dcStd0ZNDFdiQO3LedDPoAp1bqCW8h3AwyTZInabDn0NDh&#10;SGVHzaX+MQqiryza4Gd9LtdtWtL57fV0qJxSj8t5/wzC0+z/xX/uF60gS8PacCYcAbm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QrRXbDAAAA3AAAAA8AAAAAAAAAAAAA&#10;AAAAoQIAAGRycy9kb3ducmV2LnhtbFBLBQYAAAAABAAEAPkAAACRAwAAAAA=&#10;" strokecolor="#dadcdd" strokeweight="0"/>
            <v:rect id="Rectangle 78" o:spid="_x0000_s1106" style="position:absolute;left:11893;top:7740;width:5944;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BbPsQA&#10;AADcAAAADwAAAGRycy9kb3ducmV2LnhtbESPQWsCMRSE74X+h/AEbzWrB2u3RrGCRSgIapUeH5vn&#10;Jrh5WTap7v57Iwgeh5n5hpnOW1eJCzXBelYwHGQgiAuvLZcKfvertwmIEJE1Vp5JQUcB5rPXlynm&#10;2l95S5ddLEWCcMhRgYmxzqUMhSGHYeBr4uSdfOMwJtmUUjd4TXBXyVGWjaVDy2nBYE1LQ8V59+8U&#10;/HRHexjrIR7+jpvOvH9/WZdtler32sUniEhtfIYf7bVWMBl9wP1MOgJ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wWz7EAAAA3AAAAA8AAAAAAAAAAAAAAAAAmAIAAGRycy9k&#10;b3ducmV2LnhtbFBLBQYAAAAABAAEAPUAAACJAwAAAAA=&#10;" fillcolor="#dadcdd" stroked="f"/>
            <v:line id="Line 79" o:spid="_x0000_s1107" style="position:absolute;visibility:visible;mso-wrap-style:square" from="17989,7740" to="23933,7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TfrcIAAADcAAAADwAAAGRycy9kb3ducmV2LnhtbERPTYvCMBC9C/sfwix4kW2qgpRqlKWL&#10;4MGDVmWvYzPb1m0mpYla/705CB4f73ux6k0jbtS52rKCcRSDIC6srrlUcDysvxIQziNrbCyTggc5&#10;WC0/BgtMtb3znm65L0UIYZeigsr7NpXSFRUZdJFtiQP3ZzuDPsCulLrDewg3jZzE8UwarDk0VNhS&#10;VlHxn1+NgtFvMpriKb9k43KS0WW3Pf/snVLDz/57DsJT79/il3ujFSTTMD+cCUdAL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4TfrcIAAADcAAAADwAAAAAAAAAAAAAA&#10;AAChAgAAZHJzL2Rvd25yZXYueG1sUEsFBgAAAAAEAAQA+QAAAJADAAAAAA==&#10;" strokecolor="#dadcdd" strokeweight="0"/>
            <v:rect id="Rectangle 80" o:spid="_x0000_s1108" style="position:absolute;left:17989;top:7740;width:5944;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B5cQA&#10;AADcAAAADwAAAGRycy9kb3ducmV2LnhtbESP3WoCMRSE7wu+QzhC72p2K1jZGkULlYIg+EsvD5vT&#10;TejmZNmkuvv2Rih4OczMN8xs0blaXKgN1rOCfJSBIC69tlwpOB4+X6YgQkTWWHsmBT0FWMwHTzMs&#10;tL/yji77WIkE4VCgAhNjU0gZSkMOw8g3xMn78a3DmGRbSd3iNcFdLV+zbCIdWk4LBhv6MFT+7v+c&#10;gk1/tqeJzvH0fd725m29si7bKfU87JbvICJ18RH+b39pBdNxDvcz6Qj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fweXEAAAA3AAAAA8AAAAAAAAAAAAAAAAAmAIAAGRycy9k&#10;b3ducmV2LnhtbFBLBQYAAAAABAAEAPUAAACJAwAAAAA=&#10;" fillcolor="#dadcdd" stroked="f"/>
            <v:line id="Line 81" o:spid="_x0000_s1109" style="position:absolute;visibility:visible;mso-wrap-style:square" from="24085,7740" to="30035,7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rkQcYAAADcAAAADwAAAGRycy9kb3ducmV2LnhtbESPT2vCQBTE74LfYXlCL9JsjCAhdQ0l&#10;InjooaYtvb5mX/On2bchu2r67bsFweMwM79htvlkenGh0bWWFayiGARxZXXLtYL3t8NjCsJ5ZI29&#10;ZVLwSw7y3Xy2xUzbK5/oUvpaBAi7DBU03g+ZlK5qyKCL7EAcvG87GvRBjrXUI14D3PQyieONNNhy&#10;WGhwoKKh6qc8GwXLz3S5xo+yK1Z1UlD3+vK1PzmlHhbT8xMIT5O/h2/to1aQrhP4PxOOgN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a5EHGAAAA3AAAAA8AAAAAAAAA&#10;AAAAAAAAoQIAAGRycy9kb3ducmV2LnhtbFBLBQYAAAAABAAEAPkAAACUAwAAAAA=&#10;" strokecolor="#dadcdd" strokeweight="0"/>
            <v:rect id="Rectangle 82" o:spid="_x0000_s1110" style="position:absolute;left:24085;top:7740;width:5950;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H6CcQA&#10;AADcAAAADwAAAGRycy9kb3ducmV2LnhtbESPQWsCMRSE7wX/Q3hCbzVrBSurUVSoFISCVsXjY/Pc&#10;BDcvyybq7r83hUKPw8x8w8wWravEnZpgPSsYDjIQxIXXlksFh5/PtwmIEJE1Vp5JQUcBFvPeywxz&#10;7R+8o/s+liJBOOSowMRY51KGwpDDMPA1cfIuvnEYk2xKqRt8JLir5HuWjaVDy2nBYE1rQ8V1f3MK&#10;tt3JHsd6iMfz6bszH5uVddlOqdd+u5yCiNTG//Bf+0srmIxG8HsmHQE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B+gnEAAAA3AAAAA8AAAAAAAAAAAAAAAAAmAIAAGRycy9k&#10;b3ducmV2LnhtbFBLBQYAAAAABAAEAPUAAACJAwAAAAA=&#10;" fillcolor="#dadcdd" stroked="f"/>
            <v:line id="Line 83" o:spid="_x0000_s1111" style="position:absolute;visibility:visible;mso-wrap-style:square" from="30187,7740" to="36131,7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ZrsYAAADcAAAADwAAAGRycy9kb3ducmV2LnhtbESPzWvCQBTE70L/h+UVvEjd+IGE1DVI&#10;ROihB40tvb5mn/kw+zZkt5r+926h4HGYmd8w63QwrbhS72rLCmbTCARxYXXNpYKP0/4lBuE8ssbW&#10;Min4JQfp5mm0xkTbGx/pmvtSBAi7BBVU3neJlK6oyKCb2o44eGfbG/RB9qXUPd4C3LRyHkUrabDm&#10;sFBhR1lFxSX/MQomX/FkgZ95k83KeUbN4f17d3RKjZ+H7SsIT4N/hP/bb1pBvFjC35lwBOTm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C/2a7GAAAA3AAAAA8AAAAAAAAA&#10;AAAAAAAAoQIAAGRycy9kb3ducmV2LnhtbFBLBQYAAAAABAAEAPkAAACUAwAAAAA=&#10;" strokecolor="#dadcdd" strokeweight="0"/>
            <v:rect id="Rectangle 84" o:spid="_x0000_s1112" style="position:absolute;left:30187;top:7740;width:5944;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TH5sUA&#10;AADcAAAADwAAAGRycy9kb3ducmV2LnhtbESP3WoCMRSE7wu+QzhC72rWSq2sRtGCpSAU/MXLw+a4&#10;CW5Olk2qu2/fCIVeDjPzDTNbtK4SN2qC9axgOMhAEBdeWy4VHPbrlwmIEJE1Vp5JQUcBFvPe0wxz&#10;7e+8pdsuliJBOOSowMRY51KGwpDDMPA1cfIuvnEYk2xKqRu8J7ir5GuWjaVDy2nBYE0fhorr7scp&#10;2HQnexzrIR7Pp+/OvH+urMu2Sj332+UURKQ2/of/2l9awWT0Bo8z6Qj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ZMfmxQAAANwAAAAPAAAAAAAAAAAAAAAAAJgCAABkcnMv&#10;ZG93bnJldi54bWxQSwUGAAAAAAQABAD1AAAAigMAAAAA&#10;" fillcolor="#dadcdd" stroked="f"/>
            <v:line id="Line 85" o:spid="_x0000_s1113" style="position:absolute;visibility:visible;mso-wrap-style:square" from="36283,7740" to="42233,7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HiQsQAAADcAAAADwAAAGRycy9kb3ducmV2LnhtbESPQYvCMBSE7wv+h/AEL6KpClK6RpGK&#10;4GEPWhWvb5u3bd3mpTRRu//eCMIeh5n5hlmsOlOLO7WusqxgMo5AEOdWV1woOB23oxiE88gaa8uk&#10;4I8crJa9jwUm2j74QPfMFyJA2CWooPS+SaR0eUkG3dg2xMH7sa1BH2RbSN3iI8BNLadRNJcGKw4L&#10;JTaUlpT/ZjejYHiJhzM8Z9d0UkxTuu6/vjcHp9Sg360/QXjq/H/43d5pBfFsDq8z4QjI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IeJCxAAAANwAAAAPAAAAAAAAAAAA&#10;AAAAAKECAABkcnMvZG93bnJldi54bWxQSwUGAAAAAAQABAD5AAAAkgMAAAAA&#10;" strokecolor="#dadcdd" strokeweight="0"/>
            <v:rect id="Rectangle 86" o:spid="_x0000_s1114" style="position:absolute;left:36283;top:7740;width:5950;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UXA8IA&#10;AADcAAAADwAAAGRycy9kb3ducmV2LnhtbERPW2vCMBR+F/wP4Qh709QhTrqmogNlMBh4ZY+H5qwJ&#10;a05KE7X998vDYI8f371Y964Rd+qC9axgPstAEFdeW64VnE+76QpEiMgaG8+kYKAA63I8KjDX/sEH&#10;uh9jLVIIhxwVmBjbXMpQGXIYZr4lTty37xzGBLta6g4fKdw18jnLltKh5dRgsKU3Q9XP8eYUfAxX&#10;e1nqOV6+rp+DedlvrcsOSj1N+s0riEh9/Bf/ud+1gtUizU9n0hGQ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FRcDwgAAANwAAAAPAAAAAAAAAAAAAAAAAJgCAABkcnMvZG93&#10;bnJldi54bWxQSwUGAAAAAAQABAD1AAAAhwMAAAAA&#10;" fillcolor="#dadcdd" stroked="f"/>
            <v:line id="Line 87" o:spid="_x0000_s1115" style="position:absolute;visibility:visible;mso-wrap-style:square" from="42386,7740" to="48329,7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PSMYAAADcAAAADwAAAGRycy9kb3ducmV2LnhtbESPT2vCQBTE7wW/w/KEXqRu1LaE1I2U&#10;FMGDB01ben3NPvPH7NuQ3Wr89q4g9DjMzG+Y5WowrThR72rLCmbTCARxYXXNpYKvz/VTDMJ5ZI2t&#10;ZVJwIQerdPSwxETbM+/plPtSBAi7BBVU3neJlK6oyKCb2o44eAfbG/RB9qXUPZ4D3LRyHkWv0mDN&#10;YaHCjrKKimP+ZxRMfuLJAr/zJpuV84ya3fb3Y++UehwP728gPA3+P3xvb7SC+PkFbmfCEZ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f1D0jGAAAA3AAAAA8AAAAAAAAA&#10;AAAAAAAAoQIAAGRycy9kb3ducmV2LnhtbFBLBQYAAAAABAAEAPkAAACUAwAAAAA=&#10;" strokecolor="#dadcdd" strokeweight="0"/>
            <v:rect id="Rectangle 88" o:spid="_x0000_s1116" style="position:absolute;left:42386;top:7740;width:5943;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YoQ8UA&#10;AADcAAAADwAAAGRycy9kb3ducmV2LnhtbESPW2sCMRSE3wX/QziFvmnWQr1sjWILLUJB8IqPh83p&#10;JnRzsmxS3f33piD4OMzMN8x82bpKXKgJ1rOC0TADQVx4bblUcNh/DqYgQkTWWHkmBR0FWC76vTnm&#10;2l95S5ddLEWCcMhRgYmxzqUMhSGHYehr4uT9+MZhTLIppW7wmuCuki9ZNpYOLacFgzV9GCp+d39O&#10;wXd3ssexHuHxfNp0ZvL1bl22Ver5qV29gYjUxkf43l5rBdPXGfyfS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9ihDxQAAANwAAAAPAAAAAAAAAAAAAAAAAJgCAABkcnMv&#10;ZG93bnJldi54bWxQSwUGAAAAAAQABAD1AAAAigMAAAAA&#10;" fillcolor="#dadcdd" stroked="f"/>
            <v:rect id="Rectangle 89" o:spid="_x0000_s1117" style="position:absolute;left:-76;top:3721;width:152;height:5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ekdcYA&#10;AADcAAAADwAAAGRycy9kb3ducmV2LnhtbESPT2vCQBTE7wW/w/KE3urG0BYTXUUFoZdC/XPQ2zP7&#10;TILZt3F3q9FP3y0Uehxm5jfMZNaZRlzJ+dqyguEgAUFcWF1zqWC3Xb2MQPiArLGxTAru5GE27T1N&#10;MNf2xmu6bkIpIoR9jgqqENpcSl9UZNAPbEscvZN1BkOUrpTa4S3CTSPTJHmXBmuOCxW2tKyoOG++&#10;jYJFNlpcvl7587E+HuiwP57fUpco9dzv5mMQgbrwH/5rf2gFWZbC75l4BOT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ekdcYAAADcAAAADwAAAAAAAAAAAAAAAACYAgAAZHJz&#10;L2Rvd25yZXYueG1sUEsFBgAAAAAEAAQA9QAAAIsDAAAAAA==&#10;" fillcolor="black" stroked="f"/>
            <v:rect id="Rectangle 90" o:spid="_x0000_s1118" style="position:absolute;left:11741;top:-76;width:152;height:9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sB7scA&#10;AADcAAAADwAAAGRycy9kb3ducmV2LnhtbESPT2sCMRTE74V+h/AK3mpW24q7GkULgpdC/XPQ23Pz&#10;3F3cvKxJ1G0/fSMUPA4z8xtmPG1NLa7kfGVZQa+bgCDOra64ULDdLF6HIHxA1lhbJgU/5GE6eX4a&#10;Y6btjVd0XYdCRAj7DBWUITSZlD4vyaDv2oY4ekfrDIYoXSG1w1uEm1r2k2QgDVYcF0ps6LOk/LS+&#10;GAXzdDg/f7/z1+/qsKf97nD66LtEqc5LOxuBCNSGR/i/vdQK0vQN7mfiEZC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rAe7HAAAA3AAAAA8AAAAAAAAAAAAAAAAAmAIAAGRy&#10;cy9kb3ducmV2LnhtbFBLBQYAAAAABAAEAPUAAACMAwAAAAA=&#10;" fillcolor="black" stroked="f"/>
            <v:rect id="Rectangle 91" o:spid="_x0000_s1119" style="position:absolute;left:17837;top:1974;width:152;height:7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KZmsYA&#10;AADcAAAADwAAAGRycy9kb3ducmV2LnhtbESPT2sCMRTE74LfIbxCb5qtaHFXo2ih4EXwTw/19tw8&#10;dxc3L9sk6rafvhEEj8PM/IaZzltTiys5X1lW8NZPQBDnVldcKPjaf/bGIHxA1lhbJgW/5GE+63am&#10;mGl74y1dd6EQEcI+QwVlCE0mpc9LMuj7tiGO3sk6gyFKV0jt8BbhppaDJHmXBiuOCyU29FFSft5d&#10;jIJlOl7+bIa8/tseD3T4Pp5HA5co9frSLiYgArXhGX60V1pBmg7hfiYe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YKZmsYAAADcAAAADwAAAAAAAAAAAAAAAACYAgAAZHJz&#10;L2Rvd25yZXYueG1sUEsFBgAAAAAEAAQA9QAAAIsDAAAAAA==&#10;" fillcolor="black" stroked="f"/>
            <v:rect id="Rectangle 92" o:spid="_x0000_s1120" style="position:absolute;left:23933;top:1974;width:152;height:7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48AcYA&#10;AADcAAAADwAAAGRycy9kb3ducmV2LnhtbESPT2sCMRTE70K/Q3hCb5pVanFXo9RCwYvgnx7q7bl5&#10;7i5uXrZJqqufvhEEj8PM/IaZzltTizM5X1lWMOgnIIhzqysuFHzvvnpjED4ga6wtk4IreZjPXjpT&#10;zLS98IbO21CICGGfoYIyhCaT0uclGfR92xBH72idwRClK6R2eIlwU8thkrxLgxXHhRIb+iwpP23/&#10;jIJFOl78rt94ddsc9rT/OZxGQ5co9dptPyYgArXhGX60l1pBmo7gfiYe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48AcYAAADcAAAADwAAAAAAAAAAAAAAAACYAgAAZHJz&#10;L2Rvd25yZXYueG1sUEsFBgAAAAAEAAQA9QAAAIsDAAAAAA==&#10;" fillcolor="black" stroked="f"/>
            <v:rect id="Rectangle 93" o:spid="_x0000_s1121" style="position:absolute;left:30035;top:76;width:152;height:96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yidsYA&#10;AADcAAAADwAAAGRycy9kb3ducmV2LnhtbESPT2sCMRTE70K/Q3hCb5pVWnFXo9RCwYvgnx7q7bl5&#10;7i5uXrZJqls/vREEj8PM/IaZzltTizM5X1lWMOgnIIhzqysuFHzvvnpjED4ga6wtk4J/8jCfvXSm&#10;mGl74Q2dt6EQEcI+QwVlCE0mpc9LMuj7tiGO3tE6gyFKV0jt8BLhppbDJBlJgxXHhRIb+iwpP23/&#10;jIJFOl78rt94dd0c9rT/OZzehy5R6rXbfkxABGrDM/xoL7WCNB3B/Uw8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yidsYAAADcAAAADwAAAAAAAAAAAAAAAACYAgAAZHJz&#10;L2Rvd25yZXYueG1sUEsFBgAAAAAEAAQA9QAAAIsDAAAAAA==&#10;" fillcolor="black" stroked="f"/>
            <v:rect id="Rectangle 94" o:spid="_x0000_s1122" style="position:absolute;left:36131;top:1974;width:152;height:7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AH7ccA&#10;AADcAAAADwAAAGRycy9kb3ducmV2LnhtbESPT2sCMRTE74V+h/AK3mpWaau7GkULgpdC/XPQ23Pz&#10;3F3cvKxJ1G0/fSMUPA4z8xtmPG1NLa7kfGVZQa+bgCDOra64ULDdLF6HIHxA1lhbJgU/5GE6eX4a&#10;Y6btjVd0XYdCRAj7DBWUITSZlD4vyaDv2oY4ekfrDIYoXSG1w1uEm1r2k+RDGqw4LpTY0GdJ+Wl9&#10;MQrm6XB+/n7jr9/VYU/73eH03neJUp2XdjYCEagNj/B/e6kVpOkA7mfiEZC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QB+3HAAAA3AAAAA8AAAAAAAAAAAAAAAAAmAIAAGRy&#10;cy9kb3ducmV2LnhtbFBLBQYAAAAABAAEAPUAAACMAwAAAAA=&#10;" fillcolor="black" stroked="f"/>
            <v:rect id="Rectangle 95" o:spid="_x0000_s1123" style="position:absolute;left:42233;top:1974;width:153;height:7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Tn8MA&#10;AADcAAAADwAAAGRycy9kb3ducmV2LnhtbERPy4rCMBTdC/5DuII7TUdUbMcoKgizEcbHYtxdmztt&#10;sbmpSUY78/WTheDycN7zZWtqcSfnK8sK3oYJCOLc6ooLBafjdjAD4QOyxtoyKfglD8tFtzPHTNsH&#10;7+l+CIWIIewzVFCG0GRS+rwkg35oG+LIfVtnMEToCqkdPmK4qeUoSabSYMWxocSGNiXl18OPUbBO&#10;Z+vb55h3f/vLmc5fl+tk5BKl+r129Q4iUBte4qf7QytI07g2nolH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Tn8MAAADcAAAADwAAAAAAAAAAAAAAAACYAgAAZHJzL2Rv&#10;d25yZXYueG1sUEsFBgAAAAAEAAQA9QAAAIgDAAAAAA==&#10;" fillcolor="black" stroked="f"/>
            <v:rect id="Rectangle 96" o:spid="_x0000_s1124" style="position:absolute;left:76;top:9563;width:48406;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M2BMcA&#10;AADcAAAADwAAAGRycy9kb3ducmV2LnhtbESPT2vCQBTE7wW/w/KE3uqm0opJ3YgWCr0U6p9DvT2z&#10;r0lI9m3c3Wr007sFweMwM79hZvPetOJIzteWFTyPEhDEhdU1lwq2m4+nKQgfkDW2lknBmTzM88HD&#10;DDNtT7yi4zqUIkLYZ6igCqHLpPRFRQb9yHbE0fu1zmCI0pVSOzxFuGnlOEkm0mDNcaHCjt4rKpr1&#10;n1GwTKfLw/cLf11W+x3tfvbN69glSj0O+8UbiEB9uIdv7U+tIE1T+D8Tj4D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NgTHAAAA3AAAAA8AAAAAAAAAAAAAAAAAmAIAAGRy&#10;cy9kb3ducmV2LnhtbFBLBQYAAAAABAAEAPUAAACMAwAAAAA=&#10;" fillcolor="black" stroked="f"/>
            <v:rect id="Rectangle 97" o:spid="_x0000_s1125" style="position:absolute;left:48329;top:76;width:153;height:96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p96ccA&#10;AADdAAAADwAAAGRycy9kb3ducmV2LnhtbESPQU8CMRCF7yT+h2ZMuEErQYMrhYCJiRcTQQ5wG7bj&#10;7obtdGkrrP5652DibSbvzXvfzJe9b9WFYmoCW7gbG1DEZXANVxZ2Hy+jGaiUkR22gcnCNyVYLm4G&#10;cyxcuPKGLttcKQnhVKCFOueu0DqVNXlM49ARi/YZoscsa6y0i3iVcN/qiTEP2mPD0lBjR881laft&#10;l7ewfpytz+9TfvvZHA902B9P95NorB3e9qsnUJn6/G/+u351gm+M8Ms3MoJ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afenHAAAA3QAAAA8AAAAAAAAAAAAAAAAAmAIAAGRy&#10;cy9kb3ducmV2LnhtbFBLBQYAAAAABAAEAPUAAACMAwAAAAA=&#10;" fillcolor="black" stroked="f"/>
            <v:line id="Line 98" o:spid="_x0000_s1126" style="position:absolute;visibility:visible;mso-wrap-style:square" from="0,9715" to="6,9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dJVcMAAADdAAAADwAAAGRycy9kb3ducmV2LnhtbERPTWvCQBC9C/6HZYRepO7Ggkh0FYkU&#10;euihRqXXMTtNYrOzIbvV9N+7guBtHu9zluveNuJCna8da0gmCgRx4UzNpYbD/v11DsIHZIONY9Lw&#10;Tx7Wq+FgialxV97RJQ+liCHsU9RQhdCmUvqiIot+4lriyP24zmKIsCul6fAaw20jp0rNpMWaY0OF&#10;LWUVFb/5n9Uw/p6P3/CYn7OknGZ0/vo8bXde65dRv1mACNSHp/jh/jBxvlIJ3L+JJ8jV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WHSVXDAAAA3QAAAA8AAAAAAAAAAAAA&#10;AAAAoQIAAGRycy9kb3ducmV2LnhtbFBLBQYAAAAABAAEAPkAAACRAwAAAAA=&#10;" strokecolor="#dadcdd" strokeweight="0"/>
            <v:rect id="Rectangle 99" o:spid="_x0000_s1127" style="position:absolute;top:9715;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vXocMA&#10;AADdAAAADwAAAGRycy9kb3ducmV2LnhtbERPS2sCMRC+C/6HMEJvmuhBy9YoWmgpFAQfKz0Om+km&#10;dDNZNqnu/vumUOhtPr7nrLe9b8SNuugCa5jPFAjiKhjHtYbL+WX6CCImZINNYNIwUITtZjxaY2HC&#10;nY90O6Va5BCOBWqwKbWFlLGy5DHOQkucuc/QeUwZdrU0Hd5zuG/kQqml9Og4N1hs6dlS9XX69hre&#10;h6srl2aO5cf1MNjV6955ddT6YdLvnkAk6tO/+M/9ZvJ8pRbw+00+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vXocMAAADdAAAADwAAAAAAAAAAAAAAAACYAgAAZHJzL2Rv&#10;d25yZXYueG1sUEsFBgAAAAAEAAQA9QAAAIgDAAAAAA==&#10;" fillcolor="#dadcdd" stroked="f"/>
            <v:line id="Line 100" o:spid="_x0000_s1128" style="position:absolute;visibility:visible;mso-wrap-style:square" from="11817,9715" to="11823,9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lyucQAAADdAAAADwAAAGRycy9kb3ducmV2LnhtbERPTWvCQBC9C/0PyxS8iO6qUELqKiWl&#10;4MGDRkuvY3aaxGZnQ3bV+O9doeBtHu9zFqveNuJCna8da5hOFAjiwpmaSw2H/dc4AeEDssHGMWm4&#10;kYfV8mWwwNS4K+/okodSxBD2KWqoQmhTKX1RkUU/cS1x5H5dZzFE2JXSdHiN4baRM6XepMWaY0OF&#10;LWUVFX/52WoY/SSjOX7np2xazjI6bTfHz53Xevjaf7yDCNSHp/jfvTZxvlJzeHwTT5DL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GXK5xAAAAN0AAAAPAAAAAAAAAAAA&#10;AAAAAKECAABkcnMvZG93bnJldi54bWxQSwUGAAAAAAQABAD5AAAAkgMAAAAA&#10;" strokecolor="#dadcdd" strokeweight="0"/>
            <v:rect id="Rectangle 101" o:spid="_x0000_s1129" style="position:absolute;left:11817;top:9715;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7qTsMA&#10;AADdAAAADwAAAGRycy9kb3ducmV2LnhtbERPTWsCMRC9F/wPYYTeaqKIytYoKlQKhYJWpcdhM92E&#10;bibLJtXdf98UhN7m8T5nue58La7URhdYw3ikQBCXwTiuNJw+Xp4WIGJCNlgHJg09RVivBg9LLEy4&#10;8YGux1SJHMKxQA02paaQMpaWPMZRaIgz9xVajynDtpKmxVsO97WcKDWTHh3nBosN7SyV38cfr+Gt&#10;v7jzzIzx/Hl57+18v3VeHbR+HHabZxCJuvQvvrtfTZ6v1BT+vs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c7qTsMAAADdAAAADwAAAAAAAAAAAAAAAACYAgAAZHJzL2Rv&#10;d25yZXYueG1sUEsFBgAAAAAEAAQA9QAAAIgDAAAAAA==&#10;" fillcolor="#dadcdd" stroked="f"/>
            <v:line id="Line 102" o:spid="_x0000_s1130" style="position:absolute;visibility:visible;mso-wrap-style:square" from="17913,9715" to="17919,9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xPVsQAAADdAAAADwAAAGRycy9kb3ducmV2LnhtbERPTWvCQBC9C/6HZQpepO5qsUiajUhE&#10;8OChpi29TrPTJDY7G7Krpv++Kwi9zeN9TroebCsu1PvGsYb5TIEgLp1puNLw/rZ7XIHwAdlg65g0&#10;/JKHdTYepZgYd+UjXYpQiRjCPkENdQhdIqUva7LoZ64jjty36y2GCPtKmh6vMdy2cqHUs7TYcGyo&#10;saO8pvKnOFsN08/V9Ak/ilM+rxY5nV4PX9uj13ryMGxeQAQawr/47t6bOF+pJdy+iSfI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vE9WxAAAAN0AAAAPAAAAAAAAAAAA&#10;AAAAAKECAABkcnMvZG93bnJldi54bWxQSwUGAAAAAAQABAD5AAAAkgMAAAAA&#10;" strokecolor="#dadcdd" strokeweight="0"/>
            <v:rect id="Rectangle 103" o:spid="_x0000_s1131" style="position:absolute;left:17913;top:9715;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DRosUA&#10;AADdAAAADwAAAGRycy9kb3ducmV2LnhtbESPzWrDMBCE74W8g9hAbo3sHtLiRDFNoCEQKOSXHhdr&#10;a4laK2Mpif32UaHQ2y4z8+3souxdI27UBetZQT7NQBBXXluuFZyOH89vIEJE1th4JgUDBSiXo6cF&#10;FtrfeU+3Q6xFgnAoUIGJsS2kDJUhh2HqW+KkffvOYUxrV0vd4T3BXSNfsmwmHVpOFwy2tDZU/Ryu&#10;TsFuuNjzTOd4/rp8DuZ1s7Iu2ys1GffvcxCR+vhv/ktvdaqfiPD7TRpB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UNGixQAAAN0AAAAPAAAAAAAAAAAAAAAAAJgCAABkcnMv&#10;ZG93bnJldi54bWxQSwUGAAAAAAQABAD1AAAAigMAAAAA&#10;" fillcolor="#dadcdd" stroked="f"/>
            <v:line id="Line 104" o:spid="_x0000_s1132" style="position:absolute;visibility:visible;mso-wrap-style:square" from="24009,9715" to="24015,9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J0usQAAADdAAAADwAAAGRycy9kb3ducmV2LnhtbERPTWvCQBC9C/6HZQpepO5qwUqajUhE&#10;8OChpi29TrPTJDY7G7Krpv++Kwi9zeN9TroebCsu1PvGsYb5TIEgLp1puNLw/rZ7XIHwAdlg65g0&#10;/JKHdTYepZgYd+UjXYpQiRjCPkENdQhdIqUva7LoZ64jjty36y2GCPtKmh6vMdy2cqHUUlpsODbU&#10;2FFeU/lTnK2G6edq+oQfxSmfV4ucTq+Hr+3Raz15GDYvIAIN4V98d+9NnK/UM9y+iSfI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InS6xAAAAN0AAAAPAAAAAAAAAAAA&#10;AAAAAKECAABkcnMvZG93bnJldi54bWxQSwUGAAAAAAQABAD5AAAAkgMAAAAA&#10;" strokecolor="#dadcdd" strokeweight="0"/>
            <v:rect id="Rectangle 105" o:spid="_x0000_s1133" style="position:absolute;left:24009;top:9715;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PgS8UA&#10;AADdAAAADwAAAGRycy9kb3ducmV2LnhtbESPQUsDMRCF70L/Q5hCbzaphypr06KCIhSEVls8Dpvp&#10;JnQzWTax3f33zkHwNsN78943q80QW3WhPofEFhZzA4q4Ti5wY+Hr8/X2AVQuyA7bxGRhpAyb9eRm&#10;hZVLV97RZV8aJSGcK7TgS+kqrXPtKWKep45YtFPqIxZZ+0a7Hq8SHlt9Z8xSRwwsDR47evFUn/c/&#10;0cJ2PIbD0i3w8H38GP3923OIZmftbDo8PYIqNJR/89/1uxN8YwRXvpER9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g+BLxQAAAN0AAAAPAAAAAAAAAAAAAAAAAJgCAABkcnMv&#10;ZG93bnJldi54bWxQSwUGAAAAAAQABAD1AAAAigMAAAAA&#10;" fillcolor="#dadcdd" stroked="f"/>
            <v:line id="Line 106" o:spid="_x0000_s1134" style="position:absolute;visibility:visible;mso-wrap-style:square" from="30111,9715" to="30118,9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FU8QAAADdAAAADwAAAGRycy9kb3ducmV2LnhtbERPTWvCQBC9C/0Pywi9SN3Vgtg0GykR&#10;oYceNFW8jtlpEs3OhuxW03/vFgq9zeN9TroabCuu1PvGsYbZVIEgLp1puNKw/9w8LUH4gGywdUwa&#10;fsjDKnsYpZgYd+MdXYtQiRjCPkENdQhdIqUva7Lop64jjtyX6y2GCPtKmh5vMdy2cq7UQlpsODbU&#10;2FFeU3kpvq2GyXE5ecZDcc5n1Tyn8/bjtN55rR/Hw9sriEBD+Bf/ud9NnK/UC/x+E0+Q2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8UVTxAAAAN0AAAAPAAAAAAAAAAAA&#10;AAAAAKECAABkcnMvZG93bnJldi54bWxQSwUGAAAAAAQABAD5AAAAkgMAAAAA&#10;" strokecolor="#dadcdd" strokeweight="0"/>
            <v:rect id="Rectangle 107" o:spid="_x0000_s1135" style="position:absolute;left:30111;top:9715;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x6kMUA&#10;AADdAAAADwAAAGRycy9kb3ducmV2LnhtbESPQUsDMRCF74L/IYzgzSbrocratLSFiiAIrbZ4HDbj&#10;JriZLJvY7v575yB4m+G9ee+bxWqMnTrTkENiC9XMgCJukgvcWvh43909gsoF2WGXmCxMlGG1vL5a&#10;YO3Shfd0PpRWSQjnGi34Uvpa69x4iphnqScW7SsNEYusQ6vdgBcJj52+N2auIwaWBo89bT0134ef&#10;aOF1OoXj3FV4/Dy9Tf7heROi2Vt7ezOun0AVGsu/+e/6xQm+qYRfvpER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LHqQxQAAAN0AAAAPAAAAAAAAAAAAAAAAAJgCAABkcnMv&#10;ZG93bnJldi54bWxQSwUGAAAAAAQABAD1AAAAigMAAAAA&#10;" fillcolor="#dadcdd" stroked="f"/>
            <v:line id="Line 108" o:spid="_x0000_s1136" style="position:absolute;visibility:visible;mso-wrap-style:square" from="36207,9715" to="36214,9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7fiMMAAADdAAAADwAAAGRycy9kb3ducmV2LnhtbERPTYvCMBC9C/sfwix4kTWtgkg1ytJF&#10;8OBBq7LXsZlt6zaT0kSt/94Igrd5vM+ZLztTiyu1rrKsIB5GIIhzqysuFBz2q68pCOeRNdaWScGd&#10;HCwXH705JtreeEfXzBcihLBLUEHpfZNI6fKSDLqhbYgD92dbgz7AtpC6xVsIN7UcRdFEGqw4NJTY&#10;UFpS/p9djILB73QwxmN2TuNilNJ5uzn97JxS/c/uewbCU+ff4pd7rcP8KI7h+U04QS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Be34jDAAAA3QAAAA8AAAAAAAAAAAAA&#10;AAAAoQIAAGRycy9kb3ducmV2LnhtbFBLBQYAAAAABAAEAPkAAACRAwAAAAA=&#10;" strokecolor="#dadcdd" strokeweight="0"/>
            <v:rect id="Rectangle 109" o:spid="_x0000_s1137" style="position:absolute;left:36207;top:9715;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JBfMMA&#10;AADdAAAADwAAAGRycy9kb3ducmV2LnhtbERPTWsCMRC9C/6HMII3TdaDLVujtIUWoVDQVulx2Iyb&#10;4GaybFLd/feNIPQ2j/c5q03vG3GhLrrAGoq5AkFcBeO41vD99TZ7BBETssEmMGkYKMJmPR6tsDTh&#10;yju67FMtcgjHEjXYlNpSylhZ8hjnoSXO3Cl0HlOGXS1Nh9cc7hu5UGopPTrODRZberVUnfe/XsPH&#10;cHSHpSnw8HP8HOzD+4vzaqf1dNI/P4FI1Kd/8d29NXm+KhZw+yaf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JBfMMAAADdAAAADwAAAAAAAAAAAAAAAACYAgAAZHJzL2Rv&#10;d25yZXYueG1sUEsFBgAAAAAEAAQA9QAAAIgDAAAAAA==&#10;" fillcolor="#dadcdd" stroked="f"/>
            <v:line id="Line 110" o:spid="_x0000_s1138" style="position:absolute;visibility:visible;mso-wrap-style:square" from="42310,9715" to="42316,9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DkZMMAAADdAAAADwAAAGRycy9kb3ducmV2LnhtbERPTYvCMBC9C/sfwix4EU2rIFKNsnRZ&#10;8OBBq8tex2Zs6zaT0kSt/94Igrd5vM9ZrDpTiyu1rrKsIB5FIIhzqysuFBz2P8MZCOeRNdaWScGd&#10;HKyWH70FJtreeEfXzBcihLBLUEHpfZNI6fKSDLqRbYgDd7KtQR9gW0jd4i2Em1qOo2gqDVYcGkps&#10;KC0p/88uRsHgbzaY4G92TuNinNJ5uzl+75xS/c/uaw7CU+ff4pd7rcP8KJ7A85twgl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5GTDAAAA3QAAAA8AAAAAAAAAAAAA&#10;AAAAoQIAAGRycy9kb3ducmV2LnhtbFBLBQYAAAAABAAEAPkAAACRAwAAAAA=&#10;" strokecolor="#dadcdd" strokeweight="0"/>
            <v:rect id="Rectangle 111" o:spid="_x0000_s1139" style="position:absolute;left:42310;top:9715;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d8k8MA&#10;AADdAAAADwAAAGRycy9kb3ducmV2LnhtbERPTWsCMRC9F/ofwhR6q8kWsWVrlLagFAqCWqXHYTNu&#10;gpvJsom6++8boeBtHu9zpvPeN+JMXXSBNRQjBYK4CsZxreFnu3h6BRETssEmMGkYKMJ8dn83xdKE&#10;C6/pvEm1yCEcS9RgU2pLKWNlyWMchZY4c4fQeUwZdrU0HV5yuG/ks1IT6dFxbrDY0qel6rg5eQ3f&#10;w97tJqbA3e9+NdiX5Yfzaq3140P//gYiUZ9u4n/3l8nzVTGG6zf5BD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d8k8MAAADdAAAADwAAAAAAAAAAAAAAAACYAgAAZHJzL2Rv&#10;d25yZXYueG1sUEsFBgAAAAAEAAQA9QAAAIgDAAAAAA==&#10;" fillcolor="#dadcdd" stroked="f"/>
            <v:line id="Line 112" o:spid="_x0000_s1140" style="position:absolute;visibility:visible;mso-wrap-style:square" from="48406,9715" to="48412,9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XZi8QAAADdAAAADwAAAGRycy9kb3ducmV2LnhtbERPS2vCQBC+F/wPywi9SN3EUpHUjUhK&#10;wYMHjRavY3aah9nZkN1q+u/dQsHbfHzPWa4G04or9a62rCCeRiCIC6trLhUcD58vCxDOI2tsLZOC&#10;X3KwSkdPS0y0vfGerrkvRQhhl6CCyvsukdIVFRl0U9sRB+7b9gZ9gH0pdY+3EG5aOYuiuTRYc2io&#10;sKOsouKS/xgFk9Ni8opfeZPF5SyjZrc9f+ydUs/jYf0OwtPgH+J/90aH+VH8Bn/fhBNke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ZdmLxAAAAN0AAAAPAAAAAAAAAAAA&#10;AAAAAKECAABkcnMvZG93bnJldi54bWxQSwUGAAAAAAQABAD5AAAAkgMAAAAA&#10;" strokecolor="#dadcdd" strokeweight="0"/>
            <v:rect id="Rectangle 113" o:spid="_x0000_s1141" style="position:absolute;left:48406;top:9715;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lHf8MA&#10;AADdAAAADwAAAGRycy9kb3ducmV2LnhtbERPTWsCMRC9F/ofwhR6q8n2sJWtUWyhpVAoqFU8Dptx&#10;E9xMlk2qu/++EQRv83ifM1sMvhUn6qMLrKGYKBDEdTCOGw2/m4+nKYiYkA22gUnDSBEW8/u7GVYm&#10;nHlFp3VqRA7hWKEGm1JXSRlrSx7jJHTEmTuE3mPKsG+k6fGcw30rn5UqpUfHucFiR++W6uP6z2v4&#10;HnduW5oCt/vdz2hfPt+cVyutHx+G5SuIREO6ia/uL5Pnq6KEyzf5BD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4lHf8MAAADdAAAADwAAAAAAAAAAAAAAAACYAgAAZHJzL2Rv&#10;d25yZXYueG1sUEsFBgAAAAAEAAQA9QAAAIgDAAAAAA==&#10;" fillcolor="#dadcdd" stroked="f"/>
            <v:line id="Line 114" o:spid="_x0000_s1142" style="position:absolute;visibility:visible;mso-wrap-style:square" from="48482,0" to="484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viZ8QAAADdAAAADwAAAGRycy9kb3ducmV2LnhtbERPS2vCQBC+F/wPywi9SN3EQpXUjUhK&#10;wYMHjRavY3aah9nZkN1q+u/dQsHbfHzPWa4G04or9a62rCCeRiCIC6trLhUcD58vCxDOI2tsLZOC&#10;X3KwSkdPS0y0vfGerrkvRQhhl6CCyvsukdIVFRl0U9sRB+7b9gZ9gH0pdY+3EG5aOYuiN2mw5tBQ&#10;YUdZRcUl/zEKJqfF5BW/8iaLy1lGzW57/tg7pZ7Hw/odhKfBP8T/7o0O86N4Dn/fhBNke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JnxAAAAN0AAAAPAAAAAAAAAAAA&#10;AAAAAKECAABkcnMvZG93bnJldi54bWxQSwUGAAAAAAQABAD5AAAAkgMAAAAA&#10;" strokecolor="#dadcdd" strokeweight="0"/>
            <v:rect id="Rectangle 115" o:spid="_x0000_s1143" style="position:absolute;left:48482;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p2lsUA&#10;AADdAAAADwAAAGRycy9kb3ducmV2LnhtbESPQUsDMRCF74L/IYzgzSbrocratLSFiiAIrbZ4HDbj&#10;JriZLJvY7v575yB4m+G9ee+bxWqMnTrTkENiC9XMgCJukgvcWvh43909gsoF2WGXmCxMlGG1vL5a&#10;YO3Shfd0PpRWSQjnGi34Uvpa69x4iphnqScW7SsNEYusQ6vdgBcJj52+N2auIwaWBo89bT0134ef&#10;aOF1OoXj3FV4/Dy9Tf7heROi2Vt7ezOun0AVGsu/+e/6xQm+qQRXvpER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WnaWxQAAAN0AAAAPAAAAAAAAAAAAAAAAAJgCAABkcnMv&#10;ZG93bnJldi54bWxQSwUGAAAAAAQABAD1AAAAigMAAAAA&#10;" fillcolor="#dadcdd" stroked="f"/>
            <v:line id="Line 116" o:spid="_x0000_s1144" style="position:absolute;visibility:visible;mso-wrap-style:square" from="48482,1898" to="48488,1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ijTjsQAAADdAAAADwAAAGRycy9kb3ducmV2LnhtbERPTWvCQBC9C/0PyxS8iG6iIDG6SokI&#10;PfRQ0xavY3ZMYrOzIbtq/PddQehtHu9zVpveNOJKnastK4gnEQjiwuqaSwXfX7txAsJ5ZI2NZVJw&#10;Jweb9ctgham2N97TNfelCCHsUlRQed+mUrqiIoNuYlviwJ1sZ9AH2JVSd3gL4aaR0yiaS4M1h4YK&#10;W8oqKn7zi1EwOiSjGf7k5ywupxmdPz+O271Tavjavy1BeOr9v/jpftdhfhQv4PFNOEG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KNOOxAAAAN0AAAAPAAAAAAAAAAAA&#10;AAAAAKECAABkcnMvZG93bnJldi54bWxQSwUGAAAAAAQABAD5AAAAkgMAAAAA&#10;" strokecolor="#dadcdd" strokeweight="0"/>
            <v:rect id="Rectangle 117" o:spid="_x0000_s1145" style="position:absolute;left:48482;top:1898;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CwLcUA&#10;AADdAAAADwAAAGRycy9kb3ducmV2LnhtbESPT0sDMRDF74LfIUzBm03aQ5Vt02IFRRCE/sXjsBk3&#10;wc1k2cR299s7B8HbDO/Ne79ZbYbYqgv1OSS2MJsaUMR1coEbC8fDy/0jqFyQHbaJycJIGTbr25sV&#10;Vi5deUeXfWmUhHCu0IIvpau0zrWniHmaOmLRvlIfscjaN9r1eJXw2Oq5MQsdMbA0eOzo2VP9vf+J&#10;Ft7Hczgt3AxPn+eP0T+8bkM0O2vvJsPTElShofyb/67fnOCbufDLNzKC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QLAtxQAAAN0AAAAPAAAAAAAAAAAAAAAAAJgCAABkcnMv&#10;ZG93bnJldi54bWxQSwUGAAAAAAQABAD1AAAAigMAAAAA&#10;" fillcolor="#dadcdd" stroked="f"/>
            <v:line id="Line 118" o:spid="_x0000_s1146" style="position:absolute;visibility:visible;mso-wrap-style:square" from="48482,3797" to="48488,3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IVNcMAAADdAAAADwAAAGRycy9kb3ducmV2LnhtbERPTWvCQBC9C/0PyxS8iG4SQSS6Skkp&#10;ePCgUfE6ZqdJbHY2ZLca/323IHibx/uc5bo3jbhR52rLCuJJBIK4sLrmUsHx8DWeg3AeWWNjmRQ8&#10;yMF69TZYYqrtnfd0y30pQgi7FBVU3replK6oyKCb2JY4cN+2M+gD7EqpO7yHcNPIJIpm0mDNoaHC&#10;lrKKip/81ygYneejKZ7yaxaXSUbX3fbyuXdKDd/7jwUIT71/iZ/ujQ7zoySG/2/CCX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4yFTXDAAAA3QAAAA8AAAAAAAAAAAAA&#10;AAAAoQIAAGRycy9kb3ducmV2LnhtbFBLBQYAAAAABAAEAPkAAACRAwAAAAA=&#10;" strokecolor="#dadcdd" strokeweight="0"/>
            <v:rect id="Rectangle 119" o:spid="_x0000_s1147" style="position:absolute;left:48482;top:3797;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6LwcMA&#10;AADdAAAADwAAAGRycy9kb3ducmV2LnhtbERPTWsCMRC9C/0PYQreNHEPtmyN0goWoVDQVulx2Iyb&#10;4GaybFLd/feNIPQ2j/c5i1XvG3GhLrrAGmZTBYK4CsZxreH7azN5BhETssEmMGkYKMJq+TBaYGnC&#10;lXd02ada5BCOJWqwKbWllLGy5DFOQ0ucuVPoPKYMu1qaDq853DeyUGouPTrODRZbWluqzvtfr+Fj&#10;OLrD3Mzw8HP8HOzT+5vzaqf1+LF/fQGRqE//4rt7a/J8VRRw+yaf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6LwcMAAADdAAAADwAAAAAAAAAAAAAAAACYAgAAZHJzL2Rv&#10;d25yZXYueG1sUEsFBgAAAAAEAAQA9QAAAIgDAAAAAA==&#10;" fillcolor="#dadcdd" stroked="f"/>
            <v:line id="Line 120" o:spid="_x0000_s1148" style="position:absolute;visibility:visible;mso-wrap-style:square" from="48482,5765" to="48488,5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wu2cQAAADdAAAADwAAAGRycy9kb3ducmV2LnhtbERPS2vCQBC+F/wPywi9iG6MIJJmEyQi&#10;9NBDTVt6HbPTPMzOhuxW03/fLQi9zcf3nDSfTC+uNLrWsoL1KgJBXFndcq3g/e243IFwHlljb5kU&#10;/JCDPJs9pJhoe+MTXUtfixDCLkEFjfdDIqWrGjLoVnYgDtyXHQ36AMda6hFvIdz0Mo6irTTYcmho&#10;cKCioepSfhsFi8/dYoMfZVes67ig7vXlfDg5pR7n0/4JhKfJ/4vv7mcd5kfxBv6+CSfI7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rC7ZxAAAAN0AAAAPAAAAAAAAAAAA&#10;AAAAAKECAABkcnMvZG93bnJldi54bWxQSwUGAAAAAAQABAD5AAAAkgMAAAAA&#10;" strokecolor="#dadcdd" strokeweight="0"/>
            <v:rect id="Rectangle 121" o:spid="_x0000_s1149" style="position:absolute;left:48482;top:5765;width:76;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u2LsMA&#10;AADdAAAADwAAAGRycy9kb3ducmV2LnhtbERPTWsCMRC9F/ofwhR6q4kitqxGqUKlIAjaKj0Om3ET&#10;upksm1R3/70RCt7m8T5ntuh8Lc7URhdYw3CgQBCXwTiuNHx/fby8gYgJ2WAdmDT0FGExf3yYYWHC&#10;hXd03qdK5BCOBWqwKTWFlLG05DEOQkOcuVNoPaYM20qaFi853NdypNREenScGyw2tLJU/u7/vIZN&#10;f3SHiRni4ee47e3reum82mn9/NS9T0Ek6tJd/O/+NHm+Go3h9k0+Qc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u2LsMAAADdAAAADwAAAAAAAAAAAAAAAACYAgAAZHJzL2Rv&#10;d25yZXYueG1sUEsFBgAAAAAEAAQA9QAAAIgDAAAAAA==&#10;" fillcolor="#dadcdd" stroked="f"/>
            <v:line id="Line 122" o:spid="_x0000_s1150" style="position:absolute;visibility:visible;mso-wrap-style:square" from="48482,7740" to="48488,7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kTNsQAAADdAAAADwAAAGRycy9kb3ducmV2LnhtbERPS2vCQBC+F/wPywi9SN2YUpHUjUhK&#10;wYMHjRavY3aah9nZkN1q+u/dQsHbfHzPWa4G04or9a62rGA2jUAQF1bXXCo4Hj5fFiCcR9bYWiYF&#10;v+RglY6elphoe+M9XXNfihDCLkEFlfddIqUrKjLoprYjDty37Q36APtS6h5vIdy0Mo6iuTRYc2io&#10;sKOsouKS/xgFk9Ni8opfeZPNyjijZrc9f+ydUs/jYf0OwtPgH+J/90aH+VH8Bn/fhBNke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CRM2xAAAAN0AAAAPAAAAAAAAAAAA&#10;AAAAAKECAABkcnMvZG93bnJldi54bWxQSwUGAAAAAAQABAD5AAAAkgMAAAAA&#10;" strokecolor="#dadcdd" strokeweight="0"/>
            <v:rect id="Rectangle 123" o:spid="_x0000_s1151" style="position:absolute;left:48482;top:7740;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WNwsMA&#10;AADdAAAADwAAAGRycy9kb3ducmV2LnhtbERPTWsCMRC9F/ofwhR6q4ketrIapRWUQqGgreJx2Iyb&#10;4GaybKLu/vumUPA2j/c582XvG3GlLrrAGsYjBYK4CsZxreHne/0yBRETssEmMGkYKMJy8fgwx9KE&#10;G2/puku1yCEcS9RgU2pLKWNlyWMchZY4c6fQeUwZdrU0Hd5yuG/kRKlCenScGyy2tLJUnXcXr+Fz&#10;OLh9Yca4Px6+Bvu6eXdebbV+furfZiAS9eku/nd/mDxfTQr4+yaf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WNwsMAAADdAAAADwAAAAAAAAAAAAAAAACYAgAAZHJzL2Rv&#10;d25yZXYueG1sUEsFBgAAAAAEAAQA9QAAAIgDAAAAAA==&#10;" fillcolor="#dadcdd" stroked="f"/>
            <v:line id="Line 124" o:spid="_x0000_s1152" style="position:absolute;visibility:visible;mso-wrap-style:square" from="48482,9639" to="48488,9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co2sQAAADdAAAADwAAAGRycy9kb3ducmV2LnhtbERPS2vCQBC+F/wPywi9SN2YQpXUjUhK&#10;wYMHjRavY3aah9nZkN1q+u/dQsHbfHzPWa4G04or9a62rGA2jUAQF1bXXCo4Hj5fFiCcR9bYWiYF&#10;v+RglY6elphoe+M9XXNfihDCLkEFlfddIqUrKjLoprYjDty37Q36APtS6h5vIdy0Mo6iN2mw5tBQ&#10;YUdZRcUl/zEKJqfF5BW/8iablXFGzW57/tg7pZ7Hw/odhKfBP8T/7o0O86N4Dn/fhBNke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yjaxAAAAN0AAAAPAAAAAAAAAAAA&#10;AAAAAKECAABkcnMvZG93bnJldi54bWxQSwUGAAAAAAQABAD5AAAAkgMAAAAA&#10;" strokecolor="#dadcdd" strokeweight="0"/>
            <v:rect id="Rectangle 125" o:spid="_x0000_s1153" style="position:absolute;left:48482;top:9639;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a8K8UA&#10;AADdAAAADwAAAGRycy9kb3ducmV2LnhtbESPT0sDMRDF74LfIUzBm03aQ5Vt02IFRRCE/sXjsBk3&#10;wc1k2cR299s7B8HbDO/Ne79ZbYbYqgv1OSS2MJsaUMR1coEbC8fDy/0jqFyQHbaJycJIGTbr25sV&#10;Vi5deUeXfWmUhHCu0IIvpau0zrWniHmaOmLRvlIfscjaN9r1eJXw2Oq5MQsdMbA0eOzo2VP9vf+J&#10;Ft7Hczgt3AxPn+eP0T+8bkM0O2vvJsPTElShofyb/67fnOCbueDKNzKC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NrwrxQAAAN0AAAAPAAAAAAAAAAAAAAAAAJgCAABkcnMv&#10;ZG93bnJldi54bWxQSwUGAAAAAAQABAD1AAAAigMAAAAA&#10;" fillcolor="#dadcdd" stroked="f"/>
            <w10:wrap type="none"/>
            <w10:anchorlock/>
          </v:group>
        </w:pict>
      </w:r>
      <w:r w:rsidRPr="00F671D2">
        <w:rPr>
          <w:b/>
          <w:noProof/>
          <w:lang w:eastAsia="en-AU"/>
        </w:rPr>
      </w:r>
      <w:r>
        <w:rPr>
          <w:b/>
          <w:noProof/>
          <w:lang w:eastAsia="en-AU"/>
        </w:rPr>
        <w:pict>
          <v:group id="Canvas 329" o:spid="_x0000_s1154" editas="canvas" style="width:391.5pt;height:103.75pt;mso-position-horizontal-relative:char;mso-position-vertical-relative:line" coordsize="49720,13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">
            <v:shape id="_x0000_s1155" type="#_x0000_t75" style="position:absolute;width:49720;height:13169;visibility:visible;mso-wrap-style:square">
              <v:fill o:detectmouseclick="t"/>
              <v:path o:connecttype="none"/>
            </v:shape>
            <v:rect id="Rectangle 165" o:spid="_x0000_s1156" style="position:absolute;left:12255;top:2127;width:4350;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Dpgb4A&#10;AADcAAAADwAAAGRycy9kb3ducmV2LnhtbERPy4rCMBTdD/gP4QruxlQX0qlGEUFwxI3VD7g0tw9M&#10;bkoSbefvzUKY5eG8N7vRGvEiHzrHChbzDARx5XTHjYL77fidgwgRWaNxTAr+KMBuO/naYKHdwFd6&#10;lbERKYRDgQraGPtCylC1ZDHMXU+cuNp5izFB30jtcUjh1shllq2kxY5TQ4s9HVqqHuXTKpC38jjk&#10;pfGZOy/ri/k9XWtySs2m434NItIY/8Uf90kr+MnT2nQmHQG5f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2g6YG+AAAA3AAAAA8AAAAAAAAAAAAAAAAAmAIAAGRycy9kb3ducmV2&#10;LnhtbFBLBQYAAAAABAAEAPUAAACDAwAAAAA=&#10;" filled="f" stroked="f">
              <v:textbox style="mso-fit-shape-to-text:t" inset="0,0,0,0">
                <w:txbxContent>
                  <w:p w:rsidR="0097684C" w:rsidRDefault="0097684C" w:rsidP="001F0AFB">
                    <w:r>
                      <w:rPr>
                        <w:rFonts w:cs="Calibri"/>
                        <w:color w:val="000000"/>
                        <w:lang w:val="en-US"/>
                      </w:rPr>
                      <w:t>Median</w:t>
                    </w:r>
                  </w:p>
                </w:txbxContent>
              </v:textbox>
            </v:rect>
            <v:rect id="Rectangle 166" o:spid="_x0000_s1157" style="position:absolute;left:19418;top:2127;width:2254;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xMGsIA&#10;AADcAAAADwAAAGRycy9kb3ducmV2LnhtbESPzYoCMRCE7wu+Q2jB25rRg4yjUZYFQZe9OPoAzaTn&#10;B5POkERnfPvNguCxqKqvqO1+tEY8yIfOsYLFPANBXDndcaPgejl85iBCRNZoHJOCJwXY7yYfWyy0&#10;G/hMjzI2IkE4FKigjbEvpAxVSxbD3PXEyaudtxiT9I3UHocEt0Yus2wlLXacFlrs6bul6lberQJ5&#10;KQ9DXhqfuZ9l/WtOx3NNTqnZdPzagIg0xnf41T5qBet8Df9n0hGQu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7EwawgAAANwAAAAPAAAAAAAAAAAAAAAAAJgCAABkcnMvZG93&#10;bnJldi54bWxQSwUGAAAAAAQABAD1AAAAhwMAAAAA&#10;" filled="f" stroked="f">
              <v:textbox style="mso-fit-shape-to-text:t" inset="0,0,0,0">
                <w:txbxContent>
                  <w:p w:rsidR="0097684C" w:rsidRDefault="0097684C" w:rsidP="001F0AFB">
                    <w:r>
                      <w:rPr>
                        <w:rFonts w:cs="Calibri"/>
                        <w:color w:val="000000"/>
                        <w:lang w:val="en-US"/>
                      </w:rPr>
                      <w:t>Min</w:t>
                    </w:r>
                  </w:p>
                </w:txbxContent>
              </v:textbox>
            </v:rect>
            <v:rect id="Rectangle 167" o:spid="_x0000_s1158" style="position:absolute;left:25355;top:2127;width:2470;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9zWsAA&#10;AADcAAAADwAAAGRycy9kb3ducmV2LnhtbERPS2rDMBDdF3IHMYHuGjlelNiNEkogkJRsYvcAgzX+&#10;UGlkJMV2b18tClk+3n9/XKwRE/kwOFaw3WQgiBunB+4UfNfntx2IEJE1Gsek4JcCHA+rlz2W2s18&#10;p6mKnUghHEpU0Mc4llKGpieLYeNG4sS1zluMCfpOao9zCrdG5ln2Li0OnBp6HOnUU/NTPawCWVfn&#10;eVcZn7mvvL2Z6+XeklPqdb18foCItMSn+N990QqKIs1PZ9IRkI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g9zWsAAAADcAAAADwAAAAAAAAAAAAAAAACYAgAAZHJzL2Rvd25y&#10;ZXYueG1sUEsFBgAAAAAEAAQA9QAAAIUDAAAAAA==&#10;" filled="f" stroked="f">
              <v:textbox style="mso-fit-shape-to-text:t" inset="0,0,0,0">
                <w:txbxContent>
                  <w:p w:rsidR="0097684C" w:rsidRDefault="0097684C" w:rsidP="001F0AFB">
                    <w:r>
                      <w:rPr>
                        <w:rFonts w:cs="Calibri"/>
                        <w:color w:val="000000"/>
                        <w:lang w:val="en-US"/>
                      </w:rPr>
                      <w:t>Max</w:t>
                    </w:r>
                  </w:p>
                </w:txbxContent>
              </v:textbox>
            </v:rect>
            <v:rect id="Rectangle 168" o:spid="_x0000_s1159" style="position:absolute;left:30530;top:2127;width:4350;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PWwcEA&#10;AADcAAAADwAAAGRycy9kb3ducmV2LnhtbESPzYoCMRCE7wu+Q2jB25rRg+hoFBEEV/bi6AM0k54f&#10;TDpDEp3ZtzcLgseiqr6iNrvBGvEkH1rHCmbTDARx6XTLtYLb9fi9BBEiskbjmBT8UYDddvS1wVy7&#10;ni/0LGItEoRDjgqaGLtcylA2ZDFMXUecvMp5izFJX0vtsU9wa+Q8yxbSYstpocGODg2V9+JhFchr&#10;ceyXhfGZO8+rX/NzulTklJqMh/0aRKQhfsLv9kkrWK1m8H8mHQG5f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D1sHBAAAA3AAAAA8AAAAAAAAAAAAAAAAAmAIAAGRycy9kb3du&#10;cmV2LnhtbFBLBQYAAAAABAAEAPUAAACGAwAAAAA=&#10;" filled="f" stroked="f">
              <v:textbox style="mso-fit-shape-to-text:t" inset="0,0,0,0">
                <w:txbxContent>
                  <w:p w:rsidR="0097684C" w:rsidRDefault="0097684C" w:rsidP="001F0AFB">
                    <w:r>
                      <w:rPr>
                        <w:rFonts w:cs="Calibri"/>
                        <w:color w:val="000000"/>
                        <w:lang w:val="en-US"/>
                      </w:rPr>
                      <w:t>Median</w:t>
                    </w:r>
                  </w:p>
                </w:txbxContent>
              </v:textbox>
            </v:rect>
            <v:rect id="Rectangle 169" o:spid="_x0000_s1160" style="position:absolute;left:37687;top:2127;width:2254;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RaTsMA&#10;AADcAAAADwAAAGRycy9kb3ducmV2LnhtbESPzWoDMQyE74G8g1Ggt6y3OYSwiRNKIZCWXLLpA4i1&#10;9ofa8mK72e3bR4dCbxIzmvl0OM3eqQfFNAQ28FqUoIibYAfuDHzdz+sdqJSRLbrAZOCXEpyOy8UB&#10;KxsmvtGjzp2SEE4VGuhzHiutU9OTx1SEkVi0NkSPWdbYaRtxknDv9KYst9rjwNLQ40jvPTXf9Y83&#10;oO/1edrVLpbhc9Ne3cfl1lIw5mU1v+1BZZrzv/nv+mIFfyv48oxMoI9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RaTsMAAADcAAAADwAAAAAAAAAAAAAAAACYAgAAZHJzL2Rv&#10;d25yZXYueG1sUEsFBgAAAAAEAAQA9QAAAIgDAAAAAA==&#10;" filled="f" stroked="f">
              <v:textbox style="mso-fit-shape-to-text:t" inset="0,0,0,0">
                <w:txbxContent>
                  <w:p w:rsidR="0097684C" w:rsidRDefault="0097684C" w:rsidP="001F0AFB">
                    <w:r>
                      <w:rPr>
                        <w:rFonts w:cs="Calibri"/>
                        <w:color w:val="000000"/>
                        <w:lang w:val="en-US"/>
                      </w:rPr>
                      <w:t>Min</w:t>
                    </w:r>
                  </w:p>
                </w:txbxContent>
              </v:textbox>
            </v:rect>
            <v:rect id="Rectangle 170" o:spid="_x0000_s1161" style="position:absolute;left:43624;top:2127;width:2470;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j/1b4A&#10;AADcAAAADwAAAGRycy9kb3ducmV2LnhtbERPy6rCMBDdC/5DGOHuNNWFSDWKCIJX7sbqBwzN9IHJ&#10;pCTR9v69EQR3czjP2ewGa8STfGgdK5jPMhDEpdMt1wpu1+N0BSJEZI3GMSn4pwC77Xi0wVy7ni/0&#10;LGItUgiHHBU0MXa5lKFsyGKYuY44cZXzFmOCvpbaY5/CrZGLLFtKiy2nhgY7OjRU3ouHVSCvxbFf&#10;FcZn7ryo/szv6VKRU+pnMuzXICIN8Sv+uE86zV/O4f1MukBu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qI/9W+AAAA3AAAAA8AAAAAAAAAAAAAAAAAmAIAAGRycy9kb3ducmV2&#10;LnhtbFBLBQYAAAAABAAEAPUAAACDAwAAAAA=&#10;" filled="f" stroked="f">
              <v:textbox style="mso-fit-shape-to-text:t" inset="0,0,0,0">
                <w:txbxContent>
                  <w:p w:rsidR="0097684C" w:rsidRDefault="0097684C" w:rsidP="001F0AFB">
                    <w:r>
                      <w:rPr>
                        <w:rFonts w:cs="Calibri"/>
                        <w:color w:val="000000"/>
                        <w:lang w:val="en-US"/>
                      </w:rPr>
                      <w:t>Max</w:t>
                    </w:r>
                  </w:p>
                </w:txbxContent>
              </v:textbox>
            </v:rect>
            <v:rect id="Rectangle 171" o:spid="_x0000_s1162" style="position:absolute;left:380;top:4095;width:6084;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phor4A&#10;AADcAAAADwAAAGRycy9kb3ducmV2LnhtbERPzYrCMBC+C75DGGFvmtqDSDWKCIIre7HuAwzN9AeT&#10;SUmi7b69EYS9zcf3O9v9aI14kg+dYwXLRQaCuHK640bB7+00X4MIEVmjcUwK/ijAfjedbLHQbuAr&#10;PcvYiBTCoUAFbYx9IWWoWrIYFq4nTlztvMWYoG+k9jikcGtknmUrabHj1NBiT8eWqnv5sArkrTwN&#10;69L4zF3y+sd8n681OaW+ZuNhAyLSGP/FH/dZp/mrHN7PpAvk7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paYaK+AAAA3AAAAA8AAAAAAAAAAAAAAAAAmAIAAGRycy9kb3ducmV2&#10;LnhtbFBLBQYAAAAABAAEAPUAAACDAwAAAAA=&#10;" filled="f" stroked="f">
              <v:textbox style="mso-fit-shape-to-text:t" inset="0,0,0,0">
                <w:txbxContent>
                  <w:p w:rsidR="0097684C" w:rsidRDefault="0097684C" w:rsidP="001F0AFB">
                    <w:r>
                      <w:rPr>
                        <w:rFonts w:cs="Calibri"/>
                        <w:color w:val="000000"/>
                        <w:lang w:val="en-US"/>
                      </w:rPr>
                      <w:t>GPP (mg O</w:t>
                    </w:r>
                  </w:p>
                </w:txbxContent>
              </v:textbox>
            </v:rect>
            <v:rect id="Rectangle 172" o:spid="_x0000_s1163" style="position:absolute;left:6165;top:4781;width:451;height:391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bEOb4A&#10;AADcAAAADwAAAGRycy9kb3ducmV2LnhtbERP24rCMBB9X/Afwgi+rakKItUoIgiu+GL1A4ZmesFk&#10;UpJou39vhIV9m8O5zmY3WCNe5EPrWMFsmoEgLp1uuVZwvx2/VyBCRNZoHJOCXwqw246+Nphr1/OV&#10;XkWsRQrhkKOCJsYulzKUDVkMU9cRJ65y3mJM0NdSe+xTuDVynmVLabHl1NBgR4eGykfxtArkrTj2&#10;q8L4zJ3n1cX8nK4VOaUm42G/BhFpiP/iP/dJp/nLBXye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UWxDm+AAAA3AAAAA8AAAAAAAAAAAAAAAAAmAIAAGRycy9kb3ducmV2&#10;LnhtbFBLBQYAAAAABAAEAPUAAACDAwAAAAA=&#10;" filled="f" stroked="f">
              <v:textbox style="mso-fit-shape-to-text:t" inset="0,0,0,0">
                <w:txbxContent>
                  <w:p w:rsidR="0097684C" w:rsidRDefault="0097684C" w:rsidP="001F0AFB">
                    <w:r>
                      <w:rPr>
                        <w:rFonts w:cs="Calibri"/>
                        <w:color w:val="000000"/>
                        <w:sz w:val="14"/>
                        <w:szCs w:val="14"/>
                        <w:lang w:val="en-US"/>
                      </w:rPr>
                      <w:t>2</w:t>
                    </w:r>
                  </w:p>
                </w:txbxContent>
              </v:textbox>
            </v:rect>
            <v:rect id="Rectangle 173" o:spid="_x0000_s1164" style="position:absolute;left:6622;top:4095;width:4255;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9cTb4A&#10;AADcAAAADwAAAGRycy9kb3ducmV2LnhtbERP24rCMBB9X/Afwgi+rakiItUoIgiu+GL1A4ZmesFk&#10;UpJou39vhIV9m8O5zmY3WCNe5EPrWMFsmoEgLp1uuVZwvx2/VyBCRNZoHJOCXwqw246+Nphr1/OV&#10;XkWsRQrhkKOCJsYulzKUDVkMU9cRJ65y3mJM0NdSe+xTuDVynmVLabHl1NBgR4eGykfxtArkrTj2&#10;q8L4zJ3n1cX8nK4VOaUm42G/BhFpiP/iP/dJp/nLBXye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XE2+AAAA3AAAAA8AAAAAAAAAAAAAAAAAmAIAAGRycy9kb3ducmV2&#10;LnhtbFBLBQYAAAAABAAEAPUAAACDAwAAAAA=&#10;" filled="f" stroked="f">
              <v:textbox style="mso-fit-shape-to-text:t" inset="0,0,0,0">
                <w:txbxContent>
                  <w:p w:rsidR="0097684C" w:rsidRDefault="0097684C" w:rsidP="001F0AFB">
                    <w:r>
                      <w:rPr>
                        <w:rFonts w:cs="Calibri"/>
                        <w:color w:val="000000"/>
                        <w:lang w:val="en-US"/>
                      </w:rPr>
                      <w:t>/L/Day)</w:t>
                    </w:r>
                  </w:p>
                </w:txbxContent>
              </v:textbox>
            </v:rect>
            <v:rect id="Rectangle 174" o:spid="_x0000_s1165" style="position:absolute;left:13169;top:4095;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P51r4A&#10;AADcAAAADwAAAGRycy9kb3ducmV2LnhtbERP24rCMBB9X/Afwgi+ramCItUoIgiu+GL1A4ZmesFk&#10;UpJou39vhIV9m8O5zmY3WCNe5EPrWMFsmoEgLp1uuVZwvx2/VyBCRNZoHJOCXwqw246+Nphr1/OV&#10;XkWsRQrhkKOCJsYulzKUDVkMU9cRJ65y3mJM0NdSe+xTuDVynmVLabHl1NBgR4eGykfxtArkrTj2&#10;q8L4zJ3n1cX8nK4VOaUm42G/BhFpiP/iP/dJp/nLBXyeSRfI7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Wz+da+AAAA3AAAAA8AAAAAAAAAAAAAAAAAmAIAAGRycy9kb3ducmV2&#10;LnhtbFBLBQYAAAAABAAEAPUAAACDAwAAAAA=&#10;" filled="f" stroked="f">
              <v:textbox style="mso-fit-shape-to-text:t" inset="0,0,0,0">
                <w:txbxContent>
                  <w:p w:rsidR="0097684C" w:rsidRDefault="0097684C" w:rsidP="001F0AFB">
                    <w:r>
                      <w:rPr>
                        <w:rFonts w:cs="Calibri"/>
                        <w:color w:val="000000"/>
                        <w:lang w:val="en-US"/>
                      </w:rPr>
                      <w:t>2.69</w:t>
                    </w:r>
                  </w:p>
                </w:txbxContent>
              </v:textbox>
            </v:rect>
            <v:rect id="Rectangle 175" o:spid="_x0000_s1166" style="position:absolute;left:19265;top:4095;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Fnob4A&#10;AADcAAAADwAAAGRycy9kb3ducmV2LnhtbERPzYrCMBC+L/gOYQRva6qHIl2jiCCoeLHuAwzN9IdN&#10;JiWJtr69EYS9zcf3O+vtaI14kA+dYwWLeQaCuHK640bB7+3wvQIRIrJG45gUPCnAdjP5WmOh3cBX&#10;epSxESmEQ4EK2hj7QspQtWQxzF1PnLjaeYsxQd9I7XFI4dbIZZbl0mLHqaHFnvYtVX/l3SqQt/Iw&#10;rErjM3de1hdzOl5rckrNpuPuB0SkMf6LP+6jTvPzHN7PpAvk5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VhZ6G+AAAA3AAAAA8AAAAAAAAAAAAAAAAAmAIAAGRycy9kb3ducmV2&#10;LnhtbFBLBQYAAAAABAAEAPUAAACDAwAAAAA=&#10;" filled="f" stroked="f">
              <v:textbox style="mso-fit-shape-to-text:t" inset="0,0,0,0">
                <w:txbxContent>
                  <w:p w:rsidR="0097684C" w:rsidRDefault="0097684C" w:rsidP="001F0AFB">
                    <w:r>
                      <w:rPr>
                        <w:rFonts w:cs="Calibri"/>
                        <w:color w:val="000000"/>
                        <w:lang w:val="en-US"/>
                      </w:rPr>
                      <w:t>0.67</w:t>
                    </w:r>
                  </w:p>
                </w:txbxContent>
              </v:textbox>
            </v:rect>
            <v:rect id="Rectangle 176" o:spid="_x0000_s1167" style="position:absolute;left:25355;top:4095;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3COr8A&#10;AADcAAAADwAAAGRycy9kb3ducmV2LnhtbERPzYrCMBC+L/gOYQRva6oHV6pRRBBc8WL1AYZm+oPJ&#10;pCTRdt/eCMLe5uP7nfV2sEY8yYfWsYLZNANBXDrdcq3gdj18L0GEiKzROCYFfxRguxl9rTHXrucL&#10;PYtYixTCIUcFTYxdLmUoG7IYpq4jTlzlvMWYoK+l9tincGvkPMsW0mLLqaHBjvYNlffiYRXIa3Ho&#10;l4XxmTvNq7P5PV4qckpNxsNuBSLSEP/FH/dRp/mLH3g/ky6Qm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6LcI6vwAAANwAAAAPAAAAAAAAAAAAAAAAAJgCAABkcnMvZG93bnJl&#10;di54bWxQSwUGAAAAAAQABAD1AAAAhAMAAAAA&#10;" filled="f" stroked="f">
              <v:textbox style="mso-fit-shape-to-text:t" inset="0,0,0,0">
                <w:txbxContent>
                  <w:p w:rsidR="0097684C" w:rsidRDefault="0097684C" w:rsidP="001F0AFB">
                    <w:r>
                      <w:rPr>
                        <w:rFonts w:cs="Calibri"/>
                        <w:color w:val="000000"/>
                        <w:lang w:val="en-US"/>
                      </w:rPr>
                      <w:t>9.88</w:t>
                    </w:r>
                  </w:p>
                </w:txbxContent>
              </v:textbox>
            </v:rect>
            <v:rect id="Rectangle 177" o:spid="_x0000_s1168" style="position:absolute;left:30606;top:4095;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JWSMMA&#10;AADcAAAADwAAAGRycy9kb3ducmV2LnhtbESPzWoDMQyE74G8g1Ggt6y3OYSwiRNKIZCWXLLpA4i1&#10;9ofa8mK72e3bR4dCbxIzmvl0OM3eqQfFNAQ28FqUoIibYAfuDHzdz+sdqJSRLbrAZOCXEpyOy8UB&#10;KxsmvtGjzp2SEE4VGuhzHiutU9OTx1SEkVi0NkSPWdbYaRtxknDv9KYst9rjwNLQ40jvPTXf9Y83&#10;oO/1edrVLpbhc9Ne3cfl1lIw5mU1v+1BZZrzv/nv+mIFfyu08oxMoI9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7JWSMMAAADcAAAADwAAAAAAAAAAAAAAAACYAgAAZHJzL2Rv&#10;d25yZXYueG1sUEsFBgAAAAAEAAQA9QAAAIgDAAAAAA==&#10;" filled="f" stroked="f">
              <v:textbox style="mso-fit-shape-to-text:t" inset="0,0,0,0">
                <w:txbxContent>
                  <w:p w:rsidR="0097684C" w:rsidRDefault="0097684C" w:rsidP="001F0AFB">
                    <w:r>
                      <w:rPr>
                        <w:rFonts w:cs="Calibri"/>
                        <w:color w:val="000000"/>
                        <w:lang w:val="en-US"/>
                      </w:rPr>
                      <w:t>1.86</w:t>
                    </w:r>
                  </w:p>
                </w:txbxContent>
              </v:textbox>
            </v:rect>
            <v:rect id="Rectangle 178" o:spid="_x0000_s1169" style="position:absolute;left:37534;top:4095;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7z078A&#10;AADcAAAADwAAAGRycy9kb3ducmV2LnhtbERPzYrCMBC+L/gOYQRva6oHcatRRBBc8WL1AYZm+oPJ&#10;pCTRdt/eCMLe5uP7nfV2sEY8yYfWsYLZNANBXDrdcq3gdj18L0GEiKzROCYFfxRguxl9rTHXrucL&#10;PYtYixTCIUcFTYxdLmUoG7IYpq4jTlzlvMWYoK+l9tincGvkPMsW0mLLqaHBjvYNlffiYRXIa3Ho&#10;l4XxmTvNq7P5PV4qckpNxsNuBSLSEP/FH/dRp/mLH3g/ky6Qm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k/vPTvwAAANwAAAAPAAAAAAAAAAAAAAAAAJgCAABkcnMvZG93bnJl&#10;di54bWxQSwUGAAAAAAQABAD1AAAAhAMAAAAA&#10;" filled="f" stroked="f">
              <v:textbox style="mso-fit-shape-to-text:t" inset="0,0,0,0">
                <w:txbxContent>
                  <w:p w:rsidR="0097684C" w:rsidRDefault="0097684C" w:rsidP="001F0AFB">
                    <w:r>
                      <w:rPr>
                        <w:rFonts w:cs="Calibri"/>
                        <w:color w:val="000000"/>
                        <w:lang w:val="en-US"/>
                      </w:rPr>
                      <w:t>0.89</w:t>
                    </w:r>
                  </w:p>
                </w:txbxContent>
              </v:textbox>
            </v:rect>
            <v:rect id="Rectangle 179" o:spid="_x0000_s1170" style="position:absolute;left:43624;top:4095;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3Mk8MA&#10;AADcAAAADwAAAGRycy9kb3ducmV2LnhtbESPT2sCMRDF70K/Q5hCb5qthypbo5SCoMWLqx9g2Mz+&#10;oclkSVJ3/fadg+Bthvfmvd9sdpN36kYx9YENvC8KUMR1sD23Bq6X/XwNKmVkiy4wGbhTgt32ZbbB&#10;0oaRz3SrcqskhFOJBrqch1LrVHfkMS3CQCxaE6LHLGtstY04Srh3elkUH9pjz9LQ4UDfHdW/1Z83&#10;oC/VflxXLhbhZ9mc3PFwbigY8/Y6fX2CyjTlp/lxfbCCvxJ8eUYm0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3Mk8MAAADcAAAADwAAAAAAAAAAAAAAAACYAgAAZHJzL2Rv&#10;d25yZXYueG1sUEsFBgAAAAAEAAQA9QAAAIgDAAAAAA==&#10;" filled="f" stroked="f">
              <v:textbox style="mso-fit-shape-to-text:t" inset="0,0,0,0">
                <w:txbxContent>
                  <w:p w:rsidR="0097684C" w:rsidRDefault="0097684C" w:rsidP="001F0AFB">
                    <w:r>
                      <w:rPr>
                        <w:rFonts w:cs="Calibri"/>
                        <w:color w:val="000000"/>
                        <w:lang w:val="en-US"/>
                      </w:rPr>
                      <w:t>4.65</w:t>
                    </w:r>
                  </w:p>
                </w:txbxContent>
              </v:textbox>
            </v:rect>
            <v:rect id="Rectangle 180" o:spid="_x0000_s1171" style="position:absolute;left:380;top:6070;width:5201;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bKkL8A&#10;AADcAAAADwAAAGRycy9kb3ducmV2LnhtbERP24rCMBB9F/yHMIJvmiqyK9UoIgi67IvVDxia6QWT&#10;SUmirX+/WVjYtzmc62z3gzXiRT60jhUs5hkI4tLplmsF99tptgYRIrJG45gUvCnAfjcebTHXrucr&#10;vYpYixTCIUcFTYxdLmUoG7IY5q4jTlzlvMWYoK+l9tincGvkMss+pMWWU0ODHR0bKh/F0yqQt+LU&#10;rwvjM/e1rL7N5XytyCk1nQyHDYhIQ/wX/7nPOs3/XMH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JsqQvwAAANwAAAAPAAAAAAAAAAAAAAAAAJgCAABkcnMvZG93bnJl&#10;di54bWxQSwUGAAAAAAQABAD1AAAAhAMAAAAA&#10;" filled="f" stroked="f">
              <v:textbox style="mso-fit-shape-to-text:t" inset="0,0,0,0">
                <w:txbxContent>
                  <w:p w:rsidR="0097684C" w:rsidRDefault="0097684C" w:rsidP="001F0AFB">
                    <w:r>
                      <w:rPr>
                        <w:rFonts w:cs="Calibri"/>
                        <w:color w:val="000000"/>
                        <w:lang w:val="en-US"/>
                      </w:rPr>
                      <w:t>ER (mg O</w:t>
                    </w:r>
                  </w:p>
                </w:txbxContent>
              </v:textbox>
            </v:rect>
            <v:rect id="Rectangle 181" o:spid="_x0000_s1172" style="position:absolute;left:5403;top:6756;width:451;height:391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pvC78A&#10;AADcAAAADwAAAGRycy9kb3ducmV2LnhtbERP24rCMBB9F/yHMIJvmiq4K9UoIgi67IvVDxia6QWT&#10;SUmirX+/WVjYtzmc62z3gzXiRT60jhUs5hkI4tLplmsF99tptgYRIrJG45gUvCnAfjcebTHXrucr&#10;vYpYixTCIUcFTYxdLmUoG7IY5q4jTlzlvMWYoK+l9tincGvkMss+pMWWU0ODHR0bKh/F0yqQt+LU&#10;rwvjM/e1rL7N5XytyCk1nQyHDYhIQ/wX/7nPOs3/XMHvM+kCuf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am8LvwAAANwAAAAPAAAAAAAAAAAAAAAAAJgCAABkcnMvZG93bnJl&#10;di54bWxQSwUGAAAAAAQABAD1AAAAhAMAAAAA&#10;" filled="f" stroked="f">
              <v:textbox style="mso-fit-shape-to-text:t" inset="0,0,0,0">
                <w:txbxContent>
                  <w:p w:rsidR="0097684C" w:rsidRDefault="0097684C" w:rsidP="001F0AFB">
                    <w:r>
                      <w:rPr>
                        <w:rFonts w:cs="Calibri"/>
                        <w:color w:val="000000"/>
                        <w:sz w:val="14"/>
                        <w:szCs w:val="14"/>
                        <w:lang w:val="en-US"/>
                      </w:rPr>
                      <w:t>2</w:t>
                    </w:r>
                  </w:p>
                </w:txbxContent>
              </v:textbox>
            </v:rect>
            <v:rect id="Rectangle 182" o:spid="_x0000_s1173" style="position:absolute;left:5860;top:6070;width:4255;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jxfL8A&#10;AADcAAAADwAAAGRycy9kb3ducmV2LnhtbERPzYrCMBC+L/gOYQRva6oHV6pRRBBc8WL1AYZm+oPJ&#10;pCTRdt/eCMLe5uP7nfV2sEY8yYfWsYLZNANBXDrdcq3gdj18L0GEiKzROCYFfxRguxl9rTHXrucL&#10;PYtYixTCIUcFTYxdLmUoG7IYpq4jTlzlvMWYoK+l9tincGvkPMsW0mLLqaHBjvYNlffiYRXIa3Ho&#10;l4XxmTvNq7P5PV4qckpNxsNuBSLSEP/FH/dRp/k/C3g/ky6Qm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uPF8vwAAANwAAAAPAAAAAAAAAAAAAAAAAJgCAABkcnMvZG93bnJl&#10;di54bWxQSwUGAAAAAAQABAD1AAAAhAMAAAAA&#10;" filled="f" stroked="f">
              <v:textbox style="mso-fit-shape-to-text:t" inset="0,0,0,0">
                <w:txbxContent>
                  <w:p w:rsidR="0097684C" w:rsidRDefault="0097684C" w:rsidP="001F0AFB">
                    <w:r>
                      <w:rPr>
                        <w:rFonts w:cs="Calibri"/>
                        <w:color w:val="000000"/>
                        <w:lang w:val="en-US"/>
                      </w:rPr>
                      <w:t>/L/Day)</w:t>
                    </w:r>
                  </w:p>
                </w:txbxContent>
              </v:textbox>
            </v:rect>
            <v:rect id="Rectangle 183" o:spid="_x0000_s1174" style="position:absolute;left:13169;top:6070;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i8tMMA&#10;AADcAAAADwAAAGRycy9kb3ducmV2LnhtbESPzWoDMQyE74G8g1Ght8TbHMKyjRNKIZCGXLLpA4i1&#10;9ofa8mI72e3bR4dCbxIzmvm0O8zeqQfFNAQ28LYuQBE3wQ7cGfi+HVclqJSRLbrAZOCXEhz2y8UO&#10;KxsmvtKjzp2SEE4VGuhzHiutU9OTx7QOI7FobYges6yx0zbiJOHe6U1RbLXHgaWhx5E+e2p+6rs3&#10;oG/1cSprF4tw3rQX93W6thSMeX2ZP95BZZrzv/nv+mQFvxR8eUYm0P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i8tMMAAADcAAAADwAAAAAAAAAAAAAAAACYAgAAZHJzL2Rv&#10;d25yZXYueG1sUEsFBgAAAAAEAAQA9QAAAIgDAAAAAA==&#10;" filled="f" stroked="f">
              <v:textbox style="mso-fit-shape-to-text:t" inset="0,0,0,0">
                <w:txbxContent>
                  <w:p w:rsidR="0097684C" w:rsidRDefault="0097684C" w:rsidP="001F0AFB">
                    <w:r>
                      <w:rPr>
                        <w:rFonts w:cs="Calibri"/>
                        <w:color w:val="000000"/>
                        <w:lang w:val="en-US"/>
                      </w:rPr>
                      <w:t>6.91</w:t>
                    </w:r>
                  </w:p>
                </w:txbxContent>
              </v:textbox>
            </v:rect>
            <v:rect id="Rectangle 184" o:spid="_x0000_s1175" style="position:absolute;left:19265;top:6070;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QZL78A&#10;AADcAAAADwAAAGRycy9kb3ducmV2LnhtbERPzYrCMBC+L/gOYQRv21QPUqpRRBB02Yt1H2Bopj+Y&#10;TEoSbfftN4Kwt/n4fme7n6wRT/Khd6xgmeUgiGune24V/NxOnwWIEJE1Gsek4JcC7Hezjy2W2o18&#10;pWcVW5FCOJSooItxKKUMdUcWQ+YG4sQ1zluMCfpWao9jCrdGrvJ8LS32nBo6HOjYUX2vHlaBvFWn&#10;saiMz93Xqvk2l/O1IafUYj4dNiAiTfFf/HafdZpfLOH1TLpA7v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hBkvvwAAANwAAAAPAAAAAAAAAAAAAAAAAJgCAABkcnMvZG93bnJl&#10;di54bWxQSwUGAAAAAAQABAD1AAAAhAMAAAAA&#10;" filled="f" stroked="f">
              <v:textbox style="mso-fit-shape-to-text:t" inset="0,0,0,0">
                <w:txbxContent>
                  <w:p w:rsidR="0097684C" w:rsidRDefault="0097684C" w:rsidP="001F0AFB">
                    <w:r>
                      <w:rPr>
                        <w:rFonts w:cs="Calibri"/>
                        <w:color w:val="000000"/>
                        <w:lang w:val="en-US"/>
                      </w:rPr>
                      <w:t>1.33</w:t>
                    </w:r>
                  </w:p>
                </w:txbxContent>
              </v:textbox>
            </v:rect>
            <v:rect id="Rectangle 185" o:spid="_x0000_s1176" style="position:absolute;left:24974;top:6070;width:3188;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aHWL8A&#10;AADcAAAADwAAAGRycy9kb3ducmV2LnhtbERPzYrCMBC+L/gOYQRva7o9SKlGkQVBFy/WfYChmf5g&#10;MilJtN23N4Kwt/n4fmezm6wRD/Khd6zga5mBIK6d7rlV8Hs9fBYgQkTWaByTgj8KsNvOPjZYajfy&#10;hR5VbEUK4VCigi7GoZQy1B1ZDEs3ECeucd5iTNC3UnscU7g1Ms+ylbTYc2rocKDvjupbdbcK5LU6&#10;jEVlfOZ+8uZsTsdLQ06pxXzar0FEmuK/+O0+6jS/yOH1TLpAb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VodYvwAAANwAAAAPAAAAAAAAAAAAAAAAAJgCAABkcnMvZG93bnJl&#10;di54bWxQSwUGAAAAAAQABAD1AAAAhAMAAAAA&#10;" filled="f" stroked="f">
              <v:textbox style="mso-fit-shape-to-text:t" inset="0,0,0,0">
                <w:txbxContent>
                  <w:p w:rsidR="0097684C" w:rsidRDefault="0097684C" w:rsidP="001F0AFB">
                    <w:r>
                      <w:rPr>
                        <w:rFonts w:cs="Calibri"/>
                        <w:color w:val="000000"/>
                        <w:lang w:val="en-US"/>
                      </w:rPr>
                      <w:t>16.94</w:t>
                    </w:r>
                  </w:p>
                </w:txbxContent>
              </v:textbox>
            </v:rect>
            <v:rect id="Rectangle 186" o:spid="_x0000_s1177" style="position:absolute;left:30606;top:6070;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oiw78A&#10;AADcAAAADwAAAGRycy9kb3ducmV2LnhtbERP24rCMBB9X/Afwgi+rakuLKVrFBEEXXyx7gcMzfSC&#10;yaQk0da/N4Kwb3M411ltRmvEnXzoHCtYzDMQxJXTHTcK/i77zxxEiMgajWNS8KAAm/XkY4WFdgOf&#10;6V7GRqQQDgUqaGPsCylD1ZLFMHc9ceJq5y3GBH0jtcchhVsjl1n2LS12nBpa7GnXUnUtb1aBvJT7&#10;IS+Nz9zvsj6Z4+Fck1NqNh23PyAijfFf/HYfdJqff8HrmXSBXD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1GiLDvwAAANwAAAAPAAAAAAAAAAAAAAAAAJgCAABkcnMvZG93bnJl&#10;di54bWxQSwUGAAAAAAQABAD1AAAAhAMAAAAA&#10;" filled="f" stroked="f">
              <v:textbox style="mso-fit-shape-to-text:t" inset="0,0,0,0">
                <w:txbxContent>
                  <w:p w:rsidR="0097684C" w:rsidRDefault="0097684C" w:rsidP="001F0AFB">
                    <w:r>
                      <w:rPr>
                        <w:rFonts w:cs="Calibri"/>
                        <w:color w:val="000000"/>
                        <w:lang w:val="en-US"/>
                      </w:rPr>
                      <w:t>2.47</w:t>
                    </w:r>
                  </w:p>
                </w:txbxContent>
              </v:textbox>
            </v:rect>
            <v:rect id="Rectangle 187" o:spid="_x0000_s1178" style="position:absolute;left:37534;top:6070;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O6t78A&#10;AADcAAAADwAAAGRycy9kb3ducmV2LnhtbERP24rCMBB9X/Afwgi+ramyLKVrFBEEXXyx7gcMzfSC&#10;yaQk0da/N4Kwb3M411ltRmvEnXzoHCtYzDMQxJXTHTcK/i77zxxEiMgajWNS8KAAm/XkY4WFdgOf&#10;6V7GRqQQDgUqaGPsCylD1ZLFMHc9ceJq5y3GBH0jtcchhVsjl1n2LS12nBpa7GnXUnUtb1aBvJT7&#10;IS+Nz9zvsj6Z4+Fck1NqNh23PyAijfFf/HYfdJqff8HrmXSBXD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687q3vwAAANwAAAAPAAAAAAAAAAAAAAAAAJgCAABkcnMvZG93bnJl&#10;di54bWxQSwUGAAAAAAQABAD1AAAAhAMAAAAA&#10;" filled="f" stroked="f">
              <v:textbox style="mso-fit-shape-to-text:t" inset="0,0,0,0">
                <w:txbxContent>
                  <w:p w:rsidR="0097684C" w:rsidRDefault="0097684C" w:rsidP="001F0AFB">
                    <w:r>
                      <w:rPr>
                        <w:rFonts w:cs="Calibri"/>
                        <w:color w:val="000000"/>
                        <w:lang w:val="en-US"/>
                      </w:rPr>
                      <w:t>0.70</w:t>
                    </w:r>
                  </w:p>
                </w:txbxContent>
              </v:textbox>
            </v:rect>
            <v:rect id="Rectangle 188" o:spid="_x0000_s1179" style="position:absolute;left:43624;top:6070;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8fLL8A&#10;AADcAAAADwAAAGRycy9kb3ducmV2LnhtbERP24rCMBB9X/Afwgi+ranCLqVrFBEEXXyx7gcMzfSC&#10;yaQk0da/N4Kwb3M411ltRmvEnXzoHCtYzDMQxJXTHTcK/i77zxxEiMgajWNS8KAAm/XkY4WFdgOf&#10;6V7GRqQQDgUqaGPsCylD1ZLFMHc9ceJq5y3GBH0jtcchhVsjl1n2LS12nBpa7GnXUnUtb1aBvJT7&#10;IS+Nz9zvsj6Z4+Fck1NqNh23PyAijfFf/HYfdJqff8HrmXSBXD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vx8svwAAANwAAAAPAAAAAAAAAAAAAAAAAJgCAABkcnMvZG93bnJl&#10;di54bWxQSwUGAAAAAAQABAD1AAAAhAMAAAAA&#10;" filled="f" stroked="f">
              <v:textbox style="mso-fit-shape-to-text:t" inset="0,0,0,0">
                <w:txbxContent>
                  <w:p w:rsidR="0097684C" w:rsidRDefault="0097684C" w:rsidP="001F0AFB">
                    <w:r>
                      <w:rPr>
                        <w:rFonts w:cs="Calibri"/>
                        <w:color w:val="000000"/>
                        <w:lang w:val="en-US"/>
                      </w:rPr>
                      <w:t>6.54</w:t>
                    </w:r>
                  </w:p>
                </w:txbxContent>
              </v:textbox>
            </v:rect>
            <v:rect id="Rectangle 189" o:spid="_x0000_s1180" style="position:absolute;left:380;top:7969;width:2655;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2BW74A&#10;AADcAAAADwAAAGRycy9kb3ducmV2LnhtbERPzYrCMBC+L/gOYYS9rakepHSNIoKgsherDzA00x82&#10;mZQk2vr2RhC8zcf3O6vNaI24kw+dYwXzWQaCuHK640bB9bL/yUGEiKzROCYFDwqwWU++VlhoN/CZ&#10;7mVsRArhUKCCNsa+kDJULVkMM9cTJ6523mJM0DdSexxSuDVykWVLabHj1NBiT7uWqv/yZhXIS7kf&#10;8tL4zJ0W9Z85Hs41OaW+p+P2F0SkMX7Eb/dBp/n5El7PpAvk+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VtgVu+AAAA3AAAAA8AAAAAAAAAAAAAAAAAmAIAAGRycy9kb3ducmV2&#10;LnhtbFBLBQYAAAAABAAEAPUAAACDAwAAAAA=&#10;" filled="f" stroked="f">
              <v:textbox style="mso-fit-shape-to-text:t" inset="0,0,0,0">
                <w:txbxContent>
                  <w:p w:rsidR="0097684C" w:rsidRDefault="0097684C" w:rsidP="001F0AFB">
                    <w:r>
                      <w:rPr>
                        <w:rFonts w:cs="Calibri"/>
                        <w:color w:val="000000"/>
                        <w:lang w:val="en-US"/>
                      </w:rPr>
                      <w:t>P / R</w:t>
                    </w:r>
                  </w:p>
                </w:txbxContent>
              </v:textbox>
            </v:rect>
            <v:rect id="Rectangle 190" o:spid="_x0000_s1181" style="position:absolute;left:13169;top:7969;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EkwL8A&#10;AADcAAAADwAAAGRycy9kb3ducmV2LnhtbERPzYrCMBC+L/gOYQRva6qH3dI1igiCLl6s+wBDM/3B&#10;ZFKSaOvbG0HY23x8v7PajNaIO/nQOVawmGcgiCunO24U/F32nzmIEJE1Gsek4EEBNuvJxwoL7QY+&#10;072MjUghHApU0MbYF1KGqiWLYe564sTVzluMCfpGao9DCrdGLrPsS1rsODW02NOupepa3qwCeSn3&#10;Q14an7nfZX0yx8O5JqfUbDpuf0BEGuO/+O0+6DQ//4bXM+kCuX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ISTAvwAAANwAAAAPAAAAAAAAAAAAAAAAAJgCAABkcnMvZG93bnJl&#10;di54bWxQSwUGAAAAAAQABAD1AAAAhAMAAAAA&#10;" filled="f" stroked="f">
              <v:textbox style="mso-fit-shape-to-text:t" inset="0,0,0,0">
                <w:txbxContent>
                  <w:p w:rsidR="0097684C" w:rsidRDefault="0097684C" w:rsidP="001F0AFB">
                    <w:r>
                      <w:rPr>
                        <w:rFonts w:cs="Calibri"/>
                        <w:color w:val="000000"/>
                        <w:lang w:val="en-US"/>
                      </w:rPr>
                      <w:t>0.43</w:t>
                    </w:r>
                  </w:p>
                </w:txbxContent>
              </v:textbox>
            </v:rect>
            <v:rect id="Rectangle 191" o:spid="_x0000_s1182" style="position:absolute;left:19265;top:7969;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aJ8b8A&#10;AADcAAAADwAAAGRycy9kb3ducmV2LnhtbERP24rCMBB9X/Afwgi+ramCi1ajiCCo7IvVDxia6QWT&#10;SUmytvv3RljYtzmc62x2gzXiST60jhXMphkI4tLplmsF99vxcwkiRGSNxjEp+KUAu+3oY4O5dj1f&#10;6VnEWqQQDjkqaGLscilD2ZDFMHUdceIq5y3GBH0ttcc+hVsj51n2JS22nBoa7OjQUPkofqwCeSuO&#10;/bIwPnOXefVtzqdrRU6pyXjYr0FEGuK/+M990mn+agHvZ9IFcv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ZonxvwAAANwAAAAPAAAAAAAAAAAAAAAAAJgCAABkcnMvZG93bnJl&#10;di54bWxQSwUGAAAAAAQABAD1AAAAhAMAAAAA&#10;" filled="f" stroked="f">
              <v:textbox style="mso-fit-shape-to-text:t" inset="0,0,0,0">
                <w:txbxContent>
                  <w:p w:rsidR="0097684C" w:rsidRDefault="0097684C" w:rsidP="001F0AFB">
                    <w:r>
                      <w:rPr>
                        <w:rFonts w:cs="Calibri"/>
                        <w:color w:val="000000"/>
                        <w:lang w:val="en-US"/>
                      </w:rPr>
                      <w:t>0.10</w:t>
                    </w:r>
                  </w:p>
                </w:txbxContent>
              </v:textbox>
            </v:rect>
            <v:rect id="Rectangle 192" o:spid="_x0000_s1183" style="position:absolute;left:25355;top:7969;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jSlL4A&#10;AADcAAAADwAAAGRycy9kb3ducmV2LnhtbERPy4rCMBTdC/5DuAPuNJkuBqlGGQYER2Zj9QMuze0D&#10;k5uSRNv5e7MQXB7Oe7ufnBUPCrH3rOFzpUAQ19703Gq4Xg7LNYiYkA1az6ThnyLsd/PZFkvjRz7T&#10;o0qtyCEcS9TQpTSUUsa6I4dx5QfizDU+OEwZhlaagGMOd1YWSn1Jhz3nhg4H+umovlV3p0FeqsO4&#10;rmxQ/lQ0f/b3eG7Ia734mL43IBJN6S1+uY9GQ6Hy2nwmHwG5e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1I0pS+AAAA3AAAAA8AAAAAAAAAAAAAAAAAmAIAAGRycy9kb3ducmV2&#10;LnhtbFBLBQYAAAAABAAEAPUAAACDAwAAAAA=&#10;" filled="f" stroked="f">
              <v:textbox style="mso-fit-shape-to-text:t" inset="0,0,0,0">
                <w:txbxContent>
                  <w:p w:rsidR="0097684C" w:rsidRDefault="0097684C" w:rsidP="001F0AFB">
                    <w:r>
                      <w:rPr>
                        <w:rFonts w:cs="Calibri"/>
                        <w:color w:val="000000"/>
                        <w:lang w:val="en-US"/>
                      </w:rPr>
                      <w:t>0.77</w:t>
                    </w:r>
                  </w:p>
                </w:txbxContent>
              </v:textbox>
            </v:rect>
            <v:rect id="Rectangle 193" o:spid="_x0000_s1184" style="position:absolute;left:30606;top:7969;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R3D8IA&#10;AADcAAAADwAAAGRycy9kb3ducmV2LnhtbESP3WoCMRSE74W+QziF3mnSvRBdjSIFwUpvXH2Aw+bs&#10;DyYnS5K627dvCgUvh5n5htnuJ2fFg0LsPWt4XygQxLU3PbcabtfjfAUiJmSD1jNp+KEI+93LbIul&#10;8SNf6FGlVmQIxxI1dCkNpZSx7shhXPiBOHuNDw5TlqGVJuCY4c7KQqmldNhzXuhwoI+O6nv17TTI&#10;a3UcV5UNyp+L5st+ni4Nea3fXqfDBkSiKT3D/+2T0VCoNfydyUd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BHcPwgAAANwAAAAPAAAAAAAAAAAAAAAAAJgCAABkcnMvZG93&#10;bnJldi54bWxQSwUGAAAAAAQABAD1AAAAhwMAAAAA&#10;" filled="f" stroked="f">
              <v:textbox style="mso-fit-shape-to-text:t" inset="0,0,0,0">
                <w:txbxContent>
                  <w:p w:rsidR="0097684C" w:rsidRDefault="0097684C" w:rsidP="001F0AFB">
                    <w:r>
                      <w:rPr>
                        <w:rFonts w:cs="Calibri"/>
                        <w:color w:val="000000"/>
                        <w:lang w:val="en-US"/>
                      </w:rPr>
                      <w:t>0.81</w:t>
                    </w:r>
                  </w:p>
                </w:txbxContent>
              </v:textbox>
            </v:rect>
            <v:rect id="Rectangle 194" o:spid="_x0000_s1185" style="position:absolute;left:37534;top:7969;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dIT78A&#10;AADcAAAADwAAAGRycy9kb3ducmV2LnhtbERPy4rCMBTdC/5DuAPuNG0Xg1SjDAMFldlY5wMuze2D&#10;SW5KEm39e7MQZnk47/1xtkY8yIfBsYJ8k4EgbpweuFPwe6vWWxAhIms0jknBkwIcD8vFHkvtJr7S&#10;o46dSCEcSlTQxziWUoamJ4th40bixLXOW4wJ+k5qj1MKt0YWWfYpLQ6cGnoc6bun5q++WwXyVlfT&#10;tjY+c5ei/THn07Ulp9TqY/7agYg0x3/x233SCoo8zU9n0hGQh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250hPvwAAANwAAAAPAAAAAAAAAAAAAAAAAJgCAABkcnMvZG93bnJl&#10;di54bWxQSwUGAAAAAAQABAD1AAAAhAMAAAAA&#10;" filled="f" stroked="f">
              <v:textbox style="mso-fit-shape-to-text:t" inset="0,0,0,0">
                <w:txbxContent>
                  <w:p w:rsidR="0097684C" w:rsidRDefault="0097684C" w:rsidP="001F0AFB">
                    <w:r>
                      <w:rPr>
                        <w:rFonts w:cs="Calibri"/>
                        <w:color w:val="000000"/>
                        <w:lang w:val="en-US"/>
                      </w:rPr>
                      <w:t>0.46</w:t>
                    </w:r>
                  </w:p>
                </w:txbxContent>
              </v:textbox>
            </v:rect>
            <v:rect id="Rectangle 195" o:spid="_x0000_s1186" style="position:absolute;left:43624;top:7969;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vt1MEA&#10;AADcAAAADwAAAGRycy9kb3ducmV2LnhtbESP3YrCMBSE74V9h3AWvNO0vRDpGmVZEFS8se4DHJrT&#10;HzY5KUm09e2NIOzlMDPfMJvdZI24kw+9YwX5MgNBXDvdc6vg97pfrEGEiKzROCYFDwqw237MNlhq&#10;N/KF7lVsRYJwKFFBF+NQShnqjiyGpRuIk9c4bzEm6VupPY4Jbo0ssmwlLfacFjoc6Kej+q+6WQXy&#10;Wu3HdWV85k5FczbHw6Uhp9T8c/r+AhFpiv/hd/ugFRR5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r7dTBAAAA3AAAAA8AAAAAAAAAAAAAAAAAmAIAAGRycy9kb3du&#10;cmV2LnhtbFBLBQYAAAAABAAEAPUAAACGAwAAAAA=&#10;" filled="f" stroked="f">
              <v:textbox style="mso-fit-shape-to-text:t" inset="0,0,0,0">
                <w:txbxContent>
                  <w:p w:rsidR="0097684C" w:rsidRDefault="0097684C" w:rsidP="001F0AFB">
                    <w:r>
                      <w:rPr>
                        <w:rFonts w:cs="Calibri"/>
                        <w:color w:val="000000"/>
                        <w:lang w:val="en-US"/>
                      </w:rPr>
                      <w:t>1.86</w:t>
                    </w:r>
                  </w:p>
                </w:txbxContent>
              </v:textbox>
            </v:rect>
            <v:rect id="Rectangle 196" o:spid="_x0000_s1187" style="position:absolute;left:14236;top:228;width:12979;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lzo8EA&#10;AADcAAAADwAAAGRycy9kb3ducmV2LnhtbESPzYoCMRCE74LvEFrYm2acwyKjUUQQVLw47gM0k54f&#10;TDpDEp3x7c3Cwh6LqvqK2uxGa8SLfOgcK1guMhDEldMdNwp+7sf5CkSIyBqNY1LwpgC77XSywUK7&#10;gW/0KmMjEoRDgQraGPtCylC1ZDEsXE+cvNp5izFJ30jtcUhwa2SeZd/SYsdpocWeDi1Vj/JpFch7&#10;eRxWpfGZu+T11ZxPt5qcUl+zcb8GEWmM/+G/9kkryJc5/J5JR0Bu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5c6PBAAAA3AAAAA8AAAAAAAAAAAAAAAAAmAIAAGRycy9kb3du&#10;cmV2LnhtbFBLBQYAAAAABAAEAPUAAACGAwAAAAA=&#10;" filled="f" stroked="f">
              <v:textbox style="mso-fit-shape-to-text:t" inset="0,0,0,0">
                <w:txbxContent>
                  <w:p w:rsidR="0097684C" w:rsidRDefault="0097684C" w:rsidP="001F0AFB">
                    <w:r>
                      <w:rPr>
                        <w:rFonts w:cs="Calibri"/>
                        <w:color w:val="000000"/>
                        <w:lang w:val="en-US"/>
                      </w:rPr>
                      <w:t xml:space="preserve">Zone 2 Site </w:t>
                    </w:r>
                    <w:proofErr w:type="gramStart"/>
                    <w:r>
                      <w:rPr>
                        <w:rFonts w:cs="Calibri"/>
                        <w:color w:val="000000"/>
                        <w:lang w:val="en-US"/>
                      </w:rPr>
                      <w:t>4  (</w:t>
                    </w:r>
                    <w:proofErr w:type="gramEnd"/>
                    <w:r>
                      <w:rPr>
                        <w:rFonts w:cs="Calibri"/>
                        <w:color w:val="000000"/>
                        <w:lang w:val="en-US"/>
                      </w:rPr>
                      <w:t>n = 185)</w:t>
                    </w:r>
                  </w:p>
                </w:txbxContent>
              </v:textbox>
            </v:rect>
            <v:rect id="Rectangle 197" o:spid="_x0000_s1188" style="position:absolute;left:33197;top:228;width:12268;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XWOMEA&#10;AADcAAAADwAAAGRycy9kb3ducmV2LnhtbESP3YrCMBSE7xd8h3AE79bUCot0jbIsCCreWH2AQ3P6&#10;wyYnJYm2vr0RhL0cZuYbZr0drRF38qFzrGAxz0AQV0533Ci4XnafKxAhIms0jknBgwJsN5OPNRba&#10;DXymexkbkSAcClTQxtgXUoaqJYth7nri5NXOW4xJ+kZqj0OCWyPzLPuSFjtOCy329NtS9VferAJ5&#10;KXfDqjQ+c8e8PpnD/lyTU2o2HX++QUQa43/43d5rBfliC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11jjBAAAA3AAAAA8AAAAAAAAAAAAAAAAAmAIAAGRycy9kb3du&#10;cmV2LnhtbFBLBQYAAAAABAAEAPUAAACGAwAAAAA=&#10;" filled="f" stroked="f">
              <v:textbox style="mso-fit-shape-to-text:t" inset="0,0,0,0">
                <w:txbxContent>
                  <w:p w:rsidR="0097684C" w:rsidRDefault="0097684C" w:rsidP="001F0AFB">
                    <w:r>
                      <w:rPr>
                        <w:rFonts w:cs="Calibri"/>
                        <w:color w:val="000000"/>
                        <w:lang w:val="en-US"/>
                      </w:rPr>
                      <w:t xml:space="preserve">Zone 3 Site </w:t>
                    </w:r>
                    <w:proofErr w:type="gramStart"/>
                    <w:r>
                      <w:rPr>
                        <w:rFonts w:cs="Calibri"/>
                        <w:color w:val="000000"/>
                        <w:lang w:val="en-US"/>
                      </w:rPr>
                      <w:t>5  (</w:t>
                    </w:r>
                    <w:proofErr w:type="gramEnd"/>
                    <w:r>
                      <w:rPr>
                        <w:rFonts w:cs="Calibri"/>
                        <w:color w:val="000000"/>
                        <w:lang w:val="en-US"/>
                      </w:rPr>
                      <w:t>n = 85)</w:t>
                    </w:r>
                  </w:p>
                </w:txbxContent>
              </v:textbox>
            </v:rect>
            <v:line id="Line 198" o:spid="_x0000_s1189" style="position:absolute;visibility:visible;mso-wrap-style:square" from="76,76" to="1119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CyHMYAAADcAAAADwAAAGRycy9kb3ducmV2LnhtbESPQWvCQBSE70L/w/KEXqRukopIzEZK&#10;ROihB00tvb5mn0k0+zZkt5r+e7dQ6HGYmW+YbDOaTlxpcK1lBfE8AkFcWd1yreD4vntagXAeWWNn&#10;mRT8kINN/jDJMNX2xge6lr4WAcIuRQWN930qpasaMujmticO3skOBn2QQy31gLcAN51MomgpDbYc&#10;FhrsqWioupTfRsHsczV7xo/yXMR1UtB5//a1PTilHqfjyxqEp9H/h//ar1pBEi/g90w4AjK/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QshzGAAAA3AAAAA8AAAAAAAAA&#10;AAAAAAAAoQIAAGRycy9kb3ducmV2LnhtbFBLBQYAAAAABAAEAPkAAACUAwAAAAA=&#10;" strokecolor="#dadcdd" strokeweight="0"/>
            <v:rect id="Rectangle 199" o:spid="_x0000_s1190" style="position:absolute;left:76;top:76;width:11118;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usVMQA&#10;AADcAAAADwAAAGRycy9kb3ducmV2LnhtbESP3WoCMRSE74W+QziF3ml2hVpZjVKFlkJB8BcvD5vj&#10;JnRzsmxS3X37Rih4OczMN8x82blaXKkN1rOCfJSBIC69tlwpOOw/hlMQISJrrD2Tgp4CLBdPgzkW&#10;2t94S9ddrESCcChQgYmxKaQMpSGHYeQb4uRdfOswJtlWUrd4S3BXy3GWTaRDy2nBYENrQ+XP7tcp&#10;+O5P9jjROR7Pp01v3j5X1mVbpV6eu/cZiEhdfIT/219awTh/hfuZd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LrFTEAAAA3AAAAA8AAAAAAAAAAAAAAAAAmAIAAGRycy9k&#10;b3ducmV2LnhtbFBLBQYAAAAABAAEAPUAAACJAwAAAAA=&#10;" fillcolor="#dadcdd" stroked="f"/>
            <v:line id="Line 200" o:spid="_x0000_s1191" style="position:absolute;flip:y;visibility:visible;mso-wrap-style:square" from="11271,76" to="1127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7Cq8UAAADcAAAADwAAAGRycy9kb3ducmV2LnhtbESPQWvCQBSE7wX/w/KEXkQ3ySGU6Cqi&#10;lhaklaZ6f2SfSTD7NmS3bvrvu4VCj8PMfMOsNqPpxJ0G11pWkC4SEMSV1S3XCs6fz/MnEM4ja+ws&#10;k4JvcrBZTx5WWGgb+IPupa9FhLArUEHjfV9I6aqGDLqF7Ymjd7WDQR/lUEs9YIhw08ksSXJpsOW4&#10;0GBPu4aqW/llFLzPDuG2f0svxzAL+6wt+ZQfX5R6nI7bJQhPo/8P/7VftYIszeH3TDwCc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C7Cq8UAAADcAAAADwAAAAAAAAAA&#10;AAAAAAChAgAAZHJzL2Rvd25yZXYueG1sUEsFBgAAAAAEAAQA+QAAAJMDAAAAAA==&#10;" strokecolor="#dadcdd" strokeweight="0"/>
            <v:rect id="Rectangle 201" o:spid="_x0000_s1192" style="position:absolute;left:11271;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WXuMQA&#10;AADcAAAADwAAAGRycy9kb3ducmV2LnhtbESPT2sCMRTE74LfITzBm2bXg5bVKFVoEYSCf+nxsXnd&#10;hG5elk3U3W/fFAo9DjPzG2a16VwtHtQG61lBPs1AEJdeW64UXM5vkxcQISJrrD2Tgp4CbNbDwQoL&#10;7Z98pMcpViJBOBSowMTYFFKG0pDDMPUNcfK+fOswJtlWUrf4THBXy1mWzaVDy2nBYEM7Q+X36e4U&#10;HPqbvc51jtfP20dvFu9b67KjUuNR97oEEamL/+G/9l4rmOUL+D2Tjo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Vl7jEAAAA3AAAAA8AAAAAAAAAAAAAAAAAmAIAAGRycy9k&#10;b3ducmV2LnhtbFBLBQYAAAAABAAEAPUAAACJAwAAAAA=&#10;" fillcolor="#dadcdd" stroked="f"/>
            <v:line id="Line 202" o:spid="_x0000_s1193" style="position:absolute;flip:y;visibility:visible;mso-wrap-style:square" from="29540,76" to="2954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3zQsIAAADcAAAADwAAAGRycy9kb3ducmV2LnhtbERPz2vCMBS+D/wfwhO8iKbtQUY1ypgb&#10;E8SJ1d0fzVtbbF5Kk5n635uDsOPH93u1GUwrbtS7xrKCdJ6AIC6tbrhScDl/zl5BOI+ssbVMCu7k&#10;YLMevaww1zbwiW6Fr0QMYZejgtr7LpfSlTUZdHPbEUfu1/YGfYR9JXWPIYabVmZJspAGG44NNXb0&#10;XlN5Lf6Mgu/pR7huD+nPPkzDNmsKPi72X0pNxsPbEoSnwf+Ln+6dVpClcW08E4+AX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v3zQsIAAADcAAAADwAAAAAAAAAAAAAA&#10;AAChAgAAZHJzL2Rvd25yZXYueG1sUEsFBgAAAAAEAAQA+QAAAJADAAAAAA==&#10;" strokecolor="#dadcdd" strokeweight="0"/>
            <v:rect id="Rectangle 203" o:spid="_x0000_s1194" style="position:absolute;left:29540;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mUcUA&#10;AADcAAAADwAAAGRycy9kb3ducmV2LnhtbESPT2sCMRTE70K/Q3iF3jS7HvyzNUoVLIVCQa3S42Pz&#10;ugndvCybqLvf3hQEj8PM/IZZrDpXiwu1wXpWkI8yEMSl15YrBd+H7XAGIkRkjbVnUtBTgNXyabDA&#10;Qvsr7+iyj5VIEA4FKjAxNoWUoTTkMIx8Q5y8X986jEm2ldQtXhPc1XKcZRPp0HJaMNjQxlD5tz87&#10;BZ/9yR4nOsfjz+mrN9P3tXXZTqmX5+7tFUSkLj7C9/aHVjDO5/B/Jh0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RqZRxQAAANwAAAAPAAAAAAAAAAAAAAAAAJgCAABkcnMv&#10;ZG93bnJldi54bWxQSwUGAAAAAAQABAD1AAAAigMAAAAA&#10;" fillcolor="#dadcdd" stroked="f"/>
            <v:rect id="Rectangle 204" o:spid="_x0000_s1195" style="position:absolute;left:11347;width:36544;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1uMcQA&#10;AADcAAAADwAAAGRycy9kb3ducmV2LnhtbERPy2rCQBTdF/oPwy24qxODLTFmlFoodFOoj4XubjLX&#10;JJi5k85MNfr1nUXB5eG8i+VgOnEm51vLCibjBARxZXXLtYLd9uM5A+EDssbOMim4kofl4vGhwFzb&#10;C6/pvAm1iCHsc1TQhNDnUvqqIYN+bHviyB2tMxgidLXUDi8x3HQyTZJXabDl2NBgT+8NVafNr1Gw&#10;mmWrn+8pf93W5YEO+/L0krpEqdHT8DYHEWgId/G/+1MrSNM4P56J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9bjHEAAAA3AAAAA8AAAAAAAAAAAAAAAAAmAIAAGRycy9k&#10;b3ducmV2LnhtbFBLBQYAAAAABAAEAPUAAACJAwAAAAA=&#10;" fillcolor="black" stroked="f"/>
            <v:line id="Line 205" o:spid="_x0000_s1196" style="position:absolute;flip:y;visibility:visible;mso-wrap-style:square" from="47815,76" to="4782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uQYsUAAADcAAAADwAAAGRycy9kb3ducmV2LnhtbESPQWvCQBSE7wX/w/IKvUjdJAeR1FWk&#10;Ki1IlaZ6f2SfSTD7NmRXN/33XUHocZiZb5j5cjCtuFHvGssK0kkCgri0uuFKwfFn+zoD4TyyxtYy&#10;KfglB8vF6GmOubaBv+lW+EpECLscFdTed7mUrqzJoJvYjjh6Z9sb9FH2ldQ9hgg3rcySZCoNNhwX&#10;auzovabyUlyNgv14Ey7rr/S0C+OwzpqCD9Pdh1Ivz8PqDYSnwf+HH+1PrSDLUrifiUd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auQYsUAAADcAAAADwAAAAAAAAAA&#10;AAAAAAChAgAAZHJzL2Rvd25yZXYueG1sUEsFBgAAAAAEAAQA+QAAAJMDAAAAAA==&#10;" strokecolor="#dadcdd" strokeweight="0"/>
            <v:rect id="Rectangle 206" o:spid="_x0000_s1197" style="position:absolute;left:47815;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7+ncQA&#10;AADcAAAADwAAAGRycy9kb3ducmV2LnhtbESPQWsCMRSE7wX/Q3iCt5p1D1ZWo6hgEQoFbRWPj81z&#10;E9y8LJtUd/99Uyh4HGbmG2ax6lwt7tQG61nBZJyBIC69tlwp+P7avc5AhIissfZMCnoKsFoOXhZY&#10;aP/gA92PsRIJwqFABSbGppAylIYchrFviJN39a3DmGRbSd3iI8FdLfMsm0qHltOCwYa2hsrb8ccp&#10;+OjP9jTVEzxdzp+9eXvfWJcdlBoNu/UcRKQuPsP/7b1WkOc5/J1JR0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O/p3EAAAA3AAAAA8AAAAAAAAAAAAAAAAAmAIAAGRycy9k&#10;b3ducmV2LnhtbFBLBQYAAAAABAAEAPUAAACJAwAAAAA=&#10;" fillcolor="#dadcdd" stroked="f"/>
            <v:line id="Line 207" o:spid="_x0000_s1198" style="position:absolute;visibility:visible;mso-wrap-style:square" from="76,1974" to="11194,1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Xg1cYAAADcAAAADwAAAGRycy9kb3ducmV2LnhtbESPT2vCQBTE7wW/w/KEXkQ3f0AkdRWJ&#10;CD30UNOWXp/Z1ySafRuy2yT99t2C0OMwM79htvvJtGKg3jWWFcSrCARxaXXDlYL3t9NyA8J5ZI2t&#10;ZVLwQw72u9nDFjNtRz7TUPhKBAi7DBXU3neZlK6syaBb2Y44eF+2N+iD7CupexwD3LQyiaK1NNhw&#10;WKixo7ym8lZ8GwWLz80ixY/imsdVktP19eVyPDulHufT4QmEp8n/h+/tZ60gSVL4OxOOgNz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V4NXGAAAA3AAAAA8AAAAAAAAA&#10;AAAAAAAAoQIAAGRycy9kb3ducmV2LnhtbFBLBQYAAAAABAAEAPkAAACUAwAAAAA=&#10;" strokecolor="#dadcdd" strokeweight="0"/>
            <v:rect id="Rectangle 208" o:spid="_x0000_s1199" style="position:absolute;left:76;top:1974;width:11118;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vDcsQA&#10;AADcAAAADwAAAGRycy9kb3ducmV2LnhtbESP3WoCMRSE74W+QziF3mnWpVhZjVKFlkJB8BcvD5vj&#10;JnRzsmxS3X37Rih4OczMN8x82blaXKkN1rOC8SgDQVx6bblScNh/DKcgQkTWWHsmBT0FWC6eBnMs&#10;tL/xlq67WIkE4VCgAhNjU0gZSkMOw8g3xMm7+NZhTLKtpG7xluCulnmWTaRDy2nBYENrQ+XP7tcp&#10;+O5P9jjRYzyeT5vevH2urMu2Sr08d+8zEJG6+Aj/t7+0gjx/hfuZd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rw3LEAAAA3AAAAA8AAAAAAAAAAAAAAAAAmAIAAGRycy9k&#10;b3ducmV2LnhtbFBLBQYAAAAABAAEAPUAAACJAwAAAAA=&#10;" fillcolor="#dadcdd" stroked="f"/>
            <v:line id="Line 209" o:spid="_x0000_s1200" style="position:absolute;flip:y;visibility:visible;mso-wrap-style:square" from="17360,76" to="1736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CWYcUAAADcAAAADwAAAGRycy9kb3ducmV2LnhtbESPQWvCQBSE74X+h+UJvYhuDCgluorU&#10;lhbElka9P7LPJJh9G7JbN/57VxB6HGbmG2ax6k0jLtS52rKCyTgBQVxYXXOp4LD/GL2CcB5ZY2OZ&#10;FFzJwWr5/LTATNvAv3TJfSkihF2GCirv20xKV1Rk0I1tSxy9k+0M+ii7UuoOQ4SbRqZJMpMGa44L&#10;Fbb0VlFxzv+Mgu/hezhvdpPjNgzDJq1z/pltP5V6GfTrOQhPvf8PP9pfWkGaTuF+Jh4Bu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pCWYcUAAADcAAAADwAAAAAAAAAA&#10;AAAAAAChAgAAZHJzL2Rvd25yZXYueG1sUEsFBgAAAAAEAAQA+QAAAJMDAAAAAA==&#10;" strokecolor="#dadcdd" strokeweight="0"/>
            <v:rect id="Rectangle 210" o:spid="_x0000_s1201" style="position:absolute;left:17360;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X4nsUA&#10;AADcAAAADwAAAGRycy9kb3ducmV2LnhtbESPQWvCQBSE7wX/w/KE3urGHKKkrtIKloIgaBvp8ZF9&#10;zS7Nvg3ZrSb/3i0UPA4z8w2z2gyuFRfqg/WsYD7LQBDXXltuFHx+7J6WIEJE1th6JgUjBdisJw8r&#10;LLW/8pEup9iIBOFQogITY1dKGWpDDsPMd8TJ+/a9w5hk30jd4zXBXSvzLCukQ8tpwWBHW0P1z+nX&#10;KdiPZ1sVeo7V1/kwmsXbq3XZUanH6fDyDCLSEO/h//a7VpDnBfydS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tfiexQAAANwAAAAPAAAAAAAAAAAAAAAAAJgCAABkcnMv&#10;ZG93bnJldi54bWxQSwUGAAAAAAQABAD1AAAAigMAAAAA&#10;" fillcolor="#dadcdd" stroked="f"/>
            <v:line id="Line 211" o:spid="_x0000_s1202" style="position:absolute;flip:y;visibility:visible;mso-wrap-style:square" from="23450,76" to="2345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6tjcUAAADcAAAADwAAAGRycy9kb3ducmV2LnhtbESPQWvCQBSE70L/w/KEXkQ35mBLdBWp&#10;LS2ISqPeH9lnEsy+Ddmtm/77rlDwOMzMN8xi1ZtG3KhztWUF00kCgriwuuZSwen4MX4F4TyyxsYy&#10;KfglB6vl02CBmbaBv+mW+1JECLsMFVTet5mUrqjIoJvYljh6F9sZ9FF2pdQdhgg3jUyTZCYN1hwX&#10;KmzpraLimv8YBfvRe7hudtPzNozCJq1zPsy2n0o9D/v1HISn3j/C/+0vrSBNX+B+Jh4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Q6tjcUAAADcAAAADwAAAAAAAAAA&#10;AAAAAAChAgAAZHJzL2Rvd25yZXYueG1sUEsFBgAAAAAEAAQA+QAAAJMDAAAAAA==&#10;" strokecolor="#dadcdd" strokeweight="0"/>
            <v:rect id="Rectangle 212" o:spid="_x0000_s1203" style="position:absolute;left:23450;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bJd8IA&#10;AADcAAAADwAAAGRycy9kb3ducmV2LnhtbERPz2vCMBS+D/wfwhN2m2l70NEZiwobg4GgTtnx0bw1&#10;wealNJm2/705CDt+fL+X1eBacaU+WM8K8lkGgrj22nKj4Pv4/vIKIkRkja1nUjBSgGo1eVpiqf2N&#10;93Q9xEakEA4lKjAxdqWUoTbkMMx8R5y4X987jAn2jdQ93lK4a2WRZXPp0HJqMNjR1lB9Ofw5BV/j&#10;2Z7mOsfTz3k3msXHxrpsr9TzdFi/gYg0xH/xw/2pFRRFWpvOpCMgV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Zsl3wgAAANwAAAAPAAAAAAAAAAAAAAAAAJgCAABkcnMvZG93&#10;bnJldi54bWxQSwUGAAAAAAQABAD1AAAAhwMAAAAA&#10;" fillcolor="#dadcdd" stroked="f"/>
            <v:line id="Line 213" o:spid="_x0000_s1204" style="position:absolute;flip:y;visibility:visible;mso-wrap-style:square" from="35629,76" to="3563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92cZMUAAADcAAAADwAAAGRycy9kb3ducmV2LnhtbESPQWvCQBSE70L/w/KEXkQ35iBtdBWp&#10;LS2ISqPeH9lnEsy+Ddmtm/77rlDwOMzMN8xi1ZtG3KhztWUF00kCgriwuuZSwen4MX4B4TyyxsYy&#10;KfglB6vl02CBmbaBv+mW+1JECLsMFVTet5mUrqjIoJvYljh6F9sZ9FF2pdQdhgg3jUyTZCYN1hwX&#10;KmzpraLimv8YBfvRe7hudtPzNozCJq1zPsy2n0o9D/v1HISn3j/C/+0vrSBNX+F+Jh4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92cZMUAAADcAAAADwAAAAAAAAAA&#10;AAAAAAChAgAAZHJzL2Rvd25yZXYueG1sUEsFBgAAAAAEAAQA+QAAAJMDAAAAAA==&#10;" strokecolor="#dadcdd" strokeweight="0"/>
            <v:rect id="Rectangle 214" o:spid="_x0000_s1205" style="position:absolute;left:35629;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lTrMEA&#10;AADcAAAADwAAAGRycy9kb3ducmV2LnhtbERPTWsCMRC9C/6HMEJvmlXBltUoKlQKBUGr4nHYjJvg&#10;ZrJsUt39981B6PHxvher1lXiQU2wnhWMRxkI4sJry6WC08/n8ANEiMgaK8+koKMAq2W/t8Bc+ycf&#10;6HGMpUghHHJUYGKscylDYchhGPmaOHE33ziMCTal1A0+U7ir5CTLZtKh5dRgsKatoeJ+/HUKvruL&#10;Pc/0GM/Xy74z77uNddlBqbdBu56DiNTGf/HL/aUVTKZpfjqTjo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JU6zBAAAA3AAAAA8AAAAAAAAAAAAAAAAAmAIAAGRycy9kb3du&#10;cmV2LnhtbFBLBQYAAAAABAAEAPUAAACGAwAAAAA=&#10;" fillcolor="#dadcdd" stroked="f"/>
            <v:line id="Line 215" o:spid="_x0000_s1206" style="position:absolute;flip:y;visibility:visible;mso-wrap-style:square" from="41725,76" to="4173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IGv8UAAADcAAAADwAAAGRycy9kb3ducmV2LnhtbESPQWvCQBSE7wX/w/IEL1I3SUEkdRXR&#10;lhakLab1/sg+k2D2bciubvrvXaHQ4zAz3zDL9WBacaXeNZYVpLMEBHFpdcOVgp/v18cFCOeRNbaW&#10;ScEvOVivRg9LzLUNfKBr4SsRIexyVFB73+VSurImg25mO+LonWxv0EfZV1L3GCLctDJLkrk02HBc&#10;qLGjbU3lubgYBZ/Tl3DefaTHfZiGXdYU/DXfvyk1GQ+bZxCeBv8f/mu/awXZUwr3M/EIyN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HIGv8UAAADcAAAADwAAAAAAAAAA&#10;AAAAAAChAgAAZHJzL2Rvd25yZXYueG1sUEsFBgAAAAAEAAQA+QAAAJMDAAAAAA==&#10;" strokecolor="#dadcdd" strokeweight="0"/>
            <v:rect id="Rectangle 216" o:spid="_x0000_s1207" style="position:absolute;left:41725;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doQMQA&#10;AADcAAAADwAAAGRycy9kb3ducmV2LnhtbESP3WoCMRSE74W+QziF3mnWLVhZjVKFlkJB8BcvD5vj&#10;JnRzsmxS3X37Rih4OczMN8x82blaXKkN1rOC8SgDQVx6bblScNh/DKcgQkTWWHsmBT0FWC6eBnMs&#10;tL/xlq67WIkE4VCgAhNjU0gZSkMOw8g3xMm7+NZhTLKtpG7xluCulnmWTaRDy2nBYENrQ+XP7tcp&#10;+O5P9jjRYzyeT5vevH2urMu2Sr08d+8zEJG6+Aj/t7+0gvw1h/uZd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XaEDEAAAA3AAAAA8AAAAAAAAAAAAAAAAAmAIAAGRycy9k&#10;b3ducmV2LnhtbFBLBQYAAAAABAAEAPUAAACJAwAAAAA=&#10;" fillcolor="#dadcdd" stroked="f"/>
            <v:rect id="Rectangle 217" o:spid="_x0000_s1208" style="position:absolute;left:11347;top:1898;width:36544;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Zmm8cA&#10;AADcAAAADwAAAGRycy9kb3ducmV2LnhtbESPQWvCQBSE74L/YXmF3sym0RZNXUWFQi8FtT3o7Zl9&#10;TYLZt3F3q7G/3hUKPQ4z8w0znXemEWdyvras4ClJQRAXVtdcKvj6fBuMQfiArLGxTAqu5GE+6/em&#10;mGt74Q2dt6EUEcI+RwVVCG0upS8qMugT2xJH79s6gyFKV0rt8BLhppFZmr5IgzXHhQpbWlVUHLc/&#10;RsFyMl6e1iP++N0c9rTfHY7PmUuVenzoFq8gAnXhP/zXftcKsuEQ7mfiE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2ZpvHAAAA3AAAAA8AAAAAAAAAAAAAAAAAmAIAAGRy&#10;cy9kb3ducmV2LnhtbFBLBQYAAAAABAAEAPUAAACMAwAAAAA=&#10;" fillcolor="black" stroked="f"/>
            <v:line id="Line 218" o:spid="_x0000_s1209" style="position:absolute;visibility:visible;mso-wrap-style:square" from="76,76" to="76,3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XufMUAAADcAAAADwAAAGRycy9kb3ducmV2LnhtbESPQWvCQBSE7wX/w/IEL6IbYykhukpJ&#10;EXrwUFPF6zP7msRm34bsVuO/7wqCx2FmvmGW69404kKdqy0rmE0jEMSF1TWXCvbfm0kCwnlkjY1l&#10;UnAjB+vV4GWJqbZX3tEl96UIEHYpKqi8b1MpXVGRQTe1LXHwfmxn0AfZlVJ3eA1w08g4it6kwZrD&#10;QoUtZRUVv/mfUTA+JuM5HvJzNivjjM5f29PHzik1GvbvCxCeev8MP9qfWkE8f4X7mXA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2XufMUAAADcAAAADwAAAAAAAAAA&#10;AAAAAAChAgAAZHJzL2Rvd25yZXYueG1sUEsFBgAAAAAEAAQA+QAAAJMDAAAAAA==&#10;" strokecolor="#dadcdd" strokeweight="0"/>
            <v:rect id="Rectangle 219" o:spid="_x0000_s1210" style="position:absolute;left:76;top:76;width:76;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7wNMYA&#10;AADcAAAADwAAAGRycy9kb3ducmV2LnhtbESPS2vDMBCE74X8B7GF3ho5KXngRglJoKVQKMR5kONi&#10;bS1Ra2UsNbH/fVQo5DjMzDfMYtW5WlyoDdazgtEwA0Fcem25UnDYvz3PQYSIrLH2TAp6CrBaDh4W&#10;mGt/5R1diliJBOGQowITY5NLGUpDDsPQN8TJ+/atw5hkW0nd4jXBXS3HWTaVDi2nBYMNbQ2VP8Wv&#10;U/DZn+xxqkd4PJ++ejN731iX7ZR6euzWryAidfEe/m9/aAXjlwn8nU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77wNMYAAADcAAAADwAAAAAAAAAAAAAAAACYAgAAZHJz&#10;L2Rvd25yZXYueG1sUEsFBgAAAAAEAAQA9QAAAIsDAAAAAA==&#10;" fillcolor="#dadcdd" stroked="f"/>
            <v:rect id="Rectangle 220" o:spid="_x0000_s1211" style="position:absolute;left:152;top:3797;width:47739;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HFA8YA&#10;AADcAAAADwAAAGRycy9kb3ducmV2LnhtbESPQWsCMRSE7wX/Q3iCt5p1raJbo2ih0EtBbQ96e25e&#10;dxc3L9sk1a2/3giCx2FmvmFmi9bU4kTOV5YVDPoJCOLc6ooLBd9f788TED4ga6wtk4J/8rCYd55m&#10;mGl75g2dtqEQEcI+QwVlCE0mpc9LMuj7tiGO3o91BkOUrpDa4TnCTS3TJBlLgxXHhRIbeispP27/&#10;jILVdLL6Xb/w52Vz2NN+dziOUpco1eu2y1cQgdrwCN/bH1pBOhzD7Uw8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HFA8YAAADcAAAADwAAAAAAAAAAAAAAAACYAgAAZHJz&#10;L2Rvd25yZXYueG1sUEsFBgAAAAAEAAQA9QAAAIsDAAAAAA==&#10;" fillcolor="black" stroked="f"/>
            <v:line id="Line 221" o:spid="_x0000_s1212" style="position:absolute;visibility:visible;mso-wrap-style:square" from="152,5841" to="11194,5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dwC8UAAADcAAAADwAAAGRycy9kb3ducmV2LnhtbESPQWvCQBSE7wX/w/IEL6IbI7QhukpJ&#10;EXrwUFPF6zP7msRm34bsVuO/7wqCx2FmvmGW69404kKdqy0rmE0jEMSF1TWXCvbfm0kCwnlkjY1l&#10;UnAjB+vV4GWJqbZX3tEl96UIEHYpKqi8b1MpXVGRQTe1LXHwfmxn0AfZlVJ3eA1w08g4il6lwZrD&#10;QoUtZRUVv/mfUTA+JuM5HvJzNivjjM5f29PHzik1GvbvCxCeev8MP9qfWkE8f4P7mXA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7dwC8UAAADcAAAADwAAAAAAAAAA&#10;AAAAAAChAgAAZHJzL2Rvd25yZXYueG1sUEsFBgAAAAAEAAQA+QAAAJMDAAAAAA==&#10;" strokecolor="#dadcdd" strokeweight="0"/>
            <v:rect id="Rectangle 222" o:spid="_x0000_s1213" style="position:absolute;left:152;top:5841;width:11042;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9fqsEA&#10;AADcAAAADwAAAGRycy9kb3ducmV2LnhtbERPTWsCMRC9C/6HMEJvmlXBltUoKlQKBUGr4nHYjJvg&#10;ZrJsUt39981B6PHxvher1lXiQU2wnhWMRxkI4sJry6WC08/n8ANEiMgaK8+koKMAq2W/t8Bc+ycf&#10;6HGMpUghHHJUYGKscylDYchhGPmaOHE33ziMCTal1A0+U7ir5CTLZtKh5dRgsKatoeJ+/HUKvruL&#10;Pc/0GM/Xy74z77uNddlBqbdBu56DiNTGf/HL/aUVTKZpbTqTjo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2/X6rBAAAA3AAAAA8AAAAAAAAAAAAAAAAAmAIAAGRycy9kb3du&#10;cmV2LnhtbFBLBQYAAAAABAAEAPUAAACGAwAAAAA=&#10;" fillcolor="#dadcdd" stroked="f"/>
            <v:line id="Line 223" o:spid="_x0000_s1214" style="position:absolute;visibility:visible;mso-wrap-style:square" from="11347,5841" to="17284,5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RB4sUAAADcAAAADwAAAGRycy9kb3ducmV2LnhtbESPQWvCQBSE7wX/w/IEL6IbI5QYXaWk&#10;CD14qGnF6zP7msRm34bsVuO/7wqCx2FmvmFWm9404kKdqy0rmE0jEMSF1TWXCr6/tpMEhPPIGhvL&#10;pOBGDjbrwcsKU22vvKdL7ksRIOxSVFB536ZSuqIig25qW+Lg/djOoA+yK6Xu8BrgppFxFL1KgzWH&#10;hQpbyioqfvM/o2B8TMZzPOTnbFbGGZ0/d6f3vVNqNOzfliA89f4ZfrQ/tIJ4voD7mXAE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WRB4sUAAADcAAAADwAAAAAAAAAA&#10;AAAAAAChAgAAZHJzL2Rvd25yZXYueG1sUEsFBgAAAAAEAAQA+QAAAJMDAAAAAA==&#10;" strokecolor="#dadcdd" strokeweight="0"/>
            <v:rect id="Rectangle 224" o:spid="_x0000_s1215" style="position:absolute;left:11347;top:5841;width:5937;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8g0cEA&#10;AADcAAAADwAAAGRycy9kb3ducmV2LnhtbERPTWsCMRC9C/6HMEJvmlXEltUoKlQKBUGr4nHYjJvg&#10;ZrJsUt39981B6PHxvher1lXiQU2wnhWMRxkI4sJry6WC08/n8ANEiMgaK8+koKMAq2W/t8Bc+ycf&#10;6HGMpUghHHJUYGKscylDYchhGPmaOHE33ziMCTal1A0+U7ir5CTLZtKh5dRgsKatoeJ+/HUKvruL&#10;Pc/0GM/Xy74z77uNddlBqbdBu56DiNTGf/HL/aUVTKZpfjqTjo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PINHBAAAA3AAAAA8AAAAAAAAAAAAAAAAAmAIAAGRycy9kb3du&#10;cmV2LnhtbFBLBQYAAAAABAAEAPUAAACGAwAAAAA=&#10;" fillcolor="#dadcdd" stroked="f"/>
            <v:line id="Line 225" o:spid="_x0000_s1216" style="position:absolute;visibility:visible;mso-wrap-style:square" from="17436,5841" to="23374,5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Q+mcYAAADcAAAADwAAAGRycy9kb3ducmV2LnhtbESPQWvCQBSE70L/w/KEXqRukopIzEZK&#10;ROihB00tvb5mn0k0+zZkt5r+e7dQ6HGYmW+YbDOaTlxpcK1lBfE8AkFcWd1yreD4vntagXAeWWNn&#10;mRT8kINN/jDJMNX2xge6lr4WAcIuRQWN930qpasaMujmticO3skOBn2QQy31gLcAN51MomgpDbYc&#10;FhrsqWioupTfRsHsczV7xo/yXMR1UtB5//a1PTilHqfjyxqEp9H/h//ar1pBsojh90w4AjK/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UPpnGAAAA3AAAAA8AAAAAAAAA&#10;AAAAAAAAoQIAAGRycy9kb3ducmV2LnhtbFBLBQYAAAAABAAEAPkAAACUAwAAAAA=&#10;" strokecolor="#dadcdd" strokeweight="0"/>
            <v:rect id="Rectangle 226" o:spid="_x0000_s1217" style="position:absolute;left:17436;top:5841;width:5938;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EbPcQA&#10;AADcAAAADwAAAGRycy9kb3ducmV2LnhtbESP3WoCMRSE74W+QziF3mnWpVhZjVKFlkJB8BcvD5vj&#10;JnRzsmxS3X37Rih4OczMN8x82blaXKkN1rOC8SgDQVx6bblScNh/DKcgQkTWWHsmBT0FWC6eBnMs&#10;tL/xlq67WIkE4VCgAhNjU0gZSkMOw8g3xMm7+NZhTLKtpG7xluCulnmWTaRDy2nBYENrQ+XP7tcp&#10;+O5P9jjRYzyeT5vevH2urMu2Sr08d+8zEJG6+Aj/t7+0gvw1h/uZd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RGz3EAAAA3AAAAA8AAAAAAAAAAAAAAAAAmAIAAGRycy9k&#10;b3ducmV2LnhtbFBLBQYAAAAABAAEAPUAAACJAwAAAAA=&#10;" fillcolor="#dadcdd" stroked="f"/>
            <v:line id="Line 227" o:spid="_x0000_s1218" style="position:absolute;visibility:visible;mso-wrap-style:square" from="23526,5841" to="29463,5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oFdcUAAADcAAAADwAAAGRycy9kb3ducmV2LnhtbESPQWvCQBSE7wX/w/IEL6IbYykhukpJ&#10;EXrwUFPF6zP7msRm34bsVuO/7wqCx2FmvmGW69404kKdqy0rmE0jEMSF1TWXCvbfm0kCwnlkjY1l&#10;UnAjB+vV4GWJqbZX3tEl96UIEHYpKqi8b1MpXVGRQTe1LXHwfmxn0AfZlVJ3eA1w08g4it6kwZrD&#10;QoUtZRUVv/mfUTA+JuM5HvJzNivjjM5f29PHzik1GvbvCxCeev8MP9qfWkH8Oof7mXA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IoFdcUAAADcAAAADwAAAAAAAAAA&#10;AAAAAAChAgAAZHJzL2Rvd25yZXYueG1sUEsFBgAAAAAEAAQA+QAAAJMDAAAAAA==&#10;" strokecolor="#dadcdd" strokeweight="0"/>
            <v:rect id="Rectangle 228" o:spid="_x0000_s1219" style="position:absolute;left:23526;top:5841;width:5937;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Qm0sQA&#10;AADcAAAADwAAAGRycy9kb3ducmV2LnhtbESPQWsCMRSE74L/ITzBm2YVsWVrFC20CAVBrdLjY/Pc&#10;BDcvyybV3X/fCAWPw8x8wyxWravEjZpgPSuYjDMQxIXXlksF38eP0SuIEJE1Vp5JQUcBVst+b4G5&#10;9nfe0+0QS5EgHHJUYGKscylDYchhGPuaOHkX3ziMSTal1A3eE9xVcpplc+nQclowWNO7oeJ6+HUK&#10;vrqzPc31BE8/511nXj431mV7pYaDdv0GIlIbn+H/9lYrmM5m8DiTj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0JtLEAAAA3AAAAA8AAAAAAAAAAAAAAAAAmAIAAGRycy9k&#10;b3ducmV2LnhtbFBLBQYAAAAABAAEAPUAAACJAwAAAAA=&#10;" fillcolor="#dadcdd" stroked="f"/>
            <v:line id="Line 229" o:spid="_x0000_s1220" style="position:absolute;visibility:visible;mso-wrap-style:square" from="29616,5841" to="35553,5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84msYAAADcAAAADwAAAGRycy9kb3ducmV2LnhtbESPQWvCQBSE74L/YXlCL6IboxWJriKR&#10;Qg89aNrS6zP7TKLZtyG71fjv3YLQ4zAz3zCrTWdqcaXWVZYVTMYRCOLc6ooLBV+fb6MFCOeRNdaW&#10;ScGdHGzW/d4KE21vfKBr5gsRIOwSVFB63yRSurwkg25sG+LgnWxr0AfZFlK3eAtwU8s4iubSYMVh&#10;ocSG0pLyS/ZrFAx/FsMpfmfndFLEKZ33H8fdwSn1Mui2SxCeOv8ffrbftYJ49gp/Z8IRkO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vOJrGAAAA3AAAAA8AAAAAAAAA&#10;AAAAAAAAoQIAAGRycy9kb3ducmV2LnhtbFBLBQYAAAAABAAEAPkAAACUAwAAAAA=&#10;" strokecolor="#dadcdd" strokeweight="0"/>
            <v:rect id="Rectangle 230" o:spid="_x0000_s1221" style="position:absolute;left:29616;top:5841;width:5937;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odPsUA&#10;AADcAAAADwAAAGRycy9kb3ducmV2LnhtbESPUWvCMBSF34X9h3AHe9NUGXV0RpnCxkAQdKvs8dLc&#10;NWHNTWkybf+9EQQfD+ec73AWq9414kRdsJ4VTCcZCOLKa8u1gu+v9/ELiBCRNTaeScFAAVbLh9EC&#10;C+3PvKfTIdYiQTgUqMDE2BZShsqQwzDxLXHyfn3nMCbZ1VJ3eE5w18hZluXSoeW0YLCljaHq7/Dv&#10;FGyHoy1zPcXy57gbzPxjbV22V+rpsX97BRGpj/fwrf2pFcyec7ieSUd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ah0+xQAAANwAAAAPAAAAAAAAAAAAAAAAAJgCAABkcnMv&#10;ZG93bnJldi54bWxQSwUGAAAAAAQABAD1AAAAigMAAAAA&#10;" fillcolor="#dadcdd" stroked="f"/>
            <v:line id="Line 231" o:spid="_x0000_s1222" style="position:absolute;visibility:visible;mso-wrap-style:square" from="35705,5841" to="41649,5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EDdsYAAADcAAAADwAAAGRycy9kb3ducmV2LnhtbESPQWvCQBSE74L/YXlCL6Ibo1SJriKR&#10;Qg89aNrS6zP7TKLZtyG71fjv3YLQ4zAz3zCrTWdqcaXWVZYVTMYRCOLc6ooLBV+fb6MFCOeRNdaW&#10;ScGdHGzW/d4KE21vfKBr5gsRIOwSVFB63yRSurwkg25sG+LgnWxr0AfZFlK3eAtwU8s4il6lwYrD&#10;QokNpSXll+zXKBj+LIZT/M7O6aSIUzrvP467g1PqZdBtlyA8df4//Gy/awXxbA5/Z8IRkO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OxA3bGAAAA3AAAAA8AAAAAAAAA&#10;AAAAAAAAoQIAAGRycy9kb3ducmV2LnhtbFBLBQYAAAAABAAEAPkAAACUAwAAAAA=&#10;" strokecolor="#dadcdd" strokeweight="0"/>
            <v:rect id="Rectangle 232" o:spid="_x0000_s1223" style="position:absolute;left:35705;top:5841;width:5944;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ks18EA&#10;AADcAAAADwAAAGRycy9kb3ducmV2LnhtbERPTWsCMRC9C/6HMEJvmlXEltUoKlQKBUGr4nHYjJvg&#10;ZrJsUt39981B6PHxvher1lXiQU2wnhWMRxkI4sJry6WC08/n8ANEiMgaK8+koKMAq2W/t8Bc+ycf&#10;6HGMpUghHHJUYGKscylDYchhGPmaOHE33ziMCTal1A0+U7ir5CTLZtKh5dRgsKatoeJ+/HUKvruL&#10;Pc/0GM/Xy74z77uNddlBqbdBu56DiNTGf/HL/aUVTKZpbTqTjo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5LNfBAAAA3AAAAA8AAAAAAAAAAAAAAAAAmAIAAGRycy9kb3du&#10;cmV2LnhtbFBLBQYAAAAABAAEAPUAAACGAwAAAAA=&#10;" fillcolor="#dadcdd" stroked="f"/>
            <v:line id="Line 233" o:spid="_x0000_s1224" style="position:absolute;visibility:visible;mso-wrap-style:square" from="41801,5841" to="47739,5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yn8YAAADcAAAADwAAAGRycy9kb3ducmV2LnhtbESPT2vCQBTE74V+h+UJvUjdmJZiY1Yp&#10;KYIHDxotvT6zz/xp9m3IbjX99q4g9DjMzG+YdDmYVpypd7VlBdNJBIK4sLrmUsFhv3qegXAeWWNr&#10;mRT8kYPl4vEhxUTbC+/onPtSBAi7BBVU3neJlK6oyKCb2I44eCfbG/RB9qXUPV4C3LQyjqI3abDm&#10;sFBhR1lFxU/+axSMv2fjF/zKm2xaxhk1283xc+eUehoNH3MQngb/H76311pB/PoOtzPhCM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1iMp/GAAAA3AAAAA8AAAAAAAAA&#10;AAAAAAAAoQIAAGRycy9kb3ducmV2LnhtbFBLBQYAAAAABAAEAPkAAACUAwAAAAA=&#10;" strokecolor="#dadcdd" strokeweight="0"/>
            <v:rect id="Rectangle 234" o:spid="_x0000_s1225" style="position:absolute;left:41801;top:5841;width:5938;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2DMEA&#10;AADcAAAADwAAAGRycy9kb3ducmV2LnhtbERPTWsCMRC9C/6HMEJvmlXQltUoKlQKBUGr4nHYjJvg&#10;ZrJsUt39981B6PHxvher1lXiQU2wnhWMRxkI4sJry6WC08/n8ANEiMgaK8+koKMAq2W/t8Bc+ycf&#10;6HGMpUghHHJUYGKscylDYchhGPmaOHE33ziMCTal1A0+U7ir5CTLZtKh5dRgsKatoeJ+/HUKvruL&#10;Pc/0GM/Xy74z77uNddlBqbdBu56DiNTGf/HL/aUVTKZpfjqTjo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4WtgzBAAAA3AAAAA8AAAAAAAAAAAAAAAAAmAIAAGRycy9kb3du&#10;cmV2LnhtbFBLBQYAAAAABAAEAPUAAACGAwAAAAA=&#10;" fillcolor="#dadcdd" stroked="f"/>
            <v:line id="Line 235" o:spid="_x0000_s1226" style="position:absolute;visibility:visible;mso-wrap-style:square" from="152,7816" to="11194,7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2oRMYAAADcAAAADwAAAGRycy9kb3ducmV2LnhtbESPQWvCQBSE70L/w/KEXqRukqJIzEZK&#10;ROihB00tvb5mn0k0+zZkt5r+e7dQ6HGYmW+YbDOaTlxpcK1lBfE8AkFcWd1yreD4vntagXAeWWNn&#10;mRT8kINN/jDJMNX2xge6lr4WAcIuRQWN930qpasaMujmticO3skOBn2QQy31gLcAN51MomgpDbYc&#10;FhrsqWioupTfRsHsczV7xo/yXMR1UtB5//a1PTilHqfjyxqEp9H/h//ar1pBsojh90w4AjK/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NqETGAAAA3AAAAA8AAAAAAAAA&#10;AAAAAAAAoQIAAGRycy9kb3ducmV2LnhtbFBLBQYAAAAABAAEAPkAAACUAwAAAAA=&#10;" strokecolor="#dadcdd" strokeweight="0"/>
            <v:rect id="Rectangle 236" o:spid="_x0000_s1227" style="position:absolute;left:152;top:7816;width:11042;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iN4MQA&#10;AADcAAAADwAAAGRycy9kb3ducmV2LnhtbESP3WoCMRSE74W+QziF3mnWhVpZjVKFlkJB8BcvD5vj&#10;JnRzsmxS3X37Rih4OczMN8x82blaXKkN1rOC8SgDQVx6bblScNh/DKcgQkTWWHsmBT0FWC6eBnMs&#10;tL/xlq67WIkE4VCgAhNjU0gZSkMOw8g3xMm7+NZhTLKtpG7xluCulnmWTaRDy2nBYENrQ+XP7tcp&#10;+O5P9jjRYzyeT5vevH2urMu2Sr08d+8zEJG6+Aj/t7+0gvw1h/uZd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IjeDEAAAA3AAAAA8AAAAAAAAAAAAAAAAAmAIAAGRycy9k&#10;b3ducmV2LnhtbFBLBQYAAAAABAAEAPUAAACJAwAAAAA=&#10;" fillcolor="#dadcdd" stroked="f"/>
            <v:line id="Line 237" o:spid="_x0000_s1228" style="position:absolute;visibility:visible;mso-wrap-style:square" from="11347,7816" to="17284,7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oL3MYAAADcAAAADwAAAGRycy9kb3ducmV2LnhtbESPQWvCQBSE74L/YXlCL6IboxWJriKR&#10;Qg89aNrS6zP7TKLZtyG71fjv3YLQ4zAz3zCrTWdqcaXWVZYVTMYRCOLc6ooLBV+fb6MFCOeRNdaW&#10;ScGdHGzW/d4KE21vfKBr5gsRIOwSVFB63yRSurwkg25sG+LgnWxr0AfZFlK3eAtwU8s4iubSYMVh&#10;ocSG0pLyS/ZrFAx/FsMpfmfndFLEKZ33H8fdwSn1Mui2SxCeOv8ffrbftYL4dQZ/Z8IRkO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a6C9zGAAAA3AAAAA8AAAAAAAAA&#10;AAAAAAAAoQIAAGRycy9kb3ducmV2LnhtbFBLBQYAAAAABAAEAPkAAACUAwAAAAA=&#10;" strokecolor="#dadcdd" strokeweight="0"/>
            <v:rect id="Rectangle 238" o:spid="_x0000_s1229" style="position:absolute;left:11347;top:7816;width:5937;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EVlMQA&#10;AADcAAAADwAAAGRycy9kb3ducmV2LnhtbESPQWsCMRSE74L/ITzBm2YVtGVrFC20CAVBrdLjY/Pc&#10;BDcvyybV3X/fCAWPw8x8wyxWravEjZpgPSuYjDMQxIXXlksF38eP0SuIEJE1Vp5JQUcBVst+b4G5&#10;9nfe0+0QS5EgHHJUYGKscylDYchhGPuaOHkX3ziMSTal1A3eE9xVcpplc+nQclowWNO7oeJ6+HUK&#10;vrqzPc31BE8/511nXj431mV7pYaDdv0GIlIbn+H/9lYrmM5m8DiTj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hFZTEAAAA3AAAAA8AAAAAAAAAAAAAAAAAmAIAAGRycy9k&#10;b3ducmV2LnhtbFBLBQYAAAAABAAEAPUAAACJAwAAAAA=&#10;" fillcolor="#dadcdd" stroked="f"/>
            <v:line id="Line 239" o:spid="_x0000_s1230" style="position:absolute;visibility:visible;mso-wrap-style:square" from="17436,7816" to="23374,7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ctnsMAAADcAAAADwAAAGRycy9kb3ducmV2LnhtbERPTWuDQBC9F/Iflgn0InGNgSLWTQiG&#10;QA89VNvS68Sdqok7K+42sf8+eyj0+HjfxW42g7jS5HrLCtZxAoK4sbrnVsHH+3GVgXAeWeNgmRT8&#10;koPddvFQYK7tjSu61r4VIYRdjgo678dcStd0ZNDFdiQO3LedDPoAp1bqCW8h3AwyTZInabDn0NDh&#10;SGVHzaX+MQqiryza4Gd9LtdtWtL57fV0qJxSj8t5/wzC0+z/xX/uF60gzcLacCYcAbm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mXLZ7DAAAA3AAAAA8AAAAAAAAAAAAA&#10;AAAAoQIAAGRycy9kb3ducmV2LnhtbFBLBQYAAAAABAAEAPkAAACRAwAAAAA=&#10;" strokecolor="#dadcdd" strokeweight="0"/>
            <v:rect id="Rectangle 240" o:spid="_x0000_s1231" style="position:absolute;left:17436;top:7816;width:5938;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wz1sQA&#10;AADcAAAADwAAAGRycy9kb3ducmV2LnhtbESPQWsCMRSE74X+h/AEbzWrB2u3RrGCRSgIapUeH5vn&#10;Jrh5WTap7v57Iwgeh5n5hpnOW1eJCzXBelYwHGQgiAuvLZcKfvertwmIEJE1Vp5JQUcB5rPXlynm&#10;2l95S5ddLEWCcMhRgYmxzqUMhSGHYeBr4uSdfOMwJtmUUjd4TXBXyVGWjaVDy2nBYE1LQ8V59+8U&#10;/HRHexjrIR7+jpvOvH9/WZdtler32sUniEhtfIYf7bVWMJp8wP1MOgJ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MM9bEAAAA3AAAAA8AAAAAAAAAAAAAAAAAmAIAAGRycy9k&#10;b3ducmV2LnhtbFBLBQYAAAAABAAEAPUAAACJAwAAAAA=&#10;" fillcolor="#dadcdd" stroked="f"/>
            <v:line id="Line 241" o:spid="_x0000_s1232" style="position:absolute;visibility:visible;mso-wrap-style:square" from="23526,7816" to="29463,7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i3RcIAAADcAAAADwAAAGRycy9kb3ducmV2LnhtbERPTYvCMBC9L/gfwgheRFO7sGg1ilSE&#10;PexhrYrXsRnbajMpTVbrvzeHBY+P971YdaYWd2pdZVnBZByBIM6trrhQcNhvR1MQziNrrC2Tgic5&#10;WC17HwtMtH3wju6ZL0QIYZeggtL7JpHS5SUZdGPbEAfuYluDPsC2kLrFRwg3tYyj6EsarDg0lNhQ&#10;WlJ+y/6MguFpOvzEY3ZNJ0Wc0vX357zZOaUG/W49B+Gp82/xv/tbK4hnYX44E46AX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ji3RcIAAADcAAAADwAAAAAAAAAAAAAA&#10;AAChAgAAZHJzL2Rvd25yZXYueG1sUEsFBgAAAAAEAAQA+QAAAJADAAAAAA==&#10;" strokecolor="#dadcdd" strokeweight="0"/>
            <v:rect id="Rectangle 242" o:spid="_x0000_s1233" style="position:absolute;left:23526;top:7816;width:5937;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OpDcUA&#10;AADcAAAADwAAAGRycy9kb3ducmV2LnhtbESPT2sCMRTE70K/Q3iF3jS7HvyzNUoVLIVCQa3S42Pz&#10;ugndvCybqLvf3hQEj8PM/IZZrDpXiwu1wXpWkI8yEMSl15YrBd+H7XAGIkRkjbVnUtBTgNXyabDA&#10;Qvsr7+iyj5VIEA4FKjAxNoWUoTTkMIx8Q5y8X986jEm2ldQtXhPc1XKcZRPp0HJaMNjQxlD5tz87&#10;BZ/9yR4nOsfjz+mrN9P3tXXZTqmX5+7tFUSkLj7C9/aHVjCe5/B/Jh0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46kNxQAAANwAAAAPAAAAAAAAAAAAAAAAAJgCAABkcnMv&#10;ZG93bnJldi54bWxQSwUGAAAAAAQABAD1AAAAigMAAAAA&#10;" fillcolor="#dadcdd" stroked="f"/>
            <v:line id="Line 243" o:spid="_x0000_s1234" style="position:absolute;visibility:visible;mso-wrap-style:square" from="29616,7816" to="35553,7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aMqcUAAADcAAAADwAAAGRycy9kb3ducmV2LnhtbESPQWvCQBSE70L/w/IKXkQ3RpAYXaVE&#10;hB56qGmL12f2mcRm34bsqvHfdwWhx2FmvmFWm9404kqdqy0rmE4iEMSF1TWXCr6/duMEhPPIGhvL&#10;pOBODjbrl8EKU21vvKdr7ksRIOxSVFB536ZSuqIig25iW+LgnWxn0AfZlVJ3eAtw08g4iubSYM1h&#10;ocKWsoqK3/xiFIwOyWiGP/k5m5ZxRufPj+N275QavvZvSxCeev8ffrbftYJ4EcPjTDgCcv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aaMqcUAAADcAAAADwAAAAAAAAAA&#10;AAAAAAChAgAAZHJzL2Rvd25yZXYueG1sUEsFBgAAAAAEAAQA+QAAAJMDAAAAAA==&#10;" strokecolor="#dadcdd" strokeweight="0"/>
            <v:rect id="Rectangle 244" o:spid="_x0000_s1235" style="position:absolute;left:29616;top:7816;width:5937;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2S4cUA&#10;AADcAAAADwAAAGRycy9kb3ducmV2LnhtbESPW2sCMRSE3wv+h3AKvtWsFrxsjaJCS6FQ8IqPh83p&#10;JnRzsmyi7v77piD4OMzMN8x82bpKXKkJ1rOC4SADQVx4bblUcNi/v0xBhIissfJMCjoKsFz0nuaY&#10;a3/jLV13sRQJwiFHBSbGOpcyFIYchoGviZP34xuHMcmmlLrBW4K7So6ybCwdWk4LBmvaGCp+dxen&#10;4Ks72eNYD/F4Pn13ZvKxti7bKtV/bldvICK18RG+tz+1gtHsFf7Pp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fZLhxQAAANwAAAAPAAAAAAAAAAAAAAAAAJgCAABkcnMv&#10;ZG93bnJldi54bWxQSwUGAAAAAAQABAD1AAAAigMAAAAA&#10;" fillcolor="#dadcdd" stroked="f"/>
            <v:line id="Line 245" o:spid="_x0000_s1236" style="position:absolute;visibility:visible;mso-wrap-style:square" from="35705,7816" to="41649,7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OxRsYAAADcAAAADwAAAGRycy9kb3ducmV2LnhtbESPT2vCQBTE74V+h+UJvUjdmJZiY1Yp&#10;KYIHDxotvT6zz/xp9m3IbjX99q4g9DjMzG+YdDmYVpypd7VlBdNJBIK4sLrmUsFhv3qegXAeWWNr&#10;mRT8kYPl4vEhxUTbC+/onPtSBAi7BBVU3neJlK6oyKCb2I44eCfbG/RB9qXUPV4C3LQyjqI3abDm&#10;sFBhR1lFxU/+axSMv2fjF/zKm2xaxhk1283xc+eUehoNH3MQngb/H76311pB/P4KtzPhCM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0DsUbGAAAA3AAAAA8AAAAAAAAA&#10;AAAAAAAAoQIAAGRycy9kb3ducmV2LnhtbFBLBQYAAAAABAAEAPkAAACUAwAAAAA=&#10;" strokecolor="#dadcdd" strokeweight="0"/>
            <v:rect id="Rectangle 246" o:spid="_x0000_s1237" style="position:absolute;left:35705;top:7816;width:5944;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ivDsUA&#10;AADcAAAADwAAAGRycy9kb3ducmV2LnhtbESPW2sCMRSE3wv+h3AKvtWsQr1sjaJCS6FQ8IqPh83p&#10;JnRzsmyi7v77piD4OMzMN8x82bpKXKkJ1rOC4SADQVx4bblUcNi/v0xBhIissfJMCjoKsFz0nuaY&#10;a3/jLV13sRQJwiFHBSbGOpcyFIYchoGviZP34xuHMcmmlLrBW4K7So6ybCwdWk4LBmvaGCp+dxen&#10;4Ks72eNYD/F4Pn13ZvKxti7bKtV/bldvICK18RG+tz+1gtHsFf7Pp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2K8OxQAAANwAAAAPAAAAAAAAAAAAAAAAAJgCAABkcnMv&#10;ZG93bnJldi54bWxQSwUGAAAAAAQABAD1AAAAigMAAAAA&#10;" fillcolor="#dadcdd" stroked="f"/>
            <v:line id="Line 247" o:spid="_x0000_s1238" style="position:absolute;visibility:visible;mso-wrap-style:square" from="41801,7816" to="47739,7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2KqsYAAADcAAAADwAAAGRycy9kb3ducmV2LnhtbESPT2vCQBTE74V+h+UVepG6MQWxqRuR&#10;SMFDDxotvb5mn/lj9m3Irhq/vVsQPA4z8xtmvhhMK87Uu9qygsk4AkFcWF1zqWC/+3qbgXAeWWNr&#10;mRRcycEifX6aY6Lthbd0zn0pAoRdggoq77tESldUZNCNbUccvIPtDfog+1LqHi8BbloZR9FUGqw5&#10;LFTYUVZRccxPRsHodzZ6x5+8ySZlnFGz+f5bbZ1Sry/D8hOEp8E/wvf2WiuIP6bwfyYcAZ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KdiqrGAAAA3AAAAA8AAAAAAAAA&#10;AAAAAAAAoQIAAGRycy9kb3ducmV2LnhtbFBLBQYAAAAABAAEAPkAAACUAwAAAAA=&#10;" strokecolor="#dadcdd" strokeweight="0"/>
            <v:rect id="Rectangle 248" o:spid="_x0000_s1239" style="position:absolute;left:41801;top:7816;width:5938;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aU4sQA&#10;AADcAAAADwAAAGRycy9kb3ducmV2LnhtbESPQWsCMRSE74L/ITzBm2b1oO3WKFpoEQqCWqXHx+a5&#10;CW5elk2qu/++EQoeh5n5hlmsWleJGzXBelYwGWcgiAuvLZcKvo8foxcQISJrrDyTgo4CrJb93gJz&#10;7e+8p9shliJBOOSowMRY51KGwpDDMPY1cfIuvnEYk2xKqRu8J7ir5DTLZtKh5bRgsKZ3Q8X18OsU&#10;fHVne5rpCZ5+zrvOzD831mV7pYaDdv0GIlIbn+H/9lYrmL7O4XEmHQ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GlOLEAAAA3AAAAA8AAAAAAAAAAAAAAAAAmAIAAGRycy9k&#10;b3ducmV2LnhtbFBLBQYAAAAABAAEAPUAAACJAwAAAAA=&#10;" fillcolor="#dadcdd" stroked="f"/>
            <v:rect id="Rectangle 249" o:spid="_x0000_s1240" style="position:absolute;top:3797;width:152;height:5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Sr0MQA&#10;AADcAAAADwAAAGRycy9kb3ducmV2LnhtbERPy2rCQBTdF/yH4Qrd1UlDW2LqGLRQ6Kbga1F318xt&#10;EpK5E2emGv16Z1FweTjvWTGYTpzI+caygudJAoK4tLrhSsFu+/mUgfABWWNnmRRcyEMxHz3MMNf2&#10;zGs6bUIlYgj7HBXUIfS5lL6syaCf2J44cr/WGQwRukpqh+cYbjqZJsmbNNhwbKixp4+aynbzZxQs&#10;p9nyuHrh7+v6sKf9z6F9TV2i1ON4WLyDCDSEu/jf/aUVpNO4Np6JR0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0q9DEAAAA3AAAAA8AAAAAAAAAAAAAAAAAmAIAAGRycy9k&#10;b3ducmV2LnhtbFBLBQYAAAAABAAEAPUAAACJAwAAAAA=&#10;" fillcolor="black" stroked="f"/>
            <v:rect id="Rectangle 250" o:spid="_x0000_s1241" style="position:absolute;left:11194;width:153;height:9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gOS8YA&#10;AADcAAAADwAAAGRycy9kb3ducmV2LnhtbESPT2vCQBTE7wW/w/KE3urG0BYTXUUFoZdC/XPQ2zP7&#10;TILZt3F3q9FP3y0Uehxm5jfMZNaZRlzJ+dqyguEgAUFcWF1zqWC3Xb2MQPiArLGxTAru5GE27T1N&#10;MNf2xmu6bkIpIoR9jgqqENpcSl9UZNAPbEscvZN1BkOUrpTa4S3CTSPTJHmXBmuOCxW2tKyoOG++&#10;jYJFNlpcvl7587E+HuiwP57fUpco9dzv5mMQgbrwH/5rf2gFaZbB75l4BOT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rgOS8YAAADcAAAADwAAAAAAAAAAAAAAAACYAgAAZHJz&#10;L2Rvd25yZXYueG1sUEsFBgAAAAAEAAQA9QAAAIsDAAAAAA==&#10;" fillcolor="black" stroked="f"/>
            <v:rect id="Rectangle 251" o:spid="_x0000_s1242" style="position:absolute;left:17284;top:2050;width:152;height:7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9zMMA&#10;AADcAAAADwAAAGRycy9kb3ducmV2LnhtbERPy2oCMRTdF/oP4Rbc1aTaio5GqYVCN0J9LHR3nVxn&#10;Bic30yTV0a83C8Hl4bwns9bW4kQ+VI41vHUVCOLcmYoLDZv19+sQRIjIBmvHpOFCAWbT56cJZsad&#10;eUmnVSxECuGQoYYyxiaTMuQlWQxd1xAn7uC8xZigL6TxeE7htpY9pQbSYsWpocSGvkrKj6t/q2E+&#10;Gs7/ft95cV3ud7Tb7o8fPa+07ry0n2MQkdr4EN/dP0ZDX6X56Uw6AnJ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9zMMAAADcAAAADwAAAAAAAAAAAAAAAACYAgAAZHJzL2Rv&#10;d25yZXYueG1sUEsFBgAAAAAEAAQA9QAAAIgDAAAAAA==&#10;" fillcolor="black" stroked="f"/>
            <v:rect id="Rectangle 252" o:spid="_x0000_s1243" style="position:absolute;left:23374;top:2050;width:152;height:7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WYV8YA&#10;AADcAAAADwAAAGRycy9kb3ducmV2LnhtbESPT2sCMRTE7wW/Q3hCbzXRatGtUWqh0ItQ/xz09ty8&#10;7i5uXrZJqqufvhGEHoeZ+Q0znbe2FifyoXKsod9TIIhzZyouNGw3H09jECEiG6wdk4YLBZjPOg9T&#10;zIw784pO61iIBOGQoYYyxiaTMuQlWQw91xAn79t5izFJX0jj8ZzgtpYDpV6kxYrTQokNvZeUH9e/&#10;VsNiMl78fA15eV0d9rTfHY6jgVdaP3bbt1cQkdr4H763P42GZ9WH25l0BO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WYV8YAAADcAAAADwAAAAAAAAAAAAAAAACYAgAAZHJz&#10;L2Rvd25yZXYueG1sUEsFBgAAAAAEAAQA9QAAAIsDAAAAAA==&#10;" fillcolor="black" stroked="f"/>
            <v:rect id="Rectangle 253" o:spid="_x0000_s1244" style="position:absolute;left:29463;top:152;width:153;height:96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cGIMYA&#10;AADcAAAADwAAAGRycy9kb3ducmV2LnhtbESPQWsCMRSE7wX/Q3hCbzXpqsVujaJCoReh2h7q7bl5&#10;3V3cvKxJqqu/vikIPQ4z8w0znXe2ESfyoXas4XGgQBAXztRcavj8eH2YgAgR2WDjmDRcKMB81rub&#10;Ym7cmTd02sZSJAiHHDVUMba5lKGoyGIYuJY4ed/OW4xJ+lIaj+cEt43MlHqSFmtOCxW2tKqoOGx/&#10;rIbl82R5fB/x+rrZ72j3tT+MM6+0vu93ixcQkbr4H76134yGocrg70w6An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vcGIMYAAADcAAAADwAAAAAAAAAAAAAAAACYAgAAZHJz&#10;L2Rvd25yZXYueG1sUEsFBgAAAAAEAAQA9QAAAIsDAAAAAA==&#10;" fillcolor="black" stroked="f"/>
            <v:rect id="Rectangle 254" o:spid="_x0000_s1245" style="position:absolute;left:35553;top:2050;width:152;height:7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uju8YA&#10;AADcAAAADwAAAGRycy9kb3ducmV2LnhtbESPT2sCMRTE70K/Q3hCb5r4r9itUWpB8CJU20O9PTev&#10;u4ubl22S6uqnbwShx2FmfsPMFq2txYl8qBxrGPQVCOLcmYoLDZ8fq94URIjIBmvHpOFCARbzh84M&#10;M+POvKXTLhYiQThkqKGMscmkDHlJFkPfNcTJ+3beYkzSF9J4PCe4reVQqSdpseK0UGJDbyXlx92v&#10;1bB8ni5/3se8uW4Pe9p/HY6ToVdaP3bb1xcQkdr4H76310bDSI3gdi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uju8YAAADcAAAADwAAAAAAAAAAAAAAAACYAgAAZHJz&#10;L2Rvd25yZXYueG1sUEsFBgAAAAAEAAQA9QAAAIsDAAAAAA==&#10;" fillcolor="black" stroked="f"/>
            <v:rect id="Rectangle 255" o:spid="_x0000_s1246" style="position:absolute;left:41649;top:2050;width:152;height:7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I7z8YA&#10;AADcAAAADwAAAGRycy9kb3ducmV2LnhtbESPT2sCMRTE70K/Q3hCb5porejWKLVQ6EWofw56e25e&#10;dxc3L9sk1a2fvhEKHoeZ+Q0zW7S2FmfyoXKsYdBXIIhzZyouNOy2770JiBCRDdaOScMvBVjMHzoz&#10;zIy78JrOm1iIBOGQoYYyxiaTMuQlWQx91xAn78t5izFJX0jj8ZLgtpZDpcbSYsVpocSG3krKT5sf&#10;q2E5nSy/P0e8uq6PBzrsj6fnoVdaP3bb1xcQkdp4D/+3P4yGJzWC25l0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I7z8YAAADcAAAADwAAAAAAAAAAAAAAAACYAgAAZHJz&#10;L2Rvd25yZXYueG1sUEsFBgAAAAAEAAQA9QAAAIsDAAAAAA==&#10;" fillcolor="black" stroked="f"/>
            <v:rect id="Rectangle 256" o:spid="_x0000_s1247" style="position:absolute;left:152;top:9639;width:47739;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6eVMYA&#10;AADcAAAADwAAAGRycy9kb3ducmV2LnhtbESPQWsCMRSE70L/Q3hCb5poa7Fbo9SC0Iugtod6e25e&#10;dxc3L9sk6uqvN4LQ4zAz3zCTWWtrcSQfKscaBn0Fgjh3puJCw/fXojcGESKywdoxaThTgNn0oTPB&#10;zLgTr+m4iYVIEA4ZaihjbDIpQ16SxdB3DXHyfp23GJP0hTQeTwluazlU6kVarDgtlNjQR0n5fnOw&#10;Guav4/nf6pmXl/VuS9uf3X409Errx277/gYiUhv/w/f2p9HwpEZwO5OOgJ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R6eVMYAAADcAAAADwAAAAAAAAAAAAAAAACYAgAAZHJz&#10;L2Rvd25yZXYueG1sUEsFBgAAAAAEAAQA9QAAAIsDAAAAAA==&#10;" fillcolor="black" stroked="f"/>
            <v:rect id="Rectangle 257" o:spid="_x0000_s1248" style="position:absolute;left:47739;top:152;width:152;height:96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wAI8YA&#10;AADcAAAADwAAAGRycy9kb3ducmV2LnhtbESPT2sCMRTE74V+h/CE3mqibUW3RqlCoReh/jno7bl5&#10;3V3cvKxJqquf3giFHoeZ+Q0znra2FifyoXKsoddVIIhzZyouNGzWn89DECEiG6wdk4YLBZhOHh/G&#10;mBl35iWdVrEQCcIhQw1ljE0mZchLshi6riFO3o/zFmOSvpDG4znBbS37Sg2kxYrTQokNzUvKD6tf&#10;q2E2Gs6O36+8uC73O9pt94e3vldaP3Xaj3cQkdr4H/5rfxkNL2oA9zPpCMjJ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wAI8YAAADcAAAADwAAAAAAAAAAAAAAAACYAgAAZHJz&#10;L2Rvd25yZXYueG1sUEsFBgAAAAAEAAQA9QAAAIsDAAAAAA==&#10;" fillcolor="black" stroked="f"/>
            <v:line id="Line 258" o:spid="_x0000_s1249" style="position:absolute;visibility:visible;mso-wrap-style:square" from="76,9791" to="82,9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q1K8UAAADcAAAADwAAAGRycy9kb3ducmV2LnhtbESPQYvCMBSE7wv+h/AEL6KpCrtSjSIV&#10;wcMetKt4fTZv27rNS2midv+9EQSPw8x8w8yXranEjRpXWlYwGkYgiDOrS84VHH42gykI55E1VpZJ&#10;wT85WC46H3OMtb3znm6pz0WAsItRQeF9HUvpsoIMuqGtiYP3axuDPsgml7rBe4CbSo6j6FMaLDks&#10;FFhTUlD2l16Ngv5p2p/gMb0ko3yc0GX3fV7vnVK9bruagfDU+nf41d5qBZPoC55nwhG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zq1K8UAAADcAAAADwAAAAAAAAAA&#10;AAAAAAChAgAAZHJzL2Rvd25yZXYueG1sUEsFBgAAAAAEAAQA+QAAAJMDAAAAAA==&#10;" strokecolor="#dadcdd" strokeweight="0"/>
            <v:rect id="Rectangle 259" o:spid="_x0000_s1250" style="position:absolute;left:76;top:9791;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KaisEA&#10;AADcAAAADwAAAGRycy9kb3ducmV2LnhtbERPTWsCMRC9C/6HMII3TWzBlq1RtGARCoJapcdhM92E&#10;bibLJuruv28OQo+P971Ydb4WN2qjC6xhNlUgiMtgHFcavk7bySuImJAN1oFJQ08RVsvhYIGFCXc+&#10;0O2YKpFDOBaowabUFFLG0pLHOA0NceZ+QusxZdhW0rR4z+G+lk9KzaVHx7nBYkPvlsrf49Vr+Owv&#10;7jw3Mzx/X/a9ffnYOK8OWo9H3foNRKIu/Ysf7p3R8Kzy2nwmHwG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ymorBAAAA3AAAAA8AAAAAAAAAAAAAAAAAmAIAAGRycy9kb3du&#10;cmV2LnhtbFBLBQYAAAAABAAEAPUAAACGAwAAAAA=&#10;" fillcolor="#dadcdd" stroked="f"/>
            <v:line id="Line 260" o:spid="_x0000_s1251" style="position:absolute;visibility:visible;mso-wrap-style:square" from="11271,9791" to="11277,9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YeGcYAAADcAAAADwAAAGRycy9kb3ducmV2LnhtbESPQWvCQBSE70L/w/IKvYjZxEAJqauU&#10;lIKHHmq09PrMviax2bchu5r037tCweMwM98wq81kOnGhwbWWFSRRDIK4srrlWsFh/77IQDiPrLGz&#10;TAr+yMFm/TBbYa7tyDu6lL4WAcIuRwWN930upasaMugi2xMH78cOBn2QQy31gGOAm04u4/hZGmw5&#10;LDTYU9FQ9VuejYL5dzZP8as8FUm9LOj0+XF82zmlnh6n1xcQniZ/D/+3t1pBmiRwOxOOgFx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ZGHhnGAAAA3AAAAA8AAAAAAAAA&#10;AAAAAAAAoQIAAGRycy9kb3ducmV2LnhtbFBLBQYAAAAABAAEAPkAAACUAwAAAAA=&#10;" strokecolor="#dadcdd" strokeweight="0"/>
            <v:rect id="Rectangle 261" o:spid="_x0000_s1252" style="position:absolute;left:11271;top:9791;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M7vcQA&#10;AADcAAAADwAAAGRycy9kb3ducmV2LnhtbESP3WoCMRSE74W+QziF3ml2LVhZjVKFlkJB8BcvD5vj&#10;JnRzsmxS3X37Rih4OczMN8x82blaXKkN1rOCfJSBIC69tlwpOOw/hlMQISJrrD2Tgp4CLBdPgzkW&#10;2t94S9ddrESCcChQgYmxKaQMpSGHYeQb4uRdfOswJtlWUrd4S3BXy3GWTaRDy2nBYENrQ+XP7tcp&#10;+O5P9jjROR7Pp01v3j5X1mVbpV6eu/cZiEhdfIT/219awWs+hvuZd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DO73EAAAA3AAAAA8AAAAAAAAAAAAAAAAAmAIAAGRycy9k&#10;b3ducmV2LnhtbFBLBQYAAAAABAAEAPUAAACJAwAAAAA=&#10;" fillcolor="#dadcdd" stroked="f"/>
            <v:line id="Line 262" o:spid="_x0000_s1253" style="position:absolute;visibility:visible;mso-wrap-style:square" from="17360,9791" to="17367,9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l9cYAAADcAAAADwAAAGRycy9kb3ducmV2LnhtbESPT2vCQBTE74LfYXmCF6mbGCghdSOS&#10;UvDgoaYtvb5mX/PH7NuQXTX99t1CweMwM79htrvJ9OJKo2stK4jXEQjiyuqWawXvby8PKQjnkTX2&#10;lknBDznY5fPZFjNtb3yia+lrESDsMlTQeD9kUrqqIYNubQfi4H3b0aAPcqylHvEW4KaXmyh6lAZb&#10;DgsNDlQ0VJ3Li1Gw+kxXCX6UXRHXm4K61+PX88kptVxM+ycQniZ/D/+3D1pBEifwdyYcAZn/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YJfXGAAAA3AAAAA8AAAAAAAAA&#10;AAAAAAAAoQIAAGRycy9kb3ducmV2LnhtbFBLBQYAAAAABAAEAPkAAACUAwAAAAA=&#10;" strokecolor="#dadcdd" strokeweight="0"/>
            <v:rect id="Rectangle 263" o:spid="_x0000_s1254" style="position:absolute;left:17360;top:9791;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YGUsUA&#10;AADcAAAADwAAAGRycy9kb3ducmV2LnhtbESPQWsCMRSE7wX/Q3iCt5pdK7ZsjaJCRSgUtFV6fGxe&#10;N6Gbl2UTdfffm0LB4zAz3zDzZedqcaE2WM8K8nEGgrj02nKl4Ovz7fEFRIjIGmvPpKCnAMvF4GGO&#10;hfZX3tPlECuRIBwKVGBibAopQ2nIYRj7hjh5P751GJNsK6lbvCa4q+Uky2bSoeW0YLChjaHy93B2&#10;Ct77kz3OdI7H79NHb563a+uyvVKjYbd6BRGpi/fwf3unFTzlU/g7k4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pgZSxQAAANwAAAAPAAAAAAAAAAAAAAAAAJgCAABkcnMv&#10;ZG93bnJldi54bWxQSwUGAAAAAAQABAD1AAAAigMAAAAA&#10;" fillcolor="#dadcdd" stroked="f"/>
            <v:line id="Line 264" o:spid="_x0000_s1255" style="position:absolute;visibility:visible;mso-wrap-style:square" from="23450,9791" to="23456,9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0YGsUAAADcAAAADwAAAGRycy9kb3ducmV2LnhtbESPQWvCQBSE7wX/w/KEXkQ3UVpCdJWS&#10;UvDgoaaK12f2NYnNvg3ZVeO/7wqCx2FmvmEWq9404kKdqy0riCcRCOLC6ppLBbufr3ECwnlkjY1l&#10;UnAjB6vl4GWBqbZX3tIl96UIEHYpKqi8b1MpXVGRQTexLXHwfm1n0AfZlVJ3eA1w08hpFL1LgzWH&#10;hQpbyioq/vKzUTA6JKMZ7vNTFpfTjE7fm+Pn1in1Ouw/5iA89f4ZfrTXWsEsfoP7mXAE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X0YGsUAAADcAAAADwAAAAAAAAAA&#10;AAAAAAChAgAAZHJzL2Rvd25yZXYueG1sUEsFBgAAAAAEAAQA+QAAAJMDAAAAAA==&#10;" strokecolor="#dadcdd" strokeweight="0"/>
            <v:rect id="Rectangle 265" o:spid="_x0000_s1256" style="position:absolute;left:23450;top:9791;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9vsUA&#10;AADcAAAADwAAAGRycy9kb3ducmV2LnhtbESPUWvCMBSF34X9h3CFvWnaDbpRjeIGG4OBoE7x8dJc&#10;m2BzU5pM23+/CAMfD+ec73Dmy9414kJdsJ4V5NMMBHHlteVawc/uY/IKIkRkjY1nUjBQgOXiYTTH&#10;Uvsrb+iyjbVIEA4lKjAxtqWUoTLkMEx9S5y8k+8cxiS7WuoOrwnuGvmUZYV0aDktGGzp3VB13v46&#10;Bd/Dwe4LneP+eFgP5uXzzbpso9TjuF/NQETq4z383/7SCp7zAm5n0h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D2+xQAAANwAAAAPAAAAAAAAAAAAAAAAAJgCAABkcnMv&#10;ZG93bnJldi54bWxQSwUGAAAAAAQABAD1AAAAigMAAAAA&#10;" fillcolor="#dadcdd" stroked="f"/>
            <v:line id="Line 268" o:spid="_x0000_s1257" style="position:absolute;visibility:visible;mso-wrap-style:square" from="35629,9791" to="35636,9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Mj9sUAAADcAAAADwAAAGRycy9kb3ducmV2LnhtbESPQWvCQBSE7wX/w/KEXkQ3UWhDdJWS&#10;UvDgoaaK12f2NYnNvg3ZVeO/7wqCx2FmvmEWq9404kKdqy0riCcRCOLC6ppLBbufr3ECwnlkjY1l&#10;UnAjB6vl4GWBqbZX3tIl96UIEHYpKqi8b1MpXVGRQTexLXHwfm1n0AfZlVJ3eA1w08hpFL1JgzWH&#10;hQpbyioq/vKzUTA6JKMZ7vNTFpfTjE7fm+Pn1in1Ouw/5iA89f4ZfrTXWsEsfof7mXAE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uMj9sUAAADcAAAADwAAAAAAAAAA&#10;AAAAAAChAgAAZHJzL2Rvd25yZXYueG1sUEsFBgAAAAAEAAQA+QAAAJMDAAAAAA==&#10;" strokecolor="#dadcdd" strokeweight="0"/>
            <v:rect id="Rectangle 269" o:spid="_x0000_s1258" style="position:absolute;left:35629;top:9791;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sMV8EA&#10;AADcAAAADwAAAGRycy9kb3ducmV2LnhtbERPW2vCMBR+H/gfwhH2NtNOcFKNogNlMBh4xcdDc2yC&#10;zUlporb/fnkY7PHju8+XnavFg9pgPSvIRxkI4tJry5WC42HzNgURIrLG2jMp6CnAcjF4mWOh/ZN3&#10;9NjHSqQQDgUqMDE2hZShNOQwjHxDnLirbx3GBNtK6hafKdzV8j3LJtKh5dRgsKFPQ+Vtf3cKvvuz&#10;PU10jqfL+ac3H9u1ddlOqddht5qBiNTFf/Gf+0srGOdpbTqTjoB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rDFfBAAAA3AAAAA8AAAAAAAAAAAAAAAAAmAIAAGRycy9kb3du&#10;cmV2LnhtbFBLBQYAAAAABAAEAPUAAACGAwAAAAA=&#10;" fillcolor="#dadcdd" stroked="f"/>
            <v:line id="Line 270" o:spid="_x0000_s1259" style="position:absolute;visibility:visible;mso-wrap-style:square" from="41725,9791" to="41732,9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ASH8UAAADcAAAADwAAAGRycy9kb3ducmV2LnhtbESPQWvCQBSE7wX/w/KEXkQ3USgxukpJ&#10;KXjwUNOK12f2NYnNvg3ZVeO/7wqCx2FmvmGW69404kKdqy0riCcRCOLC6ppLBT/fn+MEhPPIGhvL&#10;pOBGDtarwcsSU22vvKNL7ksRIOxSVFB536ZSuqIig25iW+Lg/drOoA+yK6Xu8BrgppHTKHqTBmsO&#10;CxW2lFVU/OVno2B0SEYz3OenLC6nGZ2+tsePnVPqddi/L0B46v0z/GhvtIJZPIf7mXA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DASH8UAAADcAAAADwAAAAAAAAAA&#10;AAAAAAChAgAAZHJzL2Rvd25yZXYueG1sUEsFBgAAAAAEAAQA+QAAAJMDAAAAAA==&#10;" strokecolor="#dadcdd" strokeweight="0"/>
            <v:rect id="Rectangle 271" o:spid="_x0000_s1260" style="position:absolute;left:41725;top:9791;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HK7MEA&#10;AADcAAAADwAAAGRycy9kb3ducmV2LnhtbERPTWsCMRC9C/6HMEJvmlXBltUoKlQKBUGr4nHYjJvg&#10;ZrJsUt39981B6PHxvher1lXiQU2wnhWMRxkI4sJry6WC08/n8ANEiMgaK8+koKMAq2W/t8Bc+ycf&#10;6HGMpUghHHJUYGKscylDYchhGPmaOHE33ziMCTal1A0+U7ir5CTLZtKh5dRgsKatoeJ+/HUKvruL&#10;Pc/0GM/Xy74z77uNddlBqbdBu56DiNTGf/HL/aUVTCdpfjqTjo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xyuzBAAAA3AAAAA8AAAAAAAAAAAAAAAAAmAIAAGRycy9kb3du&#10;cmV2LnhtbFBLBQYAAAAABAAEAPUAAACGAwAAAAA=&#10;" fillcolor="#dadcdd" stroked="f"/>
            <v:line id="Line 272" o:spid="_x0000_s1261" style="position:absolute;visibility:visible;mso-wrap-style:square" from="47815,9791" to="47821,9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rUpMUAAADcAAAADwAAAGRycy9kb3ducmV2LnhtbESPQWvCQBSE74X+h+UVvIhuEkEkukpJ&#10;KXjwoNHS6zP7TGKzb0N21fjvXUHocZiZb5jFqjeNuFLnassK4nEEgriwuuZSwWH/PZqBcB5ZY2OZ&#10;FNzJwWr5/rbAVNsb7+ia+1IECLsUFVTet6mUrqjIoBvbljh4J9sZ9EF2pdQd3gLcNDKJoqk0WHNY&#10;qLClrKLiL78YBcPf2XCCP/k5i8sko/N2c/zaOaUGH/3nHISn3v+HX+21VjBJYnieCUdAL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CrUpMUAAADcAAAADwAAAAAAAAAA&#10;AAAAAAChAgAAZHJzL2Rvd25yZXYueG1sUEsFBgAAAAAEAAQA+QAAAJMDAAAAAA==&#10;" strokecolor="#dadcdd" strokeweight="0"/>
            <v:rect id="Rectangle 273" o:spid="_x0000_s1262" style="position:absolute;left:47815;top:9791;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xAMQA&#10;AADcAAAADwAAAGRycy9kb3ducmV2LnhtbESP3WoCMRSE74W+QziF3mnWLVhZjVKFlkJB8BcvD5vj&#10;JnRzsmxS3X37Rih4OczMN8x82blaXKkN1rOC8SgDQVx6bblScNh/DKcgQkTWWHsmBT0FWC6eBnMs&#10;tL/xlq67WIkE4VCgAhNjU0gZSkMOw8g3xMm7+NZhTLKtpG7xluCulnmWTaRDy2nBYENrQ+XP7tcp&#10;+O5P9jjRYzyeT5vevH2urMu2Sr08d+8zEJG6+Aj/t7+0gtc8h/uZd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v8QDEAAAA3AAAAA8AAAAAAAAAAAAAAAAAmAIAAGRycy9k&#10;b3ducmV2LnhtbFBLBQYAAAAABAAEAPUAAACJAwAAAAA=&#10;" fillcolor="#dadcdd" stroked="f"/>
            <v:line id="Line 274" o:spid="_x0000_s1263" style="position:absolute;visibility:visible;mso-wrap-style:square" from="47891,76" to="4789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TvSMUAAADcAAAADwAAAGRycy9kb3ducmV2LnhtbESPQWvCQBSE70L/w/IKvYhuTEBCdJUS&#10;ETz0UKOl12f2mcRm34bsqum/7xYEj8PMfMMs14NpxY1611hWMJtGIIhLqxuuFBwP20kKwnlkja1l&#10;UvBLDtarl9ESM23vvKdb4SsRIOwyVFB732VSurImg25qO+LgnW1v0AfZV1L3eA9w08o4iubSYMNh&#10;ocaO8prKn+JqFIy/03GCX8Uln1VxTpfPj9Nm75R6ex3eFyA8Df4ZfrR3WkESJ/B/JhwBuf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7TvSMUAAADcAAAADwAAAAAAAAAA&#10;AAAAAAChAgAAZHJzL2Rvd25yZXYueG1sUEsFBgAAAAAEAAQA+QAAAJMDAAAAAA==&#10;" strokecolor="#dadcdd" strokeweight="0"/>
            <v:rect id="Rectangle 275" o:spid="_x0000_s1264" style="position:absolute;left:47891;top:76;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rM78YA&#10;AADcAAAADwAAAGRycy9kb3ducmV2LnhtbESP3WoCMRSE7wu+QziF3tWsVlS2RlGhpVAouP7g5WFz&#10;ugndnCybVHff3hQKXg4z8w2zWHWuFhdqg/WsYDTMQBCXXluuFBz2b89zECEia6w9k4KeAqyWg4cF&#10;5tpfeUeXIlYiQTjkqMDE2ORShtKQwzD0DXHyvn3rMCbZVlK3eE1wV8txlk2lQ8tpwWBDW0PlT/Hr&#10;FHz2J3uc6hEez6ev3szeN9ZlO6WeHrv1K4hIXbyH/9sfWsHLeAJ/Z9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8rM78YAAADcAAAADwAAAAAAAAAAAAAAAACYAgAAZHJz&#10;L2Rvd25yZXYueG1sUEsFBgAAAAAEAAQA9QAAAIsDAAAAAA==&#10;" fillcolor="#dadcdd" stroked="f"/>
            <v:line id="Line 276" o:spid="_x0000_s1265" style="position:absolute;visibility:visible;mso-wrap-style:square" from="47891,1974" to="47897,1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HSp8UAAADcAAAADwAAAGRycy9kb3ducmV2LnhtbESPQWvCQBSE7wX/w/IEL6IbIy0hukpJ&#10;EXrwUFPF6zP7msRm34bsVuO/7wqCx2FmvmGW69404kKdqy0rmE0jEMSF1TWXCvbfm0kCwnlkjY1l&#10;UnAjB+vV4GWJqbZX3tEl96UIEHYpKqi8b1MpXVGRQTe1LXHwfmxn0AfZlVJ3eA1w08g4it6kwZrD&#10;QoUtZRUVv/mfUTA+JuM5HvJzNivjjM5f29PHzik1GvbvCxCeev8MP9qfWsE8foX7mXA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xHSp8UAAADcAAAADwAAAAAAAAAA&#10;AAAAAAChAgAAZHJzL2Rvd25yZXYueG1sUEsFBgAAAAAEAAQA+QAAAJMDAAAAAA==&#10;" strokecolor="#dadcdd" strokeweight="0"/>
            <v:rect id="Rectangle 277" o:spid="_x0000_s1266" style="position:absolute;left:47891;top:1974;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T3A8UA&#10;AADcAAAADwAAAGRycy9kb3ducmV2LnhtbESPUWvCMBSF34X9h3AHe9NUB3V0RpnCxkAQdKvs8dLc&#10;NWHNTWkybf+9EQQfD+ec73AWq9414kRdsJ4VTCcZCOLKa8u1gu+v9/ELiBCRNTaeScFAAVbLh9EC&#10;C+3PvKfTIdYiQTgUqMDE2BZShsqQwzDxLXHyfn3nMCbZ1VJ3eE5w18hZluXSoeW0YLCljaHq7/Dv&#10;FGyHoy1zPcXy57gbzPxjbV22V+rpsX97BRGpj/fwrf2pFTzPcrieSUd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PcDxQAAANwAAAAPAAAAAAAAAAAAAAAAAJgCAABkcnMv&#10;ZG93bnJldi54bWxQSwUGAAAAAAQABAD1AAAAigMAAAAA&#10;" fillcolor="#dadcdd" stroked="f"/>
            <v:line id="Line 278" o:spid="_x0000_s1267" style="position:absolute;visibility:visible;mso-wrap-style:square" from="47891,3873" to="47897,3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pS8UAAADcAAAADwAAAGRycy9kb3ducmV2LnhtbESPQWvCQBSE7wX/w/IEL6IbI7QhukpJ&#10;EXrwUFPF6zP7msRm34bsVuO/7wqCx2FmvmGW69404kKdqy0rmE0jEMSF1TWXCvbfm0kCwnlkjY1l&#10;UnAjB+vV4GWJqbZX3tEl96UIEHYpKqi8b1MpXVGRQTe1LXHwfmxn0AfZlVJ3eA1w08g4il6lwZrD&#10;QoUtZRUVv/mfUTA+JuM5HvJzNivjjM5f29PHzik1GvbvCxCeev8MP9qfWsE8foP7mXA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I/pS8UAAADcAAAADwAAAAAAAAAA&#10;AAAAAAChAgAAZHJzL2Rvd25yZXYueG1sUEsFBgAAAAAEAAQA+QAAAJMDAAAAAA==&#10;" strokecolor="#dadcdd" strokeweight="0"/>
            <v:rect id="Rectangle 279" o:spid="_x0000_s1268" style="position:absolute;left:47891;top:3873;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fG6sEA&#10;AADcAAAADwAAAGRycy9kb3ducmV2LnhtbERPTWsCMRC9C/6HMEJvmlXBltUoKlQKBUGr4nHYjJvg&#10;ZrJsUt39981B6PHxvher1lXiQU2wnhWMRxkI4sJry6WC08/n8ANEiMgaK8+koKMAq2W/t8Bc+ycf&#10;6HGMpUghHHJUYGKscylDYchhGPmaOHE33ziMCTal1A0+U7ir5CTLZtKh5dRgsKatoeJ+/HUKvruL&#10;Pc/0GM/Xy74z77uNddlBqbdBu56DiNTGf/HL/aUVTCdpbTqTjo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6HxurBAAAA3AAAAA8AAAAAAAAAAAAAAAAAmAIAAGRycy9kb3du&#10;cmV2LnhtbFBLBQYAAAAABAAEAPUAAACGAwAAAAA=&#10;" fillcolor="#dadcdd" stroked="f"/>
            <v:line id="Line 280" o:spid="_x0000_s1269" style="position:absolute;visibility:visible;mso-wrap-style:square" from="47891,5841" to="47897,5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zYosUAAADcAAAADwAAAGRycy9kb3ducmV2LnhtbESPQWvCQBSE7wX/w/IEL6IbI5QYXaWk&#10;CD14qGnF6zP7msRm34bsVuO/7wqCx2FmvmFWm9404kKdqy0rmE0jEMSF1TWXCr6/tpMEhPPIGhvL&#10;pOBGDjbrwcsKU22vvKdL7ksRIOxSVFB536ZSuqIig25qW+Lg/djOoA+yK6Xu8BrgppFxFL1KgzWH&#10;hQpbyioqfvM/o2B8TMZzPOTnbFbGGZ0/d6f3vVNqNOzfliA89f4ZfrQ/tIJ5vID7mXAE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lzYosUAAADcAAAADwAAAAAAAAAA&#10;AAAAAAChAgAAZHJzL2Rvd25yZXYueG1sUEsFBgAAAAAEAAQA+QAAAJMDAAAAAA==&#10;" strokecolor="#dadcdd" strokeweight="0"/>
            <v:rect id="Rectangle 281" o:spid="_x0000_s1270" style="position:absolute;left:47891;top:5841;width:76;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T5qsQA&#10;AADcAAAADwAAAGRycy9kb3ducmV2LnhtbESPQWsCMRSE70L/Q3iF3jS7FWxZjVKFloIgaFU8PjbP&#10;TejmZdmkuvvvjVDwOMzMN8xs0blaXKgN1rOCfJSBIC69tlwp2P98Dt9BhIissfZMCnoKsJg/DWZY&#10;aH/lLV12sRIJwqFABSbGppAylIYchpFviJN39q3DmGRbSd3iNcFdLV+zbCIdWk4LBhtaGSp/d39O&#10;wbo/2sNE53g4HTe9eftaWpdtlXp57j6mICJ18RH+b39rBeNxDvcz6Qj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k+arEAAAA3AAAAA8AAAAAAAAAAAAAAAAAmAIAAGRycy9k&#10;b3ducmV2LnhtbFBLBQYAAAAABAAEAPUAAACJAwAAAAA=&#10;" fillcolor="#dadcdd" stroked="f"/>
            <v:line id="Line 282" o:spid="_x0000_s1271" style="position:absolute;visibility:visible;mso-wrap-style:square" from="47891,7816" to="47897,7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HcDsUAAADcAAAADwAAAGRycy9kb3ducmV2LnhtbESPQWvCQBSE70L/w/IKvYhuTEBCdJUS&#10;ETz0UKOl12f2mcRm34bsqum/7xYEj8PMfMMs14NpxY1611hWMJtGIIhLqxuuFBwP20kKwnlkja1l&#10;UvBLDtarl9ESM23vvKdb4SsRIOwyVFB732VSurImg25qO+LgnW1v0AfZV1L3eA9w08o4iubSYMNh&#10;ocaO8prKn+JqFIy/03GCX8Uln1VxTpfPj9Nm75R6ex3eFyA8Df4ZfrR3WkGSxPB/JhwBuf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SHcDsUAAADcAAAADwAAAAAAAAAA&#10;AAAAAAChAgAAZHJzL2Rvd25yZXYueG1sUEsFBgAAAAAEAAQA+QAAAJMDAAAAAA==&#10;" strokecolor="#dadcdd" strokeweight="0"/>
            <v:rect id="Rectangle 283" o:spid="_x0000_s1272" style="position:absolute;left:47891;top:7816;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rCRsQA&#10;AADcAAAADwAAAGRycy9kb3ducmV2LnhtbESP3WoCMRSE7wt9h3AK3tWsLlhZjVIFi1Ao+IuXh81x&#10;E7o5WTap7r59Uyh4OczMN8x82bla3KgN1rOC0TADQVx6bblScDxsXqcgQkTWWHsmBT0FWC6en+ZY&#10;aH/nHd32sRIJwqFABSbGppAylIYchqFviJN39a3DmGRbSd3iPcFdLcdZNpEOLacFgw2tDZXf+x+n&#10;4LM/29NEj/B0OX/15u1jZV22U2rw0r3PQETq4iP8395qBXmew9+Zd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6wkbEAAAA3AAAAA8AAAAAAAAAAAAAAAAAmAIAAGRycy9k&#10;b3ducmV2LnhtbFBLBQYAAAAABAAEAPUAAACJAwAAAAA=&#10;" fillcolor="#dadcdd" stroked="f"/>
            <v:line id="Line 284" o:spid="_x0000_s1273" style="position:absolute;visibility:visible;mso-wrap-style:square" from="47891,9715" to="47897,9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Th4cUAAADcAAAADwAAAGRycy9kb3ducmV2LnhtbESPQWvCQBSE7wX/w/KEXkQ3mlJCdJWS&#10;UvDgoaaK12f2NYnNvg3ZVeO/7wqCx2FmvmEWq9404kKdqy0rmE4iEMSF1TWXCnY/X+MEhPPIGhvL&#10;pOBGDlbLwcsCU22vvKVL7ksRIOxSVFB536ZSuqIig25iW+Lg/drOoA+yK6Xu8BrgppGzKHqXBmsO&#10;CxW2lFVU/OVno2B0SEYx7vNTNi1nGZ2+N8fPrVPqddh/zEF46v0z/GivtYI4foP7mXAE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YTh4cUAAADcAAAADwAAAAAAAAAA&#10;AAAAAAChAgAAZHJzL2Rvd25yZXYueG1sUEsFBgAAAAAEAAQA+QAAAJMDAAAAAA==&#10;" strokecolor="#dadcdd" strokeweight="0"/>
            <v:rect id="Rectangle 285" o:spid="_x0000_s1274" style="position:absolute;left:47891;top:9715;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qcUA&#10;AADcAAAADwAAAGRycy9kb3ducmV2LnhtbESPW2sCMRSE3wv+h3AKfatZK17YGsUKilAoeMXHw+Z0&#10;E7o5WTap7v57Uyj4OMzMN8xs0bpKXKkJ1rOCQT8DQVx4bblUcDysX6cgQkTWWHkmBR0FWMx7TzPM&#10;tb/xjq77WIoE4ZCjAhNjnUsZCkMOQ9/XxMn79o3DmGRTSt3gLcFdJd+ybCwdWk4LBmtaGSp+9r9O&#10;wWd3tqexHuDpcv7qzGTzYV22U+rluV2+g4jUxkf4v73VCobDEfydS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X/+pxQAAANwAAAAPAAAAAAAAAAAAAAAAAJgCAABkcnMv&#10;ZG93bnJldi54bWxQSwUGAAAAAAQABAD1AAAAigMAAAAA&#10;" fillcolor="#dadcdd" stroked="f"/>
            <w10:wrap type="none"/>
            <w10:anchorlock/>
          </v:group>
        </w:pict>
      </w:r>
      <w:r w:rsidRPr="00F671D2">
        <w:rPr>
          <w:b/>
          <w:noProof/>
          <w:lang w:eastAsia="en-AU"/>
        </w:rPr>
      </w:r>
      <w:r>
        <w:rPr>
          <w:b/>
          <w:noProof/>
          <w:lang w:eastAsia="en-AU"/>
        </w:rPr>
        <w:pict>
          <v:group id="Canvas 452" o:spid="_x0000_s1275" editas="canvas" style="width:398.3pt;height:100.3pt;mso-position-horizontal-relative:char;mso-position-vertical-relative:line" coordsize="50584,12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">
            <v:shape id="_x0000_s1276" type="#_x0000_t75" style="position:absolute;width:50584;height:12738;visibility:visible;mso-wrap-style:square">
              <v:fill o:detectmouseclick="t"/>
              <v:path o:connecttype="none"/>
            </v:shape>
            <v:rect id="Rectangle 289" o:spid="_x0000_s1277" style="position:absolute;left:12179;top:2051;width:4350;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iK8EA&#10;AADaAAAADwAAAGRycy9kb3ducmV2LnhtbESPzWrDMBCE74W8g9hAb40cH4rrRgklEEhKLrb7AIu1&#10;/qHSykhK7L59VQj0OMzMN8zusFgj7uTD6FjBdpOBIG6dHrlX8NWcXgoQISJrNI5JwQ8FOOxXTzss&#10;tZu5onsde5EgHEpUMMQ4lVKGdiCLYeMm4uR1zluMSfpeao9zglsj8yx7lRZHTgsDTnQcqP2ub1aB&#10;bOrTXNTGZ+4z767mcq46cko9r5ePdxCRlvgffrTPWsEb/F1JN0D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6RoivBAAAA2gAAAA8AAAAAAAAAAAAAAAAAmAIAAGRycy9kb3du&#10;cmV2LnhtbFBLBQYAAAAABAAEAPUAAACGAwAAAAA=&#10;" filled="f" stroked="f">
              <v:textbox style="mso-fit-shape-to-text:t" inset="0,0,0,0">
                <w:txbxContent>
                  <w:p w:rsidR="0097684C" w:rsidRDefault="0097684C" w:rsidP="001F0AFB">
                    <w:r>
                      <w:rPr>
                        <w:rFonts w:cs="Calibri"/>
                        <w:color w:val="000000"/>
                        <w:lang w:val="en-US"/>
                      </w:rPr>
                      <w:t>Median</w:t>
                    </w:r>
                  </w:p>
                </w:txbxContent>
              </v:textbox>
            </v:rect>
            <v:rect id="Rectangle 290" o:spid="_x0000_s1278" style="position:absolute;left:19342;top:2051;width:2254;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YWgsEA&#10;AADbAAAADwAAAGRycy9kb3ducmV2LnhtbESPT2sCMRDF74V+hzCF3mq2HkRWo4ggaPHi6gcYNrN/&#10;MJksSequ375zKHib4b157zfr7eSdelBMfWAD37MCFHEdbM+tgdv18LUElTKyRReYDDwpwXbz/rbG&#10;0oaRL/SocqskhFOJBrqch1LrVHfkMc3CQCxaE6LHLGtstY04Srh3el4UC+2xZ2nocKB9R/W9+vUG&#10;9LU6jMvKxSL8zJuzOx0vDQVjPj+m3QpUpim/zP/XRyv4Qi+/yAB6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2FoLBAAAA2wAAAA8AAAAAAAAAAAAAAAAAmAIAAGRycy9kb3du&#10;cmV2LnhtbFBLBQYAAAAABAAEAPUAAACGAwAAAAA=&#10;" filled="f" stroked="f">
              <v:textbox style="mso-fit-shape-to-text:t" inset="0,0,0,0">
                <w:txbxContent>
                  <w:p w:rsidR="0097684C" w:rsidRDefault="0097684C" w:rsidP="001F0AFB">
                    <w:r>
                      <w:rPr>
                        <w:rFonts w:cs="Calibri"/>
                        <w:color w:val="000000"/>
                        <w:lang w:val="en-US"/>
                      </w:rPr>
                      <w:t>Min</w:t>
                    </w:r>
                  </w:p>
                </w:txbxContent>
              </v:textbox>
            </v:rect>
            <v:rect id="Rectangle 291" o:spid="_x0000_s1279" style="position:absolute;left:25279;top:2051;width:2470;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0Qgb4A&#10;AADbAAAADwAAAGRycy9kb3ducmV2LnhtbERP24rCMBB9F/Yfwiz4ZtMVEalGkQXBlX2x+gFDM71g&#10;MilJ1ta/N8KCb3M419nsRmvEnXzoHCv4ynIQxJXTHTcKrpfDbAUiRGSNxjEpeFCA3fZjssFCu4HP&#10;dC9jI1IIhwIVtDH2hZShasliyFxPnLjaeYsxQd9I7XFI4dbIeZ4vpcWOU0OLPX23VN3KP6tAXsrD&#10;sCqNz91pXv+an+O5JqfU9HPcr0FEGuNb/O8+6jR/Aa9f0gFy+w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sNEIG+AAAA2wAAAA8AAAAAAAAAAAAAAAAAmAIAAGRycy9kb3ducmV2&#10;LnhtbFBLBQYAAAAABAAEAPUAAACDAwAAAAA=&#10;" filled="f" stroked="f">
              <v:textbox style="mso-fit-shape-to-text:t" inset="0,0,0,0">
                <w:txbxContent>
                  <w:p w:rsidR="0097684C" w:rsidRDefault="0097684C" w:rsidP="001F0AFB">
                    <w:r>
                      <w:rPr>
                        <w:rFonts w:cs="Calibri"/>
                        <w:color w:val="000000"/>
                        <w:lang w:val="en-US"/>
                      </w:rPr>
                      <w:t>Max</w:t>
                    </w:r>
                  </w:p>
                </w:txbxContent>
              </v:textbox>
            </v:rect>
            <v:rect id="Rectangle 292" o:spid="_x0000_s1280" style="position:absolute;left:30454;top:2051;width:4350;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Mrbb4A&#10;AADbAAAADwAAAGRycy9kb3ducmV2LnhtbERPzYrCMBC+C/sOYYS9aaoHkWoUEQp12YvVBxia6Q8m&#10;k5JkbX37zcKCt/n4fmd/nKwRT/Khd6xgtcxAENdO99wquN+KxRZEiMgajWNS8KIAx8PHbI+5diNf&#10;6VnFVqQQDjkq6GIccilD3ZHFsHQDceIa5y3GBH0rtccxhVsj11m2kRZ7Tg0dDnTuqH5UP1aBvFXF&#10;uK2Mz9zXuvk2l/LakFPqcz6ddiAiTfEt/neXOs3fwN8v6QB5+A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STK22+AAAA2wAAAA8AAAAAAAAAAAAAAAAAmAIAAGRycy9kb3ducmV2&#10;LnhtbFBLBQYAAAAABAAEAPUAAACDAwAAAAA=&#10;" filled="f" stroked="f">
              <v:textbox style="mso-fit-shape-to-text:t" inset="0,0,0,0">
                <w:txbxContent>
                  <w:p w:rsidR="0097684C" w:rsidRDefault="0097684C" w:rsidP="001F0AFB">
                    <w:r>
                      <w:rPr>
                        <w:rFonts w:cs="Calibri"/>
                        <w:color w:val="000000"/>
                        <w:lang w:val="en-US"/>
                      </w:rPr>
                      <w:t>Median</w:t>
                    </w:r>
                  </w:p>
                </w:txbxContent>
              </v:textbox>
            </v:rect>
            <v:rect id="Rectangle 293" o:spid="_x0000_s1281" style="position:absolute;left:37611;top:2051;width:2254;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y/H78A&#10;AADbAAAADwAAAGRycy9kb3ducmV2LnhtbERPS2rDMBDdF3IHMYHuGjleFNeNEkogkJRsbPcAgzX+&#10;UGlkJCV2b18VAt3N431nd1isEXfyYXSsYLvJQBC3To/cK/hqTi8FiBCRNRrHpOCHAhz2q6cdltrN&#10;XNG9jr1IIRxKVDDEOJVShnYgi2HjJuLEdc5bjAn6XmqPcwq3RuZZ9iotjpwaBpzoOFD7Xd+sAtnU&#10;p7mojc/cZ95dzeVcdeSUel4vH+8gIi3xX/xwn3Wa/wZ/v6QD5P4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DL8fvwAAANsAAAAPAAAAAAAAAAAAAAAAAJgCAABkcnMvZG93bnJl&#10;di54bWxQSwUGAAAAAAQABAD1AAAAhAMAAAAA&#10;" filled="f" stroked="f">
              <v:textbox style="mso-fit-shape-to-text:t" inset="0,0,0,0">
                <w:txbxContent>
                  <w:p w:rsidR="0097684C" w:rsidRDefault="0097684C" w:rsidP="001F0AFB">
                    <w:r>
                      <w:rPr>
                        <w:rFonts w:cs="Calibri"/>
                        <w:color w:val="000000"/>
                        <w:lang w:val="en-US"/>
                      </w:rPr>
                      <w:t>Min</w:t>
                    </w:r>
                  </w:p>
                </w:txbxContent>
              </v:textbox>
            </v:rect>
            <v:rect id="Rectangle 294" o:spid="_x0000_s1282" style="position:absolute;left:43548;top:2051;width:2470;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Tn08EA&#10;AADbAAAADwAAAGRycy9kb3ducmV2LnhtbESP3YrCMBSE7wXfIRxh72y6vVikGkUWBHfxxuoDHJrT&#10;H0xOSpK13bc3guDlMDPfMJvdZI24kw+9YwWfWQ6CuHa651bB9XJYrkCEiKzROCYF/xRgt53PNlhq&#10;N/KZ7lVsRYJwKFFBF+NQShnqjiyGzA3EyWuctxiT9K3UHscEt0YWef4lLfacFjoc6Luj+lb9WQXy&#10;Uh3GVWV87n6L5mR+jueGnFIfi2m/BhFpiu/wq33UCooCnl/SD5D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E59PBAAAA2wAAAA8AAAAAAAAAAAAAAAAAmAIAAGRycy9kb3du&#10;cmV2LnhtbFBLBQYAAAAABAAEAPUAAACGAwAAAAA=&#10;" filled="f" stroked="f">
              <v:textbox style="mso-fit-shape-to-text:t" inset="0,0,0,0">
                <w:txbxContent>
                  <w:p w:rsidR="0097684C" w:rsidRDefault="0097684C" w:rsidP="001F0AFB">
                    <w:r>
                      <w:rPr>
                        <w:rFonts w:cs="Calibri"/>
                        <w:color w:val="000000"/>
                        <w:lang w:val="en-US"/>
                      </w:rPr>
                      <w:t>Max</w:t>
                    </w:r>
                  </w:p>
                </w:txbxContent>
              </v:textbox>
            </v:rect>
            <v:rect id="Rectangle 295" o:spid="_x0000_s1283" style="position:absolute;left:304;top:4019;width:6084;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HaPMEA&#10;AADbAAAADwAAAGRycy9kb3ducmV2LnhtbESP3YrCMBSE7wXfIRxh7zS1yC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h2jzBAAAA2wAAAA8AAAAAAAAAAAAAAAAAmAIAAGRycy9kb3du&#10;cmV2LnhtbFBLBQYAAAAABAAEAPUAAACGAwAAAAA=&#10;" filled="f" stroked="f">
              <v:textbox style="mso-fit-shape-to-text:t" inset="0,0,0,0">
                <w:txbxContent>
                  <w:p w:rsidR="0097684C" w:rsidRDefault="0097684C" w:rsidP="001F0AFB">
                    <w:r>
                      <w:rPr>
                        <w:rFonts w:cs="Calibri"/>
                        <w:color w:val="000000"/>
                        <w:lang w:val="en-US"/>
                      </w:rPr>
                      <w:t>GPP (mg O</w:t>
                    </w:r>
                  </w:p>
                </w:txbxContent>
              </v:textbox>
            </v:rect>
            <v:rect id="Rectangle 296" o:spid="_x0000_s1284" style="position:absolute;left:6089;top:4705;width:451;height:391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1/p8EA&#10;AADbAAAADwAAAGRycy9kb3ducmV2LnhtbESP3YrCMBSE7wXfIRxh7zS14C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tf6fBAAAA2wAAAA8AAAAAAAAAAAAAAAAAmAIAAGRycy9kb3du&#10;cmV2LnhtbFBLBQYAAAAABAAEAPUAAACGAwAAAAA=&#10;" filled="f" stroked="f">
              <v:textbox style="mso-fit-shape-to-text:t" inset="0,0,0,0">
                <w:txbxContent>
                  <w:p w:rsidR="0097684C" w:rsidRDefault="0097684C" w:rsidP="001F0AFB">
                    <w:r>
                      <w:rPr>
                        <w:rFonts w:cs="Calibri"/>
                        <w:color w:val="000000"/>
                        <w:sz w:val="14"/>
                        <w:szCs w:val="14"/>
                        <w:lang w:val="en-US"/>
                      </w:rPr>
                      <w:t>2</w:t>
                    </w:r>
                  </w:p>
                </w:txbxContent>
              </v:textbox>
            </v:rect>
            <v:rect id="Rectangle 297" o:spid="_x0000_s1285" style="position:absolute;left:6546;top:4019;width:4255;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h0MAA&#10;AADbAAAADwAAAGRycy9kb3ducmV2LnhtbESPzYoCMRCE74LvEFrYm2acg8hoFBEEV/biuA/QTHp+&#10;MOkMSXRm394Iwh6LqvqK2u5Ha8STfOgcK1guMhDEldMdNwp+b6f5GkSIyBqNY1LwRwH2u+lki4V2&#10;A1/pWcZGJAiHAhW0MfaFlKFqyWJYuJ44ebXzFmOSvpHa45Dg1sg8y1bSYsdpocWeji1V9/JhFchb&#10;eRrWpfGZu+T1j/k+X2tySn3NxsMGRKQx/oc/7bNWkK/g/SX9A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v/h0MAAAADbAAAADwAAAAAAAAAAAAAAAACYAgAAZHJzL2Rvd25y&#10;ZXYueG1sUEsFBgAAAAAEAAQA9QAAAIUDAAAAAA==&#10;" filled="f" stroked="f">
              <v:textbox style="mso-fit-shape-to-text:t" inset="0,0,0,0">
                <w:txbxContent>
                  <w:p w:rsidR="0097684C" w:rsidRDefault="0097684C" w:rsidP="001F0AFB">
                    <w:r>
                      <w:rPr>
                        <w:rFonts w:cs="Calibri"/>
                        <w:color w:val="000000"/>
                        <w:lang w:val="en-US"/>
                      </w:rPr>
                      <w:t>/L/Day)</w:t>
                    </w:r>
                  </w:p>
                </w:txbxContent>
              </v:textbox>
            </v:rect>
            <v:rect id="Rectangle 298" o:spid="_x0000_s1286" style="position:absolute;left:13093;top:4019;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NES8EA&#10;AADbAAAADwAAAGRycy9kb3ducmV2LnhtbESPzYoCMRCE74LvEFrYm2acgyuzRhFBUNmL4z5AM+n5&#10;waQzJNEZ394sLOyxqKqvqM1utEY8yYfOsYLlIgNBXDndcaPg53acr0GEiKzROCYFLwqw204nGyy0&#10;G/hKzzI2IkE4FKigjbEvpAxVSxbDwvXEyaudtxiT9I3UHocEt0bmWbaSFjtOCy32dGipupcPq0De&#10;yuOwLo3P3CWvv835dK3JKfUxG/dfICKN8T/81z5pBfkn/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zREvBAAAA2wAAAA8AAAAAAAAAAAAAAAAAmAIAAGRycy9kb3du&#10;cmV2LnhtbFBLBQYAAAAABAAEAPUAAACGAwAAAAA=&#10;" filled="f" stroked="f">
              <v:textbox style="mso-fit-shape-to-text:t" inset="0,0,0,0">
                <w:txbxContent>
                  <w:p w:rsidR="0097684C" w:rsidRDefault="0097684C" w:rsidP="001F0AFB">
                    <w:r>
                      <w:rPr>
                        <w:rFonts w:cs="Calibri"/>
                        <w:color w:val="000000"/>
                        <w:lang w:val="en-US"/>
                      </w:rPr>
                      <w:t>1.65</w:t>
                    </w:r>
                  </w:p>
                </w:txbxContent>
              </v:textbox>
            </v:rect>
            <v:rect id="Rectangle 299" o:spid="_x0000_s1287" style="position:absolute;left:19189;top:4019;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zQOb4A&#10;AADbAAAADwAAAGRycy9kb3ducmV2LnhtbERPS2rDMBDdB3oHMYHuYjleFONYCSEQSEs3cXqAwRp/&#10;iDQykmq7t68WhS4f71+fVmvETD6MjhXssxwEcev0yL2Cr8d1V4IIEVmjcUwKfijA6fiyqbHSbuE7&#10;zU3sRQrhUKGCIcapkjK0A1kMmZuIE9c5bzEm6HupPS4p3BpZ5PmbtDhyahhwostA7bP5tgrko7ku&#10;ZWN87j6K7tO83+4dOaVet+v5ACLSGv/Ff+6bVlCkselL+gHy+A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Qs0Dm+AAAA2wAAAA8AAAAAAAAAAAAAAAAAmAIAAGRycy9kb3ducmV2&#10;LnhtbFBLBQYAAAAABAAEAPUAAACDAwAAAAA=&#10;" filled="f" stroked="f">
              <v:textbox style="mso-fit-shape-to-text:t" inset="0,0,0,0">
                <w:txbxContent>
                  <w:p w:rsidR="0097684C" w:rsidRDefault="0097684C" w:rsidP="001F0AFB">
                    <w:r>
                      <w:rPr>
                        <w:rFonts w:cs="Calibri"/>
                        <w:color w:val="000000"/>
                        <w:lang w:val="en-US"/>
                      </w:rPr>
                      <w:t>0.35</w:t>
                    </w:r>
                  </w:p>
                </w:txbxContent>
              </v:textbox>
            </v:rect>
            <v:rect id="Rectangle 300" o:spid="_x0000_s1288" style="position:absolute;left:25279;top:4019;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B1osEA&#10;AADbAAAADwAAAGRycy9kb3ducmV2LnhtbESPzYoCMRCE7wu+Q2hhb2vGOYjOGkUEQWUvjvsAzaTn&#10;B5POkERnfHuzsOCxqKqvqPV2tEY8yIfOsYL5LANBXDndcaPg93r4WoIIEVmjcUwKnhRgu5l8rLHQ&#10;buALPcrYiAThUKCCNsa+kDJULVkMM9cTJ6923mJM0jdSexwS3BqZZ9lCWuw4LbTY076l6lberQJ5&#10;LQ/DsjQ+c+e8/jGn46Ump9TndNx9g4g0xnf4v33UCvIV/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gdaLBAAAA2wAAAA8AAAAAAAAAAAAAAAAAmAIAAGRycy9kb3du&#10;cmV2LnhtbFBLBQYAAAAABAAEAPUAAACGAwAAAAA=&#10;" filled="f" stroked="f">
              <v:textbox style="mso-fit-shape-to-text:t" inset="0,0,0,0">
                <w:txbxContent>
                  <w:p w:rsidR="0097684C" w:rsidRDefault="0097684C" w:rsidP="001F0AFB">
                    <w:r>
                      <w:rPr>
                        <w:rFonts w:cs="Calibri"/>
                        <w:color w:val="000000"/>
                        <w:lang w:val="en-US"/>
                      </w:rPr>
                      <w:t>6.20</w:t>
                    </w:r>
                  </w:p>
                </w:txbxContent>
              </v:textbox>
            </v:rect>
            <v:rect id="Rectangle 301" o:spid="_x0000_s1289" style="position:absolute;left:31369;top:4019;width:2482;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NK4r8A&#10;AADbAAAADwAAAGRycy9kb3ducmV2LnhtbERPS2rDMBDdF3IHMYXsarkO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g0rivwAAANsAAAAPAAAAAAAAAAAAAAAAAJgCAABkcnMvZG93bnJl&#10;di54bWxQSwUGAAAAAAQABAD1AAAAhAMAAAAA&#10;" filled="f" stroked="f">
              <v:textbox style="mso-fit-shape-to-text:t" inset="0,0,0,0">
                <w:txbxContent>
                  <w:p w:rsidR="0097684C" w:rsidRDefault="0097684C" w:rsidP="001F0AFB">
                    <w:r>
                      <w:rPr>
                        <w:rFonts w:cs="Calibri"/>
                        <w:color w:val="000000"/>
                        <w:lang w:val="en-US"/>
                      </w:rPr>
                      <w:t>2.01</w:t>
                    </w:r>
                  </w:p>
                </w:txbxContent>
              </v:textbox>
            </v:rect>
            <v:rect id="Rectangle 302" o:spid="_x0000_s1290" style="position:absolute;left:37458;top:4019;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vecAA&#10;AADbAAAADwAAAGRycy9kb3ducmV2LnhtbESPzYoCMRCE7wu+Q2jB25rRhU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M/vecAAAADbAAAADwAAAAAAAAAAAAAAAACYAgAAZHJzL2Rvd25y&#10;ZXYueG1sUEsFBgAAAAAEAAQA9QAAAIUDAAAAAA==&#10;" filled="f" stroked="f">
              <v:textbox style="mso-fit-shape-to-text:t" inset="0,0,0,0">
                <w:txbxContent>
                  <w:p w:rsidR="0097684C" w:rsidRDefault="0097684C" w:rsidP="001F0AFB">
                    <w:r>
                      <w:rPr>
                        <w:rFonts w:cs="Calibri"/>
                        <w:color w:val="000000"/>
                        <w:lang w:val="en-US"/>
                      </w:rPr>
                      <w:t>0.50</w:t>
                    </w:r>
                  </w:p>
                </w:txbxContent>
              </v:textbox>
            </v:rect>
            <v:rect id="Rectangle 303" o:spid="_x0000_s1291" style="position:absolute;left:43548;top:4019;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WfgcIA&#10;AADcAAAADwAAAGRycy9kb3ducmV2LnhtbESPzYoCMRCE74LvEFrYm2ZUcGXWKCIIKl4c9wGaSc8P&#10;Jp0hyTqzb78RhD0WVfUVtdkN1ogn+dA6VjCfZSCIS6dbrhV834/TNYgQkTUax6TglwLstuPRBnPt&#10;er7Rs4i1SBAOOSpoYuxyKUPZkMUwcx1x8irnLcYkfS21xz7BrZGLLFtJiy2nhQY7OjRUPoofq0De&#10;i2O/LozP3GVRXc35dKvIKfUxGfZfICIN8T/8bp+0gtXn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ZZ+BwgAAANwAAAAPAAAAAAAAAAAAAAAAAJgCAABkcnMvZG93&#10;bnJldi54bWxQSwUGAAAAAAQABAD1AAAAhwMAAAAA&#10;" filled="f" stroked="f">
              <v:textbox style="mso-fit-shape-to-text:t" inset="0,0,0,0">
                <w:txbxContent>
                  <w:p w:rsidR="0097684C" w:rsidRDefault="0097684C" w:rsidP="001F0AFB">
                    <w:r>
                      <w:rPr>
                        <w:rFonts w:cs="Calibri"/>
                        <w:color w:val="000000"/>
                        <w:lang w:val="en-US"/>
                      </w:rPr>
                      <w:t>5.25</w:t>
                    </w:r>
                  </w:p>
                </w:txbxContent>
              </v:textbox>
            </v:rect>
            <v:rect id="Rectangle 304" o:spid="_x0000_s1292" style="position:absolute;left:304;top:5994;width:5201;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wH9cIA&#10;AADcAAAADwAAAGRycy9kb3ducmV2LnhtbESPzYoCMRCE74LvEFrYm2YUcWXWKCIIKl4c9wGaSc8P&#10;Jp0hyTqzb78RhD0WVfUVtdkN1ogn+dA6VjCfZSCIS6dbrhV834/TNYgQkTUax6TglwLstuPRBnPt&#10;er7Rs4i1SBAOOSpoYuxyKUPZkMUwcx1x8irnLcYkfS21xz7BrZGLLFtJiy2nhQY7OjRUPoofq0De&#10;i2O/LozP3GVRXc35dKvIKfUxGfZfICIN8T/8bp+0gtXn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jAf1wgAAANwAAAAPAAAAAAAAAAAAAAAAAJgCAABkcnMvZG93&#10;bnJldi54bWxQSwUGAAAAAAQABAD1AAAAhwMAAAAA&#10;" filled="f" stroked="f">
              <v:textbox style="mso-fit-shape-to-text:t" inset="0,0,0,0">
                <w:txbxContent>
                  <w:p w:rsidR="0097684C" w:rsidRDefault="0097684C" w:rsidP="001F0AFB">
                    <w:r>
                      <w:rPr>
                        <w:rFonts w:cs="Calibri"/>
                        <w:color w:val="000000"/>
                        <w:lang w:val="en-US"/>
                      </w:rPr>
                      <w:t>ER (mg O</w:t>
                    </w:r>
                  </w:p>
                </w:txbxContent>
              </v:textbox>
            </v:rect>
            <v:rect id="Rectangle 305" o:spid="_x0000_s1293" style="position:absolute;left:5327;top:6680;width:451;height:391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CibsIA&#10;AADcAAAADwAAAGRycy9kb3ducmV2LnhtbESPzYoCMRCE74LvEFrYm2YUdGXWKCIIKl4c9wGaSc8P&#10;Jp0hyTqzb78RhD0WVfUVtdkN1ogn+dA6VjCfZSCIS6dbrhV834/TNYgQkTUax6TglwLstuPRBnPt&#10;er7Rs4i1SBAOOSpoYuxyKUPZkMUwcx1x8irnLcYkfS21xz7BrZGLLFtJiy2nhQY7OjRUPoofq0De&#10;i2O/LozP3GVRXc35dKvIKfUxGfZfICIN8T/8bp+0gtXnE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wKJuwgAAANwAAAAPAAAAAAAAAAAAAAAAAJgCAABkcnMvZG93&#10;bnJldi54bWxQSwUGAAAAAAQABAD1AAAAhwMAAAAA&#10;" filled="f" stroked="f">
              <v:textbox style="mso-fit-shape-to-text:t" inset="0,0,0,0">
                <w:txbxContent>
                  <w:p w:rsidR="0097684C" w:rsidRDefault="0097684C" w:rsidP="001F0AFB">
                    <w:r>
                      <w:rPr>
                        <w:rFonts w:cs="Calibri"/>
                        <w:color w:val="000000"/>
                        <w:sz w:val="14"/>
                        <w:szCs w:val="14"/>
                        <w:lang w:val="en-US"/>
                      </w:rPr>
                      <w:t>2</w:t>
                    </w:r>
                  </w:p>
                </w:txbxContent>
              </v:textbox>
            </v:rect>
            <v:rect id="Rectangle 306" o:spid="_x0000_s1294" style="position:absolute;left:5784;top:5994;width:4255;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6ZgsEA&#10;AADcAAAADwAAAGRycy9kb3ducmV2LnhtbESPzYoCMRCE7wu+Q2jB25rRg8qsUUQQVLw47gM0k54f&#10;TDpDEp3x7Y2wsMeiqr6i1tvBGvEkH1rHCmbTDARx6XTLtYLf2+F7BSJEZI3GMSl4UYDtZvS1xly7&#10;nq/0LGItEoRDjgqaGLtcylA2ZDFMXUecvMp5izFJX0vtsU9wa+Q8yxbSYstpocGO9g2V9+JhFchb&#10;cehXhfGZO8+rizkdrxU5pSbjYfcDItIQ/8N/7aNWsFgu4XMmHQG5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9emYLBAAAA3AAAAA8AAAAAAAAAAAAAAAAAmAIAAGRycy9kb3du&#10;cmV2LnhtbFBLBQYAAAAABAAEAPUAAACGAwAAAAA=&#10;" filled="f" stroked="f">
              <v:textbox style="mso-fit-shape-to-text:t" inset="0,0,0,0">
                <w:txbxContent>
                  <w:p w:rsidR="0097684C" w:rsidRDefault="0097684C" w:rsidP="001F0AFB">
                    <w:r>
                      <w:rPr>
                        <w:rFonts w:cs="Calibri"/>
                        <w:color w:val="000000"/>
                        <w:lang w:val="en-US"/>
                      </w:rPr>
                      <w:t>/L/Day)</w:t>
                    </w:r>
                  </w:p>
                </w:txbxContent>
              </v:textbox>
            </v:rect>
            <v:rect id="Rectangle 307" o:spid="_x0000_s1295" style="position:absolute;left:13093;top:5994;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EN8MAA&#10;AADcAAAADwAAAGRycy9kb3ducmV2LnhtbERPS2rDMBDdF3IHMYHsGrlZpMa1HEohkIRsYvcAgzX+&#10;UGlkJCV2b18tAl0+3r88LNaIB/kwOlbwts1AELdOj9wr+G6OrzmIEJE1Gsek4JcCHKrVS4mFdjPf&#10;6FHHXqQQDgUqGGKcCilDO5DFsHUTceI65y3GBH0vtcc5hVsjd1m2lxZHTg0DTvQ1UPtT360C2dTH&#10;Oa+Nz9xl113N+XTryCm1WS+fHyAiLfFf/HSftIL9e1qbzqQjIK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sEN8MAAAADcAAAADwAAAAAAAAAAAAAAAACYAgAAZHJzL2Rvd25y&#10;ZXYueG1sUEsFBgAAAAAEAAQA9QAAAIUDAAAAAA==&#10;" filled="f" stroked="f">
              <v:textbox style="mso-fit-shape-to-text:t" inset="0,0,0,0">
                <w:txbxContent>
                  <w:p w:rsidR="0097684C" w:rsidRDefault="0097684C" w:rsidP="001F0AFB">
                    <w:r>
                      <w:rPr>
                        <w:rFonts w:cs="Calibri"/>
                        <w:color w:val="000000"/>
                        <w:lang w:val="en-US"/>
                      </w:rPr>
                      <w:t>2.04</w:t>
                    </w:r>
                  </w:p>
                </w:txbxContent>
              </v:textbox>
            </v:rect>
            <v:rect id="Rectangle 308" o:spid="_x0000_s1296" style="position:absolute;left:19189;top:5994;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2oa8IA&#10;AADcAAAADwAAAGRycy9kb3ducmV2LnhtbESPzYoCMRCE7wu+Q2jB25rRg+uORhFBUNmL4z5AM+n5&#10;waQzJNEZ394IC3ssquorar0drBEP8qF1rGA2zUAQl063XCv4vR4+lyBCRNZoHJOCJwXYbkYfa8y1&#10;6/lCjyLWIkE45KigibHLpQxlQxbD1HXEyauctxiT9LXUHvsEt0bOs2whLbacFhrsaN9QeSvuVoG8&#10;Fod+WRifufO8+jGn46Uip9RkPOxWICIN8T/81z5qBYuvb3ifSUdA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jahrwgAAANwAAAAPAAAAAAAAAAAAAAAAAJgCAABkcnMvZG93&#10;bnJldi54bWxQSwUGAAAAAAQABAD1AAAAhwMAAAAA&#10;" filled="f" stroked="f">
              <v:textbox style="mso-fit-shape-to-text:t" inset="0,0,0,0">
                <w:txbxContent>
                  <w:p w:rsidR="0097684C" w:rsidRDefault="0097684C" w:rsidP="001F0AFB">
                    <w:r>
                      <w:rPr>
                        <w:rFonts w:cs="Calibri"/>
                        <w:color w:val="000000"/>
                        <w:lang w:val="en-US"/>
                      </w:rPr>
                      <w:t>0.65</w:t>
                    </w:r>
                  </w:p>
                </w:txbxContent>
              </v:textbox>
            </v:rect>
            <v:rect id="Rectangle 309" o:spid="_x0000_s1297" style="position:absolute;left:25279;top:5994;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Jx0b0A&#10;AADcAAAADwAAAGRycy9kb3ducmV2LnhtbERPy4rCMBTdD/gP4QruxlQXUqpRRBB0cGP1Ay7N7QOT&#10;m5JE2/l7sxBcHs57sxutES/yoXOsYDHPQBBXTnfcKLjfjr85iBCRNRrHpOCfAuy2k58NFtoNfKVX&#10;GRuRQjgUqKCNsS+kDFVLFsPc9cSJq523GBP0jdQehxRujVxm2Upa7Dg1tNjToaXqUT6tAnkrj0Ne&#10;Gp+5v2V9MefTtSan1Gw67tcgIo3xK/64T1rBKk/z05l0BOT2D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WJx0b0AAADcAAAADwAAAAAAAAAAAAAAAACYAgAAZHJzL2Rvd25yZXYu&#10;eG1sUEsFBgAAAAAEAAQA9QAAAIIDAAAAAA==&#10;" filled="f" stroked="f">
              <v:textbox style="mso-fit-shape-to-text:t" inset="0,0,0,0">
                <w:txbxContent>
                  <w:p w:rsidR="0097684C" w:rsidRDefault="0097684C" w:rsidP="001F0AFB">
                    <w:r>
                      <w:rPr>
                        <w:rFonts w:cs="Calibri"/>
                        <w:color w:val="000000"/>
                        <w:lang w:val="en-US"/>
                      </w:rPr>
                      <w:t>5.74</w:t>
                    </w:r>
                  </w:p>
                </w:txbxContent>
              </v:textbox>
            </v:rect>
            <v:rect id="Rectangle 310" o:spid="_x0000_s1298" style="position:absolute;left:31369;top:5994;width:2482;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7USsEA&#10;AADcAAAADwAAAGRycy9kb3ducmV2LnhtbESPzYoCMRCE78K+Q2jBm2b0IMNoFBEEXbw47gM0k54f&#10;TDpDknXGt98Iwh6LqvqK2u5Ha8STfOgcK1guMhDEldMdNwp+7qd5DiJEZI3GMSl4UYD97muyxUK7&#10;gW/0LGMjEoRDgQraGPtCylC1ZDEsXE+cvNp5izFJ30jtcUhwa+Qqy9bSYsdpocWeji1Vj/LXKpD3&#10;8jTkpfGZ+17VV3M532pySs2m42EDItIY/8Of9lkrWOdLeJ9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u1ErBAAAA3AAAAA8AAAAAAAAAAAAAAAAAmAIAAGRycy9kb3du&#10;cmV2LnhtbFBLBQYAAAAABAAEAPUAAACGAwAAAAA=&#10;" filled="f" stroked="f">
              <v:textbox style="mso-fit-shape-to-text:t" inset="0,0,0,0">
                <w:txbxContent>
                  <w:p w:rsidR="0097684C" w:rsidRDefault="0097684C" w:rsidP="001F0AFB">
                    <w:r>
                      <w:rPr>
                        <w:rFonts w:cs="Calibri"/>
                        <w:color w:val="000000"/>
                        <w:lang w:val="en-US"/>
                      </w:rPr>
                      <w:t>2.27</w:t>
                    </w:r>
                  </w:p>
                </w:txbxContent>
              </v:textbox>
            </v:rect>
            <v:rect id="Rectangle 311" o:spid="_x0000_s1299" style="position:absolute;left:37458;top:5994;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xKPcEA&#10;AADcAAAADwAAAGRycy9kb3ducmV2LnhtbESP3YrCMBSE7wXfIZwF7zTdXkjpGmVZEFS8se4DHJrT&#10;HzY5KUm09e2NIOzlMDPfMJvdZI24kw+9YwWfqwwEce10z62C3+t+WYAIEVmjcUwKHhRgt53PNlhq&#10;N/KF7lVsRYJwKFFBF+NQShnqjiyGlRuIk9c4bzEm6VupPY4Jbo3Ms2wtLfacFjoc6Kej+q+6WQXy&#10;Wu3HojI+c6e8OZvj4dKQU2rxMX1/gYg0xf/wu33QCtZF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8Sj3BAAAA3AAAAA8AAAAAAAAAAAAAAAAAmAIAAGRycy9kb3du&#10;cmV2LnhtbFBLBQYAAAAABAAEAPUAAACGAwAAAAA=&#10;" filled="f" stroked="f">
              <v:textbox style="mso-fit-shape-to-text:t" inset="0,0,0,0">
                <w:txbxContent>
                  <w:p w:rsidR="0097684C" w:rsidRDefault="0097684C" w:rsidP="001F0AFB">
                    <w:r>
                      <w:rPr>
                        <w:rFonts w:cs="Calibri"/>
                        <w:color w:val="000000"/>
                        <w:lang w:val="en-US"/>
                      </w:rPr>
                      <w:t>0.59</w:t>
                    </w:r>
                  </w:p>
                </w:txbxContent>
              </v:textbox>
            </v:rect>
            <v:rect id="Rectangle 312" o:spid="_x0000_s1300" style="position:absolute;left:43548;top:5994;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DvpsEA&#10;AADcAAAADwAAAGRycy9kb3ducmV2LnhtbESP3YrCMBSE7xd8h3AE79ZUBSnVKMuCoMveWH2AQ3P6&#10;g8lJSaKtb79ZELwcZuYbZrsfrREP8qFzrGAxz0AQV0533Ci4Xg6fOYgQkTUax6TgSQH2u8nHFgvt&#10;Bj7To4yNSBAOBSpoY+wLKUPVksUwdz1x8mrnLcYkfSO1xyHBrZHLLFtLix2nhRZ7+m6pupV3q0Be&#10;ysOQl8Zn7mdZ/5rT8VyTU2o2Hb82ICKN8R1+tY9awTpfwf+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w76bBAAAA3AAAAA8AAAAAAAAAAAAAAAAAmAIAAGRycy9kb3du&#10;cmV2LnhtbFBLBQYAAAAABAAEAPUAAACGAwAAAAA=&#10;" filled="f" stroked="f">
              <v:textbox style="mso-fit-shape-to-text:t" inset="0,0,0,0">
                <w:txbxContent>
                  <w:p w:rsidR="0097684C" w:rsidRDefault="0097684C" w:rsidP="001F0AFB">
                    <w:r>
                      <w:rPr>
                        <w:rFonts w:cs="Calibri"/>
                        <w:color w:val="000000"/>
                        <w:lang w:val="en-US"/>
                      </w:rPr>
                      <w:t>5.74</w:t>
                    </w:r>
                  </w:p>
                </w:txbxContent>
              </v:textbox>
            </v:rect>
            <v:rect id="Rectangle 313" o:spid="_x0000_s1301" style="position:absolute;left:304;top:7893;width:2655;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l30sEA&#10;AADcAAAADwAAAGRycy9kb3ducmV2LnhtbESP3YrCMBSE7xd8h3AE79ZUESnVKMuCoMveWH2AQ3P6&#10;g8lJSaKtb79ZELwcZuYbZrsfrREP8qFzrGAxz0AQV0533Ci4Xg6fOYgQkTUax6TgSQH2u8nHFgvt&#10;Bj7To4yNSBAOBSpoY+wLKUPVksUwdz1x8mrnLcYkfSO1xyHBrZHLLFtLix2nhRZ7+m6pupV3q0Be&#10;ysOQl8Zn7mdZ/5rT8VyTU2o2Hb82ICKN8R1+tY9awTpfwf+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Zd9LBAAAA3AAAAA8AAAAAAAAAAAAAAAAAmAIAAGRycy9kb3du&#10;cmV2LnhtbFBLBQYAAAAABAAEAPUAAACGAwAAAAA=&#10;" filled="f" stroked="f">
              <v:textbox style="mso-fit-shape-to-text:t" inset="0,0,0,0">
                <w:txbxContent>
                  <w:p w:rsidR="0097684C" w:rsidRDefault="0097684C" w:rsidP="001F0AFB">
                    <w:r>
                      <w:rPr>
                        <w:rFonts w:cs="Calibri"/>
                        <w:color w:val="000000"/>
                        <w:lang w:val="en-US"/>
                      </w:rPr>
                      <w:t>P / R</w:t>
                    </w:r>
                  </w:p>
                </w:txbxContent>
              </v:textbox>
            </v:rect>
            <v:rect id="Rectangle 314" o:spid="_x0000_s1302" style="position:absolute;left:13093;top:7893;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XSScEA&#10;AADcAAAADwAAAGRycy9kb3ducmV2LnhtbESP3YrCMBSE7xd8h3AE79ZUQSnVKMuCoMveWH2AQ3P6&#10;g8lJSaKtb79ZELwcZuYbZrsfrREP8qFzrGAxz0AQV0533Ci4Xg6fOYgQkTUax6TgSQH2u8nHFgvt&#10;Bj7To4yNSBAOBSpoY+wLKUPVksUwdz1x8mrnLcYkfSO1xyHBrZHLLFtLix2nhRZ7+m6pupV3q0Be&#10;ysOQl8Zn7mdZ/5rT8VyTU2o2Hb82ICKN8R1+tY9awTpfwf+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V0knBAAAA3AAAAA8AAAAAAAAAAAAAAAAAmAIAAGRycy9kb3du&#10;cmV2LnhtbFBLBQYAAAAABAAEAPUAAACGAwAAAAA=&#10;" filled="f" stroked="f">
              <v:textbox style="mso-fit-shape-to-text:t" inset="0,0,0,0">
                <w:txbxContent>
                  <w:p w:rsidR="0097684C" w:rsidRDefault="0097684C" w:rsidP="001F0AFB">
                    <w:r>
                      <w:rPr>
                        <w:rFonts w:cs="Calibri"/>
                        <w:color w:val="000000"/>
                        <w:lang w:val="en-US"/>
                      </w:rPr>
                      <w:t>0.72</w:t>
                    </w:r>
                  </w:p>
                </w:txbxContent>
              </v:textbox>
            </v:rect>
            <v:rect id="Rectangle 315" o:spid="_x0000_s1303" style="position:absolute;left:19189;top:7893;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dMPsEA&#10;AADcAAAADwAAAGRycy9kb3ducmV2LnhtbESP3YrCMBSE7wXfIZwF7zRdL0rpGmVZEFS8se4DHJrT&#10;HzY5KUm09e2NIOzlMDPfMJvdZI24kw+9YwWfqwwEce10z62C3+t+WYAIEVmjcUwKHhRgt53PNlhq&#10;N/KF7lVsRYJwKFFBF+NQShnqjiyGlRuIk9c4bzEm6VupPY4Jbo1cZ1kuLfacFjoc6Kej+q+6WQXy&#10;Wu3HojI+c6d1czbHw6Uhp9TiY/r+AhFpiv/hd/ugFeRF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HTD7BAAAA3AAAAA8AAAAAAAAAAAAAAAAAmAIAAGRycy9kb3du&#10;cmV2LnhtbFBLBQYAAAAABAAEAPUAAACGAwAAAAA=&#10;" filled="f" stroked="f">
              <v:textbox style="mso-fit-shape-to-text:t" inset="0,0,0,0">
                <w:txbxContent>
                  <w:p w:rsidR="0097684C" w:rsidRDefault="0097684C" w:rsidP="001F0AFB">
                    <w:r>
                      <w:rPr>
                        <w:rFonts w:cs="Calibri"/>
                        <w:color w:val="000000"/>
                        <w:lang w:val="en-US"/>
                      </w:rPr>
                      <w:t>0.22</w:t>
                    </w:r>
                  </w:p>
                </w:txbxContent>
              </v:textbox>
            </v:rect>
            <v:rect id="Rectangle 316" o:spid="_x0000_s1304" style="position:absolute;left:25279;top:7893;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vppcIA&#10;AADcAAAADwAAAGRycy9kb3ducmV2LnhtbESPzYoCMRCE7wu+Q2jB25rRgzuMRhFBcGUvjj5AM+n5&#10;waQzJNGZfXsjLOyxqKqvqM1utEY8yYfOsYLFPANBXDndcaPgdj1+5iBCRNZoHJOCXwqw204+Nlho&#10;N/CFnmVsRIJwKFBBG2NfSBmqliyGueuJk1c7bzEm6RupPQ4Jbo1cZtlKWuw4LbTY06Gl6l4+rAJ5&#10;LY9DXhqfufOy/jHfp0tNTqnZdNyvQUQa43/4r33SClb5F7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i+mlwgAAANwAAAAPAAAAAAAAAAAAAAAAAJgCAABkcnMvZG93&#10;bnJldi54bWxQSwUGAAAAAAQABAD1AAAAhwMAAAAA&#10;" filled="f" stroked="f">
              <v:textbox style="mso-fit-shape-to-text:t" inset="0,0,0,0">
                <w:txbxContent>
                  <w:p w:rsidR="0097684C" w:rsidRDefault="0097684C" w:rsidP="001F0AFB">
                    <w:r>
                      <w:rPr>
                        <w:rFonts w:cs="Calibri"/>
                        <w:color w:val="000000"/>
                        <w:lang w:val="en-US"/>
                      </w:rPr>
                      <w:t>1.54</w:t>
                    </w:r>
                  </w:p>
                </w:txbxContent>
              </v:textbox>
            </v:rect>
            <v:rect id="Rectangle 317" o:spid="_x0000_s1305" style="position:absolute;left:31369;top:7893;width:2482;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R9170A&#10;AADcAAAADwAAAGRycy9kb3ducmV2LnhtbERPy4rCMBTdD/gP4QruxlQXUqpRRBB0cGP1Ay7N7QOT&#10;m5JE2/l7sxBcHs57sxutES/yoXOsYDHPQBBXTnfcKLjfjr85iBCRNRrHpOCfAuy2k58NFtoNfKVX&#10;GRuRQjgUqKCNsS+kDFVLFsPc9cSJq523GBP0jdQehxRujVxm2Upa7Dg1tNjToaXqUT6tAnkrj0Ne&#10;Gp+5v2V9MefTtSan1Gw67tcgIo3xK/64T1rBKk9r05l0BOT2D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OxR9170AAADcAAAADwAAAAAAAAAAAAAAAACYAgAAZHJzL2Rvd25yZXYu&#10;eG1sUEsFBgAAAAAEAAQA9QAAAIIDAAAAAA==&#10;" filled="f" stroked="f">
              <v:textbox style="mso-fit-shape-to-text:t" inset="0,0,0,0">
                <w:txbxContent>
                  <w:p w:rsidR="0097684C" w:rsidRDefault="0097684C" w:rsidP="001F0AFB">
                    <w:r>
                      <w:rPr>
                        <w:rFonts w:cs="Calibri"/>
                        <w:color w:val="000000"/>
                        <w:lang w:val="en-US"/>
                      </w:rPr>
                      <w:t>0.85</w:t>
                    </w:r>
                  </w:p>
                </w:txbxContent>
              </v:textbox>
            </v:rect>
            <v:rect id="Rectangle 318" o:spid="_x0000_s1306" style="position:absolute;left:37458;top:7893;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jYTMIA&#10;AADcAAAADwAAAGRycy9kb3ducmV2LnhtbESPzYoCMRCE7wu+Q2jB25rRg8yORhFBcGUvjj5AM+n5&#10;waQzJNGZfXsjLOyxqKqvqM1utEY8yYfOsYLFPANBXDndcaPgdj1+5iBCRNZoHJOCXwqw204+Nlho&#10;N/CFnmVsRIJwKFBBG2NfSBmqliyGueuJk1c7bzEm6RupPQ4Jbo1cZtlKWuw4LbTY06Gl6l4+rAJ5&#10;LY9DXhqfufOy/jHfp0tNTqnZdNyvQUQa43/4r33SClb5F7zPp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WNhMwgAAANwAAAAPAAAAAAAAAAAAAAAAAJgCAABkcnMvZG93&#10;bnJldi54bWxQSwUGAAAAAAQABAD1AAAAhwMAAAAA&#10;" filled="f" stroked="f">
              <v:textbox style="mso-fit-shape-to-text:t" inset="0,0,0,0">
                <w:txbxContent>
                  <w:p w:rsidR="0097684C" w:rsidRDefault="0097684C" w:rsidP="001F0AFB">
                    <w:r>
                      <w:rPr>
                        <w:rFonts w:cs="Calibri"/>
                        <w:color w:val="000000"/>
                        <w:lang w:val="en-US"/>
                      </w:rPr>
                      <w:t>0.21</w:t>
                    </w:r>
                  </w:p>
                </w:txbxContent>
              </v:textbox>
            </v:rect>
            <v:rect id="Rectangle 319" o:spid="_x0000_s1307" style="position:absolute;left:43548;top:7893;width:2483;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vnDMAA&#10;AADcAAAADwAAAGRycy9kb3ducmV2LnhtbERPS2rDMBDdF3IHMYHsGrlZBNe1HEohkIRsYvcAgzX+&#10;UGlkJCV2b18tAl0+3r88LNaIB/kwOlbwts1AELdOj9wr+G6OrzmIEJE1Gsek4JcCHKrVS4mFdjPf&#10;6FHHXqQQDgUqGGKcCilDO5DFsHUTceI65y3GBH0vtcc5hVsjd1m2lxZHTg0DTvQ1UPtT360C2dTH&#10;Oa+Nz9xl113N+XTryCm1WS+fHyAiLfFf/HSftIL9e5qfzqQjIK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LvnDMAAAADcAAAADwAAAAAAAAAAAAAAAACYAgAAZHJzL2Rvd25y&#10;ZXYueG1sUEsFBgAAAAAEAAQA9QAAAIUDAAAAAA==&#10;" filled="f" stroked="f">
              <v:textbox style="mso-fit-shape-to-text:t" inset="0,0,0,0">
                <w:txbxContent>
                  <w:p w:rsidR="0097684C" w:rsidRDefault="0097684C" w:rsidP="001F0AFB">
                    <w:r>
                      <w:rPr>
                        <w:rFonts w:cs="Calibri"/>
                        <w:color w:val="000000"/>
                        <w:lang w:val="en-US"/>
                      </w:rPr>
                      <w:t>2.03</w:t>
                    </w:r>
                  </w:p>
                </w:txbxContent>
              </v:textbox>
            </v:rect>
            <v:rect id="Rectangle 320" o:spid="_x0000_s1308" style="position:absolute;left:14160;top:152;width:12979;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Cl8IA&#10;AADcAAAADwAAAGRycy9kb3ducmV2LnhtbESPzYoCMRCE78K+Q2jBm5PRg7izRlkEQcWL4z5AM+n5&#10;YZPOkGSd8e2NIOyxqKqvqM1utEbcyYfOsYJFloMgrpzuuFHwczvM1yBCRNZoHJOCBwXYbT8mGyy0&#10;G/hK9zI2IkE4FKigjbEvpAxVSxZD5nri5NXOW4xJ+kZqj0OCWyOXeb6SFjtOCy32tG+p+i3/rAJ5&#10;Kw/DujQ+d+dlfTGn47Ump9RsOn5/gYg0xv/wu33UClafC3idSUdA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90KXwgAAANwAAAAPAAAAAAAAAAAAAAAAAJgCAABkcnMvZG93&#10;bnJldi54bWxQSwUGAAAAAAQABAD1AAAAhwMAAAAA&#10;" filled="f" stroked="f">
              <v:textbox style="mso-fit-shape-to-text:t" inset="0,0,0,0">
                <w:txbxContent>
                  <w:p w:rsidR="0097684C" w:rsidRDefault="0097684C" w:rsidP="001F0AFB">
                    <w:r>
                      <w:rPr>
                        <w:rFonts w:cs="Calibri"/>
                        <w:color w:val="000000"/>
                        <w:lang w:val="en-US"/>
                      </w:rPr>
                      <w:t xml:space="preserve">Zone 4 Site </w:t>
                    </w:r>
                    <w:proofErr w:type="gramStart"/>
                    <w:r>
                      <w:rPr>
                        <w:rFonts w:cs="Calibri"/>
                        <w:color w:val="000000"/>
                        <w:lang w:val="en-US"/>
                      </w:rPr>
                      <w:t>1  (</w:t>
                    </w:r>
                    <w:proofErr w:type="gramEnd"/>
                    <w:r>
                      <w:rPr>
                        <w:rFonts w:cs="Calibri"/>
                        <w:color w:val="000000"/>
                        <w:lang w:val="en-US"/>
                      </w:rPr>
                      <w:t>n = 120)</w:t>
                    </w:r>
                  </w:p>
                </w:txbxContent>
              </v:textbox>
            </v:rect>
            <v:rect id="Rectangle 321" o:spid="_x0000_s1309" style="position:absolute;left:32740;top:152;width:12268;height:4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Xc4MIA&#10;AADcAAAADwAAAGRycy9kb3ducmV2LnhtbESPzYoCMRCE7wv7DqGFva0Z5yDuaBQRBBUvjj5AM+n5&#10;waQzJFlnfHuzIOyxqKqvqNVmtEY8yIfOsYLZNANBXDndcaPgdt1/L0CEiKzROCYFTwqwWX9+rLDQ&#10;buALPcrYiAThUKCCNsa+kDJULVkMU9cTJ6923mJM0jdSexwS3BqZZ9lcWuw4LbTY066l6l7+WgXy&#10;Wu6HRWl85k55fTbHw6Ump9TXZNwuQUQa43/43T5oBfOfHP7OpCM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JdzgwgAAANwAAAAPAAAAAAAAAAAAAAAAAJgCAABkcnMvZG93&#10;bnJldi54bWxQSwUGAAAAAAQABAD1AAAAhwMAAAAA&#10;" filled="f" stroked="f">
              <v:textbox style="mso-fit-shape-to-text:t" inset="0,0,0,0">
                <w:txbxContent>
                  <w:p w:rsidR="0097684C" w:rsidRDefault="0097684C" w:rsidP="001F0AFB">
                    <w:r>
                      <w:rPr>
                        <w:rFonts w:cs="Calibri"/>
                        <w:color w:val="000000"/>
                        <w:lang w:val="en-US"/>
                      </w:rPr>
                      <w:t xml:space="preserve">Zone 4 Site </w:t>
                    </w:r>
                    <w:proofErr w:type="gramStart"/>
                    <w:r>
                      <w:rPr>
                        <w:rFonts w:cs="Calibri"/>
                        <w:color w:val="000000"/>
                        <w:lang w:val="en-US"/>
                      </w:rPr>
                      <w:t>5  (</w:t>
                    </w:r>
                    <w:proofErr w:type="gramEnd"/>
                    <w:r>
                      <w:rPr>
                        <w:rFonts w:cs="Calibri"/>
                        <w:color w:val="000000"/>
                        <w:lang w:val="en-US"/>
                      </w:rPr>
                      <w:t>n = 48)</w:t>
                    </w:r>
                  </w:p>
                </w:txbxContent>
              </v:textbox>
            </v:rect>
            <v:line id="Line 322" o:spid="_x0000_s1310" style="position:absolute;visibility:visible;mso-wrap-style:square" from="0,0" to="111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FK8UAAADcAAAADwAAAGRycy9kb3ducmV2LnhtbESPQYvCMBSE7wv+h/AWvIimKohWo0hF&#10;8OBB6y57fds827rNS2mi1n9vFgSPw8x8wyxWranEjRpXWlYwHEQgiDOrS84VfJ22/SkI55E1VpZJ&#10;wYMcrJadjwXG2t75SLfU5yJA2MWooPC+jqV0WUEG3cDWxME728agD7LJpW7wHuCmkqMomkiDJYeF&#10;AmtKCsr+0qtR0PuZ9sb4nV6SYT5K6HLY/26OTqnuZ7ueg/DU+nf41d5pBZPZGP7PhCMgl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WFK8UAAADcAAAADwAAAAAAAAAA&#10;AAAAAAChAgAAZHJzL2Rvd25yZXYueG1sUEsFBgAAAAAEAAQA+QAAAJMDAAAAAA==&#10;" strokecolor="#dadcdd" strokeweight="0"/>
            <v:rect id="Rectangle 323" o:spid="_x0000_s1311" style="position:absolute;width:11118;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umjMUA&#10;AADcAAAADwAAAGRycy9kb3ducmV2LnhtbESP3WoCMRSE7wt9h3AKvatZi2x1NUpbUIRCwV+8PGyO&#10;m+DmZNmkuvv2TaHg5TAz3zCzRedqcaU2WM8KhoMMBHHpteVKwX63fBmDCBFZY+2ZFPQUYDF/fJhh&#10;of2NN3TdxkokCIcCFZgYm0LKUBpyGAa+IU7e2bcOY5JtJXWLtwR3tXzNslw6tJwWDDb0aai8bH+c&#10;gq/+aA+5HuLhdPzuzdvqw7pso9TzU/c+BRGpi/fwf3utFeSTEfydSUd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G6aMxQAAANwAAAAPAAAAAAAAAAAAAAAAAJgCAABkcnMv&#10;ZG93bnJldi54bWxQSwUGAAAAAAQABAD1AAAAigMAAAAA&#10;" fillcolor="#dadcdd" stroked="f"/>
            <v:line id="Line 324" o:spid="_x0000_s1312" style="position:absolute;flip:y;visibility:visible;mso-wrap-style:square" from="11195,0" to="112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Dzn8YAAADcAAAADwAAAGRycy9kb3ducmV2LnhtbESPQWvCQBSE74X+h+UJXkQ3Cg01ukqp&#10;FQtiS9N6f2SfSTD7NmRXN/33bkHocZiZb5jlujeNuFLnassKppMEBHFhdc2lgp/v7fgZhPPIGhvL&#10;pOCXHKxXjw9LzLQN/EXX3JciQthlqKDyvs2kdEVFBt3EtsTRO9nOoI+yK6XuMES4aeQsSVJpsOa4&#10;UGFLrxUV5/xiFHyM3sJ5c5ge92EUNrM65890v1NqOOhfFiA89f4/fG+/awXp/An+zsQjIF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g85/GAAAA3AAAAA8AAAAAAAAA&#10;AAAAAAAAoQIAAGRycy9kb3ducmV2LnhtbFBLBQYAAAAABAAEAPkAAACUAwAAAAA=&#10;" strokecolor="#dadcdd" strokeweight="0"/>
            <v:rect id="Rectangle 325" o:spid="_x0000_s1313" style="position:absolute;left:11195;top:-76;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k4+8UA&#10;AADcAAAADwAAAGRycy9kb3ducmV2LnhtbESPT2sCMRTE74V+h/AK3mpWD2tdjVIFi1Ao+BePj81z&#10;E7p5WTap7n77plDwOMzMb5j5snO1uFEbrGcFo2EGgrj02nKl4HjYvL6BCBFZY+2ZFPQUYLl4fppj&#10;of2dd3Tbx0okCIcCFZgYm0LKUBpyGIa+IU7e1bcOY5JtJXWL9wR3tRxnWS4dWk4LBhtaGyq/9z9O&#10;wWd/tqdcj/B0OX/1ZvKxsi7bKTV46d5nICJ18RH+b2+1gnw6gb8z6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yTj7xQAAANwAAAAPAAAAAAAAAAAAAAAAAJgCAABkcnMv&#10;ZG93bnJldi54bWxQSwUGAAAAAAQABAD1AAAAigMAAAAA&#10;" fillcolor="#dadcdd" stroked="f"/>
            <v:line id="Line 326" o:spid="_x0000_s1314" style="position:absolute;flip:y;visibility:visible;mso-wrap-style:square" from="29464,0" to="294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FcAcIAAADcAAAADwAAAGRycy9kb3ducmV2LnhtbERPz2vCMBS+D/wfwhO8iKZ6KFs1iszJ&#10;BjKHVe+P5tkWm5fSZKb7781B2PHj+71c96YRd+pcbVnBbJqAIC6srrlUcD7tJq8gnEfW2FgmBX/k&#10;YL0avCwx0zbwke65L0UMYZehgsr7NpPSFRUZdFPbEkfuajuDPsKulLrDEMNNI+dJkkqDNceGClt6&#10;r6i45b9GwWH8EW7b79llH8ZhO69z/kn3n0qNhv1mAcJT7//FT/eXVpC+xbXxTDwCcvU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KFcAcIAAADcAAAADwAAAAAAAAAAAAAA&#10;AAChAgAAZHJzL2Rvd25yZXYueG1sUEsFBgAAAAAEAAQA+QAAAJADAAAAAA==&#10;" strokecolor="#dadcdd" strokeweight="0"/>
            <v:rect id="Rectangle 327" o:spid="_x0000_s1315" style="position:absolute;left:29464;top:-76;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oJEsUA&#10;AADcAAAADwAAAGRycy9kb3ducmV2LnhtbESPT2sCMRTE74LfITzBm2btYVu3RtFCpVAQ/EuPj83r&#10;JnTzsmxS3f32jVDwOMzMb5jFqnO1uFIbrGcFs2kGgrj02nKl4HR8n7yACBFZY+2ZFPQUYLUcDhZY&#10;aH/jPV0PsRIJwqFABSbGppAylIYchqlviJP37VuHMcm2krrFW4K7Wj5lWS4dWk4LBht6M1T+HH6d&#10;gs/+Ys+5nuH567LrzfN2Y122V2o86tavICJ18RH+b39oBfl8Dvcz6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GgkSxQAAANwAAAAPAAAAAAAAAAAAAAAAAJgCAABkcnMv&#10;ZG93bnJldi54bWxQSwUGAAAAAAQABAD1AAAAigMAAAAA&#10;" fillcolor="#dadcdd" stroked="f"/>
            <v:rect id="Rectangle 328" o:spid="_x0000_s1316" style="position:absolute;left:11271;top:-76;width:36544;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aR1cMA&#10;AADcAAAADwAAAGRycy9kb3ducmV2LnhtbERPy2oCMRTdF/oP4Rbc1aRiq45GqYVCN0J9LHR3nVxn&#10;Bic30yTV0a83C8Hl4bwns9bW4kQ+VI41vHUVCOLcmYoLDZv19+sQRIjIBmvHpOFCAWbT56cJZsad&#10;eUmnVSxECuGQoYYyxiaTMuQlWQxd1xAn7uC8xZigL6TxeE7htpY9pT6kxYpTQ4kNfZWUH1f/VsN8&#10;NJz//fZ5cV3ud7Tb7o/vPa+07ry0n2MQkdr4EN/dP0bDQKX56Uw6AnJ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aR1cMAAADcAAAADwAAAAAAAAAAAAAAAACYAgAAZHJzL2Rv&#10;d25yZXYueG1sUEsFBgAAAAAEAAQA9QAAAIgDAAAAAA==&#10;" fillcolor="black" stroked="f"/>
            <v:line id="Line 329" o:spid="_x0000_s1317" style="position:absolute;flip:y;visibility:visible;mso-wrap-style:square" from="47739,0" to="4774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BvhsUAAADcAAAADwAAAGRycy9kb3ducmV2LnhtbESPQWvCQBSE70L/w/KEXkQ38WBLdBWp&#10;LS2ISqPeH9lnEsy+Ddmtm/77rlDwOMzMN8xi1ZtG3KhztWUF6SQBQVxYXXOp4HT8GL+CcB5ZY2OZ&#10;FPySg9XyabDATNvA33TLfSkihF2GCirv20xKV1Rk0E1sSxy9i+0M+ii7UuoOQ4SbRk6TZCYN1hwX&#10;KmzpraLimv8YBfvRe7hudul5G0ZhM61zPsy2n0o9D/v1HISn3j/C/+0vreAlSeF+Jh4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3BvhsUAAADcAAAADwAAAAAAAAAA&#10;AAAAAAChAgAAZHJzL2Rvd25yZXYueG1sUEsFBgAAAAAEAAQA+QAAAJMDAAAAAA==&#10;" strokecolor="#dadcdd" strokeweight="0"/>
            <v:rect id="Rectangle 330" o:spid="_x0000_s1318" style="position:absolute;left:47739;top:-76;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UBecQA&#10;AADcAAAADwAAAGRycy9kb3ducmV2LnhtbESPT2sCMRTE74V+h/AKvdVEDyqrUWyhRSgU/IvHx+a5&#10;CW5elk3U3W/fFAoeh5n5DTNfdr4WN2qjC6xhOFAgiMtgHFca9rvPtymImJAN1oFJQ08RlovnpzkW&#10;Jtx5Q7dtqkSGcCxQg02pKaSMpSWPcRAa4uydQ+sxZdlW0rR4z3Bfy5FSY+nRcV6w2NCHpfKyvXoN&#10;3/3RHcZmiIfT8ae3k69359VG69eXbjUDkahLj/B/e200TNQI/s7k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VAXnEAAAA3AAAAA8AAAAAAAAAAAAAAAAAmAIAAGRycy9k&#10;b3ducmV2LnhtbFBLBQYAAAAABAAEAPUAAACJAwAAAAA=&#10;" fillcolor="#dadcdd" stroked="f"/>
            <v:line id="Line 331" o:spid="_x0000_s1319" style="position:absolute;visibility:visible;mso-wrap-style:square" from="0,1898" to="11118,1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4fMcUAAADcAAAADwAAAGRycy9kb3ducmV2LnhtbESPQYvCMBSE7wv+h/AEL6KpCrtSjSIV&#10;wcMetKt4fTZv27rNS2midv+9EQSPw8x8w8yXranEjRpXWlYwGkYgiDOrS84VHH42gykI55E1VpZJ&#10;wT85WC46H3OMtb3znm6pz0WAsItRQeF9HUvpsoIMuqGtiYP3axuDPsgml7rBe4CbSo6j6FMaLDks&#10;FFhTUlD2l16Ngv5p2p/gMb0ko3yc0GX3fV7vnVK9bruagfDU+nf41d5qBV/RBJ5nwhG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44fMcUAAADcAAAADwAAAAAAAAAA&#10;AAAAAAChAgAAZHJzL2Rvd25yZXYueG1sUEsFBgAAAAAEAAQA+QAAAJMDAAAAAA==&#10;" strokecolor="#dadcdd" strokeweight="0"/>
            <v:rect id="Rectangle 332" o:spid="_x0000_s1320" style="position:absolute;top:1898;width:11118;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uL8IA&#10;AADcAAAADwAAAGRycy9kb3ducmV2LnhtbERPXWvCMBR9F/Yfwh3sTVNFVLpG2QaOwUCwzrLHS3PX&#10;hDU3pcm0/ffLg+Dj4XwXu8G14kJ9sJ4VzGcZCOLaa8uNgq/TfroBESKyxtYzKRgpwG77MCkw1/7K&#10;R7qUsREphEOOCkyMXS5lqA05DDPfESfux/cOY4J9I3WP1xTuWrnIspV0aDk1GOzozVD9W/45BZ9j&#10;Zc8rPcfzd3UYzfr91brsqNTT4/DyDCLSEO/im/tDK1gu09p0Jh0Buf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8u4vwgAAANwAAAAPAAAAAAAAAAAAAAAAAJgCAABkcnMvZG93&#10;bnJldi54bWxQSwUGAAAAAAQABAD1AAAAhwMAAAAA&#10;" fillcolor="#dadcdd" stroked="f"/>
            <v:line id="Line 333" o:spid="_x0000_s1321" style="position:absolute;flip:y;visibility:visible;mso-wrap-style:square" from="17284,0" to="17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m7PMUAAADcAAAADwAAAGRycy9kb3ducmV2LnhtbESPQWvCQBSE74X+h+UVehHdKCIaXaXU&#10;FgVpxaj3R/aZBLNvQ3brxn/fFQo9DjPzDbNYdaYWN2pdZVnBcJCAIM6trrhQcDp+9qcgnEfWWFsm&#10;BXdysFo+Py0w1TbwgW6ZL0SEsEtRQel9k0rp8pIMuoFtiKN3sa1BH2VbSN1iiHBTy1GSTKTBiuNC&#10;iQ29l5Rfsx+j4Lv3Ea7rr+F5F3phPaoy3k92G6VeX7q3OQhPnf8P/7W3WsF4PIPHmXgE5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Em7PMUAAADcAAAADwAAAAAAAAAA&#10;AAAAAAChAgAAZHJzL2Rvd25yZXYueG1sUEsFBgAAAAAEAAQA+QAAAJMDAAAAAA==&#10;" strokecolor="#dadcdd" strokeweight="0"/>
            <v:rect id="Rectangle 334" o:spid="_x0000_s1322" style="position:absolute;left:17284;top:-76;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109MIA&#10;AADcAAAADwAAAGRycy9kb3ducmV2LnhtbERPW2vCMBR+H+w/hCPsbabKdFKbyhxsCIOBV3w8NMcm&#10;2JyUJtP23y8Pgz1+fPdi1btG3KgL1rOCyTgDQVx5bblWcNh/PC9AhIissfFMCgYKsCofHwrMtb/z&#10;lm67WIsUwiFHBSbGNpcyVIYchrFviRN38Z3DmGBXS93hPYW7Rk6zbC4dWk4NBlt6N1Rddz9Owddw&#10;sse5nuDxfPoezOvn2rpsq9TTqH9bgojUx3/xn3ujFbzM0vx0Jh0BW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XXT0wgAAANwAAAAPAAAAAAAAAAAAAAAAAJgCAABkcnMvZG93&#10;bnJldi54bWxQSwUGAAAAAAQABAD1AAAAhwMAAAAA&#10;" fillcolor="#dadcdd" stroked="f"/>
            <v:line id="Line 335" o:spid="_x0000_s1323" style="position:absolute;flip:y;visibility:visible;mso-wrap-style:square" from="23374,0" to="233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h58YAAADcAAAADwAAAGRycy9kb3ducmV2LnhtbESPQWvCQBSE74X+h+UJXkQ3kVYkukqp&#10;FQtiS9N6f2SfSTD7NmRXN/33bkHocZiZb5jlujeNuFLnassK0kkCgriwuuZSwc/3djwH4TyyxsYy&#10;KfglB+vV48MSM20Df9E196WIEHYZKqi8bzMpXVGRQTexLXH0TrYz6KPsSqk7DBFuGjlNkpk0WHNc&#10;qLCl14qKc34xCj5Gb+G8OaTHfRiFzbTO+XO23yk1HPQvCxCeev8fvrfftYKn5xT+zsQjIF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mIefGAAAA3AAAAA8AAAAAAAAA&#10;AAAAAAAAoQIAAGRycy9kb3ducmV2LnhtbFBLBQYAAAAABAAEAPkAAACUAwAAAAA=&#10;" strokecolor="#dadcdd" strokeweight="0"/>
            <v:rect id="Rectangle 336" o:spid="_x0000_s1324" style="position:absolute;left:23374;top:-76;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NPGMYA&#10;AADcAAAADwAAAGRycy9kb3ducmV2LnhtbESPS2vDMBCE74X8B7GF3ho5oXngRglJoKVQKMR5kONi&#10;bS1Ra2UsNbH/fVQo5DjMzDfMYtW5WlyoDdazgtEwA0Fcem25UnDYvz3PQYSIrLH2TAp6CrBaDh4W&#10;mGt/5R1diliJBOGQowITY5NLGUpDDsPQN8TJ+/atw5hkW0nd4jXBXS3HWTaVDi2nBYMNbQ2VP8Wv&#10;U/DZn+xxqkd4PJ++ejN731iX7ZR6euzWryAidfEe/m9/aAUvkzH8nU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8NPGMYAAADcAAAADwAAAAAAAAAAAAAAAACYAgAAZHJz&#10;L2Rvd25yZXYueG1sUEsFBgAAAAAEAAQA9QAAAIsDAAAAAA==&#10;" fillcolor="#dadcdd" stroked="f"/>
            <v:line id="Line 337" o:spid="_x0000_s1325" style="position:absolute;flip:y;visibility:visible;mso-wrap-style:square" from="35553,0" to="355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rrWsUAAADcAAAADwAAAGRycy9kb3ducmV2LnhtbESPQWvCQBSE7wX/w/IEL1I3kRIkdRXR&#10;lhakLab1/sg+k2D2bciubvrvXaHQ4zAz3zDL9WBacaXeNZYVpLMEBHFpdcOVgp/v18cFCOeRNbaW&#10;ScEvOVivRg9LzLUNfKBr4SsRIexyVFB73+VSurImg25mO+LonWxv0EfZV1L3GCLctHKeJJk02HBc&#10;qLGjbU3lubgYBZ/Tl3DefaTHfZiG3bwp+Cvbvyk1GQ+bZxCeBv8f/mu/awVPWQr3M/EIyN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rrWsUAAADcAAAADwAAAAAAAAAA&#10;AAAAAAChAgAAZHJzL2Rvd25yZXYueG1sUEsFBgAAAAAEAAQA+QAAAJMDAAAAAA==&#10;" strokecolor="#dadcdd" strokeweight="0"/>
            <v:rect id="Rectangle 338" o:spid="_x0000_s1326" style="position:absolute;left:35553;top:-76;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Yd0cUA&#10;AADcAAAADwAAAGRycy9kb3ducmV2LnhtbESP3WoCMRSE7wt9h3AK3tWsUlfZGqUVWgpCwV96edic&#10;bkI3J8sm6u7bG6Hg5TAz3zDzZedqcaY2WM8KRsMMBHHpteVKwX738TwDESKyxtozKegpwHLx+DDH&#10;QvsLb+i8jZVIEA4FKjAxNoWUoTTkMAx9Q5y8X986jEm2ldQtXhLc1XKcZbl0aDktGGxoZaj8256c&#10;gnV/tIdcj/Dwc/zuzfTz3bpso9TgqXt7BRGpi/fwf/tLK3jJJ3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Rh3RxQAAANwAAAAPAAAAAAAAAAAAAAAAAJgCAABkcnMv&#10;ZG93bnJldi54bWxQSwUGAAAAAAQABAD1AAAAigMAAAAA&#10;" fillcolor="#dadcdd" stroked="f"/>
            <v:line id="Line 339" o:spid="_x0000_s1327" style="position:absolute;flip:y;visibility:visible;mso-wrap-style:square" from="41649,0" to="416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NzLsUAAADcAAAADwAAAGRycy9kb3ducmV2LnhtbESPQWvCQBSE74X+h+UJvYhuFAkluorU&#10;lhakSqPeH9lnEsy+DdmtG/+9KxR6HGbmG2ax6k0jrtS52rKCyTgBQVxYXXOp4Hj4GL2CcB5ZY2OZ&#10;FNzIwWr5/LTATNvAP3TNfSkihF2GCirv20xKV1Rk0I1tSxy9s+0M+ii7UuoOQ4SbRk6TJJUGa44L&#10;Fbb0VlFxyX+Ngt3wPVw235PTNgzDZlrnvE+3n0q9DPr1HISn3v+H/9pfWsEsTeFxJh4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mNzLsUAAADcAAAADwAAAAAAAAAA&#10;AAAAAAChAgAAZHJzL2Rvd25yZXYueG1sUEsFBgAAAAAEAAQA+QAAAJMDAAAAAA==&#10;" strokecolor="#dadcdd" strokeweight="0"/>
            <v:rect id="Rectangle 340" o:spid="_x0000_s1328" style="position:absolute;left:41649;top:-76;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gmPcUA&#10;AADcAAAADwAAAGRycy9kb3ducmV2LnhtbESPUWvCMBSF3wf7D+EOfJupQ6p0RpnChiAI6ip7vDR3&#10;TVhzU5pM239vBgMfD+ec73AWq9414kJdsJ4VTMYZCOLKa8u1gs/T+/McRIjIGhvPpGCgAKvl48MC&#10;C+2vfKDLMdYiQTgUqMDE2BZShsqQwzD2LXHyvn3nMCbZ1VJ3eE1w18iXLMulQ8tpwWBLG0PVz/HX&#10;KdgNZ1vmeoLl13k/mNnH2rrsoNToqX97BRGpj/fwf3urFUzzGfydS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2CY9xQAAANwAAAAPAAAAAAAAAAAAAAAAAJgCAABkcnMv&#10;ZG93bnJldi54bWxQSwUGAAAAAAQABAD1AAAAigMAAAAA&#10;" fillcolor="#dadcdd" stroked="f"/>
            <v:rect id="Rectangle 341" o:spid="_x0000_s1329" style="position:absolute;left:11271;top:1822;width:36544;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a8lMYA&#10;AADcAAAADwAAAGRycy9kb3ducmV2LnhtbESPQWsCMRSE74L/ITyhNzerqOjWKFUQeilU20O9PTfP&#10;3cXNyzZJdfXXN4LgcZiZb5j5sjW1OJPzlWUFgyQFQZxbXXGh4Ptr05+C8AFZY22ZFFzJw3LR7cwx&#10;0/bCWzrvQiEihH2GCsoQmkxKn5dk0Ce2IY7e0TqDIUpXSO3wEuGmlsM0nUiDFceFEhtal5Sfdn9G&#10;wWo2Xf1+jvjjtj3saf9zOI2HLlXqpde+vYII1IZn+NF+1wpGkxncz8Qj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a8lMYAAADcAAAADwAAAAAAAAAAAAAAAACYAgAAZHJz&#10;L2Rvd25yZXYueG1sUEsFBgAAAAAEAAQA9QAAAIsDAAAAAA==&#10;" fillcolor="black" stroked="f"/>
            <v:line id="Line 342" o:spid="_x0000_s1330" style="position:absolute;visibility:visible;mso-wrap-style:square" from="0,0" to="0,3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oq8YAAADcAAAADwAAAGRycy9kb3ducmV2LnhtbESPQWvCQBSE74L/YXlCL6Ibo1SJriKR&#10;Qg89aNrS6zP7TKLZtyG71fjv3YLQ4zAz3zCrTWdqcaXWVZYVTMYRCOLc6ooLBV+fb6MFCOeRNdaW&#10;ScGdHGzW/d4KE21vfKBr5gsRIOwSVFB63yRSurwkg25sG+LgnWxr0AfZFlK3eAtwU8s4il6lwYrD&#10;QokNpSXll+zXKBj+LIZT/M7O6aSIUzrvP467g1PqZdBtlyA8df4//Gy/awWzeQx/Z8IRkO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vhqKvGAAAA3AAAAA8AAAAAAAAA&#10;AAAAAAAAoQIAAGRycy9kb3ducmV2LnhtbFBLBQYAAAAABAAEAPkAAACUAwAAAAA=&#10;" strokecolor="#dadcdd" strokeweight="0"/>
            <v:rect id="Rectangle 343" o:spid="_x0000_s1331" style="position:absolute;width:76;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q248UA&#10;AADcAAAADwAAAGRycy9kb3ducmV2LnhtbESP3WoCMRSE7wXfIZxC7zSrFZWtUbTQIhQEf/HysDnd&#10;hG5Olk2qu2/fCIVeDjPzDbNYta4SN2qC9axgNMxAEBdeWy4VnI7vgzmIEJE1Vp5JQUcBVst+b4G5&#10;9nfe0+0QS5EgHHJUYGKscylDYchhGPqaOHlfvnEYk2xKqRu8J7ir5DjLptKh5bRgsKY3Q8X34ccp&#10;+Owu9jzVIzxfL7vOzD421mV7pZ6f2vUriEht/A//tbdawWT2Ao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OrbjxQAAANwAAAAPAAAAAAAAAAAAAAAAAJgCAABkcnMv&#10;ZG93bnJldi54bWxQSwUGAAAAAAQABAD1AAAAigMAAAAA&#10;" fillcolor="#dadcdd" stroked="f"/>
            <v:rect id="Rectangle 344" o:spid="_x0000_s1332" style="position:absolute;left:76;top:3721;width:47739;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6F18cA&#10;AADcAAAADwAAAGRycy9kb3ducmV2LnhtbESPT2sCMRTE74V+h/AEbzWrbKuuRqkFwUuh/jno7bl5&#10;7i5uXrZJ1G0/fSMUPA4z8xtmOm9NLa7kfGVZQb+XgCDOra64ULDbLl9GIHxA1lhbJgU/5GE+e36a&#10;Yqbtjdd03YRCRAj7DBWUITSZlD4vyaDv2YY4eifrDIYoXSG1w1uEm1oOkuRNGqw4LpTY0EdJ+Xlz&#10;MQoW49Hi+yvlz9/18UCH/fH8OnCJUt1O+z4BEagNj/B/e6UVpMMU7mfiE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hdfHAAAA3AAAAA8AAAAAAAAAAAAAAAAAmAIAAGRy&#10;cy9kb3ducmV2LnhtbFBLBQYAAAAABAAEAPUAAACMAwAAAAA=&#10;" fillcolor="black" stroked="f"/>
            <v:line id="Line 345" o:spid="_x0000_s1333" style="position:absolute;visibility:visible;mso-wrap-style:square" from="76,5765" to="11118,5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gw38cAAADcAAAADwAAAGRycy9kb3ducmV2LnhtbESPT2vCQBTE7wW/w/IKvUjdqLWVmFVK&#10;itBDDxqVXp/Z1/wx+zZkt5p+e1coeBxm5jdMsupNI87UucqygvEoAkGcW11xoWC/Wz/PQTiPrLGx&#10;TAr+yMFqOXhIMNb2wls6Z74QAcIuRgWl920spctLMuhGtiUO3o/tDPogu0LqDi8Bbho5iaJXabDi&#10;sFBiS2lJ+Sn7NQqG3/PhFA9ZnY6LSUr15uv4sXVKPT327wsQnnp/D/+3P7WCl7cZ3M6EI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CDDfxwAAANwAAAAPAAAAAAAA&#10;AAAAAAAAAKECAABkcnMvZG93bnJldi54bWxQSwUGAAAAAAQABAD5AAAAlQMAAAAA&#10;" strokecolor="#dadcdd" strokeweight="0"/>
            <v:rect id="Rectangle 346" o:spid="_x0000_s1334" style="position:absolute;left:76;top:5765;width:11042;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0Ve8UA&#10;AADcAAAADwAAAGRycy9kb3ducmV2LnhtbESPUWvCMBSF3wf7D+EOfJupQ6p0RpnChiAI6ip7vDR3&#10;TVhzU5pM239vBgMfD+ec73AWq9414kJdsJ4VTMYZCOLKa8u1gs/T+/McRIjIGhvPpGCgAKvl48MC&#10;C+2vfKDLMdYiQTgUqMDE2BZShsqQwzD2LXHyvn3nMCbZ1VJ3eE1w18iXLMulQ8tpwWBLG0PVz/HX&#10;KdgNZ1vmeoLl13k/mNnH2rrsoNToqX97BRGpj/fwf3urFUxnOfydS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TRV7xQAAANwAAAAPAAAAAAAAAAAAAAAAAJgCAABkcnMv&#10;ZG93bnJldi54bWxQSwUGAAAAAAQABAD1AAAAigMAAAAA&#10;" fillcolor="#dadcdd" stroked="f"/>
            <v:line id="Line 347" o:spid="_x0000_s1335" style="position:absolute;visibility:visible;mso-wrap-style:square" from="11271,5765" to="17208,5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YLM8YAAADcAAAADwAAAGRycy9kb3ducmV2LnhtbESPT2vCQBTE74V+h+UVvIhu1FIlZpWS&#10;InjwUFPF6zP7mj/Nvg3ZVeO37wqFHoeZ+Q2TrHvTiCt1rrKsYDKOQBDnVldcKDh8bUYLEM4ja2ws&#10;k4I7OVivnp8SjLW98Z6umS9EgLCLUUHpfRtL6fKSDLqxbYmD9207gz7IrpC6w1uAm0ZOo+hNGqw4&#10;LJTYUlpS/pNdjILhaTGc4TGr00kxTan+3J0/9k6pwUv/vgThqff/4b/2Vit4nc/hcSYcAb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uWCzPGAAAA3AAAAA8AAAAAAAAA&#10;AAAAAAAAoQIAAGRycy9kb3ducmV2LnhtbFBLBQYAAAAABAAEAPkAAACUAwAAAAA=&#10;" strokecolor="#dadcdd" strokeweight="0"/>
            <v:rect id="Rectangle 348" o:spid="_x0000_s1336" style="position:absolute;left:11271;top:5765;width:5937;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kksIA&#10;AADcAAAADwAAAGRycy9kb3ducmV2LnhtbERPW2vCMBR+H/gfwhH2NlPHUKlGUWEyGAysF3w8NMcm&#10;2JyUJmr775eHwR4/vvti1blaPKgN1rOC8SgDQVx6bblScDx8vs1AhIissfZMCnoKsFoOXhaYa//k&#10;PT2KWIkUwiFHBSbGJpcylIYchpFviBN39a3DmGBbSd3iM4W7Wr5n2UQ6tJwaDDa0NVTeirtT8N2f&#10;7Wmix3i6nH96M91trMv2Sr0Ou/UcRKQu/ov/3F9awcc0rU1n0hG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niSSwgAAANwAAAAPAAAAAAAAAAAAAAAAAJgCAABkcnMvZG93&#10;bnJldi54bWxQSwUGAAAAAAQABAD1AAAAhwMAAAAA&#10;" fillcolor="#dadcdd" stroked="f"/>
            <v:line id="Line 349" o:spid="_x0000_s1337" style="position:absolute;visibility:visible;mso-wrap-style:square" from="17360,5765" to="23298,5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U62scAAADcAAAADwAAAGRycy9kb3ducmV2LnhtbESPT2vCQBTE7wW/w/IKvUjdqMXamFVK&#10;itBDDxqVXp/Z1/wx+zZkt5p+e1coeBxm5jdMsupNI87UucqygvEoAkGcW11xoWC/Wz/PQTiPrLGx&#10;TAr+yMFqOXhIMNb2wls6Z74QAcIuRgWl920spctLMuhGtiUO3o/tDPogu0LqDi8Bbho5iaKZNFhx&#10;WCixpbSk/JT9GgXD7/lwioesTsfFJKV683X82Dqlnh779wUIT72/h//bn1rBy+sb3M6EI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RTraxwAAANwAAAAPAAAAAAAA&#10;AAAAAAAAAKECAABkcnMvZG93bnJldi54bWxQSwUGAAAAAAQABAD5AAAAlQMAAAAA&#10;" strokecolor="#dadcdd" strokeweight="0"/>
            <v:rect id="Rectangle 350" o:spid="_x0000_s1338" style="position:absolute;left:17360;top:5765;width:5938;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KAcQA&#10;AADbAAAADwAAAGRycy9kb3ducmV2LnhtbESPUWvCMBSF3wX/Q7jC3jR1BZVqlG2wMRgM1Cl7vDTX&#10;Jqy5KU1m23+/DAQfD+ec73A2u97V4kptsJ4VzGcZCOLSa8uVgq/j63QFIkRkjbVnUjBQgN12PNpg&#10;oX3He7oeYiUShEOBCkyMTSFlKA05DDPfECfv4luHMcm2krrFLsFdLR+zbCEdWk4LBht6MVT+HH6d&#10;go/hbE8LPcfT9/lzMMu3Z+uyvVIPk/5pDSJSH+/hW/tdK8hz+P+Sfo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IygHEAAAA2wAAAA8AAAAAAAAAAAAAAAAAmAIAAGRycy9k&#10;b3ducmV2LnhtbFBLBQYAAAAABAAEAPUAAACJAwAAAAA=&#10;" fillcolor="#dadcdd" stroked="f"/>
            <v:line id="Line 351" o:spid="_x0000_s1339" style="position:absolute;visibility:visible;mso-wrap-style:square" from="23450,5765" to="29387,5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0xGMQAAADbAAAADwAAAGRycy9kb3ducmV2LnhtbESPT4vCMBTE74LfITxhL6KpfxCpRpHK&#10;wh48rHUXr8/m2Vabl9JktX77jSB4HGbmN8xy3ZpK3KhxpWUFo2EEgjizuuRcwc/hczAH4Tyyxsoy&#10;KXiQg/Wq21lirO2d93RLfS4ChF2MCgrv61hKlxVk0A1tTRy8s20M+iCbXOoG7wFuKjmOopk0WHJY&#10;KLCmpKDsmv4ZBf3jvD/B3/SSjPJxQpfv3Wm7d0p99NrNAoSn1r/Dr/aXVjCZwvNL+AF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zTEYxAAAANsAAAAPAAAAAAAAAAAA&#10;AAAAAKECAABkcnMvZG93bnJldi54bWxQSwUGAAAAAAQABAD5AAAAkgMAAAAA&#10;" strokecolor="#dadcdd" strokeweight="0"/>
            <v:rect id="Rectangle 352" o:spid="_x0000_s1340" style="position:absolute;left:23450;top:5765;width:5937;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337sQA&#10;AADbAAAADwAAAGRycy9kb3ducmV2LnhtbESP3WoCMRSE7wt9h3AKvatZK1VZjdIWFEEo+IuXh81x&#10;E9ycLJtUd9++EQpeDjPzDTOdt64SV2qC9ayg38tAEBdeWy4V7HeLtzGIEJE1Vp5JQUcB5rPnpynm&#10;2t94Q9dtLEWCcMhRgYmxzqUMhSGHoedr4uSdfeMwJtmUUjd4S3BXyfcsG0qHltOCwZq+DRWX7a9T&#10;sO6O9jDUfTycjj+dGS2/rMs2Sr2+tJ8TEJHa+Aj/t1daweAD7l/SD5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t9+7EAAAA2wAAAA8AAAAAAAAAAAAAAAAAmAIAAGRycy9k&#10;b3ducmV2LnhtbFBLBQYAAAAABAAEAPUAAACJAwAAAAA=&#10;" fillcolor="#dadcdd" stroked="f"/>
            <v:line id="Line 353" o:spid="_x0000_s1341" style="position:absolute;visibility:visible;mso-wrap-style:square" from="29540,5765" to="35477,5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vb8QAAADbAAAADwAAAGRycy9kb3ducmV2LnhtbESPQYvCMBSE74L/ITxhL6KpCirVKFJZ&#10;2IOHte7i9dk822rzUpqs1n+/EQSPw8x8wyzXranEjRpXWlYwGkYgiDOrS84V/Bw+B3MQziNrrCyT&#10;ggc5WK+6nSXG2t55T7fU5yJA2MWooPC+jqV0WUEG3dDWxME728agD7LJpW7wHuCmkuMomkqDJYeF&#10;AmtKCsqu6Z9R0D/O+xP8TS/JKB8ndPnenbZ7p9RHr90sQHhq/Tv8an9pBZMZPL+EHy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H69vxAAAANsAAAAPAAAAAAAAAAAA&#10;AAAAAKECAABkcnMvZG93bnJldi54bWxQSwUGAAAAAAQABAD5AAAAkgMAAAAA&#10;" strokecolor="#dadcdd" strokeweight="0"/>
            <v:rect id="Rectangle 354" o:spid="_x0000_s1342" style="position:absolute;left:29540;top:5765;width:5937;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xYcMEA&#10;AADbAAAADwAAAGRycy9kb3ducmV2LnhtbERPXWvCMBR9F/Yfwh34pqkOdHRG2QSHIAjWKXu8NHdN&#10;WHNTmqjtvzcPgo+H871Yda4WV2qD9axgMs5AEJdeW64U/Bw3o3cQISJrrD2Tgp4CrJYvgwXm2t/4&#10;QNciViKFcMhRgYmxyaUMpSGHYewb4sT9+dZhTLCtpG7xlsJdLadZNpMOLacGgw2tDZX/xcUp2PVn&#10;e5rpCZ5+z/vezL+/rMsOSg1fu88PEJG6+BQ/3Fut4C2NTV/SD5DL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ZsWHDBAAAA2wAAAA8AAAAAAAAAAAAAAAAAmAIAAGRycy9kb3du&#10;cmV2LnhtbFBLBQYAAAAABAAEAPUAAACGAwAAAAA=&#10;" fillcolor="#dadcdd" stroked="f"/>
            <v:line id="Line 355" o:spid="_x0000_s1343" style="position:absolute;visibility:visible;mso-wrap-style:square" from="35629,5765" to="41573,5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ehsUAAADbAAAADwAAAGRycy9kb3ducmV2LnhtbESPQWvCQBSE74L/YXlCL6KbRBCbuopE&#10;Cj14qGmL19fsaxKbfRuy2yT++26h4HGYmW+Y7X40jeipc7VlBfEyAkFcWF1zqeD97XmxAeE8ssbG&#10;Mim4kYP9bjrZYqrtwGfqc1+KAGGXooLK+zaV0hUVGXRL2xIH78t2Bn2QXSl1h0OAm0YmUbSWBmsO&#10;CxW2lFVUfOc/RsH8spmv8CO/ZnGZZHR9PX0ez06ph9l4eALhafT38H/7RStYPcLfl/AD5O4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yehsUAAADbAAAADwAAAAAAAAAA&#10;AAAAAAChAgAAZHJzL2Rvd25yZXYueG1sUEsFBgAAAAAEAAQA+QAAAJMDAAAAAA==&#10;" strokecolor="#dadcdd" strokeweight="0"/>
            <v:rect id="Rectangle 356" o:spid="_x0000_s1344" style="position:absolute;left:35629;top:5765;width:5944;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wnC8EA&#10;AADbAAAADwAAAGRycy9kb3ducmV2LnhtbERPXWvCMBR9F/Yfwh34pqkydHRG2QSHIAjWKXu8NHdN&#10;WHNTmqjtvzcPgo+H871Yda4WV2qD9axgMs5AEJdeW64U/Bw3o3cQISJrrD2Tgp4CrJYvgwXm2t/4&#10;QNciViKFcMhRgYmxyaUMpSGHYewb4sT9+dZhTLCtpG7xlsJdLadZNpMOLacGgw2tDZX/xcUp2PVn&#10;e5rpCZ5+z/vezL+/rMsOSg1fu88PEJG6+BQ/3Fut4C2tT1/SD5DL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cJwvBAAAA2wAAAA8AAAAAAAAAAAAAAAAAmAIAAGRycy9kb3du&#10;cmV2LnhtbFBLBQYAAAAABAAEAPUAAACGAwAAAAA=&#10;" fillcolor="#dadcdd" stroked="f"/>
            <v:line id="Line 357" o:spid="_x0000_s1345" style="position:absolute;visibility:visible;mso-wrap-style:square" from="41725,5765" to="47663,5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zh/cUAAADbAAAADwAAAGRycy9kb3ducmV2LnhtbESPQWvCQBSE70L/w/IKXkQ3USkhukqJ&#10;CD30UNOK12f2mcRm34bsqvHfdwWhx2FmvmGW69404kqdqy0riCcRCOLC6ppLBT/f23ECwnlkjY1l&#10;UnAnB+vVy2CJqbY33tE196UIEHYpKqi8b1MpXVGRQTexLXHwTrYz6IPsSqk7vAW4aeQ0it6kwZrD&#10;QoUtZRUVv/nFKBgdktEM9/k5i8tpRuevz+Nm55QavvbvCxCeev8ffrY/tIJ5DI8v4Qf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Lzh/cUAAADbAAAADwAAAAAAAAAA&#10;AAAAAAChAgAAZHJzL2Rvd25yZXYueG1sUEsFBgAAAAAEAAQA+QAAAJMDAAAAAA==&#10;" strokecolor="#dadcdd" strokeweight="0"/>
            <v:rect id="Rectangle 358" o:spid="_x0000_s1346" style="position:absolute;left:41725;top:5765;width:5938;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Ic58MA&#10;AADbAAAADwAAAGRycy9kb3ducmV2LnhtbESP3WoCMRSE7wu+QzhC72pWESurUVSoFAoFf/HysDlu&#10;gpuTZZPq7ts3hYKXw8x8w8yXravEnZpgPSsYDjIQxIXXlksFx8PH2xREiMgaK8+koKMAy0XvZY65&#10;9g/e0X0fS5EgHHJUYGKscylDYchhGPiaOHlX3ziMSTal1A0+EtxVcpRlE+nQclowWNPGUHHb/zgF&#10;X93ZniZ6iKfL+bsz79u1ddlOqdd+u5qBiNTGZ/i//akVjEfw9yX9A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4Ic58MAAADbAAAADwAAAAAAAAAAAAAAAACYAgAAZHJzL2Rv&#10;d25yZXYueG1sUEsFBgAAAAAEAAQA9QAAAIgDAAAAAA==&#10;" fillcolor="#dadcdd" stroked="f"/>
            <v:line id="Line 359" o:spid="_x0000_s1347" style="position:absolute;visibility:visible;mso-wrap-style:square" from="76,7740" to="11118,7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LaEcQAAADbAAAADwAAAGRycy9kb3ducmV2LnhtbESPT4vCMBTE74LfITxhL6KpfxCpRpHK&#10;wh48rHUXr8/m2Vabl9JktX77jSB4HGbmN8xy3ZpK3KhxpWUFo2EEgjizuuRcwc/hczAH4Tyyxsoy&#10;KXiQg/Wq21lirO2d93RLfS4ChF2MCgrv61hKlxVk0A1tTRy8s20M+iCbXOoG7wFuKjmOopk0WHJY&#10;KLCmpKDsmv4ZBf3jvD/B3/SSjPJxQpfv3Wm7d0p99NrNAoSn1r/Dr/aXVjCdwPNL+AF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ItoRxAAAANsAAAAPAAAAAAAAAAAA&#10;AAAAAKECAABkcnMvZG93bnJldi54bWxQSwUGAAAAAAQABAD5AAAAkgMAAAAA&#10;" strokecolor="#dadcdd" strokeweight="0"/>
            <v:rect id="Rectangle 360" o:spid="_x0000_s1348" style="position:absolute;left:76;top:7740;width:11042;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chCMQA&#10;AADbAAAADwAAAGRycy9kb3ducmV2LnhtbESPUWvCMBSF3wX/Q7jC3jR1FJVqlG2wMRgM1Cl7vDTX&#10;Jqy5KU1m23+/DAQfD+ec73A2u97V4kptsJ4VzGcZCOLSa8uVgq/j63QFIkRkjbVnUjBQgN12PNpg&#10;oX3He7oeYiUShEOBCkyMTSFlKA05DDPfECfv4luHMcm2krrFLsFdLR+zbCEdWk4LBht6MVT+HH6d&#10;go/hbE8LPcfT9/lzMMu3Z+uyvVIPk/5pDSJSH+/hW/tdK8hz+P+Sfo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nIQjEAAAA2wAAAA8AAAAAAAAAAAAAAAAAmAIAAGRycy9k&#10;b3ducmV2LnhtbFBLBQYAAAAABAAEAPUAAACJAwAAAAA=&#10;" fillcolor="#dadcdd" stroked="f"/>
            <v:line id="Line 361" o:spid="_x0000_s1349" style="position:absolute;visibility:visible;mso-wrap-style:square" from="11271,7740" to="17208,7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4fn/sQAAADbAAAADwAAAGRycy9kb3ducmV2LnhtbESPT2vCQBTE74LfYXlCL6Ib/yKpq5SU&#10;Qg8eNFp6fc0+k2j2bchuNX57VxA8DjPzG2a5bk0lLtS40rKC0TACQZxZXXKu4LD/GixAOI+ssbJM&#10;Cm7kYL3qdpYYa3vlHV1Sn4sAYRejgsL7OpbSZQUZdENbEwfvaBuDPsgml7rBa4CbSo6jaC4NlhwW&#10;CqwpKSg7p/9GQf930Z/gT3pKRvk4odN28/e5c0q99dqPdxCeWv8KP9vfWsF0Bo8v4QfI1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h+f+xAAAANsAAAAPAAAAAAAAAAAA&#10;AAAAAKECAABkcnMvZG93bnJldi54bWxQSwUGAAAAAAQABAD5AAAAkgMAAAAA&#10;" strokecolor="#dadcdd" strokeweight="0"/>
            <v:rect id="Rectangle 362" o:spid="_x0000_s1350" style="position:absolute;left:11271;top:7740;width:5937;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f8MA&#10;AADbAAAADwAAAGRycy9kb3ducmV2LnhtbESP3WoCMRSE7wu+QzhC72rWUlRWo6hQKRQK/uLlYXPc&#10;BDcnyybq7ts3hYKXw8x8w8wWravEnZpgPSsYDjIQxIXXlksFh/3n2wREiMgaK8+koKMAi3nvZYa5&#10;9g/e0n0XS5EgHHJUYGKscylDYchhGPiaOHkX3ziMSTal1A0+EtxV8j3LRtKh5bRgsKa1oeK6uzkF&#10;393JHkd6iMfz6acz483Kumyr1Gu/XU5BRGrjM/zf/tIKPsbw9yX9AD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W/f8MAAADbAAAADwAAAAAAAAAAAAAAAACYAgAAZHJzL2Rv&#10;d25yZXYueG1sUEsFBgAAAAAEAAQA9QAAAIgDAAAAAA==&#10;" fillcolor="#dadcdd" stroked="f"/>
            <v:line id="Line 363" o:spid="_x0000_s1351" style="position:absolute;visibility:visible;mso-wrap-style:square" from="17360,7740" to="23298,7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4eBcUAAADbAAAADwAAAGRycy9kb3ducmV2LnhtbESPQWvCQBSE7wX/w/KEXqRuYksIqWuQ&#10;lEIPPWi0eH1mX5No9m3IbjX9926h4HGYmW+YZT6aTlxocK1lBfE8AkFcWd1yrWC/e39KQTiPrLGz&#10;TAp+yUG+mjwsMdP2ylu6lL4WAcIuQwWN930mpasaMujmticO3rcdDPogh1rqAa8Bbjq5iKJEGmw5&#10;LDTYU9FQdS5/jILZIZ0941d5KuJ6UdBp83l82zqlHqfj+hWEp9Hfw//tD60geYG/L+EHyN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34eBcUAAADbAAAADwAAAAAAAAAA&#10;AAAAAAChAgAAZHJzL2Rvd25yZXYueG1sUEsFBgAAAAAEAAQA+QAAAJMDAAAAAA==&#10;" strokecolor="#dadcdd" strokeweight="0"/>
            <v:rect id="Rectangle 364" o:spid="_x0000_s1352" style="position:absolute;left:17360;top:7740;width:5938;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xILcMA&#10;AADbAAAADwAAAGRycy9kb3ducmV2LnhtbESPQWsCMRSE7wX/Q3iCt5rdHrSsRlHBUhAEbRWPj81z&#10;E9y8LJtUd/+9KRR6HGbmG2a+7Fwt7tQG61lBPs5AEJdeW64UfH9tX99BhIissfZMCnoKsFwMXuZY&#10;aP/gA92PsRIJwqFABSbGppAylIYchrFviJN39a3DmGRbSd3iI8FdLd+ybCIdWk4LBhvaGCpvxx+n&#10;YNef7WmiczxdzvveTD/W1mUHpUbDbjUDEamL/+G/9qdWMM3h90v6AX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TxILcMAAADbAAAADwAAAAAAAAAAAAAAAACYAgAAZHJzL2Rv&#10;d25yZXYueG1sUEsFBgAAAAAEAAQA9QAAAIgDAAAAAA==&#10;" fillcolor="#dadcdd" stroked="f"/>
            <v:line id="Line 365" o:spid="_x0000_s1353" style="position:absolute;visibility:visible;mso-wrap-style:square" from="23450,7740" to="29387,7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K1N8UAAADbAAAADwAAAGRycy9kb3ducmV2LnhtbESPQWvCQBSE70L/w/IKXkQ3RrAhukqJ&#10;CD30UNOK12f2mcRm34bsqvHfdwWhx2FmvmGW69404kqdqy0rmE4iEMSF1TWXCn6+t+MEhPPIGhvL&#10;pOBODtarl8ESU21vvKNr7ksRIOxSVFB536ZSuqIig25iW+LgnWxn0AfZlVJ3eAtw08g4iubSYM1h&#10;ocKWsoqK3/xiFIwOyWiG+/ycTcs4o/PX53Gzc0oNX/v3BQhPvf8PP9sfWsFbDI8v4Qf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gK1N8UAAADbAAAADwAAAAAAAAAA&#10;AAAAAAChAgAAZHJzL2Rvd25yZXYueG1sUEsFBgAAAAAEAAQA+QAAAJMDAAAAAA==&#10;" strokecolor="#dadcdd" strokeweight="0"/>
            <v:rect id="Rectangle 366" o:spid="_x0000_s1354" style="position:absolute;left:23450;top:7740;width:5937;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JzwcMA&#10;AADbAAAADwAAAGRycy9kb3ducmV2LnhtbESP3WoCMRSE7wu+QzhC72rWFlRWo6hQKRQK/uLlYXPc&#10;BDcnyybq7ts3hYKXw8x8w8wWravEnZpgPSsYDjIQxIXXlksFh/3n2wREiMgaK8+koKMAi3nvZYa5&#10;9g/e0n0XS5EgHHJUYGKscylDYchhGPiaOHkX3ziMSTal1A0+EtxV8j3LRtKh5bRgsKa1oeK6uzkF&#10;393JHkd6iMfz6acz483Kumyr1Gu/XU5BRGrjM/zf/tIKxh/w9yX9AD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JzwcMAAADbAAAADwAAAAAAAAAAAAAAAACYAgAAZHJzL2Rv&#10;d25yZXYueG1sUEsFBgAAAAAEAAQA9QAAAIgDAAAAAA==&#10;" fillcolor="#dadcdd" stroked="f"/>
            <v:line id="Line 367" o:spid="_x0000_s1355" style="position:absolute;visibility:visible;mso-wrap-style:square" from="29540,7740" to="35477,7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eI2MUAAADbAAAADwAAAGRycy9kb3ducmV2LnhtbESPT2vCQBTE74LfYXlCL6Ib/6CSukpJ&#10;KfTgQaOl19fsM4lm34bsVuO3dwXB4zAzv2GW69ZU4kKNKy0rGA0jEMSZ1SXnCg77r8EChPPIGivL&#10;pOBGDtarbmeJsbZX3tEl9bkIEHYxKii8r2MpXVaQQTe0NXHwjrYx6INscqkbvAa4qeQ4imbSYMlh&#10;ocCakoKyc/pvFPR/F/0J/qSnZJSPEzptN3+fO6fUW6/9eAfhqfWv8LP9rRXMp/D4En6AX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qeI2MUAAADbAAAADwAAAAAAAAAA&#10;AAAAAAChAgAAZHJzL2Rvd25yZXYueG1sUEsFBgAAAAAEAAQA+QAAAJMDAAAAAA==&#10;" strokecolor="#dadcdd" strokeweight="0"/>
            <v:rect id="Rectangle 368" o:spid="_x0000_s1356" style="position:absolute;left:29540;top:7740;width:5937;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dOLsMA&#10;AADbAAAADwAAAGRycy9kb3ducmV2LnhtbESP3WoCMRSE7wu+QzhC72rWQlVWo6hQKRQK/uLlYXPc&#10;BDcnyybq7ts3hYKXw8x8w8wWravEnZpgPSsYDjIQxIXXlksFh/3n2wREiMgaK8+koKMAi3nvZYa5&#10;9g/e0n0XS5EgHHJUYGKscylDYchhGPiaOHkX3ziMSTal1A0+EtxV8j3LRtKh5bRgsKa1oeK6uzkF&#10;393JHkd6iMfz6acz483Kumyr1Gu/XU5BRGrjM/zf/tIKxh/w9yX9AD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dOLsMAAADbAAAADwAAAAAAAAAAAAAAAACYAgAAZHJzL2Rv&#10;d25yZXYueG1sUEsFBgAAAAAEAAQA9QAAAIgDAAAAAA==&#10;" fillcolor="#dadcdd" stroked="f"/>
            <v:line id="Line 369" o:spid="_x0000_s1357" style="position:absolute;visibility:visible;mso-wrap-style:square" from="35629,7740" to="41573,7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mzNMQAAADbAAAADwAAAGRycy9kb3ducmV2LnhtbESPQYvCMBSE74L/ITxhL6KpCirVKFJZ&#10;2IMHrbt4fTbPttq8lCar3X+/EQSPw8x8wyzXranEnRpXWlYwGkYgiDOrS84VfB8/B3MQziNrrCyT&#10;gj9ysF51O0uMtX3wge6pz0WAsItRQeF9HUvpsoIMuqGtiYN3sY1BH2STS93gI8BNJcdRNJUGSw4L&#10;BdaUFJTd0l+joH+a9yf4k16TUT5O6LrfnbcHp9RHr90sQHhq/Tv8an9pBbMpPL+EHy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ObM0xAAAANsAAAAPAAAAAAAAAAAA&#10;AAAAAKECAABkcnMvZG93bnJldi54bWxQSwUGAAAAAAQABAD5AAAAkgMAAAAA&#10;" strokecolor="#dadcdd" strokeweight="0"/>
            <v:rect id="Rectangle 370" o:spid="_x0000_s1358" style="position:absolute;left:35629;top:7740;width:5944;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l1wsMA&#10;AADbAAAADwAAAGRycy9kb3ducmV2LnhtbESPQWsCMRSE7wX/Q3iCt5q1B7esRlHBUhAEbRWPj81z&#10;E9y8LJtUd/+9KRR6HGbmG2a+7Fwt7tQG61nBZJyBIC69tlwp+P7avr6DCBFZY+2ZFPQUYLkYvMyx&#10;0P7BB7ofYyUShEOBCkyMTSFlKA05DGPfECfv6luHMcm2krrFR4K7Wr5l2VQ6tJwWDDa0MVTejj9O&#10;wa4/29NUT/B0Oe97k3+srcsOSo2G3WoGIlIX/8N/7U+tIM/h90v6AX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l1wsMAAADbAAAADwAAAAAAAAAAAAAAAACYAgAAZHJzL2Rv&#10;d25yZXYueG1sUEsFBgAAAAAEAAQA9QAAAIgDAAAAAA==&#10;" fillcolor="#dadcdd" stroked="f"/>
            <v:line id="Line 371" o:spid="_x0000_s1359" style="position:absolute;visibility:visible;mso-wrap-style:square" from="41725,7740" to="47663,7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YnRsYAAADbAAAADwAAAGRycy9kb3ducmV2LnhtbESPT2vCQBTE74V+h+UVvIhutNDG1I1I&#10;RPDQQ42K19fsa/40+zZkV02/fbcg9DjMzG+Y5WowrbhS72rLCmbTCARxYXXNpYLjYTuJQTiPrLG1&#10;TAp+yMEqfXxYYqLtjfd0zX0pAoRdggoq77tESldUZNBNbUccvC/bG/RB9qXUPd4C3LRyHkUv0mDN&#10;YaHCjrKKiu/8YhSMz/H4GU95k83KeUbNx/vnZu+UGj0N6zcQngb/H763d1rB6wL+voQfIN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imJ0bGAAAA2wAAAA8AAAAAAAAA&#10;AAAAAAAAoQIAAGRycy9kb3ducmV2LnhtbFBLBQYAAAAABAAEAPkAAACUAwAAAAA=&#10;" strokecolor="#dadcdd" strokeweight="0"/>
            <v:rect id="Rectangle 372" o:spid="_x0000_s1360" style="position:absolute;left:41725;top:7740;width:5938;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k4CsMA&#10;AADbAAAADwAAAGRycy9kb3ducmV2LnhtbESPQWsCMRSE7wX/Q3iCt5rdHqysRlHBUhAEbRWPj81z&#10;E9y8LJtUd/+9KRR6HGbmG2a+7Fwt7tQG61lBPs5AEJdeW64UfH9tX6cgQkTWWHsmBT0FWC4GL3Ms&#10;tH/wge7HWIkE4VCgAhNjU0gZSkMOw9g3xMm7+tZhTLKtpG7xkeCulm9ZNpEOLacFgw1tDJW3449T&#10;sOvP9jTROZ4u531v3j/W1mUHpUbDbjUDEamL/+G/9qdWMM3h90v6AX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k4CsMAAADbAAAADwAAAAAAAAAAAAAAAACYAgAAZHJzL2Rv&#10;d25yZXYueG1sUEsFBgAAAAAEAAQA9QAAAIgDAAAAAA==&#10;" fillcolor="#dadcdd" stroked="f"/>
            <v:rect id="Rectangle 373" o:spid="_x0000_s1361" style="position:absolute;left:-76;top:3721;width:152;height:5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uACcYA&#10;AADbAAAADwAAAGRycy9kb3ducmV2LnhtbESPT2vCQBTE74V+h+UVvNWNwZYYXaUWCl4K9c9Bb8/s&#10;Mwlm36a7q0Y/fbcgeBxm5jfMZNaZRpzJ+dqygkE/AUFcWF1zqWCz/nrNQPiArLGxTAqu5GE2fX6a&#10;YK7thZd0XoVSRAj7HBVUIbS5lL6oyKDv25Y4egfrDIYoXSm1w0uEm0amSfIuDdYcFyps6bOi4rg6&#10;GQXzUTb//Rny922539Fuuz++pS5RqvfSfYxBBOrCI3xvL7SCLIX/L/EH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juACcYAAADbAAAADwAAAAAAAAAAAAAAAACYAgAAZHJz&#10;L2Rvd25yZXYueG1sUEsFBgAAAAAEAAQA9QAAAIsDAAAAAA==&#10;" fillcolor="black" stroked="f"/>
            <v:rect id="Rectangle 374" o:spid="_x0000_s1362" style="position:absolute;left:11118;top:-76;width:153;height:9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695sYA&#10;AADbAAAADwAAAGRycy9kb3ducmV2LnhtbESPQWvCQBSE74X+h+UVvNVNxUqMbqQKgpdCtT3o7Zl9&#10;JiHZt3F31bS/3i0Uehxm5htmvuhNK67kfG1ZwcswAUFcWF1zqeDrc/2cgvABWWNrmRR8k4dF/vgw&#10;x0zbG2/puguliBD2GSqoQugyKX1RkUE/tB1x9E7WGQxRulJqh7cIN60cJclEGqw5LlTY0aqiotld&#10;jILlNF2eP8b8/rM9HuiwPzavI5coNXjq32YgAvXhP/zX3mgF6Rh+v8QfI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695sYAAADbAAAADwAAAAAAAAAAAAAAAACYAgAAZHJz&#10;L2Rvd25yZXYueG1sUEsFBgAAAAAEAAQA9QAAAIsDAAAAAA==&#10;" fillcolor="black" stroked="f"/>
            <v:rect id="Rectangle 375" o:spid="_x0000_s1363" style="position:absolute;left:17208;top:1974;width:152;height:7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IYfcUA&#10;AADbAAAADwAAAGRycy9kb3ducmV2LnhtbESPT2sCMRTE7wW/Q3gFbzVb0bKuRtGC4EWofw56e26e&#10;u4ubl20SdfXTN4VCj8PM/IaZzFpTixs5X1lW8N5LQBDnVldcKNjvlm8pCB+QNdaWScGDPMymnZcJ&#10;ZtreeUO3bShEhLDPUEEZQpNJ6fOSDPqebYijd7bOYIjSFVI7vEe4qWU/ST6kwYrjQokNfZaUX7ZX&#10;o2AxShffXwNePzenIx0Pp8uw7xKluq/tfAwiUBv+w3/tlVaQDuH3S/wBcv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0hh9xQAAANsAAAAPAAAAAAAAAAAAAAAAAJgCAABkcnMv&#10;ZG93bnJldi54bWxQSwUGAAAAAAQABAD1AAAAigMAAAAA&#10;" fillcolor="black" stroked="f"/>
            <v:rect id="Rectangle 376" o:spid="_x0000_s1364" style="position:absolute;left:23298;top:1974;width:152;height:7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CGCsUA&#10;AADbAAAADwAAAGRycy9kb3ducmV2LnhtbESPT2sCMRTE7wW/Q3gFbzVbsbKuRtGC4EXw30Fvz81z&#10;d3Hzsk2ibvvpTaHQ4zAzv2Ems9bU4k7OV5YVvPcSEMS51RUXCg775VsKwgdkjbVlUvBNHmbTzssE&#10;M20fvKX7LhQiQthnqKAMocmk9HlJBn3PNsTRu1hnMETpCqkdPiLc1LKfJENpsOK4UGJDnyXl193N&#10;KFiM0sXXZsDrn+35RKfj+frRd4lS3dd2PgYRqA3/4b/2SitIh/D7Jf4AOX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AIYKxQAAANsAAAAPAAAAAAAAAAAAAAAAAJgCAABkcnMv&#10;ZG93bnJldi54bWxQSwUGAAAAAAQABAD1AAAAigMAAAAA&#10;" fillcolor="black" stroked="f"/>
            <v:rect id="Rectangle 377" o:spid="_x0000_s1365" style="position:absolute;left:29387;top:76;width:153;height:96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wjkcYA&#10;AADbAAAADwAAAGRycy9kb3ducmV2LnhtbESPQWvCQBSE70L/w/IKvZlNxbYxukoVCr0Iaj3o7Zl9&#10;TYLZt+nuVlN/vSsUPA4z8w0zmXWmESdyvras4DlJQRAXVtdcKth+ffQzED4ga2wsk4I/8jCbPvQm&#10;mGt75jWdNqEUEcI+RwVVCG0upS8qMugT2xJH79s6gyFKV0rt8BzhppGDNH2VBmuOCxW2tKioOG5+&#10;jYL5KJv/rIa8vKwPe9rvDseXgUuVenrs3scgAnXhHv5vf2oF2RvcvsQfIK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wjkcYAAADbAAAADwAAAAAAAAAAAAAAAACYAgAAZHJz&#10;L2Rvd25yZXYueG1sUEsFBgAAAAAEAAQA9QAAAIsDAAAAAA==&#10;" fillcolor="black" stroked="f"/>
            <v:rect id="Rectangle 378" o:spid="_x0000_s1366" style="position:absolute;left:35477;top:1974;width:152;height:7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O348IA&#10;AADbAAAADwAAAGRycy9kb3ducmV2LnhtbERPy4rCMBTdD/gP4QruxlRxhlqNooIwmwFfC91dm2tb&#10;bG5qktHOfL1ZDLg8nPd03ppa3Mn5yrKCQT8BQZxbXXGh4LBfv6cgfEDWWFsmBb/kYT7rvE0x0/bB&#10;W7rvQiFiCPsMFZQhNJmUPi/JoO/bhjhyF+sMhghdIbXDRww3tRwmyac0WHFsKLGhVUn5dfdjFCzH&#10;6fK2GfH33/Z8otPxfP0YukSpXrddTEAEasNL/O/+0grSODZ+iT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7fjwgAAANsAAAAPAAAAAAAAAAAAAAAAAJgCAABkcnMvZG93&#10;bnJldi54bWxQSwUGAAAAAAQABAD1AAAAhwMAAAAA&#10;" fillcolor="black" stroked="f"/>
            <v:rect id="Rectangle 379" o:spid="_x0000_s1367" style="position:absolute;left:41573;top:1974;width:152;height:7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8SeMYA&#10;AADbAAAADwAAAGRycy9kb3ducmV2LnhtbESPQWvCQBSE74X+h+UVvNWNohKja6iFQi9CtT3o7Zl9&#10;JiHZt+nuVtP+ercgeBxm5htmmfemFWdyvrasYDRMQBAXVtdcKvj6fHtOQfiArLG1TAp+yUO+enxY&#10;Yqbthbd03oVSRAj7DBVUIXSZlL6oyKAf2o44eifrDIYoXSm1w0uEm1aOk2QmDdYcFyrs6LWiotn9&#10;GAXrebr+/pjw5m97PNBhf2ymY5coNXjqXxYgAvXhHr6137WCdA7/X+IP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J8SeMYAAADbAAAADwAAAAAAAAAAAAAAAACYAgAAZHJz&#10;L2Rvd25yZXYueG1sUEsFBgAAAAAEAAQA9QAAAIsDAAAAAA==&#10;" fillcolor="black" stroked="f"/>
            <v:rect id="Rectangle 380" o:spid="_x0000_s1368" style="position:absolute;left:76;top:9563;width:47739;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wtOMMA&#10;AADbAAAADwAAAGRycy9kb3ducmV2LnhtbERPz2vCMBS+C/sfwhvspqkyh3amMgcDL8Lsdpi3Z/Ns&#10;S5uXLom2+tcvh4HHj+/3aj2YVlzI+dqygukkAUFcWF1zqeD762O8AOEDssbWMim4kod19jBaYapt&#10;z3u65KEUMYR9igqqELpUSl9UZNBPbEccuZN1BkOErpTaYR/DTStnSfIiDdYcGyrs6L2iosnPRsFm&#10;udj8fj7z7rY/Hujwc2zmM5co9fQ4vL2CCDSEu/jfvdUKlnF9/BJ/gM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wtOMMAAADbAAAADwAAAAAAAAAAAAAAAACYAgAAZHJzL2Rv&#10;d25yZXYueG1sUEsFBgAAAAAEAAQA9QAAAIgDAAAAAA==&#10;" fillcolor="black" stroked="f"/>
            <v:rect id="Rectangle 381" o:spid="_x0000_s1369" style="position:absolute;left:47663;top:76;width:152;height:96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CIo8UA&#10;AADbAAAADwAAAGRycy9kb3ducmV2LnhtbESPT2sCMRTE7wW/Q3hCbzWrtEVXo2ih4KXgv4Penpvn&#10;7uLmZU2irn76RhA8DjPzG2Y0aUwlLuR8aVlBt5OAIM6sLjlXsFn/fvRB+ICssbJMCm7kYTJuvY0w&#10;1fbKS7qsQi4ihH2KCooQ6lRKnxVk0HdsTRy9g3UGQ5Qul9rhNcJNJXtJ8i0NlhwXCqzpp6DsuDob&#10;BbNBf3ZafPLffbnf0W67P371XKLUe7uZDkEEasIr/GzPtYJBFx5f4g+Q4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MIijxQAAANsAAAAPAAAAAAAAAAAAAAAAAJgCAABkcnMv&#10;ZG93bnJldi54bWxQSwUGAAAAAAQABAD1AAAAigMAAAAA&#10;" fillcolor="black" stroked="f"/>
            <v:line id="Line 382" o:spid="_x0000_s1370" style="position:absolute;visibility:visible;mso-wrap-style:square" from="0,9715" to="6,9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5TzcUAAADbAAAADwAAAGRycy9kb3ducmV2LnhtbESPQWvCQBSE70L/w/IKXkQ3RpAYXaVE&#10;hB56qGmL12f2mcRm34bsqvHfdwWhx2FmvmFWm9404kqdqy0rmE4iEMSF1TWXCr6/duMEhPPIGhvL&#10;pOBODjbrl8EKU21vvKdr7ksRIOxSVFB536ZSuqIig25iW+LgnWxn0AfZlVJ3eAtw08g4iubSYM1h&#10;ocKWsoqK3/xiFIwOyWiGP/k5m5ZxRufPj+N275QavvZvSxCeev8ffrbftYJFDI8v4QfI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g5TzcUAAADbAAAADwAAAAAAAAAA&#10;AAAAAAChAgAAZHJzL2Rvd25yZXYueG1sUEsFBgAAAAAEAAQA+QAAAJMDAAAAAA==&#10;" strokecolor="#dadcdd" strokeweight="0"/>
            <v:rect id="Rectangle 383" o:spid="_x0000_s1371" style="position:absolute;top:9715;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6VO8QA&#10;AADbAAAADwAAAGRycy9kb3ducmV2LnhtbESPQWsCMRSE7wX/Q3hCbzVrBWtXo2jBUhAEtYrHx+Z1&#10;E7p5WTap7v57IxQ8DjPzDTNbtK4SF2qC9axgOMhAEBdeWy4VfB/WLxMQISJrrDyTgo4CLOa9pxnm&#10;2l95R5d9LEWCcMhRgYmxzqUMhSGHYeBr4uT9+MZhTLIppW7wmuCukq9ZNpYOLacFgzV9GCp+939O&#10;waY72eNYD/F4Pm078/a5si7bKfXcb5dTEJHa+Aj/t7+0gvcR3L+kH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ulTvEAAAA2wAAAA8AAAAAAAAAAAAAAAAAmAIAAGRycy9k&#10;b3ducmV2LnhtbFBLBQYAAAAABAAEAPUAAACJAwAAAAA=&#10;" fillcolor="#dadcdd" stroked="f"/>
            <v:line id="Line 384" o:spid="_x0000_s1372" style="position:absolute;visibility:visible;mso-wrap-style:square" from="11195,9715" to="11201,9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b/LcMAAADcAAAADwAAAGRycy9kb3ducmV2LnhtbERPTWvCQBC9C/6HZYReQrPRgtg0q0hK&#10;oYceNFW8jtlpEs3OhuzWpP/ePQg9Pt53thlNK27Uu8aygnmcgCAurW64UnD4/nhegXAeWWNrmRT8&#10;kYPNejrJMNV24D3dCl+JEMIuRQW1910qpStrMuhi2xEH7sf2Bn2AfSV1j0MIN61cJMlSGmw4NNTY&#10;UV5TeS1+jYLotIpe8Fhc8nm1yOmy+zq/751ST7Nx+wbC0+j/xQ/3p1bwugzzw5lwBOT6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rW/y3DAAAA3AAAAA8AAAAAAAAAAAAA&#10;AAAAoQIAAGRycy9kb3ducmV2LnhtbFBLBQYAAAAABAAEAPkAAACRAwAAAAA=&#10;" strokecolor="#dadcdd" strokeweight="0"/>
            <v:rect id="Rectangle 385" o:spid="_x0000_s1373" style="position:absolute;left:11195;top:9715;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3hZcUA&#10;AADcAAAADwAAAGRycy9kb3ducmV2LnhtbESPQWsCMRSE74L/ITzBm2a3h23dGkULlUJB0Kr0+Ni8&#10;bkI3L8sm1d1/3wiFHoeZ+YZZrnvXiCt1wXpWkM8zEMSV15ZrBaeP19kTiBCRNTaeScFAAdar8WiJ&#10;pfY3PtD1GGuRIBxKVGBibEspQ2XIYZj7ljh5X75zGJPsaqk7vCW4a+RDlhXSoeW0YLClF0PV9/HH&#10;KXgfLvZc6BzPn5f9YB53W+uyg1LTSb95BhGpj//hv/abVrAocrifS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DeFlxQAAANwAAAAPAAAAAAAAAAAAAAAAAJgCAABkcnMv&#10;ZG93bnJldi54bWxQSwUGAAAAAAQABAD1AAAAigMAAAAA&#10;" fillcolor="#dadcdd" stroked="f"/>
            <v:line id="Line 386" o:spid="_x0000_s1374" style="position:absolute;visibility:visible;mso-wrap-style:square" from="17284,9715" to="17291,9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jEwcYAAADcAAAADwAAAGRycy9kb3ducmV2LnhtbESPT2vCQBTE74V+h+UVepG6MQWxqRuR&#10;SMFDDxotvb5mn/lj9m3Irhq/vVsQPA4z8xtmvhhMK87Uu9qygsk4AkFcWF1zqWC/+3qbgXAeWWNr&#10;mRRcycEifX6aY6Lthbd0zn0pAoRdggoq77tESldUZNCNbUccvIPtDfog+1LqHi8BbloZR9FUGqw5&#10;LFTYUVZRccxPRsHodzZ6x5+8ySZlnFGz+f5bbZ1Sry/D8hOEp8E/wvf2Wiv4mMbwfyYcAZ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IxMHGAAAA3AAAAA8AAAAAAAAA&#10;AAAAAAAAoQIAAGRycy9kb3ducmV2LnhtbFBLBQYAAAAABAAEAPkAAACUAwAAAAA=&#10;" strokecolor="#dadcdd" strokeweight="0"/>
            <v:rect id="Rectangle 387" o:spid="_x0000_s1375" style="position:absolute;left:17284;top:9715;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PaicUA&#10;AADcAAAADwAAAGRycy9kb3ducmV2LnhtbESP3WoCMRSE7wt9h3AKvatZK2x1NUpbUIRCwV+8PGyO&#10;m+DmZNmkuvv2TaHg5TAz3zCzRedqcaU2WM8KhoMMBHHpteVKwX63fBmDCBFZY+2ZFPQUYDF/fJhh&#10;of2NN3TdxkokCIcCFZgYm0LKUBpyGAa+IU7e2bcOY5JtJXWLtwR3tXzNslw6tJwWDDb0aai8bH+c&#10;gq/+aA+5HuLhdPzuzdvqw7pso9TzU/c+BRGpi/fwf3utFUzyEfydSUd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k9qJxQAAANwAAAAPAAAAAAAAAAAAAAAAAJgCAABkcnMv&#10;ZG93bnJldi54bWxQSwUGAAAAAAQABAD1AAAAigMAAAAA&#10;" fillcolor="#dadcdd" stroked="f"/>
            <v:line id="Line 388" o:spid="_x0000_s1376" style="position:absolute;visibility:visible;mso-wrap-style:square" from="23374,9715" to="23380,9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35LsYAAADcAAAADwAAAGRycy9kb3ducmV2LnhtbESPQWvCQBSE74L/YXmFXkQ3Wgk2uopE&#10;Cj30oFHp9Zl9TaLZtyG71fTfuwXB4zAz3zCLVWdqcaXWVZYVjEcRCOLc6ooLBYf9x3AGwnlkjbVl&#10;UvBHDlbLfm+BibY33tE184UIEHYJKii9bxIpXV6SQTeyDXHwfmxr0AfZFlK3eAtwU8tJFMXSYMVh&#10;ocSG0pLyS/ZrFAy+Z4M3PGbndFxMUjpvv06bnVPq9aVbz0F46vwz/Gh/agXv8RT+z4Qj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t+S7GAAAA3AAAAA8AAAAAAAAA&#10;AAAAAAAAoQIAAGRycy9kb3ducmV2LnhtbFBLBQYAAAAABAAEAPkAAACUAwAAAAA=&#10;" strokecolor="#dadcdd" strokeweight="0"/>
            <v:rect id="Rectangle 389" o:spid="_x0000_s1377" style="position:absolute;left:23374;top:9715;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bnZsUA&#10;AADcAAAADwAAAGRycy9kb3ducmV2LnhtbESP3WoCMRSE7wt9h3AKvatZC251NUpbUIRCwV+8PGyO&#10;m+DmZNmkuvv2TaHg5TAz3zCzRedqcaU2WM8KhoMMBHHpteVKwX63fBmDCBFZY+2ZFPQUYDF/fJhh&#10;of2NN3TdxkokCIcCFZgYm0LKUBpyGAa+IU7e2bcOY5JtJXWLtwR3tXzNslw6tJwWDDb0aai8bH+c&#10;gq/+aA+5HuLhdPzuzdvqw7pso9TzU/c+BRGpi/fwf3utFUzyEfydSUd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NudmxQAAANwAAAAPAAAAAAAAAAAAAAAAAJgCAABkcnMv&#10;ZG93bnJldi54bWxQSwUGAAAAAAQABAD1AAAAigMAAAAA&#10;" fillcolor="#dadcdd" stroked="f"/>
            <v:line id="Line 390" o:spid="_x0000_s1378" style="position:absolute;visibility:visible;mso-wrap-style:square" from="29464,9715" to="29470,9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PCwsUAAADcAAAADwAAAGRycy9kb3ducmV2LnhtbESPQWvCQBSE7wX/w/IEL6IbFYKmriIR&#10;wYMHTSteX7OvSWz2bciumv77bkHwOMzMN8xy3Zla3Kl1lWUFk3EEgji3uuJCwefHbjQH4Tyyxtoy&#10;KfglB+tV722JibYPPtE984UIEHYJKii9bxIpXV6SQTe2DXHwvm1r0AfZFlK3+AhwU8tpFMXSYMVh&#10;ocSG0pLyn+xmFAwv8+EMz9k1nRTTlK7Hw9f25JQa9LvNOwhPnX+Fn+29VrCIY/g/E46AXP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nPCwsUAAADcAAAADwAAAAAAAAAA&#10;AAAAAAChAgAAZHJzL2Rvd25yZXYueG1sUEsFBgAAAAAEAAQA+QAAAJMDAAAAAA==&#10;" strokecolor="#dadcdd" strokeweight="0"/>
            <v:rect id="Rectangle 391" o:spid="_x0000_s1379" style="position:absolute;left:29464;top:9715;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jcisUA&#10;AADcAAAADwAAAGRycy9kb3ducmV2LnhtbESPT2sCMRTE74V+h/AK3mpWD2tdjVIFi1Ao+BePj81z&#10;E7p5WTap7n77plDwOMzMb5j5snO1uFEbrGcFo2EGgrj02nKl4HjYvL6BCBFZY+2ZFPQUYLl4fppj&#10;of2dd3Tbx0okCIcCFZgYm0LKUBpyGIa+IU7e1bcOY5JtJXWL9wR3tRxnWS4dWk4LBhtaGyq/9z9O&#10;wWd/tqdcj/B0OX/1ZvKxsi7bKTV46d5nICJ18RH+b2+1gmk+gb8z6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qNyKxQAAANwAAAAPAAAAAAAAAAAAAAAAAJgCAABkcnMv&#10;ZG93bnJldi54bWxQSwUGAAAAAAQABAD1AAAAigMAAAAA&#10;" fillcolor="#dadcdd" stroked="f"/>
            <v:line id="Line 392" o:spid="_x0000_s1380" style="position:absolute;visibility:visible;mso-wrap-style:square" from="35553,9715" to="35560,9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DzK8MAAADcAAAADwAAAGRycy9kb3ducmV2LnhtbERPTWvCQBC9C/6HZYReQrPRgtg0q0hK&#10;oYceNFW8jtlpEs3OhuzWpP/ePQg9Pt53thlNK27Uu8aygnmcgCAurW64UnD4/nhegXAeWWNrmRT8&#10;kYPNejrJMNV24D3dCl+JEMIuRQW1910qpStrMuhi2xEH7sf2Bn2AfSV1j0MIN61cJMlSGmw4NNTY&#10;UV5TeS1+jYLotIpe8Fhc8nm1yOmy+zq/751ST7Nx+wbC0+j/xQ/3p1bwugxrw5lwBOT6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g8yvDAAAA3AAAAA8AAAAAAAAAAAAA&#10;AAAAoQIAAGRycy9kb3ducmV2LnhtbFBLBQYAAAAABAAEAPkAAACRAwAAAAA=&#10;" strokecolor="#dadcdd" strokeweight="0"/>
            <v:rect id="Rectangle 393" o:spid="_x0000_s1381" style="position:absolute;left:35553;top:9715;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vtY8UA&#10;AADcAAAADwAAAGRycy9kb3ducmV2LnhtbESPT2sCMRTE74LfITzBm2btYVu3RtFCpVAQ/EuPj83r&#10;JnTzsmxS3f32jVDwOMzMb5jFqnO1uFIbrGcFs2kGgrj02nKl4HR8n7yACBFZY+2ZFPQUYLUcDhZY&#10;aH/jPV0PsRIJwqFABSbGppAylIYchqlviJP37VuHMcm2krrFW4K7Wj5lWS4dWk4LBht6M1T+HH6d&#10;gs/+Ys+5nuH567LrzfN2Y122V2o86tavICJ18RH+b39oBfN8Dvcz6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e+1jxQAAANwAAAAPAAAAAAAAAAAAAAAAAJgCAABkcnMv&#10;ZG93bnJldi54bWxQSwUGAAAAAAQABAD1AAAAigMAAAAA&#10;" fillcolor="#dadcdd" stroked="f"/>
            <v:line id="Line 394" o:spid="_x0000_s1382" style="position:absolute;visibility:visible;mso-wrap-style:square" from="41649,9715" to="41656,9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9p8MIAAADcAAAADwAAAGRycy9kb3ducmV2LnhtbERPy4rCMBTdC/MP4Q7MRjRVwUfHKFIR&#10;XLjQqri909xp6zQ3pclo/XuzEFweznu+bE0lbtS40rKCQT8CQZxZXXKu4HTc9KYgnEfWWFkmBQ9y&#10;sFx8dOYYa3vnA91Sn4sQwi5GBYX3dSylywoy6Pq2Jg7cr20M+gCbXOoG7yHcVHIYRWNpsOTQUGBN&#10;SUHZX/pvFHQv0+4Iz+k1GeTDhK773c/64JT6+mxX3yA8tf4tfrm3WsFsEuaHM+EIyM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w9p8MIAAADcAAAADwAAAAAAAAAAAAAA&#10;AAChAgAAZHJzL2Rvd25yZXYueG1sUEsFBgAAAAAEAAQA+QAAAJADAAAAAA==&#10;" strokecolor="#dadcdd" strokeweight="0"/>
            <v:rect id="Rectangle 395" o:spid="_x0000_s1383" style="position:absolute;left:41649;top:9715;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R3uMUA&#10;AADcAAAADwAAAGRycy9kb3ducmV2LnhtbESPQWsCMRSE70L/Q3iF3jS7PWi7GqUKLQVB0Kp4fGye&#10;m9DNy7JJdfffG6HgcZiZb5jZonO1uFAbrGcF+SgDQVx6bblSsP/5HL6BCBFZY+2ZFPQUYDF/Gsyw&#10;0P7KW7rsYiUShEOBCkyMTSFlKA05DCPfECfv7FuHMcm2krrFa4K7Wr5m2Vg6tJwWDDa0MlT+7v6c&#10;gnV/tIexzvFwOm56M/laWpdtlXp57j6mICJ18RH+b39rBe+THO5n0hG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1He4xQAAANwAAAAPAAAAAAAAAAAAAAAAAJgCAABkcnMv&#10;ZG93bnJldi54bWxQSwUGAAAAAAQABAD1AAAAigMAAAAA&#10;" fillcolor="#dadcdd" stroked="f"/>
            <v:line id="Line 396" o:spid="_x0000_s1384" style="position:absolute;visibility:visible;mso-wrap-style:square" from="47739,9715" to="47745,9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FSHMYAAADcAAAADwAAAGRycy9kb3ducmV2LnhtbESPT2vCQBTE74V+h+UJvUjdmEJrY1Yp&#10;KYIHDxotvT6zz/xp9m3IbjX99q4g9DjMzG+YdDmYVpypd7VlBdNJBIK4sLrmUsFhv3qegXAeWWNr&#10;mRT8kYPl4vEhxUTbC+/onPtSBAi7BBVU3neJlK6oyKCb2I44eCfbG/RB9qXUPV4C3LQyjqJXabDm&#10;sFBhR1lFxU/+axSMv2fjF/zKm2xaxhk1283xc+eUehoNH3MQngb/H76311rB+1sMtzPhCM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CRUhzGAAAA3AAAAA8AAAAAAAAA&#10;AAAAAAAAoQIAAGRycy9kb3ducmV2LnhtbFBLBQYAAAAABAAEAPkAAACUAwAAAAA=&#10;" strokecolor="#dadcdd" strokeweight="0"/>
            <v:rect id="Rectangle 397" o:spid="_x0000_s1385" style="position:absolute;left:47739;top:9715;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pMVMUA&#10;AADcAAAADwAAAGRycy9kb3ducmV2LnhtbESPW2sCMRSE3wX/QziFvmnWFrxsjWILLUJB8IqPh83p&#10;JnRzsmxS3f33piD4OMzMN8x82bpKXKgJ1rOC0TADQVx4bblUcNh/DqYgQkTWWHkmBR0FWC76vTnm&#10;2l95S5ddLEWCcMhRgYmxzqUMhSGHYehr4uT9+MZhTLIppW7wmuCuki9ZNpYOLacFgzV9GCp+d39O&#10;wXd3ssexHuHxfNp0ZvL1bl22Ver5qV29gYjUxkf43l5rBbPJK/yfS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SkxUxQAAANwAAAAPAAAAAAAAAAAAAAAAAJgCAABkcnMv&#10;ZG93bnJldi54bWxQSwUGAAAAAAQABAD1AAAAigMAAAAA&#10;" fillcolor="#dadcdd" stroked="f"/>
            <v:line id="Line 398" o:spid="_x0000_s1386" style="position:absolute;visibility:visible;mso-wrap-style:square" from="47815,0" to="478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Rv88cAAADcAAAADwAAAGRycy9kb3ducmV2LnhtbESPT2vCQBTE7wW/w/IKvUjdqMXamFVK&#10;itBDDxqVXp/Z1/wx+zZkt5p+e1coeBxm5jdMsupNI87UucqygvEoAkGcW11xoWC/Wz/PQTiPrLGx&#10;TAr+yMFqOXhIMNb2wls6Z74QAcIuRgWl920spctLMuhGtiUO3o/tDPogu0LqDi8Bbho5iaKZNFhx&#10;WCixpbSk/JT9GgXD7/lwioesTsfFJKV683X82Dqlnh779wUIT72/h//bn1rB2+sL3M6EI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NG/zxwAAANwAAAAPAAAAAAAA&#10;AAAAAAAAAKECAABkcnMvZG93bnJldi54bWxQSwUGAAAAAAQABAD5AAAAlQMAAAAA&#10;" strokecolor="#dadcdd" strokeweight="0"/>
            <v:rect id="Rectangle 399" o:spid="_x0000_s1387" style="position:absolute;left:47815;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9xu8UA&#10;AADcAAAADwAAAGRycy9kb3ducmV2LnhtbESPW2sCMRSE3wX/QziFvmnWQr1sjWILLUJB8IqPh83p&#10;JnRzsmxS3f33piD4OMzMN8x82bpKXKgJ1rOC0TADQVx4bblUcNh/DqYgQkTWWHkmBR0FWC76vTnm&#10;2l95S5ddLEWCcMhRgYmxzqUMhSGHYehr4uT9+MZhTLIppW7wmuCuki9ZNpYOLacFgzV9GCp+d39O&#10;wXd3ssexHuHxfNp0ZvL1bl22Ver5qV29gYjUxkf43l5rBbPJK/yfS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73G7xQAAANwAAAAPAAAAAAAAAAAAAAAAAJgCAABkcnMv&#10;ZG93bnJldi54bWxQSwUGAAAAAAQABAD1AAAAigMAAAAA&#10;" fillcolor="#dadcdd" stroked="f"/>
            <v:line id="Line 400" o:spid="_x0000_s1388" style="position:absolute;visibility:visible;mso-wrap-style:square" from="47815,1898" to="47821,1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pUH8YAAADcAAAADwAAAGRycy9kb3ducmV2LnhtbESPT2vCQBTE70K/w/IKXqRutKA2ZhWJ&#10;FHrwoLHi9TX7zB+zb0N2q+m3dwuFHoeZ+Q2TrHvTiBt1rrKsYDKOQBDnVldcKPg8vr8sQDiPrLGx&#10;TAp+yMF69TRIMNb2zge6Zb4QAcIuRgWl920spctLMujGtiUO3sV2Bn2QXSF1h/cAN42cRtFMGqw4&#10;LJTYUlpSfs2+jYLReTF6xVNWp5NimlK9331tD06p4XO/WYLw1Pv/8F/7Qyt4m8/g90w4AnL1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qVB/GAAAA3AAAAA8AAAAAAAAA&#10;AAAAAAAAoQIAAGRycy9kb3ducmV2LnhtbFBLBQYAAAAABAAEAPkAAACUAwAAAAA=&#10;" strokecolor="#dadcdd" strokeweight="0"/>
            <v:rect id="Rectangle 401" o:spid="_x0000_s1389" style="position:absolute;left:47815;top:1898;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FKV8UA&#10;AADcAAAADwAAAGRycy9kb3ducmV2LnhtbESPQWsCMRSE70L/Q3gFb5rVg9tujVIFRRAK2io9Pjav&#10;m9DNy7KJuvvvTaHgcZiZb5j5snO1uFIbrGcFk3EGgrj02nKl4OtzM3oBESKyxtozKegpwHLxNJhj&#10;of2ND3Q9xkokCIcCFZgYm0LKUBpyGMa+IU7ej28dxiTbSuoWbwnuajnNspl0aDktGGxobaj8PV6c&#10;gn1/tqeZnuDp+/zRm3y7si47KDV87t7fQETq4iP8395pBa95Dn9n0h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cUpXxQAAANwAAAAPAAAAAAAAAAAAAAAAAJgCAABkcnMv&#10;ZG93bnJldi54bWxQSwUGAAAAAAQABAD1AAAAigMAAAAA&#10;" fillcolor="#dadcdd" stroked="f"/>
            <v:line id="Line 402" o:spid="_x0000_s1390" style="position:absolute;visibility:visible;mso-wrap-style:square" from="47815,3797" to="47821,3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ll9sIAAADcAAAADwAAAGRycy9kb3ducmV2LnhtbERPy4rCMBTdC/MP4Q7MRjRVwUfHKFIR&#10;XLjQqri909xp6zQ3pclo/XuzEFweznu+bE0lbtS40rKCQT8CQZxZXXKu4HTc9KYgnEfWWFkmBQ9y&#10;sFx8dOYYa3vnA91Sn4sQwi5GBYX3dSylywoy6Pq2Jg7cr20M+gCbXOoG7yHcVHIYRWNpsOTQUGBN&#10;SUHZX/pvFHQv0+4Iz+k1GeTDhK773c/64JT6+mxX3yA8tf4tfrm3WsFsEtaGM+EIyM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Xll9sIAAADcAAAADwAAAAAAAAAAAAAA&#10;AAChAgAAZHJzL2Rvd25yZXYueG1sUEsFBgAAAAAEAAQA+QAAAJADAAAAAA==&#10;" strokecolor="#dadcdd" strokeweight="0"/>
            <v:rect id="Rectangle 403" o:spid="_x0000_s1391" style="position:absolute;left:47815;top:3797;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J7vsQA&#10;AADcAAAADwAAAGRycy9kb3ducmV2LnhtbESPQWsCMRSE7wX/Q3hCbzVrD1pXo6hQKQgFrYrHx+a5&#10;CW5elk3U3X9vCoUeh5n5hpktWleJOzXBelYwHGQgiAuvLZcKDj+fbx8gQkTWWHkmBR0FWMx7LzPM&#10;tX/wju77WIoE4ZCjAhNjnUsZCkMOw8DXxMm7+MZhTLIppW7wkeCuku9ZNpIOLacFgzWtDRXX/c0p&#10;2HYnexzpIR7Pp+/OjDcr67KdUq/9djkFEamN/+G/9pdWMBlP4PdMOg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ie77EAAAA3AAAAA8AAAAAAAAAAAAAAAAAmAIAAGRycy9k&#10;b3ducmV2LnhtbFBLBQYAAAAABAAEAPUAAACJAwAAAAA=&#10;" fillcolor="#dadcdd" stroked="f"/>
            <v:line id="Line 404" o:spid="_x0000_s1392" style="position:absolute;visibility:visible;mso-wrap-style:square" from="47815,5765" to="47821,5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QiO8UAAADcAAAADwAAAGRycy9kb3ducmV2LnhtbESPQWvCQBSE7wX/w/IKXkQ3Rigxuoqk&#10;FDx4qLGl19fsM4nNvg3ZVeO/7wqCx2FmvmGW69404kKdqy0rmE4iEMSF1TWXCr4OH+MEhPPIGhvL&#10;pOBGDtarwcsSU22vvKdL7ksRIOxSVFB536ZSuqIig25iW+LgHW1n0AfZlVJ3eA1w08g4it6kwZrD&#10;QoUtZRUVf/nZKBj9JKMZfuenbFrGGZ0+d7/ve6fU8LXfLEB46v0z/GhvtYJ5EsP9TDgCcvU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UQiO8UAAADcAAAADwAAAAAAAAAA&#10;AAAAAAChAgAAZHJzL2Rvd25yZXYueG1sUEsFBgAAAAAEAAQA+QAAAJMDAAAAAA==&#10;" strokecolor="#dadcdd" strokeweight="0"/>
            <v:rect id="Rectangle 405" o:spid="_x0000_s1393" style="position:absolute;left:47815;top:5765;width:76;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88c8UA&#10;AADcAAAADwAAAGRycy9kb3ducmV2LnhtbESPW2sCMRSE3wX/QziFvmnWFrxsjWILLUJB8IqPh83p&#10;JnRzsmxS3f33piD4OMzMN8x82bpKXKgJ1rOC0TADQVx4bblUcNh/DqYgQkTWWHkmBR0FWC76vTnm&#10;2l95S5ddLEWCcMhRgYmxzqUMhSGHYehr4uT9+MZhTLIppW7wmuCuki9ZNpYOLacFgzV9GCp+d39O&#10;wXd3ssexHuHxfNp0ZvL1bl22Ver5qV29gYjUxkf43l5rBbPpK/yfS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nzxzxQAAANwAAAAPAAAAAAAAAAAAAAAAAJgCAABkcnMv&#10;ZG93bnJldi54bWxQSwUGAAAAAAQABAD1AAAAigMAAAAA&#10;" fillcolor="#dadcdd" stroked="f"/>
            <v:line id="Line 406" o:spid="_x0000_s1394" style="position:absolute;visibility:visible;mso-wrap-style:square" from="47815,7740" to="47821,7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Ef1MYAAADcAAAADwAAAGRycy9kb3ducmV2LnhtbESPT2vCQBTE74V+h+UJvUjdaEtJoxsp&#10;KYIHDxotvT6zz/xp9m3IbjX99q4g9DjMzG+YxXIwrThT72rLCqaTCARxYXXNpYLDfvUcg3AeWWNr&#10;mRT8kYNl+viwwETbC+/onPtSBAi7BBVU3neJlK6oyKCb2I44eCfbG/RB9qXUPV4C3LRyFkVv0mDN&#10;YaHCjrKKip/81ygYf8fjF/zKm2xazjJqtpvj584p9TQaPuYgPA3+P3xvr7WC9/gVbmfCEZ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hH9TGAAAA3AAAAA8AAAAAAAAA&#10;AAAAAAAAoQIAAGRycy9kb3ducmV2LnhtbFBLBQYAAAAABAAEAPkAAACUAwAAAAA=&#10;" strokecolor="#dadcdd" strokeweight="0"/>
            <v:rect id="Rectangle 407" o:spid="_x0000_s1395" style="position:absolute;left:47815;top:7740;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oBnMUA&#10;AADcAAAADwAAAGRycy9kb3ducmV2LnhtbESPW2sCMRSE3wX/QziFvmnWQr1sjWILLUJB8IqPh83p&#10;JnRzsmxS3f33piD4OMzMN8x82bpKXKgJ1rOC0TADQVx4bblUcNh/DqYgQkTWWHkmBR0FWC76vTnm&#10;2l95S5ddLEWCcMhRgYmxzqUMhSGHYehr4uT9+MZhTLIppW7wmuCuki9ZNpYOLacFgzV9GCp+d39O&#10;wXd3ssexHuHxfNp0ZvL1bl22Ver5qV29gYjUxkf43l5rBbPpK/yfS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OgGcxQAAANwAAAAPAAAAAAAAAAAAAAAAAJgCAABkcnMv&#10;ZG93bnJldi54bWxQSwUGAAAAAAQABAD1AAAAigMAAAAA&#10;" fillcolor="#dadcdd" stroked="f"/>
            <v:line id="Line 408" o:spid="_x0000_s1396" style="position:absolute;visibility:visible;mso-wrap-style:square" from="47815,9639" to="47821,9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8kOMUAAADcAAAADwAAAGRycy9kb3ducmV2LnhtbESPQWvCQBSE74L/YXlCL2I2KkiMrlJS&#10;Ch481LTi9Zl9TWKzb0N21fTfd4WCx2FmvmHW29404kadqy0rmEYxCOLC6ppLBV+f75MEhPPIGhvL&#10;pOCXHGw3w8EaU23vfKBb7ksRIOxSVFB536ZSuqIigy6yLXHwvm1n0AfZlVJ3eA9w08hZHC+kwZrD&#10;QoUtZRUVP/nVKBifkvEcj/klm5azjC4f+/PbwSn1MupfVyA89f4Z/m/vtIJlsoDHmXAE5OY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n8kOMUAAADcAAAADwAAAAAAAAAA&#10;AAAAAAChAgAAZHJzL2Rvd25yZXYueG1sUEsFBgAAAAAEAAQA+QAAAJMDAAAAAA==&#10;" strokecolor="#dadcdd" strokeweight="0"/>
            <v:rect id="Rectangle 409" o:spid="_x0000_s1397" style="position:absolute;left:47815;top:9639;width:7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Q6cMQA&#10;AADcAAAADwAAAGRycy9kb3ducmV2LnhtbESPQWsCMRSE70L/Q3hCb5rVg9qtUazQUigIapUeH5vn&#10;Jrh5WTap7v57Iwgeh5n5hpkvW1eJCzXBelYwGmYgiAuvLZcKfvefgxmIEJE1Vp5JQUcBlouX3hxz&#10;7a+8pcsuliJBOOSowMRY51KGwpDDMPQ1cfJOvnEYk2xKqRu8Jrir5DjLJtKh5bRgsKa1oeK8+3cK&#10;frqjPUz0CA9/x01npl8f1mVbpV777eodRKQ2PsOP9rdW8Dabwv1MOg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kOnDEAAAA3AAAAA8AAAAAAAAAAAAAAAAAmAIAAGRycy9k&#10;b3ducmV2LnhtbFBLBQYAAAAABAAEAPUAAACJAwAAAAA=&#10;" fillcolor="#dadcdd" stroked="f"/>
            <w10:wrap type="none"/>
            <w10:anchorlock/>
          </v:group>
        </w:pict>
      </w:r>
    </w:p>
    <w:p w:rsidR="00AB74C7" w:rsidRDefault="00AB74C7" w:rsidP="00BF10FA">
      <w:pPr>
        <w:spacing w:after="120"/>
        <w:jc w:val="left"/>
        <w:rPr>
          <w:bCs/>
        </w:rPr>
      </w:pPr>
      <w:r>
        <w:rPr>
          <w:bCs/>
        </w:rPr>
        <w:t xml:space="preserve">The highest GPP was found at the site with no Commonwealth environmental watering action. There was an approximately two-fold increase in GPP at Site 4 in zone 2 compared with sites in the other three zones (Table 7.2, Figure 7.2). It is possible this doubling of rate is due to higher phosphorus concentrations at this site, although the most bioavailable form of phosphorus (FRP) is only marginally higher at this site (see Figure 6.7) and was very low (&lt; 0.005 mg/L). The slightly higher GPP rates found in zone 2 match with observations of more </w:t>
      </w:r>
      <w:r w:rsidRPr="00AB74C7">
        <w:rPr>
          <w:bCs/>
        </w:rPr>
        <w:t>filamentous algae in t</w:t>
      </w:r>
      <w:r>
        <w:rPr>
          <w:bCs/>
        </w:rPr>
        <w:t>his zone compared to the other zones. It was also in z</w:t>
      </w:r>
      <w:r w:rsidRPr="00AB74C7">
        <w:rPr>
          <w:bCs/>
        </w:rPr>
        <w:t>one 2 where problems with biofilm growth impacting performance of the DO probe was at the highest level</w:t>
      </w:r>
      <w:r>
        <w:rPr>
          <w:bCs/>
        </w:rPr>
        <w:t xml:space="preserve">, </w:t>
      </w:r>
      <w:r w:rsidRPr="00AB74C7">
        <w:rPr>
          <w:bCs/>
        </w:rPr>
        <w:t>thereby necessitating a more frequent cle</w:t>
      </w:r>
      <w:r>
        <w:rPr>
          <w:bCs/>
        </w:rPr>
        <w:t>aning regime</w:t>
      </w:r>
      <w:r w:rsidRPr="00AB74C7">
        <w:rPr>
          <w:bCs/>
        </w:rPr>
        <w:t>.</w:t>
      </w:r>
      <w:r>
        <w:rPr>
          <w:bCs/>
        </w:rPr>
        <w:t xml:space="preserve"> </w:t>
      </w:r>
    </w:p>
    <w:p w:rsidR="00AB74C7" w:rsidRDefault="00AB74C7" w:rsidP="00AB74C7">
      <w:pPr>
        <w:spacing w:after="240"/>
        <w:jc w:val="left"/>
        <w:rPr>
          <w:bCs/>
        </w:rPr>
      </w:pPr>
      <w:r>
        <w:rPr>
          <w:bCs/>
        </w:rPr>
        <w:t>Despite the differences across zones, these GPP rates are still at the lower end of the ‘normal’ range for freshwater streams and rivers. This normal range is (approximately) 3 to 10 mg O</w:t>
      </w:r>
      <w:r>
        <w:rPr>
          <w:bCs/>
          <w:vertAlign w:val="subscript"/>
        </w:rPr>
        <w:t>2</w:t>
      </w:r>
      <w:r>
        <w:rPr>
          <w:bCs/>
        </w:rPr>
        <w:t xml:space="preserve">/L/Day (e.g. Bernot et al. 2010; Marcarelli et al. 2011). The comparison was made assuming average water depth was 1.0 m to enable conversion from the areal units in the references given to the volumetric units presented in this report. </w:t>
      </w:r>
      <w:r w:rsidRPr="00BF10FA">
        <w:rPr>
          <w:bCs/>
        </w:rPr>
        <w:t>There was very little difference in the daily GPP values measured within the two sites in both zone 1 and zone 4.</w:t>
      </w:r>
      <w:r w:rsidR="00BF10FA">
        <w:rPr>
          <w:bCs/>
        </w:rPr>
        <w:t xml:space="preserve"> This indicates that </w:t>
      </w:r>
      <w:r w:rsidR="00BF10FA" w:rsidRPr="00BF10FA">
        <w:rPr>
          <w:bCs/>
        </w:rPr>
        <w:t>indicates that the stream reach integrated by the logger at site 5 is behaving very similarly to the stream reach above the logger at site 1.</w:t>
      </w:r>
    </w:p>
    <w:p w:rsidR="00CB43DA" w:rsidRDefault="00E53A56" w:rsidP="00E53A56">
      <w:pPr>
        <w:spacing w:after="0" w:line="240" w:lineRule="auto"/>
        <w:rPr>
          <w:bCs/>
        </w:rPr>
      </w:pPr>
      <w:r>
        <w:rPr>
          <w:bCs/>
          <w:noProof/>
          <w:lang w:eastAsia="en-AU"/>
        </w:rPr>
        <w:drawing>
          <wp:inline distT="0" distB="0" distL="0" distR="0">
            <wp:extent cx="4763402" cy="8028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390"/>
                    <a:stretch/>
                  </pic:blipFill>
                  <pic:spPr bwMode="auto">
                    <a:xfrm>
                      <a:off x="0" y="0"/>
                      <a:ext cx="4763402" cy="802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B43DA" w:rsidRPr="002B3004" w:rsidRDefault="00BC51A1" w:rsidP="00F21554">
      <w:pPr>
        <w:spacing w:after="240" w:line="240" w:lineRule="auto"/>
        <w:rPr>
          <w:bCs/>
          <w:sz w:val="20"/>
        </w:rPr>
      </w:pPr>
      <w:r w:rsidRPr="00F21554">
        <w:rPr>
          <w:b/>
          <w:bCs/>
          <w:sz w:val="20"/>
        </w:rPr>
        <w:t>Figure 7.2</w:t>
      </w:r>
      <w:r w:rsidRPr="002B3004">
        <w:rPr>
          <w:bCs/>
          <w:sz w:val="20"/>
        </w:rPr>
        <w:t xml:space="preserve"> </w:t>
      </w:r>
      <w:r>
        <w:rPr>
          <w:bCs/>
          <w:sz w:val="20"/>
        </w:rPr>
        <w:t>Relationships between</w:t>
      </w:r>
      <w:r w:rsidR="00542694">
        <w:rPr>
          <w:bCs/>
          <w:sz w:val="20"/>
        </w:rPr>
        <w:t xml:space="preserve"> f</w:t>
      </w:r>
      <w:r w:rsidRPr="002B3004">
        <w:rPr>
          <w:bCs/>
          <w:sz w:val="20"/>
        </w:rPr>
        <w:t xml:space="preserve">low </w:t>
      </w:r>
      <w:r w:rsidR="00542694">
        <w:rPr>
          <w:bCs/>
          <w:sz w:val="20"/>
        </w:rPr>
        <w:t>and gross primary p</w:t>
      </w:r>
      <w:r>
        <w:rPr>
          <w:bCs/>
          <w:sz w:val="20"/>
        </w:rPr>
        <w:t>roduction</w:t>
      </w:r>
      <w:r w:rsidRPr="002B3004">
        <w:rPr>
          <w:bCs/>
          <w:sz w:val="20"/>
        </w:rPr>
        <w:t xml:space="preserve"> </w:t>
      </w:r>
      <w:r w:rsidR="00542694">
        <w:rPr>
          <w:bCs/>
          <w:sz w:val="20"/>
        </w:rPr>
        <w:t xml:space="preserve">(GPP) </w:t>
      </w:r>
      <w:r w:rsidR="009F4D23">
        <w:rPr>
          <w:bCs/>
          <w:sz w:val="20"/>
        </w:rPr>
        <w:t>for Yallakool Creek (z</w:t>
      </w:r>
      <w:r w:rsidRPr="002B3004">
        <w:rPr>
          <w:bCs/>
          <w:sz w:val="20"/>
        </w:rPr>
        <w:t>one 1)</w:t>
      </w:r>
      <w:r w:rsidR="009F4D23">
        <w:rPr>
          <w:bCs/>
          <w:sz w:val="20"/>
        </w:rPr>
        <w:t xml:space="preserve"> and Wakool River (z</w:t>
      </w:r>
      <w:r>
        <w:rPr>
          <w:bCs/>
          <w:sz w:val="20"/>
        </w:rPr>
        <w:t xml:space="preserve">ones 2, 3 and 4) </w:t>
      </w:r>
      <w:r w:rsidRPr="002B3004">
        <w:rPr>
          <w:bCs/>
          <w:sz w:val="20"/>
        </w:rPr>
        <w:t>from August 2014 to March 2015</w:t>
      </w:r>
    </w:p>
    <w:p w:rsidR="0033465F" w:rsidRPr="0033465F" w:rsidRDefault="0033465F" w:rsidP="00542694">
      <w:pPr>
        <w:spacing w:after="240"/>
        <w:jc w:val="left"/>
        <w:rPr>
          <w:bCs/>
          <w:szCs w:val="22"/>
        </w:rPr>
      </w:pPr>
      <w:r>
        <w:rPr>
          <w:bCs/>
        </w:rPr>
        <w:t xml:space="preserve">Unlike the </w:t>
      </w:r>
      <w:r w:rsidRPr="0033465F">
        <w:rPr>
          <w:bCs/>
          <w:szCs w:val="22"/>
        </w:rPr>
        <w:t>small incre</w:t>
      </w:r>
      <w:r>
        <w:rPr>
          <w:bCs/>
          <w:szCs w:val="22"/>
        </w:rPr>
        <w:t>ase in metabolic rate (GPP) in z</w:t>
      </w:r>
      <w:r w:rsidRPr="0033465F">
        <w:rPr>
          <w:bCs/>
          <w:szCs w:val="22"/>
        </w:rPr>
        <w:t>one 2 Site 4 shown in Figure 7.2, Figure 7.3 illust</w:t>
      </w:r>
      <w:r>
        <w:rPr>
          <w:bCs/>
          <w:szCs w:val="22"/>
        </w:rPr>
        <w:t>rates the substantially higher ecosystem r</w:t>
      </w:r>
      <w:r w:rsidRPr="0033465F">
        <w:rPr>
          <w:bCs/>
          <w:szCs w:val="22"/>
        </w:rPr>
        <w:t xml:space="preserve">espiration </w:t>
      </w:r>
      <w:r>
        <w:rPr>
          <w:bCs/>
          <w:szCs w:val="22"/>
        </w:rPr>
        <w:t xml:space="preserve">(ER) </w:t>
      </w:r>
      <w:r w:rsidRPr="0033465F">
        <w:rPr>
          <w:bCs/>
          <w:szCs w:val="22"/>
        </w:rPr>
        <w:t xml:space="preserve">rates at this site compared with sites in the other 3 zones. </w:t>
      </w:r>
      <w:r>
        <w:rPr>
          <w:bCs/>
          <w:szCs w:val="22"/>
        </w:rPr>
        <w:t>Field</w:t>
      </w:r>
      <w:r w:rsidRPr="0033465F">
        <w:rPr>
          <w:bCs/>
          <w:szCs w:val="22"/>
        </w:rPr>
        <w:t xml:space="preserve"> observations indicated that there was substantially more leaf litter and other organic det</w:t>
      </w:r>
      <w:r>
        <w:rPr>
          <w:bCs/>
          <w:szCs w:val="22"/>
        </w:rPr>
        <w:t>ritus in the shallow waters in z</w:t>
      </w:r>
      <w:r w:rsidRPr="0033465F">
        <w:rPr>
          <w:bCs/>
          <w:szCs w:val="22"/>
        </w:rPr>
        <w:t>one 2</w:t>
      </w:r>
      <w:r>
        <w:rPr>
          <w:bCs/>
          <w:szCs w:val="22"/>
        </w:rPr>
        <w:t xml:space="preserve"> (R. Watts, pers. comm)</w:t>
      </w:r>
      <w:r w:rsidRPr="0033465F">
        <w:rPr>
          <w:bCs/>
          <w:szCs w:val="22"/>
        </w:rPr>
        <w:t xml:space="preserve">. This zone, unlike the others, has received </w:t>
      </w:r>
      <w:r>
        <w:rPr>
          <w:bCs/>
          <w:szCs w:val="22"/>
        </w:rPr>
        <w:t>only low</w:t>
      </w:r>
      <w:r w:rsidRPr="0033465F">
        <w:rPr>
          <w:bCs/>
          <w:szCs w:val="22"/>
        </w:rPr>
        <w:t xml:space="preserve"> flows over the past few years. Such accumulations </w:t>
      </w:r>
      <w:r>
        <w:rPr>
          <w:bCs/>
          <w:szCs w:val="22"/>
        </w:rPr>
        <w:t>of leaf litter can</w:t>
      </w:r>
      <w:r w:rsidRPr="0033465F">
        <w:rPr>
          <w:bCs/>
          <w:szCs w:val="22"/>
        </w:rPr>
        <w:t xml:space="preserve"> lead to higher respiration rates (as found here) due to an increase in the fuel (organic matter) for respiration. It is also likely that these accumulations may be the result of the lack of higher flows to re</w:t>
      </w:r>
      <w:r>
        <w:rPr>
          <w:bCs/>
          <w:szCs w:val="22"/>
        </w:rPr>
        <w:t>-</w:t>
      </w:r>
      <w:r w:rsidRPr="0033465F">
        <w:rPr>
          <w:bCs/>
          <w:szCs w:val="22"/>
        </w:rPr>
        <w:t>suspend this organic matter and move it downstream.</w:t>
      </w:r>
    </w:p>
    <w:p w:rsidR="0033465F" w:rsidRPr="0033465F" w:rsidRDefault="0033465F" w:rsidP="00542694">
      <w:pPr>
        <w:spacing w:after="240"/>
        <w:jc w:val="left"/>
        <w:rPr>
          <w:bCs/>
          <w:szCs w:val="22"/>
        </w:rPr>
      </w:pPr>
      <w:r w:rsidRPr="0033465F">
        <w:rPr>
          <w:bCs/>
          <w:szCs w:val="22"/>
        </w:rPr>
        <w:t>The higher respiration rate</w:t>
      </w:r>
      <w:r w:rsidR="00542694">
        <w:rPr>
          <w:bCs/>
          <w:szCs w:val="22"/>
        </w:rPr>
        <w:t xml:space="preserve"> (and lower P/R ratio,</w:t>
      </w:r>
      <w:r w:rsidRPr="0033465F">
        <w:rPr>
          <w:bCs/>
          <w:szCs w:val="22"/>
        </w:rPr>
        <w:t xml:space="preserve"> see Figure 7.4) is entirely consistent with the significantly lower dissolved </w:t>
      </w:r>
      <w:r w:rsidR="009F4D23">
        <w:rPr>
          <w:bCs/>
          <w:szCs w:val="22"/>
        </w:rPr>
        <w:t>oxygen concentrations found in z</w:t>
      </w:r>
      <w:r w:rsidRPr="0033465F">
        <w:rPr>
          <w:bCs/>
          <w:szCs w:val="22"/>
        </w:rPr>
        <w:t>one 2 (at Site 4)</w:t>
      </w:r>
      <w:r>
        <w:rPr>
          <w:bCs/>
          <w:szCs w:val="22"/>
        </w:rPr>
        <w:t xml:space="preserve"> (see Section 6.4, </w:t>
      </w:r>
      <w:r w:rsidRPr="0033465F">
        <w:rPr>
          <w:bCs/>
          <w:szCs w:val="22"/>
        </w:rPr>
        <w:t>Figure 6.4</w:t>
      </w:r>
      <w:r>
        <w:rPr>
          <w:bCs/>
          <w:szCs w:val="22"/>
        </w:rPr>
        <w:t>)</w:t>
      </w:r>
      <w:r w:rsidRPr="0033465F">
        <w:rPr>
          <w:bCs/>
          <w:szCs w:val="22"/>
        </w:rPr>
        <w:t>. It is this higher respiration rate that causes the depletion of the oxygen concentration and led to the very low DO found in January 2015 and over the period Dec</w:t>
      </w:r>
      <w:r>
        <w:rPr>
          <w:bCs/>
          <w:szCs w:val="22"/>
        </w:rPr>
        <w:t>ember</w:t>
      </w:r>
      <w:r w:rsidRPr="0033465F">
        <w:rPr>
          <w:bCs/>
          <w:szCs w:val="22"/>
        </w:rPr>
        <w:t xml:space="preserve"> 2014 until the end of March when monitoring finished.</w:t>
      </w:r>
    </w:p>
    <w:p w:rsidR="0033465F" w:rsidRPr="0033465F" w:rsidRDefault="0033465F" w:rsidP="00542694">
      <w:pPr>
        <w:spacing w:after="240"/>
        <w:jc w:val="left"/>
        <w:rPr>
          <w:bCs/>
          <w:szCs w:val="22"/>
        </w:rPr>
      </w:pPr>
      <w:r w:rsidRPr="0033465F">
        <w:rPr>
          <w:bCs/>
          <w:szCs w:val="22"/>
        </w:rPr>
        <w:t xml:space="preserve">As noted in Section 6, it is highly likely that the Commonwealth environmental watering actions </w:t>
      </w:r>
      <w:r w:rsidR="00542694">
        <w:rPr>
          <w:bCs/>
          <w:szCs w:val="22"/>
        </w:rPr>
        <w:t>affecting the flow in</w:t>
      </w:r>
      <w:r w:rsidRPr="0033465F">
        <w:rPr>
          <w:bCs/>
          <w:szCs w:val="22"/>
        </w:rPr>
        <w:t xml:space="preserve"> </w:t>
      </w:r>
      <w:r>
        <w:rPr>
          <w:bCs/>
          <w:szCs w:val="22"/>
        </w:rPr>
        <w:t>z</w:t>
      </w:r>
      <w:r w:rsidRPr="0033465F">
        <w:rPr>
          <w:bCs/>
          <w:szCs w:val="22"/>
        </w:rPr>
        <w:t>ones 1, 3 and 4 played a significant role in ensuring the DO concentrations remained above 4 mg O</w:t>
      </w:r>
      <w:r w:rsidRPr="0033465F">
        <w:rPr>
          <w:bCs/>
          <w:szCs w:val="22"/>
          <w:vertAlign w:val="subscript"/>
        </w:rPr>
        <w:t>2</w:t>
      </w:r>
      <w:r w:rsidRPr="0033465F">
        <w:rPr>
          <w:bCs/>
          <w:szCs w:val="22"/>
        </w:rPr>
        <w:t>/L. The mechanism of this maintenance of higher DO is most likely a combination of provision of fresh water, and lower respiration rates through lack of accumulation of significant organic carbon detritus in the marginal zones of the river.</w:t>
      </w:r>
    </w:p>
    <w:p w:rsidR="0033465F" w:rsidRPr="0033465F" w:rsidRDefault="0033465F" w:rsidP="00542694">
      <w:pPr>
        <w:spacing w:after="240"/>
        <w:jc w:val="left"/>
        <w:rPr>
          <w:bCs/>
          <w:szCs w:val="22"/>
        </w:rPr>
      </w:pPr>
      <w:r w:rsidRPr="0033465F">
        <w:rPr>
          <w:bCs/>
          <w:szCs w:val="22"/>
        </w:rPr>
        <w:t>As noted with GPP, the Ecosystem Respiration rates in the three zones receiving water from Commonwealth environmental water actions are at the low end of the ‘normal’ range for streams and river</w:t>
      </w:r>
      <w:r>
        <w:rPr>
          <w:bCs/>
          <w:szCs w:val="22"/>
        </w:rPr>
        <w:t xml:space="preserve">s worldwide (typically around 2 to </w:t>
      </w:r>
      <w:r w:rsidRPr="0033465F">
        <w:rPr>
          <w:bCs/>
          <w:szCs w:val="22"/>
        </w:rPr>
        <w:t>20 mg O</w:t>
      </w:r>
      <w:r w:rsidRPr="0033465F">
        <w:rPr>
          <w:bCs/>
          <w:szCs w:val="22"/>
          <w:vertAlign w:val="subscript"/>
        </w:rPr>
        <w:t>2</w:t>
      </w:r>
      <w:r w:rsidR="00542694">
        <w:rPr>
          <w:bCs/>
          <w:szCs w:val="22"/>
        </w:rPr>
        <w:t>/L/Day,</w:t>
      </w:r>
      <w:r w:rsidRPr="0033465F">
        <w:rPr>
          <w:bCs/>
          <w:szCs w:val="22"/>
        </w:rPr>
        <w:t xml:space="preserve"> again assuming an average depth of 1 m, Bernot et al. 2010; Marcarelli et al. 2011</w:t>
      </w:r>
      <w:r>
        <w:rPr>
          <w:bCs/>
          <w:szCs w:val="22"/>
        </w:rPr>
        <w:t>), whereas the z</w:t>
      </w:r>
      <w:r w:rsidRPr="0033465F">
        <w:rPr>
          <w:bCs/>
          <w:szCs w:val="22"/>
        </w:rPr>
        <w:t>one 2 median rate of 6.9 mg O</w:t>
      </w:r>
      <w:r w:rsidRPr="0033465F">
        <w:rPr>
          <w:bCs/>
          <w:szCs w:val="22"/>
          <w:vertAlign w:val="subscript"/>
        </w:rPr>
        <w:t>2</w:t>
      </w:r>
      <w:r w:rsidRPr="0033465F">
        <w:rPr>
          <w:bCs/>
          <w:szCs w:val="22"/>
        </w:rPr>
        <w:t>/L/Day is around the midpoint of reported results. This finding raises an important point about such comparisons. Higher respiration rates in many other systems around the word are coupled with higher re</w:t>
      </w:r>
      <w:r>
        <w:rPr>
          <w:bCs/>
          <w:szCs w:val="22"/>
        </w:rPr>
        <w:t>-</w:t>
      </w:r>
      <w:r w:rsidRPr="0033465F">
        <w:rPr>
          <w:bCs/>
          <w:szCs w:val="22"/>
        </w:rPr>
        <w:t xml:space="preserve">aeration rates from faster flowing and more turbulent water. Hence the dissolved oxygen concentration in those systems </w:t>
      </w:r>
      <w:r>
        <w:rPr>
          <w:bCs/>
          <w:szCs w:val="22"/>
        </w:rPr>
        <w:t xml:space="preserve">does not drop below 4 to </w:t>
      </w:r>
      <w:r w:rsidRPr="0033465F">
        <w:rPr>
          <w:bCs/>
          <w:szCs w:val="22"/>
        </w:rPr>
        <w:t xml:space="preserve">5 mg </w:t>
      </w:r>
      <w:r>
        <w:rPr>
          <w:bCs/>
          <w:szCs w:val="22"/>
        </w:rPr>
        <w:t>O</w:t>
      </w:r>
      <w:r w:rsidRPr="0033465F">
        <w:rPr>
          <w:bCs/>
          <w:szCs w:val="22"/>
          <w:vertAlign w:val="subscript"/>
        </w:rPr>
        <w:t>2</w:t>
      </w:r>
      <w:r w:rsidRPr="0033465F">
        <w:rPr>
          <w:bCs/>
          <w:szCs w:val="22"/>
        </w:rPr>
        <w:t>/L. This means there is no simple target for an ‘ideal’ respiration rate. The slow, laminar (non-turbulent) flow in l</w:t>
      </w:r>
      <w:r>
        <w:rPr>
          <w:bCs/>
          <w:szCs w:val="22"/>
        </w:rPr>
        <w:t>owland rivers such as found in z</w:t>
      </w:r>
      <w:r w:rsidR="002E480B">
        <w:rPr>
          <w:bCs/>
          <w:szCs w:val="22"/>
        </w:rPr>
        <w:t xml:space="preserve"> </w:t>
      </w:r>
      <w:r w:rsidRPr="0033465F">
        <w:rPr>
          <w:bCs/>
          <w:szCs w:val="22"/>
        </w:rPr>
        <w:t>one 2 increases the risk of low DO concentrations despite what might appear only moderate ecosystem respiration rates.</w:t>
      </w:r>
    </w:p>
    <w:p w:rsidR="0033465F" w:rsidRPr="0033465F" w:rsidRDefault="0033465F" w:rsidP="00542694">
      <w:pPr>
        <w:spacing w:after="240"/>
        <w:jc w:val="left"/>
        <w:rPr>
          <w:bCs/>
          <w:szCs w:val="22"/>
        </w:rPr>
      </w:pPr>
      <w:r w:rsidRPr="005E0A51">
        <w:rPr>
          <w:bCs/>
          <w:szCs w:val="22"/>
        </w:rPr>
        <w:t xml:space="preserve">There was </w:t>
      </w:r>
      <w:r w:rsidR="005E0A51" w:rsidRPr="005E0A51">
        <w:rPr>
          <w:bCs/>
          <w:szCs w:val="22"/>
        </w:rPr>
        <w:t>little</w:t>
      </w:r>
      <w:r w:rsidR="00C22703" w:rsidRPr="005E0A51">
        <w:rPr>
          <w:bCs/>
          <w:szCs w:val="22"/>
        </w:rPr>
        <w:t xml:space="preserve"> difference in e</w:t>
      </w:r>
      <w:r w:rsidRPr="005E0A51">
        <w:rPr>
          <w:bCs/>
          <w:szCs w:val="22"/>
        </w:rPr>
        <w:t>cosystem respiration rates fro</w:t>
      </w:r>
      <w:r w:rsidR="00C22703" w:rsidRPr="005E0A51">
        <w:rPr>
          <w:bCs/>
          <w:szCs w:val="22"/>
        </w:rPr>
        <w:t>m the two sites in zone 1 and zone 4</w:t>
      </w:r>
      <w:r w:rsidRPr="005E0A51">
        <w:rPr>
          <w:bCs/>
          <w:szCs w:val="22"/>
        </w:rPr>
        <w:t xml:space="preserve"> </w:t>
      </w:r>
      <w:r w:rsidR="00C22703" w:rsidRPr="005E0A51">
        <w:rPr>
          <w:bCs/>
          <w:szCs w:val="22"/>
        </w:rPr>
        <w:t>that both</w:t>
      </w:r>
      <w:r w:rsidRPr="005E0A51">
        <w:rPr>
          <w:bCs/>
          <w:szCs w:val="22"/>
        </w:rPr>
        <w:t xml:space="preserve"> </w:t>
      </w:r>
      <w:r w:rsidR="00C22703" w:rsidRPr="005E0A51">
        <w:rPr>
          <w:bCs/>
          <w:szCs w:val="22"/>
        </w:rPr>
        <w:t>had</w:t>
      </w:r>
      <w:r w:rsidRPr="005E0A51">
        <w:rPr>
          <w:bCs/>
          <w:szCs w:val="22"/>
        </w:rPr>
        <w:t xml:space="preserve"> upstream and downstream data loggers.</w:t>
      </w:r>
      <w:r w:rsidR="005E0A51">
        <w:rPr>
          <w:bCs/>
          <w:szCs w:val="22"/>
        </w:rPr>
        <w:t xml:space="preserve"> </w:t>
      </w:r>
      <w:r w:rsidR="005E0A51">
        <w:rPr>
          <w:bCs/>
        </w:rPr>
        <w:t xml:space="preserve">This indicates that </w:t>
      </w:r>
      <w:r w:rsidR="005E0A51" w:rsidRPr="00BF10FA">
        <w:rPr>
          <w:bCs/>
        </w:rPr>
        <w:t>indicates that the stream reach integrated by the logger at site 5 is behaving very similarly to the stream reach above the logger at site 1.</w:t>
      </w:r>
    </w:p>
    <w:p w:rsidR="00542694" w:rsidRDefault="00542694" w:rsidP="00542694">
      <w:pPr>
        <w:spacing w:after="240"/>
        <w:jc w:val="left"/>
        <w:rPr>
          <w:bCs/>
        </w:rPr>
      </w:pPr>
      <w:r>
        <w:rPr>
          <w:bCs/>
        </w:rPr>
        <w:t>The most striking difference found when comparing the four panels in Figure 7.4 is that the P/R ratio in zone 2 (Site 4) was always below 0.8 whereas the other zones all had periods when this ratio exceeded 1, if not 2. A continual P/R ratio of &lt; 1 indicates that the stream environment is always consuming more oxygen than is being produced through photosynthesis. Hence if physical re-aeration is insufficient to counterbalance the oxygen demand through respiration, then dissolved oxygen concentrations can fall to quite low and perhaps problematic levels such as observed in January 2015 (Figure 6.4).</w:t>
      </w:r>
    </w:p>
    <w:p w:rsidR="00CB43DA" w:rsidRDefault="00CB43DA" w:rsidP="00542694">
      <w:pPr>
        <w:jc w:val="left"/>
        <w:rPr>
          <w:bCs/>
        </w:rPr>
      </w:pPr>
      <w:r w:rsidRPr="0052776B">
        <w:rPr>
          <w:bCs/>
        </w:rPr>
        <w:t>A</w:t>
      </w:r>
      <w:r w:rsidR="00542694">
        <w:rPr>
          <w:bCs/>
        </w:rPr>
        <w:t>lthough the metabolic rates in z</w:t>
      </w:r>
      <w:r w:rsidRPr="0052776B">
        <w:rPr>
          <w:bCs/>
        </w:rPr>
        <w:t>one 2 of the Wakool River were higher than the five other sites, the total amount of oxygen (and hence organic carbon) created by photosynthesis or consumed by respiration is determined by the daily load. This load is simply the product of the metabolic rate in mg O</w:t>
      </w:r>
      <w:r w:rsidRPr="0052776B">
        <w:rPr>
          <w:bCs/>
          <w:vertAlign w:val="subscript"/>
        </w:rPr>
        <w:t>2</w:t>
      </w:r>
      <w:r w:rsidRPr="0052776B">
        <w:rPr>
          <w:bCs/>
        </w:rPr>
        <w:t>/L/Day multiplied by the flow in L/Day. The result is in mass of O</w:t>
      </w:r>
      <w:r w:rsidRPr="0052776B">
        <w:rPr>
          <w:bCs/>
          <w:vertAlign w:val="subscript"/>
        </w:rPr>
        <w:t>2</w:t>
      </w:r>
      <w:r w:rsidRPr="0052776B">
        <w:rPr>
          <w:bCs/>
        </w:rPr>
        <w:t xml:space="preserve"> produced or consumed on that day. The most convenient unit is kg O</w:t>
      </w:r>
      <w:r w:rsidRPr="0052776B">
        <w:rPr>
          <w:bCs/>
          <w:vertAlign w:val="subscript"/>
        </w:rPr>
        <w:t>2</w:t>
      </w:r>
      <w:r w:rsidRPr="0052776B">
        <w:rPr>
          <w:bCs/>
        </w:rPr>
        <w:t xml:space="preserve">. Table </w:t>
      </w:r>
      <w:r w:rsidR="00C26AE7">
        <w:rPr>
          <w:bCs/>
        </w:rPr>
        <w:t>7.</w:t>
      </w:r>
      <w:r w:rsidR="00542694">
        <w:rPr>
          <w:bCs/>
        </w:rPr>
        <w:t>3</w:t>
      </w:r>
      <w:r w:rsidRPr="0052776B">
        <w:rPr>
          <w:bCs/>
        </w:rPr>
        <w:t xml:space="preserve"> summarizes the GPP and ER loads for each of the sites. The table clearly shows </w:t>
      </w:r>
      <w:r w:rsidR="00542694">
        <w:rPr>
          <w:bCs/>
        </w:rPr>
        <w:t>that although the Wakool River z</w:t>
      </w:r>
      <w:r w:rsidRPr="0052776B">
        <w:rPr>
          <w:bCs/>
        </w:rPr>
        <w:t>one 2 rates are highest, the amount of O</w:t>
      </w:r>
      <w:r w:rsidRPr="0052776B">
        <w:rPr>
          <w:bCs/>
          <w:vertAlign w:val="subscript"/>
        </w:rPr>
        <w:t>2</w:t>
      </w:r>
      <w:r w:rsidRPr="0052776B">
        <w:rPr>
          <w:bCs/>
        </w:rPr>
        <w:t xml:space="preserve"> produced or consumed is actually </w:t>
      </w:r>
      <w:r w:rsidRPr="0052776B">
        <w:rPr>
          <w:bCs/>
          <w:i/>
          <w:iCs/>
        </w:rPr>
        <w:t>lower</w:t>
      </w:r>
      <w:r w:rsidRPr="0052776B">
        <w:rPr>
          <w:bCs/>
        </w:rPr>
        <w:t xml:space="preserve"> than the other sites due to the much lower daily flow rates.</w:t>
      </w:r>
    </w:p>
    <w:p w:rsidR="00CB43DA" w:rsidRPr="00F07C5C" w:rsidRDefault="00CB43DA" w:rsidP="00EC7148">
      <w:pPr>
        <w:spacing w:after="120" w:line="240" w:lineRule="auto"/>
        <w:rPr>
          <w:color w:val="000000" w:themeColor="text1"/>
          <w:sz w:val="20"/>
          <w:lang w:val="en-US"/>
        </w:rPr>
      </w:pPr>
      <w:r w:rsidRPr="00F07C5C">
        <w:rPr>
          <w:b/>
          <w:color w:val="000000" w:themeColor="text1"/>
          <w:sz w:val="20"/>
          <w:lang w:val="en-US"/>
        </w:rPr>
        <w:t xml:space="preserve">Table </w:t>
      </w:r>
      <w:r w:rsidR="00C26AE7" w:rsidRPr="00F07C5C">
        <w:rPr>
          <w:b/>
          <w:color w:val="000000" w:themeColor="text1"/>
          <w:sz w:val="20"/>
          <w:lang w:val="en-US"/>
        </w:rPr>
        <w:t>7.</w:t>
      </w:r>
      <w:r w:rsidR="00A20838">
        <w:rPr>
          <w:b/>
          <w:color w:val="000000" w:themeColor="text1"/>
          <w:sz w:val="20"/>
          <w:lang w:val="en-US"/>
        </w:rPr>
        <w:t>3</w:t>
      </w:r>
      <w:r w:rsidRPr="00F07C5C">
        <w:rPr>
          <w:b/>
          <w:color w:val="000000" w:themeColor="text1"/>
          <w:sz w:val="20"/>
          <w:lang w:val="en-US"/>
        </w:rPr>
        <w:t>.</w:t>
      </w:r>
      <w:r w:rsidRPr="00F07C5C">
        <w:rPr>
          <w:color w:val="000000" w:themeColor="text1"/>
          <w:sz w:val="20"/>
          <w:lang w:val="en-US"/>
        </w:rPr>
        <w:t xml:space="preserve"> Mean daily oxygen loads created by photosynthesis (GPP) and consumed by respiration (ER). Median values are provided in parentheses. All values are </w:t>
      </w:r>
      <w:r w:rsidRPr="00F07C5C">
        <w:rPr>
          <w:rFonts w:cs="Calibri"/>
          <w:sz w:val="20"/>
        </w:rPr>
        <w:t xml:space="preserve">± </w:t>
      </w:r>
      <w:r w:rsidRPr="00F07C5C">
        <w:rPr>
          <w:color w:val="000000" w:themeColor="text1"/>
          <w:sz w:val="20"/>
          <w:lang w:val="en-US"/>
        </w:rPr>
        <w:t>1 standard deviation (</w:t>
      </w:r>
      <w:proofErr w:type="gramStart"/>
      <w:r w:rsidRPr="00F07C5C">
        <w:rPr>
          <w:color w:val="000000" w:themeColor="text1"/>
          <w:sz w:val="20"/>
          <w:lang w:val="en-US"/>
        </w:rPr>
        <w:t>sd</w:t>
      </w:r>
      <w:proofErr w:type="gramEnd"/>
      <w:r w:rsidRPr="00F07C5C">
        <w:rPr>
          <w:color w:val="000000" w:themeColor="text1"/>
          <w:sz w:val="20"/>
          <w:lang w:val="en-U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32"/>
        <w:gridCol w:w="566"/>
        <w:gridCol w:w="1794"/>
        <w:gridCol w:w="975"/>
        <w:gridCol w:w="1662"/>
        <w:gridCol w:w="897"/>
      </w:tblGrid>
      <w:tr w:rsidR="00CB43DA" w:rsidTr="00EC7148">
        <w:tc>
          <w:tcPr>
            <w:tcW w:w="3132" w:type="dxa"/>
            <w:tcBorders>
              <w:top w:val="single" w:sz="4" w:space="0" w:color="auto"/>
              <w:bottom w:val="single" w:sz="4" w:space="0" w:color="auto"/>
            </w:tcBorders>
            <w:shd w:val="clear" w:color="auto" w:fill="D6E3BC" w:themeFill="accent3" w:themeFillTint="66"/>
          </w:tcPr>
          <w:p w:rsidR="00CB43DA" w:rsidRDefault="00CB43DA" w:rsidP="00EC7148">
            <w:pPr>
              <w:spacing w:after="240" w:line="240" w:lineRule="auto"/>
              <w:rPr>
                <w:bCs/>
              </w:rPr>
            </w:pPr>
            <w:r>
              <w:rPr>
                <w:bCs/>
              </w:rPr>
              <w:t>Zone &amp; Site</w:t>
            </w:r>
          </w:p>
        </w:tc>
        <w:tc>
          <w:tcPr>
            <w:tcW w:w="566" w:type="dxa"/>
            <w:tcBorders>
              <w:top w:val="single" w:sz="4" w:space="0" w:color="auto"/>
              <w:bottom w:val="single" w:sz="4" w:space="0" w:color="auto"/>
            </w:tcBorders>
            <w:shd w:val="clear" w:color="auto" w:fill="D6E3BC" w:themeFill="accent3" w:themeFillTint="66"/>
          </w:tcPr>
          <w:p w:rsidR="00CB43DA" w:rsidRDefault="00CB43DA" w:rsidP="00EC7148">
            <w:pPr>
              <w:spacing w:after="240" w:line="240" w:lineRule="auto"/>
              <w:jc w:val="center"/>
              <w:rPr>
                <w:bCs/>
              </w:rPr>
            </w:pPr>
            <w:r>
              <w:rPr>
                <w:bCs/>
              </w:rPr>
              <w:t>n</w:t>
            </w:r>
          </w:p>
        </w:tc>
        <w:tc>
          <w:tcPr>
            <w:tcW w:w="1794" w:type="dxa"/>
            <w:tcBorders>
              <w:top w:val="single" w:sz="4" w:space="0" w:color="auto"/>
              <w:bottom w:val="single" w:sz="4" w:space="0" w:color="auto"/>
            </w:tcBorders>
            <w:shd w:val="clear" w:color="auto" w:fill="D6E3BC" w:themeFill="accent3" w:themeFillTint="66"/>
          </w:tcPr>
          <w:p w:rsidR="00CB43DA" w:rsidRPr="0052776B" w:rsidRDefault="00CB43DA" w:rsidP="00EC7148">
            <w:pPr>
              <w:spacing w:after="240" w:line="240" w:lineRule="auto"/>
              <w:jc w:val="center"/>
              <w:rPr>
                <w:bCs/>
              </w:rPr>
            </w:pPr>
            <w:r>
              <w:rPr>
                <w:bCs/>
              </w:rPr>
              <w:t>GPP Load (kg O</w:t>
            </w:r>
            <w:r>
              <w:rPr>
                <w:bCs/>
                <w:vertAlign w:val="subscript"/>
              </w:rPr>
              <w:t>2</w:t>
            </w:r>
            <w:r>
              <w:rPr>
                <w:bCs/>
              </w:rPr>
              <w:t>)</w:t>
            </w:r>
          </w:p>
        </w:tc>
        <w:tc>
          <w:tcPr>
            <w:tcW w:w="975" w:type="dxa"/>
            <w:tcBorders>
              <w:top w:val="single" w:sz="4" w:space="0" w:color="auto"/>
              <w:bottom w:val="single" w:sz="4" w:space="0" w:color="auto"/>
            </w:tcBorders>
            <w:shd w:val="clear" w:color="auto" w:fill="D6E3BC" w:themeFill="accent3" w:themeFillTint="66"/>
          </w:tcPr>
          <w:p w:rsidR="00CB43DA" w:rsidRDefault="00CB43DA" w:rsidP="00EC7148">
            <w:pPr>
              <w:spacing w:after="240" w:line="240" w:lineRule="auto"/>
              <w:jc w:val="center"/>
              <w:rPr>
                <w:bCs/>
              </w:rPr>
            </w:pPr>
            <w:r>
              <w:rPr>
                <w:bCs/>
              </w:rPr>
              <w:t>sd GPP</w:t>
            </w:r>
          </w:p>
        </w:tc>
        <w:tc>
          <w:tcPr>
            <w:tcW w:w="1662" w:type="dxa"/>
            <w:tcBorders>
              <w:top w:val="single" w:sz="4" w:space="0" w:color="auto"/>
              <w:bottom w:val="single" w:sz="4" w:space="0" w:color="auto"/>
            </w:tcBorders>
            <w:shd w:val="clear" w:color="auto" w:fill="D6E3BC" w:themeFill="accent3" w:themeFillTint="66"/>
          </w:tcPr>
          <w:p w:rsidR="00CB43DA" w:rsidRDefault="00CB43DA" w:rsidP="00EC7148">
            <w:pPr>
              <w:spacing w:after="240" w:line="240" w:lineRule="auto"/>
              <w:jc w:val="center"/>
              <w:rPr>
                <w:bCs/>
              </w:rPr>
            </w:pPr>
            <w:r>
              <w:rPr>
                <w:bCs/>
              </w:rPr>
              <w:t>ER Load (kg O</w:t>
            </w:r>
            <w:r>
              <w:rPr>
                <w:bCs/>
                <w:vertAlign w:val="subscript"/>
              </w:rPr>
              <w:t>2</w:t>
            </w:r>
            <w:r>
              <w:rPr>
                <w:bCs/>
              </w:rPr>
              <w:t>)</w:t>
            </w:r>
          </w:p>
        </w:tc>
        <w:tc>
          <w:tcPr>
            <w:tcW w:w="897" w:type="dxa"/>
            <w:tcBorders>
              <w:top w:val="single" w:sz="4" w:space="0" w:color="auto"/>
              <w:bottom w:val="single" w:sz="4" w:space="0" w:color="auto"/>
            </w:tcBorders>
            <w:shd w:val="clear" w:color="auto" w:fill="D6E3BC" w:themeFill="accent3" w:themeFillTint="66"/>
          </w:tcPr>
          <w:p w:rsidR="00CB43DA" w:rsidRDefault="00CB43DA" w:rsidP="00EC7148">
            <w:pPr>
              <w:spacing w:after="240" w:line="240" w:lineRule="auto"/>
              <w:jc w:val="center"/>
              <w:rPr>
                <w:bCs/>
              </w:rPr>
            </w:pPr>
            <w:r>
              <w:rPr>
                <w:bCs/>
              </w:rPr>
              <w:t>sd ER</w:t>
            </w:r>
          </w:p>
        </w:tc>
      </w:tr>
      <w:tr w:rsidR="00CB43DA" w:rsidTr="00EC7148">
        <w:tc>
          <w:tcPr>
            <w:tcW w:w="3132" w:type="dxa"/>
            <w:tcBorders>
              <w:top w:val="single" w:sz="4" w:space="0" w:color="auto"/>
            </w:tcBorders>
          </w:tcPr>
          <w:p w:rsidR="00CB43DA" w:rsidRDefault="00A20838" w:rsidP="00EC7148">
            <w:pPr>
              <w:spacing w:after="240" w:line="240" w:lineRule="auto"/>
              <w:rPr>
                <w:bCs/>
              </w:rPr>
            </w:pPr>
            <w:r>
              <w:rPr>
                <w:bCs/>
              </w:rPr>
              <w:t>Yallakool Ck, z</w:t>
            </w:r>
            <w:r w:rsidR="00CB43DA">
              <w:rPr>
                <w:bCs/>
              </w:rPr>
              <w:t>one 1 Site 1</w:t>
            </w:r>
          </w:p>
        </w:tc>
        <w:tc>
          <w:tcPr>
            <w:tcW w:w="566" w:type="dxa"/>
            <w:tcBorders>
              <w:top w:val="single" w:sz="4" w:space="0" w:color="auto"/>
            </w:tcBorders>
          </w:tcPr>
          <w:p w:rsidR="00CB43DA" w:rsidRDefault="00CB43DA" w:rsidP="00EC7148">
            <w:pPr>
              <w:spacing w:after="240" w:line="240" w:lineRule="auto"/>
              <w:jc w:val="center"/>
              <w:rPr>
                <w:bCs/>
              </w:rPr>
            </w:pPr>
            <w:r>
              <w:rPr>
                <w:bCs/>
              </w:rPr>
              <w:t>109</w:t>
            </w:r>
          </w:p>
        </w:tc>
        <w:tc>
          <w:tcPr>
            <w:tcW w:w="1794" w:type="dxa"/>
            <w:tcBorders>
              <w:top w:val="single" w:sz="4" w:space="0" w:color="auto"/>
            </w:tcBorders>
          </w:tcPr>
          <w:p w:rsidR="00CB43DA" w:rsidRDefault="00CB43DA" w:rsidP="00EC7148">
            <w:pPr>
              <w:spacing w:after="240" w:line="240" w:lineRule="auto"/>
              <w:jc w:val="center"/>
              <w:rPr>
                <w:bCs/>
              </w:rPr>
            </w:pPr>
            <w:r>
              <w:rPr>
                <w:bCs/>
              </w:rPr>
              <w:t>500 (460)</w:t>
            </w:r>
          </w:p>
        </w:tc>
        <w:tc>
          <w:tcPr>
            <w:tcW w:w="975" w:type="dxa"/>
            <w:tcBorders>
              <w:top w:val="single" w:sz="4" w:space="0" w:color="auto"/>
            </w:tcBorders>
          </w:tcPr>
          <w:p w:rsidR="00CB43DA" w:rsidRDefault="00CB43DA" w:rsidP="00EC7148">
            <w:pPr>
              <w:spacing w:after="240" w:line="240" w:lineRule="auto"/>
              <w:jc w:val="center"/>
              <w:rPr>
                <w:bCs/>
              </w:rPr>
            </w:pPr>
            <w:r>
              <w:rPr>
                <w:bCs/>
              </w:rPr>
              <w:t>200</w:t>
            </w:r>
          </w:p>
        </w:tc>
        <w:tc>
          <w:tcPr>
            <w:tcW w:w="1662" w:type="dxa"/>
            <w:tcBorders>
              <w:top w:val="single" w:sz="4" w:space="0" w:color="auto"/>
            </w:tcBorders>
          </w:tcPr>
          <w:p w:rsidR="00CB43DA" w:rsidRDefault="00CB43DA" w:rsidP="00EC7148">
            <w:pPr>
              <w:spacing w:after="240" w:line="240" w:lineRule="auto"/>
              <w:jc w:val="center"/>
              <w:rPr>
                <w:bCs/>
              </w:rPr>
            </w:pPr>
            <w:r>
              <w:rPr>
                <w:bCs/>
              </w:rPr>
              <w:t>900 (760)</w:t>
            </w:r>
          </w:p>
        </w:tc>
        <w:tc>
          <w:tcPr>
            <w:tcW w:w="897" w:type="dxa"/>
            <w:tcBorders>
              <w:top w:val="single" w:sz="4" w:space="0" w:color="auto"/>
            </w:tcBorders>
          </w:tcPr>
          <w:p w:rsidR="00CB43DA" w:rsidRDefault="00CB43DA" w:rsidP="00EC7148">
            <w:pPr>
              <w:spacing w:after="240" w:line="240" w:lineRule="auto"/>
              <w:jc w:val="center"/>
              <w:rPr>
                <w:bCs/>
              </w:rPr>
            </w:pPr>
            <w:r>
              <w:rPr>
                <w:bCs/>
              </w:rPr>
              <w:t>300</w:t>
            </w:r>
          </w:p>
        </w:tc>
      </w:tr>
      <w:tr w:rsidR="00CB43DA" w:rsidTr="00EC7148">
        <w:tc>
          <w:tcPr>
            <w:tcW w:w="3132" w:type="dxa"/>
          </w:tcPr>
          <w:p w:rsidR="00CB43DA" w:rsidRDefault="00A20838" w:rsidP="00A20838">
            <w:pPr>
              <w:spacing w:after="240" w:line="240" w:lineRule="auto"/>
              <w:rPr>
                <w:bCs/>
              </w:rPr>
            </w:pPr>
            <w:r>
              <w:rPr>
                <w:bCs/>
              </w:rPr>
              <w:t>Yallakool Ck, z</w:t>
            </w:r>
            <w:r w:rsidR="00CB43DA">
              <w:rPr>
                <w:bCs/>
              </w:rPr>
              <w:t>one 1 Site 5</w:t>
            </w:r>
          </w:p>
        </w:tc>
        <w:tc>
          <w:tcPr>
            <w:tcW w:w="566" w:type="dxa"/>
          </w:tcPr>
          <w:p w:rsidR="00CB43DA" w:rsidRDefault="00CB43DA" w:rsidP="00EC7148">
            <w:pPr>
              <w:spacing w:after="240" w:line="240" w:lineRule="auto"/>
              <w:jc w:val="center"/>
              <w:rPr>
                <w:bCs/>
              </w:rPr>
            </w:pPr>
            <w:r>
              <w:rPr>
                <w:bCs/>
              </w:rPr>
              <w:t>161</w:t>
            </w:r>
          </w:p>
        </w:tc>
        <w:tc>
          <w:tcPr>
            <w:tcW w:w="1794" w:type="dxa"/>
          </w:tcPr>
          <w:p w:rsidR="00CB43DA" w:rsidRDefault="00CB43DA" w:rsidP="00EC7148">
            <w:pPr>
              <w:spacing w:after="240" w:line="240" w:lineRule="auto"/>
              <w:jc w:val="center"/>
              <w:rPr>
                <w:bCs/>
              </w:rPr>
            </w:pPr>
            <w:r>
              <w:rPr>
                <w:bCs/>
              </w:rPr>
              <w:t>600 (530)</w:t>
            </w:r>
          </w:p>
        </w:tc>
        <w:tc>
          <w:tcPr>
            <w:tcW w:w="975" w:type="dxa"/>
          </w:tcPr>
          <w:p w:rsidR="00CB43DA" w:rsidRDefault="00CB43DA" w:rsidP="00EC7148">
            <w:pPr>
              <w:spacing w:after="240" w:line="240" w:lineRule="auto"/>
              <w:jc w:val="center"/>
              <w:rPr>
                <w:bCs/>
              </w:rPr>
            </w:pPr>
            <w:r>
              <w:rPr>
                <w:bCs/>
              </w:rPr>
              <w:t>200</w:t>
            </w:r>
          </w:p>
        </w:tc>
        <w:tc>
          <w:tcPr>
            <w:tcW w:w="1662" w:type="dxa"/>
          </w:tcPr>
          <w:p w:rsidR="00CB43DA" w:rsidRDefault="00CB43DA" w:rsidP="00EC7148">
            <w:pPr>
              <w:spacing w:after="240" w:line="240" w:lineRule="auto"/>
              <w:jc w:val="center"/>
              <w:rPr>
                <w:bCs/>
              </w:rPr>
            </w:pPr>
            <w:r>
              <w:rPr>
                <w:bCs/>
              </w:rPr>
              <w:t>1200 (1080)</w:t>
            </w:r>
          </w:p>
        </w:tc>
        <w:tc>
          <w:tcPr>
            <w:tcW w:w="897" w:type="dxa"/>
          </w:tcPr>
          <w:p w:rsidR="00CB43DA" w:rsidRDefault="00CB43DA" w:rsidP="00EC7148">
            <w:pPr>
              <w:spacing w:after="240" w:line="240" w:lineRule="auto"/>
              <w:jc w:val="center"/>
              <w:rPr>
                <w:bCs/>
              </w:rPr>
            </w:pPr>
            <w:r>
              <w:rPr>
                <w:bCs/>
              </w:rPr>
              <w:t>600</w:t>
            </w:r>
          </w:p>
        </w:tc>
      </w:tr>
      <w:tr w:rsidR="00CB43DA" w:rsidTr="00EC7148">
        <w:tc>
          <w:tcPr>
            <w:tcW w:w="3132" w:type="dxa"/>
          </w:tcPr>
          <w:p w:rsidR="00CB43DA" w:rsidRDefault="00CB43DA" w:rsidP="00A20838">
            <w:pPr>
              <w:spacing w:after="240" w:line="240" w:lineRule="auto"/>
              <w:rPr>
                <w:bCs/>
              </w:rPr>
            </w:pPr>
            <w:r>
              <w:rPr>
                <w:bCs/>
              </w:rPr>
              <w:t xml:space="preserve">Wakool R, </w:t>
            </w:r>
            <w:r w:rsidR="00A20838">
              <w:rPr>
                <w:bCs/>
              </w:rPr>
              <w:t>z</w:t>
            </w:r>
            <w:r>
              <w:rPr>
                <w:bCs/>
              </w:rPr>
              <w:t>one 2 Site 4</w:t>
            </w:r>
          </w:p>
        </w:tc>
        <w:tc>
          <w:tcPr>
            <w:tcW w:w="566" w:type="dxa"/>
          </w:tcPr>
          <w:p w:rsidR="00CB43DA" w:rsidRDefault="00CB43DA" w:rsidP="00EC7148">
            <w:pPr>
              <w:spacing w:after="240" w:line="240" w:lineRule="auto"/>
              <w:jc w:val="center"/>
              <w:rPr>
                <w:bCs/>
              </w:rPr>
            </w:pPr>
            <w:r>
              <w:rPr>
                <w:bCs/>
              </w:rPr>
              <w:t>185</w:t>
            </w:r>
          </w:p>
        </w:tc>
        <w:tc>
          <w:tcPr>
            <w:tcW w:w="1794" w:type="dxa"/>
          </w:tcPr>
          <w:p w:rsidR="00CB43DA" w:rsidRDefault="00CB43DA" w:rsidP="00EC7148">
            <w:pPr>
              <w:spacing w:after="240" w:line="240" w:lineRule="auto"/>
              <w:jc w:val="center"/>
              <w:rPr>
                <w:bCs/>
              </w:rPr>
            </w:pPr>
            <w:r>
              <w:rPr>
                <w:bCs/>
              </w:rPr>
              <w:t>160 (160)</w:t>
            </w:r>
          </w:p>
        </w:tc>
        <w:tc>
          <w:tcPr>
            <w:tcW w:w="975" w:type="dxa"/>
          </w:tcPr>
          <w:p w:rsidR="00CB43DA" w:rsidRDefault="00CB43DA" w:rsidP="00EC7148">
            <w:pPr>
              <w:spacing w:after="240" w:line="240" w:lineRule="auto"/>
              <w:jc w:val="center"/>
              <w:rPr>
                <w:bCs/>
              </w:rPr>
            </w:pPr>
            <w:r>
              <w:rPr>
                <w:bCs/>
              </w:rPr>
              <w:t>80</w:t>
            </w:r>
          </w:p>
        </w:tc>
        <w:tc>
          <w:tcPr>
            <w:tcW w:w="1662" w:type="dxa"/>
          </w:tcPr>
          <w:p w:rsidR="00CB43DA" w:rsidRDefault="00CB43DA" w:rsidP="00EC7148">
            <w:pPr>
              <w:spacing w:after="240" w:line="240" w:lineRule="auto"/>
              <w:jc w:val="center"/>
              <w:rPr>
                <w:bCs/>
              </w:rPr>
            </w:pPr>
            <w:r>
              <w:rPr>
                <w:bCs/>
              </w:rPr>
              <w:t>400 (400)</w:t>
            </w:r>
          </w:p>
        </w:tc>
        <w:tc>
          <w:tcPr>
            <w:tcW w:w="897" w:type="dxa"/>
          </w:tcPr>
          <w:p w:rsidR="00CB43DA" w:rsidRDefault="00CB43DA" w:rsidP="00EC7148">
            <w:pPr>
              <w:spacing w:after="240" w:line="240" w:lineRule="auto"/>
              <w:jc w:val="center"/>
              <w:rPr>
                <w:bCs/>
              </w:rPr>
            </w:pPr>
            <w:r>
              <w:rPr>
                <w:bCs/>
              </w:rPr>
              <w:t>200</w:t>
            </w:r>
          </w:p>
        </w:tc>
      </w:tr>
      <w:tr w:rsidR="00CB43DA" w:rsidTr="00EC7148">
        <w:tc>
          <w:tcPr>
            <w:tcW w:w="3132" w:type="dxa"/>
          </w:tcPr>
          <w:p w:rsidR="00CB43DA" w:rsidRDefault="00CB43DA" w:rsidP="00A20838">
            <w:pPr>
              <w:spacing w:after="240" w:line="240" w:lineRule="auto"/>
              <w:rPr>
                <w:bCs/>
              </w:rPr>
            </w:pPr>
            <w:r>
              <w:rPr>
                <w:bCs/>
              </w:rPr>
              <w:t xml:space="preserve">Wakool R, </w:t>
            </w:r>
            <w:r w:rsidR="00A20838">
              <w:rPr>
                <w:bCs/>
              </w:rPr>
              <w:t>z</w:t>
            </w:r>
            <w:r>
              <w:rPr>
                <w:bCs/>
              </w:rPr>
              <w:t>one 3 Site 5</w:t>
            </w:r>
          </w:p>
        </w:tc>
        <w:tc>
          <w:tcPr>
            <w:tcW w:w="566" w:type="dxa"/>
          </w:tcPr>
          <w:p w:rsidR="00CB43DA" w:rsidRDefault="00CB43DA" w:rsidP="00EC7148">
            <w:pPr>
              <w:spacing w:after="240" w:line="240" w:lineRule="auto"/>
              <w:jc w:val="center"/>
              <w:rPr>
                <w:bCs/>
              </w:rPr>
            </w:pPr>
            <w:r>
              <w:rPr>
                <w:bCs/>
              </w:rPr>
              <w:t>85</w:t>
            </w:r>
          </w:p>
        </w:tc>
        <w:tc>
          <w:tcPr>
            <w:tcW w:w="1794" w:type="dxa"/>
          </w:tcPr>
          <w:p w:rsidR="00CB43DA" w:rsidRDefault="00CB43DA" w:rsidP="00EC7148">
            <w:pPr>
              <w:spacing w:after="240" w:line="240" w:lineRule="auto"/>
              <w:jc w:val="center"/>
              <w:rPr>
                <w:bCs/>
              </w:rPr>
            </w:pPr>
            <w:r>
              <w:rPr>
                <w:bCs/>
              </w:rPr>
              <w:t>800 (700)</w:t>
            </w:r>
          </w:p>
        </w:tc>
        <w:tc>
          <w:tcPr>
            <w:tcW w:w="975" w:type="dxa"/>
          </w:tcPr>
          <w:p w:rsidR="00CB43DA" w:rsidRDefault="00CB43DA" w:rsidP="00EC7148">
            <w:pPr>
              <w:spacing w:after="240" w:line="240" w:lineRule="auto"/>
              <w:jc w:val="center"/>
              <w:rPr>
                <w:bCs/>
              </w:rPr>
            </w:pPr>
            <w:r>
              <w:rPr>
                <w:bCs/>
              </w:rPr>
              <w:t>300</w:t>
            </w:r>
          </w:p>
        </w:tc>
        <w:tc>
          <w:tcPr>
            <w:tcW w:w="1662" w:type="dxa"/>
          </w:tcPr>
          <w:p w:rsidR="00CB43DA" w:rsidRDefault="00CB43DA" w:rsidP="00EC7148">
            <w:pPr>
              <w:spacing w:after="240" w:line="240" w:lineRule="auto"/>
              <w:jc w:val="center"/>
              <w:rPr>
                <w:bCs/>
              </w:rPr>
            </w:pPr>
            <w:r>
              <w:rPr>
                <w:bCs/>
              </w:rPr>
              <w:t>1000 (960)</w:t>
            </w:r>
          </w:p>
        </w:tc>
        <w:tc>
          <w:tcPr>
            <w:tcW w:w="897" w:type="dxa"/>
          </w:tcPr>
          <w:p w:rsidR="00CB43DA" w:rsidRDefault="00CB43DA" w:rsidP="00EC7148">
            <w:pPr>
              <w:spacing w:after="240" w:line="240" w:lineRule="auto"/>
              <w:jc w:val="center"/>
              <w:rPr>
                <w:bCs/>
              </w:rPr>
            </w:pPr>
            <w:r>
              <w:rPr>
                <w:bCs/>
              </w:rPr>
              <w:t>500</w:t>
            </w:r>
          </w:p>
        </w:tc>
      </w:tr>
      <w:tr w:rsidR="00CB43DA" w:rsidTr="00EC7148">
        <w:tc>
          <w:tcPr>
            <w:tcW w:w="3132" w:type="dxa"/>
          </w:tcPr>
          <w:p w:rsidR="00CB43DA" w:rsidRDefault="00CB43DA" w:rsidP="00A20838">
            <w:pPr>
              <w:spacing w:after="240" w:line="240" w:lineRule="auto"/>
              <w:rPr>
                <w:bCs/>
              </w:rPr>
            </w:pPr>
            <w:r>
              <w:rPr>
                <w:bCs/>
              </w:rPr>
              <w:t xml:space="preserve">Wakool R, </w:t>
            </w:r>
            <w:r w:rsidR="00A20838">
              <w:rPr>
                <w:bCs/>
              </w:rPr>
              <w:t>z</w:t>
            </w:r>
            <w:r>
              <w:rPr>
                <w:bCs/>
              </w:rPr>
              <w:t>one 4 Site 1</w:t>
            </w:r>
          </w:p>
        </w:tc>
        <w:tc>
          <w:tcPr>
            <w:tcW w:w="566" w:type="dxa"/>
          </w:tcPr>
          <w:p w:rsidR="00CB43DA" w:rsidRDefault="00CB43DA" w:rsidP="00EC7148">
            <w:pPr>
              <w:spacing w:after="240" w:line="240" w:lineRule="auto"/>
              <w:jc w:val="center"/>
              <w:rPr>
                <w:bCs/>
              </w:rPr>
            </w:pPr>
            <w:r>
              <w:rPr>
                <w:bCs/>
              </w:rPr>
              <w:t>121</w:t>
            </w:r>
          </w:p>
        </w:tc>
        <w:tc>
          <w:tcPr>
            <w:tcW w:w="1794" w:type="dxa"/>
          </w:tcPr>
          <w:p w:rsidR="00CB43DA" w:rsidRDefault="00CB43DA" w:rsidP="00EC7148">
            <w:pPr>
              <w:spacing w:after="240" w:line="240" w:lineRule="auto"/>
              <w:jc w:val="center"/>
              <w:rPr>
                <w:bCs/>
              </w:rPr>
            </w:pPr>
            <w:r>
              <w:rPr>
                <w:bCs/>
              </w:rPr>
              <w:t>500 (460)</w:t>
            </w:r>
          </w:p>
        </w:tc>
        <w:tc>
          <w:tcPr>
            <w:tcW w:w="975" w:type="dxa"/>
          </w:tcPr>
          <w:p w:rsidR="00CB43DA" w:rsidRDefault="00CB43DA" w:rsidP="00EC7148">
            <w:pPr>
              <w:spacing w:after="240" w:line="240" w:lineRule="auto"/>
              <w:jc w:val="center"/>
              <w:rPr>
                <w:bCs/>
              </w:rPr>
            </w:pPr>
            <w:r>
              <w:rPr>
                <w:bCs/>
              </w:rPr>
              <w:t>300</w:t>
            </w:r>
          </w:p>
        </w:tc>
        <w:tc>
          <w:tcPr>
            <w:tcW w:w="1662" w:type="dxa"/>
          </w:tcPr>
          <w:p w:rsidR="00CB43DA" w:rsidRDefault="00CB43DA" w:rsidP="00EC7148">
            <w:pPr>
              <w:spacing w:after="240" w:line="240" w:lineRule="auto"/>
              <w:jc w:val="center"/>
              <w:rPr>
                <w:bCs/>
              </w:rPr>
            </w:pPr>
            <w:r>
              <w:rPr>
                <w:bCs/>
              </w:rPr>
              <w:t>700 (670)</w:t>
            </w:r>
          </w:p>
        </w:tc>
        <w:tc>
          <w:tcPr>
            <w:tcW w:w="897" w:type="dxa"/>
          </w:tcPr>
          <w:p w:rsidR="00CB43DA" w:rsidRDefault="00CB43DA" w:rsidP="00EC7148">
            <w:pPr>
              <w:spacing w:after="240" w:line="240" w:lineRule="auto"/>
              <w:jc w:val="center"/>
              <w:rPr>
                <w:bCs/>
              </w:rPr>
            </w:pPr>
            <w:r>
              <w:rPr>
                <w:bCs/>
              </w:rPr>
              <w:t>400</w:t>
            </w:r>
          </w:p>
        </w:tc>
      </w:tr>
      <w:tr w:rsidR="00CB43DA" w:rsidTr="00EC7148">
        <w:tc>
          <w:tcPr>
            <w:tcW w:w="3132" w:type="dxa"/>
            <w:tcBorders>
              <w:bottom w:val="single" w:sz="4" w:space="0" w:color="auto"/>
            </w:tcBorders>
          </w:tcPr>
          <w:p w:rsidR="00CB43DA" w:rsidRDefault="00CB43DA" w:rsidP="00A20838">
            <w:pPr>
              <w:spacing w:after="240" w:line="240" w:lineRule="auto"/>
              <w:rPr>
                <w:bCs/>
              </w:rPr>
            </w:pPr>
            <w:r>
              <w:rPr>
                <w:bCs/>
              </w:rPr>
              <w:t xml:space="preserve">Wakool R, </w:t>
            </w:r>
            <w:r w:rsidR="00A20838">
              <w:rPr>
                <w:bCs/>
              </w:rPr>
              <w:t>z</w:t>
            </w:r>
            <w:r w:rsidRPr="00C26AE7">
              <w:rPr>
                <w:bCs/>
              </w:rPr>
              <w:t xml:space="preserve">one </w:t>
            </w:r>
            <w:r w:rsidR="00C26AE7">
              <w:rPr>
                <w:bCs/>
              </w:rPr>
              <w:t>4 Site 5</w:t>
            </w:r>
          </w:p>
        </w:tc>
        <w:tc>
          <w:tcPr>
            <w:tcW w:w="566" w:type="dxa"/>
            <w:tcBorders>
              <w:bottom w:val="single" w:sz="4" w:space="0" w:color="auto"/>
            </w:tcBorders>
          </w:tcPr>
          <w:p w:rsidR="00CB43DA" w:rsidRDefault="00CB43DA" w:rsidP="00EC7148">
            <w:pPr>
              <w:spacing w:after="240" w:line="240" w:lineRule="auto"/>
              <w:jc w:val="center"/>
              <w:rPr>
                <w:bCs/>
              </w:rPr>
            </w:pPr>
            <w:r>
              <w:rPr>
                <w:bCs/>
              </w:rPr>
              <w:t>48</w:t>
            </w:r>
          </w:p>
        </w:tc>
        <w:tc>
          <w:tcPr>
            <w:tcW w:w="1794" w:type="dxa"/>
            <w:tcBorders>
              <w:bottom w:val="single" w:sz="4" w:space="0" w:color="auto"/>
            </w:tcBorders>
          </w:tcPr>
          <w:p w:rsidR="00CB43DA" w:rsidRDefault="00CB43DA" w:rsidP="00EC7148">
            <w:pPr>
              <w:spacing w:after="240" w:line="240" w:lineRule="auto"/>
              <w:jc w:val="center"/>
              <w:rPr>
                <w:bCs/>
              </w:rPr>
            </w:pPr>
            <w:r>
              <w:rPr>
                <w:bCs/>
              </w:rPr>
              <w:t>700 (480)</w:t>
            </w:r>
          </w:p>
        </w:tc>
        <w:tc>
          <w:tcPr>
            <w:tcW w:w="975" w:type="dxa"/>
            <w:tcBorders>
              <w:bottom w:val="single" w:sz="4" w:space="0" w:color="auto"/>
            </w:tcBorders>
          </w:tcPr>
          <w:p w:rsidR="00CB43DA" w:rsidRDefault="00CB43DA" w:rsidP="00EC7148">
            <w:pPr>
              <w:spacing w:after="240" w:line="240" w:lineRule="auto"/>
              <w:jc w:val="center"/>
              <w:rPr>
                <w:bCs/>
              </w:rPr>
            </w:pPr>
            <w:r>
              <w:rPr>
                <w:bCs/>
              </w:rPr>
              <w:t>400</w:t>
            </w:r>
          </w:p>
        </w:tc>
        <w:tc>
          <w:tcPr>
            <w:tcW w:w="1662" w:type="dxa"/>
            <w:tcBorders>
              <w:bottom w:val="single" w:sz="4" w:space="0" w:color="auto"/>
            </w:tcBorders>
          </w:tcPr>
          <w:p w:rsidR="00CB43DA" w:rsidRDefault="00CB43DA" w:rsidP="00EC7148">
            <w:pPr>
              <w:spacing w:after="240" w:line="240" w:lineRule="auto"/>
              <w:jc w:val="center"/>
              <w:rPr>
                <w:bCs/>
              </w:rPr>
            </w:pPr>
            <w:r>
              <w:rPr>
                <w:bCs/>
              </w:rPr>
              <w:t>800 (630)</w:t>
            </w:r>
          </w:p>
        </w:tc>
        <w:tc>
          <w:tcPr>
            <w:tcW w:w="897" w:type="dxa"/>
            <w:tcBorders>
              <w:bottom w:val="single" w:sz="4" w:space="0" w:color="auto"/>
            </w:tcBorders>
          </w:tcPr>
          <w:p w:rsidR="00CB43DA" w:rsidRDefault="00CB43DA" w:rsidP="00EC7148">
            <w:pPr>
              <w:spacing w:after="240" w:line="240" w:lineRule="auto"/>
              <w:jc w:val="center"/>
              <w:rPr>
                <w:bCs/>
              </w:rPr>
            </w:pPr>
            <w:r>
              <w:rPr>
                <w:bCs/>
              </w:rPr>
              <w:t>400</w:t>
            </w:r>
          </w:p>
        </w:tc>
      </w:tr>
    </w:tbl>
    <w:p w:rsidR="00CB43DA" w:rsidRDefault="00CB43DA" w:rsidP="00CB43DA">
      <w:pPr>
        <w:rPr>
          <w:bCs/>
        </w:rPr>
      </w:pPr>
    </w:p>
    <w:p w:rsidR="00E53A56" w:rsidRDefault="00ED4B82" w:rsidP="00E53A56">
      <w:pPr>
        <w:spacing w:after="120" w:line="240" w:lineRule="auto"/>
        <w:rPr>
          <w:b/>
          <w:bCs/>
          <w:sz w:val="20"/>
        </w:rPr>
      </w:pPr>
      <w:r>
        <w:rPr>
          <w:b/>
          <w:bCs/>
          <w:noProof/>
          <w:sz w:val="20"/>
          <w:lang w:eastAsia="en-AU"/>
        </w:rPr>
        <w:drawing>
          <wp:inline distT="0" distB="0" distL="0" distR="0">
            <wp:extent cx="4639310" cy="8028940"/>
            <wp:effectExtent l="0" t="0" r="8890" b="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39310" cy="8028940"/>
                    </a:xfrm>
                    <a:prstGeom prst="rect">
                      <a:avLst/>
                    </a:prstGeom>
                    <a:noFill/>
                  </pic:spPr>
                </pic:pic>
              </a:graphicData>
            </a:graphic>
          </wp:inline>
        </w:drawing>
      </w:r>
    </w:p>
    <w:p w:rsidR="00E53A56" w:rsidRDefault="00E53A56" w:rsidP="00E53A56">
      <w:pPr>
        <w:spacing w:after="240" w:line="240" w:lineRule="auto"/>
        <w:rPr>
          <w:bCs/>
          <w:sz w:val="20"/>
        </w:rPr>
      </w:pPr>
      <w:r w:rsidRPr="00F21554">
        <w:rPr>
          <w:b/>
          <w:bCs/>
          <w:sz w:val="20"/>
        </w:rPr>
        <w:t>Figure 7.3</w:t>
      </w:r>
      <w:r>
        <w:rPr>
          <w:bCs/>
          <w:sz w:val="20"/>
        </w:rPr>
        <w:t>.</w:t>
      </w:r>
      <w:r w:rsidRPr="002B3004">
        <w:rPr>
          <w:bCs/>
          <w:sz w:val="20"/>
        </w:rPr>
        <w:t xml:space="preserve"> </w:t>
      </w:r>
      <w:r>
        <w:rPr>
          <w:bCs/>
          <w:sz w:val="20"/>
        </w:rPr>
        <w:t>Relationships between</w:t>
      </w:r>
      <w:r w:rsidR="001C2E34">
        <w:rPr>
          <w:bCs/>
          <w:sz w:val="20"/>
        </w:rPr>
        <w:t xml:space="preserve"> F</w:t>
      </w:r>
      <w:r w:rsidRPr="002B3004">
        <w:rPr>
          <w:bCs/>
          <w:sz w:val="20"/>
        </w:rPr>
        <w:t xml:space="preserve">low </w:t>
      </w:r>
      <w:r w:rsidR="001C2E34">
        <w:rPr>
          <w:bCs/>
          <w:sz w:val="20"/>
        </w:rPr>
        <w:t>and Ecosystem R</w:t>
      </w:r>
      <w:r>
        <w:rPr>
          <w:bCs/>
          <w:sz w:val="20"/>
        </w:rPr>
        <w:t xml:space="preserve">espiration </w:t>
      </w:r>
      <w:r w:rsidR="001C2E34">
        <w:rPr>
          <w:bCs/>
          <w:sz w:val="20"/>
        </w:rPr>
        <w:t xml:space="preserve">(ER) </w:t>
      </w:r>
      <w:r>
        <w:rPr>
          <w:bCs/>
          <w:sz w:val="20"/>
        </w:rPr>
        <w:t>for Yallakool Creek (z</w:t>
      </w:r>
      <w:r w:rsidRPr="002B3004">
        <w:rPr>
          <w:bCs/>
          <w:sz w:val="20"/>
        </w:rPr>
        <w:t>one 1)</w:t>
      </w:r>
      <w:r>
        <w:rPr>
          <w:bCs/>
          <w:sz w:val="20"/>
        </w:rPr>
        <w:t xml:space="preserve"> and Wakool River (zones 2, 3 and 4) </w:t>
      </w:r>
      <w:r w:rsidRPr="002B3004">
        <w:rPr>
          <w:bCs/>
          <w:sz w:val="20"/>
        </w:rPr>
        <w:t>from August 2014 to March 2015.</w:t>
      </w:r>
    </w:p>
    <w:p w:rsidR="00E53A56" w:rsidRDefault="00ED4B82" w:rsidP="001C2E34">
      <w:pPr>
        <w:spacing w:after="120" w:line="240" w:lineRule="auto"/>
        <w:rPr>
          <w:b/>
          <w:bCs/>
          <w:sz w:val="20"/>
        </w:rPr>
      </w:pPr>
      <w:r>
        <w:rPr>
          <w:b/>
          <w:bCs/>
          <w:noProof/>
          <w:sz w:val="20"/>
          <w:lang w:eastAsia="en-AU"/>
        </w:rPr>
        <w:drawing>
          <wp:inline distT="0" distB="0" distL="0" distR="0">
            <wp:extent cx="4498975" cy="8028940"/>
            <wp:effectExtent l="0" t="0" r="0" b="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98975" cy="8028940"/>
                    </a:xfrm>
                    <a:prstGeom prst="rect">
                      <a:avLst/>
                    </a:prstGeom>
                    <a:noFill/>
                  </pic:spPr>
                </pic:pic>
              </a:graphicData>
            </a:graphic>
          </wp:inline>
        </w:drawing>
      </w:r>
    </w:p>
    <w:p w:rsidR="00E53A56" w:rsidRPr="0033465F" w:rsidRDefault="00E53A56" w:rsidP="001C2E34">
      <w:pPr>
        <w:spacing w:after="0" w:line="240" w:lineRule="auto"/>
        <w:rPr>
          <w:bCs/>
          <w:sz w:val="20"/>
        </w:rPr>
      </w:pPr>
      <w:r w:rsidRPr="001F0AFB">
        <w:rPr>
          <w:b/>
          <w:bCs/>
          <w:sz w:val="20"/>
        </w:rPr>
        <w:t xml:space="preserve">Figure </w:t>
      </w:r>
      <w:r>
        <w:rPr>
          <w:b/>
          <w:bCs/>
          <w:sz w:val="20"/>
        </w:rPr>
        <w:t>7.</w:t>
      </w:r>
      <w:r w:rsidRPr="001F0AFB">
        <w:rPr>
          <w:b/>
          <w:bCs/>
          <w:sz w:val="20"/>
        </w:rPr>
        <w:t>4.</w:t>
      </w:r>
      <w:r w:rsidRPr="00F12F36">
        <w:rPr>
          <w:bCs/>
          <w:sz w:val="20"/>
        </w:rPr>
        <w:t xml:space="preserve"> </w:t>
      </w:r>
      <w:r>
        <w:rPr>
          <w:bCs/>
          <w:sz w:val="20"/>
        </w:rPr>
        <w:t>Relationships between f</w:t>
      </w:r>
      <w:r w:rsidRPr="002B3004">
        <w:rPr>
          <w:bCs/>
          <w:sz w:val="20"/>
        </w:rPr>
        <w:t xml:space="preserve">low </w:t>
      </w:r>
      <w:r>
        <w:rPr>
          <w:bCs/>
          <w:sz w:val="20"/>
        </w:rPr>
        <w:t>and the primary production to respiration (P/R) ratio for Yallakool Creek (z</w:t>
      </w:r>
      <w:r w:rsidRPr="002B3004">
        <w:rPr>
          <w:bCs/>
          <w:sz w:val="20"/>
        </w:rPr>
        <w:t>one 1)</w:t>
      </w:r>
      <w:r>
        <w:rPr>
          <w:bCs/>
          <w:sz w:val="20"/>
        </w:rPr>
        <w:t xml:space="preserve"> and Wakool River (zones 2, 3 and 4) </w:t>
      </w:r>
      <w:r w:rsidRPr="002B3004">
        <w:rPr>
          <w:bCs/>
          <w:sz w:val="20"/>
        </w:rPr>
        <w:t>from August 2014 to March 2015.</w:t>
      </w:r>
      <w:r>
        <w:rPr>
          <w:bCs/>
          <w:sz w:val="20"/>
        </w:rPr>
        <w:t xml:space="preserve"> </w:t>
      </w:r>
    </w:p>
    <w:p w:rsidR="00CB43DA" w:rsidRDefault="00CB43DA" w:rsidP="00311640">
      <w:pPr>
        <w:jc w:val="left"/>
        <w:rPr>
          <w:bCs/>
        </w:rPr>
      </w:pPr>
      <w:r w:rsidRPr="0052776B">
        <w:rPr>
          <w:bCs/>
        </w:rPr>
        <w:t xml:space="preserve">Primary production is expected to depend upon temperature and light while respiration is also expected to increase with increasing temperature. Consequently, linear regressions were performed between the two metabolic parameters and these expected explanatory variables. In addition, both GPP and ER were regressed against flow. Finally both the daily GPP and ER Loads were also regressed against flow. The results of these regressions are presented in Table </w:t>
      </w:r>
      <w:r w:rsidR="00C26AE7">
        <w:rPr>
          <w:bCs/>
        </w:rPr>
        <w:t>7.</w:t>
      </w:r>
      <w:r w:rsidR="00A20838">
        <w:rPr>
          <w:bCs/>
        </w:rPr>
        <w:t>4</w:t>
      </w:r>
      <w:r w:rsidRPr="0052776B">
        <w:rPr>
          <w:bCs/>
        </w:rPr>
        <w:t xml:space="preserve">. </w:t>
      </w:r>
    </w:p>
    <w:p w:rsidR="00CB43DA" w:rsidRDefault="00CB43DA" w:rsidP="00F07C5C">
      <w:pPr>
        <w:spacing w:after="240" w:line="240" w:lineRule="auto"/>
        <w:rPr>
          <w:b/>
        </w:rPr>
      </w:pPr>
      <w:r w:rsidRPr="00A00D76">
        <w:rPr>
          <w:b/>
          <w:color w:val="000000" w:themeColor="text1"/>
          <w:sz w:val="20"/>
          <w:lang w:val="en-US"/>
        </w:rPr>
        <w:t xml:space="preserve">Table </w:t>
      </w:r>
      <w:r w:rsidR="00C26AE7">
        <w:rPr>
          <w:b/>
          <w:color w:val="000000" w:themeColor="text1"/>
          <w:sz w:val="20"/>
          <w:lang w:val="en-US"/>
        </w:rPr>
        <w:t>7.</w:t>
      </w:r>
      <w:r w:rsidR="00A20838">
        <w:rPr>
          <w:b/>
          <w:color w:val="000000" w:themeColor="text1"/>
          <w:sz w:val="20"/>
          <w:lang w:val="en-US"/>
        </w:rPr>
        <w:t>4</w:t>
      </w:r>
      <w:r w:rsidRPr="00A00D76">
        <w:rPr>
          <w:b/>
          <w:color w:val="000000" w:themeColor="text1"/>
          <w:sz w:val="20"/>
          <w:lang w:val="en-US"/>
        </w:rPr>
        <w:t>.</w:t>
      </w:r>
      <w:r w:rsidR="00A20838">
        <w:rPr>
          <w:color w:val="000000" w:themeColor="text1"/>
          <w:sz w:val="20"/>
          <w:lang w:val="en-US"/>
        </w:rPr>
        <w:t xml:space="preserve"> Exploration of linear r</w:t>
      </w:r>
      <w:r>
        <w:rPr>
          <w:color w:val="000000" w:themeColor="text1"/>
          <w:sz w:val="20"/>
          <w:lang w:val="en-US"/>
        </w:rPr>
        <w:t>elationships between the metabol</w:t>
      </w:r>
      <w:r w:rsidR="00A20838">
        <w:rPr>
          <w:color w:val="000000" w:themeColor="text1"/>
          <w:sz w:val="20"/>
          <w:lang w:val="en-US"/>
        </w:rPr>
        <w:t>ic parameters (GPP and ER) and flow, light and t</w:t>
      </w:r>
      <w:r>
        <w:rPr>
          <w:color w:val="000000" w:themeColor="text1"/>
          <w:sz w:val="20"/>
          <w:lang w:val="en-US"/>
        </w:rPr>
        <w:t>emperature for th</w:t>
      </w:r>
      <w:r w:rsidR="00A20838">
        <w:rPr>
          <w:color w:val="000000" w:themeColor="text1"/>
          <w:sz w:val="20"/>
          <w:lang w:val="en-US"/>
        </w:rPr>
        <w:t>e six study sites, August 2014 to</w:t>
      </w:r>
      <w:r>
        <w:rPr>
          <w:color w:val="000000" w:themeColor="text1"/>
          <w:sz w:val="20"/>
          <w:lang w:val="en-US"/>
        </w:rPr>
        <w:t xml:space="preserve"> March 2014. Statistical significance was inferred at p &lt; 0.05.</w:t>
      </w:r>
    </w:p>
    <w:p w:rsidR="00CB43DA" w:rsidRDefault="00CB43DA" w:rsidP="00CB43DA">
      <w:pPr>
        <w:rPr>
          <w:b/>
        </w:rPr>
      </w:pPr>
      <w:r w:rsidRPr="0018392A">
        <w:rPr>
          <w:noProof/>
          <w:lang w:eastAsia="en-AU"/>
        </w:rPr>
        <w:drawing>
          <wp:inline distT="0" distB="0" distL="0" distR="0">
            <wp:extent cx="5731510" cy="3950711"/>
            <wp:effectExtent l="0" t="0" r="254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3950711"/>
                    </a:xfrm>
                    <a:prstGeom prst="rect">
                      <a:avLst/>
                    </a:prstGeom>
                    <a:noFill/>
                    <a:ln>
                      <a:noFill/>
                    </a:ln>
                  </pic:spPr>
                </pic:pic>
              </a:graphicData>
            </a:graphic>
          </wp:inline>
        </w:drawing>
      </w:r>
    </w:p>
    <w:p w:rsidR="00CB43DA" w:rsidRDefault="00CB43DA" w:rsidP="00A20838">
      <w:pPr>
        <w:spacing w:after="240"/>
        <w:jc w:val="left"/>
        <w:rPr>
          <w:bCs/>
        </w:rPr>
      </w:pPr>
      <w:r w:rsidRPr="0052776B">
        <w:rPr>
          <w:bCs/>
        </w:rPr>
        <w:t>As expected, both GPP and ER daily rates were positively correlated with mean daily water temperature</w:t>
      </w:r>
      <w:r>
        <w:rPr>
          <w:bCs/>
        </w:rPr>
        <w:t xml:space="preserve"> (Table </w:t>
      </w:r>
      <w:r w:rsidR="00C26AE7">
        <w:rPr>
          <w:bCs/>
        </w:rPr>
        <w:t>7.</w:t>
      </w:r>
      <w:r w:rsidR="00A20838">
        <w:rPr>
          <w:bCs/>
        </w:rPr>
        <w:t>4</w:t>
      </w:r>
      <w:r>
        <w:rPr>
          <w:bCs/>
        </w:rPr>
        <w:t>)</w:t>
      </w:r>
      <w:r w:rsidRPr="0052776B">
        <w:rPr>
          <w:bCs/>
        </w:rPr>
        <w:t>. As noted in the Wakool River and Yallakool Creek during the short term monitoring program (Watts et al. 2014), GPP was also weakly correlated with light although the plots showed a very large scatter.</w:t>
      </w:r>
      <w:r>
        <w:rPr>
          <w:bCs/>
        </w:rPr>
        <w:t xml:space="preserve"> One initially surprising result was the negative correlation between flow and both GPP and ER. This appears to indicate that increasing flow suppresses GPP and ER, whereas it might be expected that, after a lag time of perhaps 1-2 weeks to enable algal growth to occur, increased flow should induce higher rates of these two basic ecosystem processes. The solution to this apparent inconsistency arises from the hydrograph. With the exception o</w:t>
      </w:r>
      <w:r w:rsidR="009F4D23">
        <w:rPr>
          <w:bCs/>
        </w:rPr>
        <w:t>f the aforementioned anomalous z</w:t>
      </w:r>
      <w:r>
        <w:rPr>
          <w:bCs/>
        </w:rPr>
        <w:t>one 2 Site 4 in the Wakool River, the highest flows were in the period up to mid-December. After this time, flows declined. This period of flow recession coincided with increasing water temperatures and daily irradiance. It is strongly suspected therefore that the apparent negative response to flow increase is actually caused by the high flows in the ‘low’ metabolic activity period of late winter through springtime and lower flows in peak biological activity periods of summer through to mid-autumn. Decoupling these effects will require much greater variability in daily flows within each season.</w:t>
      </w:r>
      <w:r w:rsidR="00A20838">
        <w:rPr>
          <w:bCs/>
        </w:rPr>
        <w:t xml:space="preserve"> One benefit of creating higher winter time flows </w:t>
      </w:r>
      <w:r w:rsidR="00A20838" w:rsidRPr="00E741C0">
        <w:rPr>
          <w:bCs/>
          <w:i/>
          <w:iCs/>
        </w:rPr>
        <w:t>in all zones</w:t>
      </w:r>
      <w:r w:rsidR="00A20838">
        <w:rPr>
          <w:bCs/>
        </w:rPr>
        <w:t xml:space="preserve"> would be the removal of much of the organic matter detritus such as found in zone 2 Site 4. This would then hopefully obviate the low DO observed during summer. </w:t>
      </w:r>
    </w:p>
    <w:p w:rsidR="00CB43DA" w:rsidRDefault="00CB43DA" w:rsidP="00A20838">
      <w:pPr>
        <w:spacing w:after="240"/>
        <w:jc w:val="left"/>
        <w:rPr>
          <w:b/>
        </w:rPr>
      </w:pPr>
      <w:r>
        <w:rPr>
          <w:bCs/>
        </w:rPr>
        <w:t xml:space="preserve">Daily loads of DO created through Primary Production and consumed by respiration were mostly invariant with flow although the lack of variation within seasons precludes any further analysis of trends and discernment of mechanisms. </w:t>
      </w:r>
    </w:p>
    <w:p w:rsidR="00CB43DA" w:rsidRPr="00F07C5C" w:rsidRDefault="00F86DF8" w:rsidP="00A20838">
      <w:pPr>
        <w:spacing w:after="240"/>
        <w:jc w:val="left"/>
        <w:rPr>
          <w:b/>
          <w:color w:val="4F6228" w:themeColor="accent3" w:themeShade="80"/>
          <w:sz w:val="24"/>
          <w:szCs w:val="24"/>
        </w:rPr>
      </w:pPr>
      <w:r>
        <w:rPr>
          <w:b/>
          <w:color w:val="4F6228" w:themeColor="accent3" w:themeShade="80"/>
          <w:sz w:val="24"/>
          <w:szCs w:val="24"/>
        </w:rPr>
        <w:t xml:space="preserve">7.5 </w:t>
      </w:r>
      <w:r w:rsidR="00CB43DA" w:rsidRPr="00F07C5C">
        <w:rPr>
          <w:b/>
          <w:color w:val="4F6228" w:themeColor="accent3" w:themeShade="80"/>
          <w:sz w:val="24"/>
          <w:szCs w:val="24"/>
        </w:rPr>
        <w:t>Discussion</w:t>
      </w:r>
    </w:p>
    <w:p w:rsidR="00CB43DA" w:rsidRDefault="00C26AE7" w:rsidP="00A20838">
      <w:pPr>
        <w:spacing w:after="240"/>
        <w:jc w:val="left"/>
        <w:rPr>
          <w:rFonts w:cs="Calibri"/>
        </w:rPr>
      </w:pPr>
      <w:r>
        <w:rPr>
          <w:rFonts w:cs="Calibri"/>
        </w:rPr>
        <w:t>T</w:t>
      </w:r>
      <w:r w:rsidR="00CB43DA">
        <w:rPr>
          <w:rFonts w:cs="Calibri"/>
        </w:rPr>
        <w:t xml:space="preserve">he flow patterns over the period Aug 10 to March 15 when metabolism was measured in the </w:t>
      </w:r>
      <w:r w:rsidR="00A20838">
        <w:rPr>
          <w:rFonts w:cs="Calibri"/>
        </w:rPr>
        <w:t>four zones</w:t>
      </w:r>
      <w:r w:rsidR="00CB43DA">
        <w:rPr>
          <w:rFonts w:cs="Calibri"/>
        </w:rPr>
        <w:t xml:space="preserve"> had very little </w:t>
      </w:r>
      <w:r w:rsidR="00A20838">
        <w:rPr>
          <w:rFonts w:cs="Calibri"/>
        </w:rPr>
        <w:t xml:space="preserve">variability in flow </w:t>
      </w:r>
      <w:proofErr w:type="gramStart"/>
      <w:r w:rsidR="00A20838">
        <w:rPr>
          <w:rFonts w:cs="Calibri"/>
        </w:rPr>
        <w:t>over a days</w:t>
      </w:r>
      <w:proofErr w:type="gramEnd"/>
      <w:r w:rsidR="009444C7">
        <w:rPr>
          <w:rFonts w:cs="Calibri"/>
        </w:rPr>
        <w:t xml:space="preserve"> </w:t>
      </w:r>
      <w:r w:rsidR="00A20838">
        <w:rPr>
          <w:rFonts w:cs="Calibri"/>
        </w:rPr>
        <w:t xml:space="preserve">to </w:t>
      </w:r>
      <w:r w:rsidR="00CB43DA">
        <w:rPr>
          <w:rFonts w:cs="Calibri"/>
        </w:rPr>
        <w:t xml:space="preserve">weeks time-frame. </w:t>
      </w:r>
      <w:r w:rsidR="009444C7">
        <w:rPr>
          <w:rFonts w:cs="Calibri"/>
        </w:rPr>
        <w:t>Z</w:t>
      </w:r>
      <w:r w:rsidR="00CB43DA">
        <w:rPr>
          <w:rFonts w:cs="Calibri"/>
        </w:rPr>
        <w:t xml:space="preserve">ones </w:t>
      </w:r>
      <w:r w:rsidR="009444C7">
        <w:rPr>
          <w:rFonts w:cs="Calibri"/>
        </w:rPr>
        <w:t xml:space="preserve">1, 3 and 4 that received the environmental water </w:t>
      </w:r>
      <w:r w:rsidR="00CB43DA">
        <w:rPr>
          <w:rFonts w:cs="Calibri"/>
        </w:rPr>
        <w:t xml:space="preserve">had an extended period of relatively constant flow until mid-December followed by a decline to 40-60 % of the high flow values over the subsequent months of monitoring. </w:t>
      </w:r>
      <w:r w:rsidR="009444C7">
        <w:rPr>
          <w:rFonts w:cs="Calibri"/>
        </w:rPr>
        <w:t xml:space="preserve">Zone 2 had a relatively constant monthly average over the study period. </w:t>
      </w:r>
      <w:r w:rsidR="00CB43DA">
        <w:rPr>
          <w:rFonts w:cs="Calibri"/>
        </w:rPr>
        <w:t>Metabolism is expected to respond on a perhaps 10-20 day time frame following flow events (this time frame is conjectural based on typical algal doubling rates), as this corresponds to sufficient time post nutrient addition to generate a significantly higher bi</w:t>
      </w:r>
      <w:r w:rsidR="009444C7">
        <w:rPr>
          <w:rFonts w:cs="Calibri"/>
        </w:rPr>
        <w:t>omass of primary producers. The</w:t>
      </w:r>
      <w:r w:rsidR="00CB43DA">
        <w:rPr>
          <w:rFonts w:cs="Calibri"/>
        </w:rPr>
        <w:t xml:space="preserve"> lack of variation in flow </w:t>
      </w:r>
      <w:r w:rsidR="009444C7">
        <w:rPr>
          <w:rFonts w:cs="Calibri"/>
        </w:rPr>
        <w:t xml:space="preserve">in all zones from August to December 2014 </w:t>
      </w:r>
      <w:r w:rsidR="00CB43DA">
        <w:rPr>
          <w:rFonts w:cs="Calibri"/>
        </w:rPr>
        <w:t>made it</w:t>
      </w:r>
      <w:r w:rsidR="00CB43DA" w:rsidRPr="00DE4B81">
        <w:rPr>
          <w:rFonts w:cs="Calibri"/>
        </w:rPr>
        <w:t xml:space="preserve"> very difficult to unambiguously determine the cause of the </w:t>
      </w:r>
      <w:r w:rsidR="00CB43DA">
        <w:rPr>
          <w:rFonts w:cs="Calibri"/>
        </w:rPr>
        <w:t xml:space="preserve">observed </w:t>
      </w:r>
      <w:r w:rsidR="00CB43DA" w:rsidRPr="00DE4B81">
        <w:rPr>
          <w:rFonts w:cs="Calibri"/>
        </w:rPr>
        <w:t>increase</w:t>
      </w:r>
      <w:r w:rsidR="007C2713">
        <w:rPr>
          <w:rFonts w:cs="Calibri"/>
        </w:rPr>
        <w:t xml:space="preserve">s in metabolic parameters after December </w:t>
      </w:r>
      <w:r w:rsidR="00CB43DA" w:rsidRPr="00DE4B81">
        <w:rPr>
          <w:rFonts w:cs="Calibri"/>
        </w:rPr>
        <w:t xml:space="preserve">on a generally falling hydrograph. </w:t>
      </w:r>
      <w:r w:rsidR="00CB43DA">
        <w:rPr>
          <w:rFonts w:cs="Calibri"/>
        </w:rPr>
        <w:t>The increases were p</w:t>
      </w:r>
      <w:r w:rsidR="00CB43DA" w:rsidRPr="00DE4B81">
        <w:rPr>
          <w:rFonts w:cs="Calibri"/>
        </w:rPr>
        <w:t xml:space="preserve">robably </w:t>
      </w:r>
      <w:r w:rsidR="009444C7">
        <w:rPr>
          <w:rFonts w:cs="Calibri"/>
        </w:rPr>
        <w:t xml:space="preserve">due to </w:t>
      </w:r>
      <w:r w:rsidR="00CB43DA" w:rsidRPr="00DE4B81">
        <w:rPr>
          <w:rFonts w:cs="Calibri"/>
        </w:rPr>
        <w:t xml:space="preserve">a combination of seasonal effects (warmer water, more sunlight) </w:t>
      </w:r>
      <w:r w:rsidR="00CB43DA">
        <w:rPr>
          <w:rFonts w:cs="Calibri"/>
        </w:rPr>
        <w:t xml:space="preserve">coupled with </w:t>
      </w:r>
      <w:r w:rsidR="00CB43DA" w:rsidRPr="00DE4B81">
        <w:rPr>
          <w:rFonts w:cs="Calibri"/>
        </w:rPr>
        <w:t>a smaller ‘dilution’ effect if most of the metabolism is driven by the benthos</w:t>
      </w:r>
      <w:r w:rsidR="00CB43DA">
        <w:rPr>
          <w:rFonts w:cs="Calibri"/>
        </w:rPr>
        <w:t xml:space="preserve"> (benthic algae and the much higher microbial communities in surficial sediments compared to the water column</w:t>
      </w:r>
      <w:r w:rsidR="00A9761C">
        <w:rPr>
          <w:rFonts w:cs="Calibri"/>
        </w:rPr>
        <w:t>)</w:t>
      </w:r>
      <w:r w:rsidR="00CB43DA">
        <w:rPr>
          <w:rFonts w:cs="Calibri"/>
        </w:rPr>
        <w:t xml:space="preserve">, </w:t>
      </w:r>
      <w:r w:rsidR="009444C7">
        <w:rPr>
          <w:rFonts w:cs="Calibri"/>
        </w:rPr>
        <w:t>because</w:t>
      </w:r>
      <w:r w:rsidR="00CB43DA" w:rsidRPr="00DE4B81">
        <w:rPr>
          <w:rFonts w:cs="Calibri"/>
        </w:rPr>
        <w:t xml:space="preserve"> having a smaller volume of water</w:t>
      </w:r>
      <w:r w:rsidR="00CB43DA">
        <w:rPr>
          <w:rFonts w:cs="Calibri"/>
        </w:rPr>
        <w:t xml:space="preserve"> overlying the sediment</w:t>
      </w:r>
      <w:r w:rsidR="00CB43DA" w:rsidRPr="00DE4B81">
        <w:rPr>
          <w:rFonts w:cs="Calibri"/>
        </w:rPr>
        <w:t xml:space="preserve"> </w:t>
      </w:r>
      <w:r w:rsidR="00CB43DA">
        <w:rPr>
          <w:rFonts w:cs="Calibri"/>
        </w:rPr>
        <w:t>will result in smaller</w:t>
      </w:r>
      <w:r w:rsidR="00CB43DA" w:rsidRPr="00DE4B81">
        <w:rPr>
          <w:rFonts w:cs="Calibri"/>
        </w:rPr>
        <w:t xml:space="preserve"> dilut</w:t>
      </w:r>
      <w:r w:rsidR="00CB43DA">
        <w:rPr>
          <w:rFonts w:cs="Calibri"/>
        </w:rPr>
        <w:t>ion of</w:t>
      </w:r>
      <w:r w:rsidR="00CB43DA" w:rsidRPr="00DE4B81">
        <w:rPr>
          <w:rFonts w:cs="Calibri"/>
        </w:rPr>
        <w:t xml:space="preserve"> the oxygen change.</w:t>
      </w:r>
      <w:r w:rsidR="00CB43DA">
        <w:rPr>
          <w:rFonts w:cs="Calibri"/>
        </w:rPr>
        <w:t xml:space="preserve"> This phenomenon (less dilution of a benthically-derived oxygen change) is the most likely cause of the higher</w:t>
      </w:r>
      <w:r w:rsidR="009F4D23">
        <w:rPr>
          <w:rFonts w:cs="Calibri"/>
        </w:rPr>
        <w:t xml:space="preserve"> metabolic rates observed in z</w:t>
      </w:r>
      <w:r w:rsidR="009444C7">
        <w:rPr>
          <w:rFonts w:cs="Calibri"/>
        </w:rPr>
        <w:t xml:space="preserve">one 2 </w:t>
      </w:r>
      <w:r w:rsidR="00CB43DA">
        <w:rPr>
          <w:rFonts w:cs="Calibri"/>
        </w:rPr>
        <w:t>(</w:t>
      </w:r>
      <w:r w:rsidR="009444C7">
        <w:rPr>
          <w:rFonts w:cs="Calibri"/>
        </w:rPr>
        <w:t xml:space="preserve">Upper </w:t>
      </w:r>
      <w:r w:rsidR="00CB43DA">
        <w:rPr>
          <w:rFonts w:cs="Calibri"/>
        </w:rPr>
        <w:t>Wakool River).</w:t>
      </w:r>
      <w:r w:rsidR="00CB43DA" w:rsidRPr="00DE4B81">
        <w:rPr>
          <w:rFonts w:cs="Calibri"/>
        </w:rPr>
        <w:t xml:space="preserve"> </w:t>
      </w:r>
      <w:r w:rsidR="00CB43DA">
        <w:rPr>
          <w:rFonts w:cs="Calibri"/>
        </w:rPr>
        <w:t xml:space="preserve">Shallower water also means greater irradiance of the sediment surface, facilitating biofilm growth. This last point is perhaps not as important given the very weak, albeit positive, relationships found between daily irradiance and GPP (Table </w:t>
      </w:r>
      <w:r w:rsidRPr="00C26AE7">
        <w:rPr>
          <w:rFonts w:cs="Calibri"/>
        </w:rPr>
        <w:t>7.</w:t>
      </w:r>
      <w:r w:rsidR="00CB43DA" w:rsidRPr="00C26AE7">
        <w:rPr>
          <w:rFonts w:cs="Calibri"/>
        </w:rPr>
        <w:t>3).</w:t>
      </w:r>
    </w:p>
    <w:p w:rsidR="00CB43DA" w:rsidRPr="00DE4B81" w:rsidRDefault="007C2713" w:rsidP="00A20838">
      <w:pPr>
        <w:spacing w:after="240"/>
        <w:jc w:val="left"/>
        <w:rPr>
          <w:rFonts w:cs="Calibri"/>
        </w:rPr>
      </w:pPr>
      <w:r>
        <w:rPr>
          <w:rFonts w:cs="Calibri"/>
        </w:rPr>
        <w:t>Hydraulic</w:t>
      </w:r>
      <w:r w:rsidR="00CB43DA">
        <w:rPr>
          <w:rFonts w:cs="Calibri"/>
        </w:rPr>
        <w:t xml:space="preserve"> </w:t>
      </w:r>
      <w:r w:rsidR="00CB43DA" w:rsidRPr="007C2713">
        <w:rPr>
          <w:rFonts w:cs="Calibri"/>
        </w:rPr>
        <w:t>modelling (S</w:t>
      </w:r>
      <w:r w:rsidRPr="007C2713">
        <w:rPr>
          <w:rFonts w:cs="Calibri"/>
        </w:rPr>
        <w:t>ection 5</w:t>
      </w:r>
      <w:r w:rsidR="00CB43DA" w:rsidRPr="007C2713">
        <w:rPr>
          <w:rFonts w:cs="Calibri"/>
        </w:rPr>
        <w:t>) showed</w:t>
      </w:r>
      <w:r w:rsidR="00CB43DA">
        <w:rPr>
          <w:rFonts w:cs="Calibri"/>
        </w:rPr>
        <w:t xml:space="preserve"> that </w:t>
      </w:r>
      <w:r w:rsidR="00A20838">
        <w:rPr>
          <w:rFonts w:cs="Calibri"/>
        </w:rPr>
        <w:t>Commonwealth environmental water</w:t>
      </w:r>
      <w:r w:rsidR="00CB43DA">
        <w:rPr>
          <w:rFonts w:cs="Calibri"/>
        </w:rPr>
        <w:t xml:space="preserve"> </w:t>
      </w:r>
      <w:r w:rsidR="00CB43DA" w:rsidRPr="00DE4B81">
        <w:rPr>
          <w:rFonts w:cs="Calibri"/>
        </w:rPr>
        <w:t>resulted in a further 10% wetted area (on average)</w:t>
      </w:r>
      <w:r w:rsidR="00CB43DA">
        <w:rPr>
          <w:rFonts w:cs="Calibri"/>
        </w:rPr>
        <w:t xml:space="preserve"> in </w:t>
      </w:r>
      <w:r w:rsidR="009444C7">
        <w:rPr>
          <w:rFonts w:cs="Calibri"/>
        </w:rPr>
        <w:t>the zones receiving environmental water</w:t>
      </w:r>
      <w:r w:rsidR="00CB43DA" w:rsidRPr="00DE4B81">
        <w:rPr>
          <w:rFonts w:cs="Calibri"/>
        </w:rPr>
        <w:t xml:space="preserve">. This </w:t>
      </w:r>
      <w:r w:rsidR="00CB43DA">
        <w:rPr>
          <w:rFonts w:cs="Calibri"/>
        </w:rPr>
        <w:t>small increase</w:t>
      </w:r>
      <w:r w:rsidR="009444C7">
        <w:rPr>
          <w:rFonts w:cs="Calibri"/>
        </w:rPr>
        <w:t xml:space="preserve"> </w:t>
      </w:r>
      <w:r w:rsidR="00CB43DA" w:rsidRPr="00DE4B81">
        <w:rPr>
          <w:rFonts w:cs="Calibri"/>
        </w:rPr>
        <w:t>was insufficient to detect any effect on metabolic parameters</w:t>
      </w:r>
      <w:r w:rsidR="00CB43DA">
        <w:rPr>
          <w:rFonts w:cs="Calibri"/>
        </w:rPr>
        <w:t xml:space="preserve">. It was hypothesized that increased wetted area should result in higher metabolic rates, but this </w:t>
      </w:r>
      <w:r w:rsidR="009444C7">
        <w:rPr>
          <w:rFonts w:cs="Calibri"/>
        </w:rPr>
        <w:t xml:space="preserve">hypothesis </w:t>
      </w:r>
      <w:r w:rsidR="00CB43DA">
        <w:rPr>
          <w:rFonts w:cs="Calibri"/>
        </w:rPr>
        <w:t>is untestable based on this year’s data.</w:t>
      </w:r>
    </w:p>
    <w:p w:rsidR="00A20838" w:rsidRDefault="00A20838" w:rsidP="00A20838">
      <w:pPr>
        <w:spacing w:after="240"/>
        <w:jc w:val="left"/>
        <w:rPr>
          <w:rFonts w:cs="Calibri"/>
        </w:rPr>
      </w:pPr>
      <w:r>
        <w:rPr>
          <w:rFonts w:cs="Calibri"/>
        </w:rPr>
        <w:t>As found in earlier work (Watts et al. 2014)</w:t>
      </w:r>
      <w:r w:rsidRPr="00DE4B81">
        <w:rPr>
          <w:rFonts w:cs="Calibri"/>
        </w:rPr>
        <w:t xml:space="preserve">, </w:t>
      </w:r>
      <w:r>
        <w:rPr>
          <w:rFonts w:cs="Calibri"/>
        </w:rPr>
        <w:t xml:space="preserve">the </w:t>
      </w:r>
      <w:r w:rsidRPr="00DE4B81">
        <w:rPr>
          <w:rFonts w:cs="Calibri"/>
        </w:rPr>
        <w:t>rates of GPP and ER were generally low in comparison to many other systems worldwide</w:t>
      </w:r>
      <w:r>
        <w:rPr>
          <w:rFonts w:cs="Calibri"/>
        </w:rPr>
        <w:t xml:space="preserve"> (Bernot et al. 2010; Marcarelli et al. 2011).</w:t>
      </w:r>
      <w:r w:rsidRPr="00DE4B81">
        <w:rPr>
          <w:rFonts w:cs="Calibri"/>
        </w:rPr>
        <w:t xml:space="preserve"> This is almost certainly due to th</w:t>
      </w:r>
      <w:r>
        <w:rPr>
          <w:rFonts w:cs="Calibri"/>
        </w:rPr>
        <w:t>e extremely low bioavailable N and</w:t>
      </w:r>
      <w:r w:rsidRPr="00DE4B81">
        <w:rPr>
          <w:rFonts w:cs="Calibri"/>
        </w:rPr>
        <w:t xml:space="preserve"> P </w:t>
      </w:r>
      <w:r w:rsidRPr="007C2713">
        <w:rPr>
          <w:rFonts w:cs="Calibri"/>
        </w:rPr>
        <w:t>concentrations (see Section 6).</w:t>
      </w:r>
    </w:p>
    <w:p w:rsidR="00A20838" w:rsidRPr="00E741C0" w:rsidRDefault="00A20838" w:rsidP="00A20838">
      <w:pPr>
        <w:spacing w:after="240"/>
        <w:jc w:val="left"/>
        <w:rPr>
          <w:rFonts w:cs="Calibri"/>
        </w:rPr>
      </w:pPr>
      <w:r w:rsidRPr="00E741C0">
        <w:rPr>
          <w:rFonts w:cs="Calibri"/>
        </w:rPr>
        <w:t xml:space="preserve">The major outcome of relevance to management of this system from the metabolism results is the effect of </w:t>
      </w:r>
      <w:r w:rsidRPr="00E741C0">
        <w:rPr>
          <w:rFonts w:cs="Calibri"/>
          <w:i/>
          <w:iCs/>
        </w:rPr>
        <w:t>not</w:t>
      </w:r>
      <w:r>
        <w:rPr>
          <w:rFonts w:cs="Calibri"/>
        </w:rPr>
        <w:t xml:space="preserve"> having any Commonwealth environmental watering action in z</w:t>
      </w:r>
      <w:r w:rsidRPr="00E741C0">
        <w:rPr>
          <w:rFonts w:cs="Calibri"/>
        </w:rPr>
        <w:t>one 2. This zone had very low dissolved oxygen concentrations (below 4 mg O</w:t>
      </w:r>
      <w:r w:rsidRPr="00E741C0">
        <w:rPr>
          <w:rFonts w:cs="Calibri"/>
          <w:vertAlign w:val="subscript"/>
        </w:rPr>
        <w:t>2</w:t>
      </w:r>
      <w:r w:rsidRPr="00E741C0">
        <w:rPr>
          <w:rFonts w:cs="Calibri"/>
        </w:rPr>
        <w:t xml:space="preserve">/L) during January 2015. This low DO is attributed to the observed accumulation of organic matter which resulted in elevated respiration rates compared to the other sites </w:t>
      </w:r>
      <w:r>
        <w:rPr>
          <w:rFonts w:cs="Calibri"/>
        </w:rPr>
        <w:t>exacerbated by</w:t>
      </w:r>
      <w:r w:rsidRPr="00E741C0">
        <w:rPr>
          <w:rFonts w:cs="Calibri"/>
        </w:rPr>
        <w:t xml:space="preserve"> the lack of adequate </w:t>
      </w:r>
      <w:r w:rsidRPr="00C82BDE">
        <w:rPr>
          <w:rFonts w:cs="Calibri"/>
        </w:rPr>
        <w:t>re</w:t>
      </w:r>
      <w:r>
        <w:rPr>
          <w:rFonts w:cs="Calibri"/>
        </w:rPr>
        <w:t>-</w:t>
      </w:r>
      <w:r w:rsidRPr="00C82BDE">
        <w:rPr>
          <w:rFonts w:cs="Calibri"/>
        </w:rPr>
        <w:t>ae</w:t>
      </w:r>
      <w:r w:rsidRPr="00E741C0">
        <w:rPr>
          <w:rFonts w:cs="Calibri"/>
        </w:rPr>
        <w:t>ration.</w:t>
      </w:r>
      <w:r>
        <w:rPr>
          <w:rFonts w:cs="Calibri"/>
        </w:rPr>
        <w:t xml:space="preserve"> As noted earlier, re-aeration is determined by water velocity and in particular, turbulence (which enhances mixing of air, and hence oxygen, into the water column). Median re-aeration rates across all 4 zones fell within the range of 0.8 to 1.9 /Day, typical of slow flowing, low gradient streams with generally only a limited amount of physical structures generating turbulence. It is unlikely the re-aeration rate can be greatly enhanced by flow manipulations due to the flat topography, hence again indicating the importance of sufficient flows above base level to ensure environmentally acceptable DO concentrations simply through dilution.</w:t>
      </w:r>
    </w:p>
    <w:p w:rsidR="00A20838" w:rsidRPr="00E741C0" w:rsidRDefault="00A20838" w:rsidP="00A20838">
      <w:pPr>
        <w:spacing w:after="240"/>
        <w:jc w:val="left"/>
        <w:rPr>
          <w:rFonts w:cs="Calibri"/>
          <w:highlight w:val="yellow"/>
        </w:rPr>
      </w:pPr>
      <w:r w:rsidRPr="00E741C0">
        <w:rPr>
          <w:rFonts w:cs="Calibri"/>
        </w:rPr>
        <w:t>Whilst the Commonwealth environmental water</w:t>
      </w:r>
      <w:r>
        <w:rPr>
          <w:rFonts w:cs="Calibri"/>
        </w:rPr>
        <w:t>ing action</w:t>
      </w:r>
      <w:r w:rsidRPr="00E741C0">
        <w:rPr>
          <w:rFonts w:cs="Calibri"/>
        </w:rPr>
        <w:t xml:space="preserve"> </w:t>
      </w:r>
      <w:r w:rsidR="00CA0950">
        <w:rPr>
          <w:rFonts w:cs="Calibri"/>
        </w:rPr>
        <w:t xml:space="preserve">in Yallakool Creek in 2014-15 </w:t>
      </w:r>
      <w:r w:rsidRPr="00E741C0">
        <w:rPr>
          <w:rFonts w:cs="Calibri"/>
        </w:rPr>
        <w:t xml:space="preserve">did not appear to stimulate gross primary production (and therefore basal food resources for invertebrates and fish), they </w:t>
      </w:r>
      <w:r w:rsidR="00CA0950">
        <w:rPr>
          <w:rFonts w:cs="Calibri"/>
        </w:rPr>
        <w:t>played</w:t>
      </w:r>
      <w:r w:rsidRPr="00E741C0">
        <w:rPr>
          <w:rFonts w:cs="Calibri"/>
        </w:rPr>
        <w:t xml:space="preserve"> an important role in preventing poor water qu</w:t>
      </w:r>
      <w:r w:rsidR="00CA0950">
        <w:rPr>
          <w:rFonts w:cs="Calibri"/>
        </w:rPr>
        <w:t>a</w:t>
      </w:r>
      <w:r w:rsidRPr="00E741C0">
        <w:rPr>
          <w:rFonts w:cs="Calibri"/>
        </w:rPr>
        <w:t>lity.</w:t>
      </w:r>
    </w:p>
    <w:p w:rsidR="00CB43DA" w:rsidRPr="007C2713" w:rsidRDefault="007C2713" w:rsidP="00CB43DA">
      <w:pPr>
        <w:rPr>
          <w:b/>
          <w:color w:val="4F6228" w:themeColor="accent3" w:themeShade="80"/>
          <w:sz w:val="24"/>
          <w:szCs w:val="24"/>
        </w:rPr>
      </w:pPr>
      <w:r w:rsidRPr="007C2713">
        <w:rPr>
          <w:b/>
          <w:color w:val="4F6228" w:themeColor="accent3" w:themeShade="80"/>
          <w:sz w:val="24"/>
          <w:szCs w:val="24"/>
        </w:rPr>
        <w:t xml:space="preserve">7.6 </w:t>
      </w:r>
      <w:r w:rsidR="00CB43DA" w:rsidRPr="007C2713">
        <w:rPr>
          <w:b/>
          <w:color w:val="4F6228" w:themeColor="accent3" w:themeShade="80"/>
          <w:sz w:val="24"/>
          <w:szCs w:val="24"/>
        </w:rPr>
        <w:t>References</w:t>
      </w:r>
    </w:p>
    <w:p w:rsidR="00A20838" w:rsidRDefault="00A20838" w:rsidP="001C2E34">
      <w:pPr>
        <w:spacing w:after="120"/>
        <w:ind w:left="567" w:hanging="567"/>
        <w:jc w:val="left"/>
        <w:rPr>
          <w:rFonts w:cs="Calibri"/>
          <w:bCs/>
        </w:rPr>
      </w:pPr>
      <w:r>
        <w:rPr>
          <w:rFonts w:cs="Calibri"/>
          <w:bCs/>
        </w:rPr>
        <w:t>Bernot M.J., Sobota D.J., and 30 other authors. 2010. “</w:t>
      </w:r>
      <w:r w:rsidRPr="00DB054F">
        <w:rPr>
          <w:rFonts w:cs="Calibri"/>
          <w:bCs/>
        </w:rPr>
        <w:t>Inter-regional comparison of land-use effects on stream</w:t>
      </w:r>
      <w:r>
        <w:rPr>
          <w:rFonts w:cs="Calibri"/>
          <w:bCs/>
        </w:rPr>
        <w:t xml:space="preserve"> </w:t>
      </w:r>
      <w:r w:rsidRPr="00DB054F">
        <w:rPr>
          <w:rFonts w:cs="Calibri"/>
          <w:bCs/>
        </w:rPr>
        <w:t>metabolism</w:t>
      </w:r>
      <w:r>
        <w:rPr>
          <w:rFonts w:cs="Calibri"/>
          <w:bCs/>
        </w:rPr>
        <w:t xml:space="preserve">”, </w:t>
      </w:r>
      <w:r w:rsidRPr="00C63881">
        <w:rPr>
          <w:rFonts w:cs="Calibri"/>
          <w:bCs/>
        </w:rPr>
        <w:t>Freshwater Biology</w:t>
      </w:r>
      <w:r>
        <w:rPr>
          <w:rFonts w:cs="Calibri"/>
          <w:bCs/>
        </w:rPr>
        <w:t xml:space="preserve">, </w:t>
      </w:r>
      <w:r w:rsidRPr="00E741C0">
        <w:rPr>
          <w:rFonts w:cs="Calibri"/>
          <w:b/>
        </w:rPr>
        <w:t>55</w:t>
      </w:r>
      <w:r w:rsidRPr="00C63881">
        <w:rPr>
          <w:rFonts w:cs="Calibri"/>
          <w:bCs/>
        </w:rPr>
        <w:t>,</w:t>
      </w:r>
      <w:r>
        <w:rPr>
          <w:rFonts w:cs="Calibri"/>
          <w:bCs/>
        </w:rPr>
        <w:t xml:space="preserve"> </w:t>
      </w:r>
      <w:r w:rsidRPr="00C63881">
        <w:rPr>
          <w:rFonts w:cs="Calibri"/>
          <w:bCs/>
        </w:rPr>
        <w:t>1874–1890</w:t>
      </w:r>
      <w:r>
        <w:rPr>
          <w:rFonts w:cs="Calibri"/>
          <w:bCs/>
        </w:rPr>
        <w:t xml:space="preserve">, </w:t>
      </w:r>
      <w:r w:rsidRPr="00C63881">
        <w:rPr>
          <w:rFonts w:cs="Calibri"/>
          <w:bCs/>
        </w:rPr>
        <w:t>doi:10.1111/j.1365-2427.2010.02422.x</w:t>
      </w:r>
    </w:p>
    <w:p w:rsidR="00CB43DA" w:rsidRDefault="00CB43DA" w:rsidP="001C2E34">
      <w:pPr>
        <w:spacing w:after="120"/>
        <w:ind w:left="567" w:hanging="567"/>
        <w:jc w:val="left"/>
        <w:rPr>
          <w:rFonts w:cs="Calibri"/>
          <w:bCs/>
        </w:rPr>
      </w:pPr>
      <w:r w:rsidRPr="00595E31">
        <w:rPr>
          <w:rFonts w:cs="Calibri"/>
          <w:bCs/>
        </w:rPr>
        <w:t>Grace M.R.,</w:t>
      </w:r>
      <w:r>
        <w:rPr>
          <w:rFonts w:cs="Calibri"/>
          <w:bCs/>
        </w:rPr>
        <w:t xml:space="preserve"> Giling D.P., Hladyz S., Caron V., Thompson R.M.,</w:t>
      </w:r>
      <w:r w:rsidR="000A4F7E">
        <w:rPr>
          <w:rFonts w:cs="Calibri"/>
          <w:bCs/>
        </w:rPr>
        <w:t xml:space="preserve"> Mac Nally R. 2015. </w:t>
      </w:r>
      <w:r>
        <w:rPr>
          <w:rFonts w:cs="Calibri"/>
          <w:bCs/>
        </w:rPr>
        <w:t>“</w:t>
      </w:r>
      <w:r w:rsidRPr="006D43A7">
        <w:rPr>
          <w:rFonts w:cs="Calibri"/>
          <w:bCs/>
        </w:rPr>
        <w:t xml:space="preserve">Fast processing of diel oxygen curves: estimating stream metabolism with BASE (BAyesian Single-station Estimation)”, Limnology &amp; Oceanography: Methods, </w:t>
      </w:r>
      <w:r w:rsidRPr="00595E31">
        <w:rPr>
          <w:rFonts w:cs="Calibri"/>
          <w:b/>
        </w:rPr>
        <w:t>13</w:t>
      </w:r>
      <w:r w:rsidRPr="006D43A7">
        <w:rPr>
          <w:rFonts w:cs="Calibri"/>
          <w:bCs/>
        </w:rPr>
        <w:t>, 103-114, doi: 10.1002/lom.10011</w:t>
      </w:r>
    </w:p>
    <w:p w:rsidR="00A20838" w:rsidRDefault="00A20838" w:rsidP="001C2E34">
      <w:pPr>
        <w:spacing w:after="120"/>
        <w:ind w:left="567" w:hanging="567"/>
        <w:jc w:val="left"/>
      </w:pPr>
      <w:r w:rsidRPr="001457D1">
        <w:t>Hale, J., Stoffels, R., Butcher, R., Shackleton, M., Brooks, S</w:t>
      </w:r>
      <w:r>
        <w:t xml:space="preserve">. and </w:t>
      </w:r>
      <w:r w:rsidRPr="001457D1">
        <w:t>Gawne, B</w:t>
      </w:r>
      <w:r>
        <w:t>. (2014</w:t>
      </w:r>
      <w:r w:rsidRPr="001457D1">
        <w:t xml:space="preserve">) </w:t>
      </w:r>
      <w:r w:rsidRPr="004579DC">
        <w:t>Commonwealth Environmental Water Office Long Term Intervention Monitoring Project – Standard Methods</w:t>
      </w:r>
      <w:r w:rsidRPr="001457D1">
        <w:t xml:space="preserve">. Final Report prepared for the Commonwealth Environmental Water Office by The Murray-Darling Freshwater Research Centre, MDFRC Publication 29.2/2014, January, </w:t>
      </w:r>
      <w:r>
        <w:t xml:space="preserve">182 </w:t>
      </w:r>
      <w:r w:rsidRPr="001457D1">
        <w:t>pp.</w:t>
      </w:r>
    </w:p>
    <w:p w:rsidR="00A20838" w:rsidRDefault="00A20838" w:rsidP="001C2E34">
      <w:pPr>
        <w:spacing w:after="120"/>
        <w:ind w:left="567" w:hanging="567"/>
        <w:jc w:val="left"/>
      </w:pPr>
      <w:r w:rsidRPr="008F6594">
        <w:t>Marcarelli A.M., Baxter C.</w:t>
      </w:r>
      <w:r w:rsidRPr="00E741C0">
        <w:t xml:space="preserve">V., </w:t>
      </w:r>
      <w:r>
        <w:t>M</w:t>
      </w:r>
      <w:r w:rsidRPr="00E741C0">
        <w:t>ineau M.</w:t>
      </w:r>
      <w:r>
        <w:t xml:space="preserve">M., Hall R.O. Jr. </w:t>
      </w:r>
      <w:r w:rsidRPr="008F6594">
        <w:t xml:space="preserve">2011. </w:t>
      </w:r>
      <w:r>
        <w:t xml:space="preserve">“Quantity and quality: unifying food web and ecosystem perspectives on the role of resource subsidies in freshwaters”, </w:t>
      </w:r>
      <w:r w:rsidRPr="008F6594">
        <w:t xml:space="preserve">Ecology, </w:t>
      </w:r>
      <w:r w:rsidRPr="00E741C0">
        <w:rPr>
          <w:b/>
          <w:bCs/>
        </w:rPr>
        <w:t>92</w:t>
      </w:r>
      <w:r>
        <w:t xml:space="preserve">, </w:t>
      </w:r>
      <w:r w:rsidRPr="008F6594">
        <w:t>1215–1225</w:t>
      </w:r>
      <w:r>
        <w:t xml:space="preserve">. </w:t>
      </w:r>
    </w:p>
    <w:p w:rsidR="00CB43DA" w:rsidRDefault="00CB43DA" w:rsidP="001C2E34">
      <w:pPr>
        <w:spacing w:after="120"/>
        <w:ind w:left="567" w:hanging="567"/>
        <w:jc w:val="left"/>
        <w:rPr>
          <w:b/>
        </w:rPr>
      </w:pPr>
      <w:r w:rsidRPr="004D79D1">
        <w:rPr>
          <w:rFonts w:cs="Calibri"/>
          <w:bCs/>
        </w:rPr>
        <w:t>Watts, R.J., McCasker, N., Thiem, J., Howitt, J.A., Grace, M. Healy, S., Kopf, R.K., Dyer, J.G., Conallin, A., Wooden I., Baumgartner L., Bowen P. 2014. Monitoring the ecosystem responses to Commonwealth environmental water delivered to the Edward-Wak</w:t>
      </w:r>
      <w:r w:rsidRPr="00EF296B">
        <w:rPr>
          <w:rFonts w:cs="Calibri"/>
          <w:bCs/>
        </w:rPr>
        <w:t>ool river system, 2013-14. Institute for Land, Water and Society, Charles Sturt University, Final Report. Prepared for Commonwealth Environmental Water Office</w:t>
      </w:r>
      <w:r w:rsidRPr="002B3004">
        <w:rPr>
          <w:rFonts w:cs="Calibri"/>
          <w:bCs/>
        </w:rPr>
        <w:t>.</w:t>
      </w:r>
    </w:p>
    <w:p w:rsidR="006847A6" w:rsidRPr="006847A6" w:rsidRDefault="006847A6" w:rsidP="001C2E34">
      <w:pPr>
        <w:spacing w:after="120"/>
      </w:pPr>
      <w:r>
        <w:br w:type="page"/>
      </w:r>
    </w:p>
    <w:p w:rsidR="00956B4B" w:rsidRPr="007C2713" w:rsidRDefault="007C2713" w:rsidP="00ED6D80">
      <w:pPr>
        <w:pStyle w:val="MurrumH1"/>
      </w:pPr>
      <w:bookmarkStart w:id="59" w:name="_Toc450199553"/>
      <w:bookmarkStart w:id="60" w:name="_Toc362347836"/>
      <w:bookmarkStart w:id="61" w:name="_Toc366277176"/>
      <w:bookmarkEnd w:id="58"/>
      <w:r w:rsidRPr="007C2713">
        <w:t>R</w:t>
      </w:r>
      <w:r w:rsidR="00956B4B" w:rsidRPr="007C2713">
        <w:t>esponse of river</w:t>
      </w:r>
      <w:r w:rsidRPr="007C2713">
        <w:t>bank and aquatic vegetation to C</w:t>
      </w:r>
      <w:r w:rsidR="00956B4B" w:rsidRPr="007C2713">
        <w:t>ommonwealth environmental watering</w:t>
      </w:r>
      <w:bookmarkEnd w:id="59"/>
    </w:p>
    <w:p w:rsidR="00B00804" w:rsidRDefault="00F671D2" w:rsidP="00B00804">
      <w:r w:rsidRPr="00F671D2">
        <w:rPr>
          <w:b/>
          <w:noProof/>
          <w:color w:val="4F6228"/>
          <w:sz w:val="32"/>
          <w:szCs w:val="32"/>
          <w:lang w:eastAsia="en-AU"/>
        </w:rPr>
        <w:pict>
          <v:shape id="Text Box 837" o:spid="_x0000_s1398" type="#_x0000_t202" style="position:absolute;left:0;text-align:left;margin-left:1649.8pt;margin-top:8.35pt;width:455.25pt;height:601.5pt;z-index:251716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" fillcolor="#d6e3bc [1302]">
            <v:textbox>
              <w:txbxContent>
                <w:p w:rsidR="0097684C" w:rsidRDefault="0097684C" w:rsidP="000B78D1">
                  <w:pPr>
                    <w:shd w:val="clear" w:color="auto" w:fill="D6E3BC" w:themeFill="accent3" w:themeFillTint="66"/>
                    <w:spacing w:after="0" w:line="240" w:lineRule="auto"/>
                    <w:rPr>
                      <w:b/>
                    </w:rPr>
                  </w:pPr>
                </w:p>
                <w:p w:rsidR="0097684C" w:rsidRDefault="0097684C" w:rsidP="00B00804">
                  <w:pPr>
                    <w:pStyle w:val="Style2"/>
                    <w:tabs>
                      <w:tab w:val="left" w:pos="6096"/>
                    </w:tabs>
                    <w:ind w:left="709" w:right="1012"/>
                    <w:jc w:val="center"/>
                  </w:pPr>
                  <w:r>
                    <w:rPr>
                      <w:noProof/>
                      <w:lang w:eastAsia="en-AU"/>
                    </w:rPr>
                    <w:drawing>
                      <wp:inline distT="0" distB="0" distL="0" distR="0">
                        <wp:extent cx="3189605" cy="1895475"/>
                        <wp:effectExtent l="0" t="0" r="0" b="9525"/>
                        <wp:docPr id="462" name="Picture 462" descr="aquatic plants in the Wakool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quatic plants in the Wakool River"/>
                                <pic:cNvPicPr>
                                  <a:picLocks noChangeAspect="1" noChangeArrowheads="1"/>
                                </pic:cNvPicPr>
                              </pic:nvPicPr>
                              <pic:blipFill rotWithShape="1">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199" b="15222"/>
                                <a:stretch/>
                              </pic:blipFill>
                              <pic:spPr bwMode="auto">
                                <a:xfrm>
                                  <a:off x="0" y="0"/>
                                  <a:ext cx="3189605" cy="1895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7684C" w:rsidRPr="00DC185B" w:rsidRDefault="0097684C" w:rsidP="00B00804">
                  <w:pPr>
                    <w:pStyle w:val="Style2"/>
                    <w:tabs>
                      <w:tab w:val="left" w:pos="6096"/>
                    </w:tabs>
                    <w:ind w:left="709" w:right="1012"/>
                    <w:jc w:val="center"/>
                  </w:pPr>
                  <w:r>
                    <w:t>Aquatic plants in the Wakool River zone 3 (Photo: Robyn Watts)</w:t>
                  </w:r>
                </w:p>
                <w:p w:rsidR="0097684C" w:rsidRDefault="0097684C" w:rsidP="00B00804">
                  <w:pPr>
                    <w:spacing w:after="0" w:line="240" w:lineRule="auto"/>
                    <w:ind w:left="1843"/>
                  </w:pPr>
                </w:p>
                <w:p w:rsidR="0097684C" w:rsidRDefault="0097684C" w:rsidP="000B78D1">
                  <w:pPr>
                    <w:shd w:val="clear" w:color="auto" w:fill="D6E3BC" w:themeFill="accent3" w:themeFillTint="66"/>
                    <w:spacing w:after="0"/>
                    <w:rPr>
                      <w:b/>
                    </w:rPr>
                  </w:pPr>
                  <w:r>
                    <w:rPr>
                      <w:b/>
                    </w:rPr>
                    <w:t>Summary</w:t>
                  </w:r>
                </w:p>
                <w:p w:rsidR="0097684C" w:rsidRPr="00AC6F48" w:rsidRDefault="0097684C" w:rsidP="00853906">
                  <w:pPr>
                    <w:pStyle w:val="ListBullet"/>
                    <w:numPr>
                      <w:ilvl w:val="0"/>
                      <w:numId w:val="21"/>
                    </w:numPr>
                    <w:spacing w:after="120"/>
                    <w:jc w:val="left"/>
                    <w:rPr>
                      <w:sz w:val="22"/>
                      <w:szCs w:val="22"/>
                    </w:rPr>
                  </w:pPr>
                  <w:r w:rsidRPr="00AC6F48">
                    <w:rPr>
                      <w:rFonts w:cs="Calibri"/>
                      <w:sz w:val="22"/>
                      <w:szCs w:val="22"/>
                    </w:rPr>
                    <w:t>The diversity and percent cover of aquatic and riverbank vegetation was monitored monthly from October 2014 to June 2015 at four sites in four hydrological zones in th</w:t>
                  </w:r>
                  <w:r>
                    <w:rPr>
                      <w:rFonts w:cs="Calibri"/>
                      <w:sz w:val="22"/>
                      <w:szCs w:val="22"/>
                    </w:rPr>
                    <w:t xml:space="preserve">e Edward-Wakool system. </w:t>
                  </w:r>
                  <w:r w:rsidRPr="00AC6F48">
                    <w:rPr>
                      <w:rFonts w:cs="Calibri"/>
                      <w:sz w:val="22"/>
                      <w:szCs w:val="22"/>
                    </w:rPr>
                    <w:t xml:space="preserve">Yallakool Creek and the Wakool River zones 3 </w:t>
                  </w:r>
                  <w:r>
                    <w:rPr>
                      <w:rFonts w:cs="Calibri"/>
                      <w:sz w:val="22"/>
                      <w:szCs w:val="22"/>
                    </w:rPr>
                    <w:t>and 4 received Commonwealth environmental water. T</w:t>
                  </w:r>
                  <w:r w:rsidRPr="00AC6F48">
                    <w:rPr>
                      <w:rFonts w:cs="Calibri"/>
                      <w:sz w:val="22"/>
                      <w:szCs w:val="22"/>
                    </w:rPr>
                    <w:t xml:space="preserve">he Wakool </w:t>
                  </w:r>
                  <w:r>
                    <w:rPr>
                      <w:rFonts w:cs="Calibri"/>
                      <w:sz w:val="22"/>
                      <w:szCs w:val="22"/>
                    </w:rPr>
                    <w:t>River zone 2 did not receive environmental water</w:t>
                  </w:r>
                  <w:r w:rsidRPr="00AC6F48">
                    <w:rPr>
                      <w:rFonts w:cs="Calibri"/>
                      <w:sz w:val="22"/>
                      <w:szCs w:val="22"/>
                    </w:rPr>
                    <w:t>.</w:t>
                  </w:r>
                </w:p>
                <w:p w:rsidR="0097684C" w:rsidRDefault="0097684C" w:rsidP="00853906">
                  <w:pPr>
                    <w:numPr>
                      <w:ilvl w:val="0"/>
                      <w:numId w:val="21"/>
                    </w:numPr>
                    <w:spacing w:after="120" w:line="240" w:lineRule="auto"/>
                    <w:ind w:left="357" w:hanging="357"/>
                    <w:jc w:val="left"/>
                    <w:rPr>
                      <w:szCs w:val="22"/>
                    </w:rPr>
                  </w:pPr>
                  <w:r w:rsidRPr="00AC6F48">
                    <w:rPr>
                      <w:szCs w:val="22"/>
                    </w:rPr>
                    <w:t>The most abundant taxa observed include rush (</w:t>
                  </w:r>
                  <w:r w:rsidRPr="00AC6F48">
                    <w:rPr>
                      <w:i/>
                      <w:szCs w:val="22"/>
                    </w:rPr>
                    <w:t>Juncus</w:t>
                  </w:r>
                  <w:r w:rsidRPr="00AC6F48">
                    <w:rPr>
                      <w:szCs w:val="22"/>
                    </w:rPr>
                    <w:t xml:space="preserve"> spp.) floating pondweed (</w:t>
                  </w:r>
                  <w:r w:rsidRPr="00AC6F48">
                    <w:rPr>
                      <w:i/>
                      <w:szCs w:val="22"/>
                    </w:rPr>
                    <w:t>Potamogeton tricarinatus</w:t>
                  </w:r>
                  <w:r w:rsidRPr="00AC6F48">
                    <w:rPr>
                      <w:szCs w:val="22"/>
                    </w:rPr>
                    <w:t>), old man weed (</w:t>
                  </w:r>
                  <w:r w:rsidRPr="00AC6F48">
                    <w:rPr>
                      <w:i/>
                      <w:szCs w:val="22"/>
                    </w:rPr>
                    <w:t>Centipeda</w:t>
                  </w:r>
                  <w:r w:rsidRPr="00AC6F48">
                    <w:rPr>
                      <w:szCs w:val="22"/>
                    </w:rPr>
                    <w:t xml:space="preserve"> </w:t>
                  </w:r>
                  <w:r>
                    <w:rPr>
                      <w:i/>
                      <w:szCs w:val="22"/>
                    </w:rPr>
                    <w:t>cunningha</w:t>
                  </w:r>
                  <w:r w:rsidRPr="00AC6F48">
                    <w:rPr>
                      <w:i/>
                      <w:szCs w:val="22"/>
                    </w:rPr>
                    <w:t>mii</w:t>
                  </w:r>
                  <w:r w:rsidRPr="00AC6F48">
                    <w:rPr>
                      <w:szCs w:val="22"/>
                    </w:rPr>
                    <w:t xml:space="preserve">), </w:t>
                  </w:r>
                  <w:r w:rsidRPr="00AC6F48">
                    <w:rPr>
                      <w:i/>
                      <w:szCs w:val="22"/>
                    </w:rPr>
                    <w:t>Chara</w:t>
                  </w:r>
                  <w:r w:rsidRPr="00AC6F48">
                    <w:rPr>
                      <w:szCs w:val="22"/>
                    </w:rPr>
                    <w:t xml:space="preserve"> spp., water couch</w:t>
                  </w:r>
                  <w:r>
                    <w:rPr>
                      <w:szCs w:val="22"/>
                    </w:rPr>
                    <w:t xml:space="preserve"> (</w:t>
                  </w:r>
                  <w:r>
                    <w:rPr>
                      <w:i/>
                      <w:color w:val="000000"/>
                    </w:rPr>
                    <w:t>Pseudoraphis spinescens</w:t>
                  </w:r>
                  <w:r>
                    <w:rPr>
                      <w:i/>
                      <w:szCs w:val="22"/>
                    </w:rPr>
                    <w:t>)</w:t>
                  </w:r>
                  <w:r w:rsidRPr="00AC6F48">
                    <w:rPr>
                      <w:szCs w:val="22"/>
                    </w:rPr>
                    <w:t>, milfoil (</w:t>
                  </w:r>
                  <w:r w:rsidRPr="00AC6F48">
                    <w:rPr>
                      <w:i/>
                      <w:szCs w:val="22"/>
                    </w:rPr>
                    <w:t>Myriophyllum</w:t>
                  </w:r>
                  <w:r w:rsidRPr="00AC6F48">
                    <w:rPr>
                      <w:szCs w:val="22"/>
                    </w:rPr>
                    <w:t xml:space="preserve"> spp.), sedge (</w:t>
                  </w:r>
                  <w:r w:rsidRPr="00AC6F48">
                    <w:rPr>
                      <w:i/>
                      <w:szCs w:val="22"/>
                    </w:rPr>
                    <w:t xml:space="preserve">Cyperus </w:t>
                  </w:r>
                  <w:r w:rsidRPr="00AC6F48">
                    <w:rPr>
                      <w:szCs w:val="22"/>
                    </w:rPr>
                    <w:t>spp</w:t>
                  </w:r>
                  <w:r w:rsidRPr="00AC6F48">
                    <w:rPr>
                      <w:i/>
                      <w:szCs w:val="22"/>
                    </w:rPr>
                    <w:t>.</w:t>
                  </w:r>
                  <w:r w:rsidRPr="00AC6F48">
                    <w:rPr>
                      <w:szCs w:val="22"/>
                    </w:rPr>
                    <w:t>) and common spike rush (</w:t>
                  </w:r>
                  <w:r w:rsidRPr="00AC6F48">
                    <w:rPr>
                      <w:i/>
                      <w:szCs w:val="22"/>
                    </w:rPr>
                    <w:t>Eleocharis acuta</w:t>
                  </w:r>
                  <w:r w:rsidRPr="00AC6F48">
                    <w:rPr>
                      <w:szCs w:val="22"/>
                    </w:rPr>
                    <w:t xml:space="preserve">). </w:t>
                  </w:r>
                  <w:r>
                    <w:rPr>
                      <w:szCs w:val="22"/>
                    </w:rPr>
                    <w:t>There were more taxa recorded in the three zones that received Commonwealth environmental water (zones 1, 3 and 4).</w:t>
                  </w:r>
                </w:p>
                <w:p w:rsidR="0097684C" w:rsidRPr="000B78D1" w:rsidRDefault="0097684C" w:rsidP="00853906">
                  <w:pPr>
                    <w:pStyle w:val="ListBullet"/>
                    <w:numPr>
                      <w:ilvl w:val="0"/>
                      <w:numId w:val="21"/>
                    </w:numPr>
                    <w:spacing w:after="120"/>
                    <w:ind w:left="357" w:hanging="357"/>
                    <w:jc w:val="left"/>
                    <w:rPr>
                      <w:sz w:val="22"/>
                      <w:szCs w:val="22"/>
                    </w:rPr>
                  </w:pPr>
                  <w:r w:rsidRPr="000B78D1">
                    <w:rPr>
                      <w:sz w:val="22"/>
                      <w:szCs w:val="22"/>
                    </w:rPr>
                    <w:t>There was a higher percent cover of riverbank and aquatic vegetation growing on the inundated edge of the river zones 3 and 4 that received Commonwealth environmental water</w:t>
                  </w:r>
                  <w:r>
                    <w:t xml:space="preserve"> </w:t>
                  </w:r>
                  <w:r w:rsidRPr="000B78D1">
                    <w:rPr>
                      <w:sz w:val="22"/>
                      <w:szCs w:val="22"/>
                    </w:rPr>
                    <w:t xml:space="preserve">than in the Wakool River zone 2 that did not receive environmental water. The cover of vegetation in Yallakool Creek zone 1 was not significantly different to that in zone 2. </w:t>
                  </w:r>
                  <w:r w:rsidRPr="000B78D1">
                    <w:rPr>
                      <w:rFonts w:cs="Calibri"/>
                      <w:sz w:val="22"/>
                      <w:szCs w:val="22"/>
                    </w:rPr>
                    <w:t>There was a significant positive correlation between percent cover of vegetation and average wetted benthic area of each river reach.</w:t>
                  </w:r>
                </w:p>
                <w:p w:rsidR="0097684C" w:rsidRPr="00AC6F48" w:rsidRDefault="0097684C" w:rsidP="00853906">
                  <w:pPr>
                    <w:numPr>
                      <w:ilvl w:val="0"/>
                      <w:numId w:val="21"/>
                    </w:numPr>
                    <w:spacing w:after="120" w:line="240" w:lineRule="auto"/>
                    <w:ind w:left="357" w:hanging="357"/>
                    <w:jc w:val="left"/>
                    <w:rPr>
                      <w:szCs w:val="22"/>
                    </w:rPr>
                  </w:pPr>
                  <w:r w:rsidRPr="00AC6F48">
                    <w:rPr>
                      <w:szCs w:val="22"/>
                    </w:rPr>
                    <w:t xml:space="preserve">There was a significantly different assemblage of vegetation among zones. The species contributing to the dissimilarity between zone 2 (no </w:t>
                  </w:r>
                  <w:r>
                    <w:rPr>
                      <w:szCs w:val="22"/>
                    </w:rPr>
                    <w:t>environmental water) and zones 1, 3 and 4 (environmental water</w:t>
                  </w:r>
                  <w:r w:rsidRPr="00AC6F48">
                    <w:rPr>
                      <w:szCs w:val="22"/>
                    </w:rPr>
                    <w:t xml:space="preserve">) include taxa such as </w:t>
                  </w:r>
                  <w:r>
                    <w:rPr>
                      <w:i/>
                      <w:szCs w:val="22"/>
                    </w:rPr>
                    <w:t>C.</w:t>
                  </w:r>
                  <w:r w:rsidRPr="00AC6F48">
                    <w:rPr>
                      <w:szCs w:val="22"/>
                    </w:rPr>
                    <w:t xml:space="preserve"> </w:t>
                  </w:r>
                  <w:r>
                    <w:rPr>
                      <w:i/>
                      <w:szCs w:val="22"/>
                    </w:rPr>
                    <w:t>cunningha</w:t>
                  </w:r>
                  <w:r w:rsidRPr="00AC6F48">
                    <w:rPr>
                      <w:i/>
                      <w:szCs w:val="22"/>
                    </w:rPr>
                    <w:t>mii</w:t>
                  </w:r>
                  <w:r w:rsidRPr="00AC6F48">
                    <w:rPr>
                      <w:szCs w:val="22"/>
                    </w:rPr>
                    <w:t xml:space="preserve"> that responds to wetting of the riverbank. Several aquatic taxa such as </w:t>
                  </w:r>
                  <w:r w:rsidRPr="00AC6F48">
                    <w:rPr>
                      <w:i/>
                      <w:szCs w:val="22"/>
                    </w:rPr>
                    <w:t>Potamogeton</w:t>
                  </w:r>
                  <w:r w:rsidRPr="00AC6F48">
                    <w:rPr>
                      <w:szCs w:val="22"/>
                    </w:rPr>
                    <w:t xml:space="preserve"> spp., </w:t>
                  </w:r>
                  <w:r w:rsidRPr="00AC6F48">
                    <w:rPr>
                      <w:i/>
                      <w:szCs w:val="22"/>
                    </w:rPr>
                    <w:t>Myriophyllum</w:t>
                  </w:r>
                  <w:r w:rsidRPr="00AC6F48">
                    <w:rPr>
                      <w:szCs w:val="22"/>
                    </w:rPr>
                    <w:t xml:space="preserve"> spp. and </w:t>
                  </w:r>
                  <w:r w:rsidRPr="00AC6F48">
                    <w:rPr>
                      <w:i/>
                      <w:szCs w:val="22"/>
                    </w:rPr>
                    <w:t>Azolla</w:t>
                  </w:r>
                  <w:r w:rsidRPr="00AC6F48">
                    <w:rPr>
                      <w:szCs w:val="22"/>
                    </w:rPr>
                    <w:t xml:space="preserve"> spp. were absent from zone 2. Other aquatic taxa such as </w:t>
                  </w:r>
                  <w:r w:rsidRPr="00AC6F48">
                    <w:rPr>
                      <w:i/>
                      <w:szCs w:val="22"/>
                    </w:rPr>
                    <w:t>Chara</w:t>
                  </w:r>
                  <w:r w:rsidRPr="00AC6F48">
                    <w:rPr>
                      <w:szCs w:val="22"/>
                    </w:rPr>
                    <w:t xml:space="preserve"> spp., </w:t>
                  </w:r>
                  <w:r w:rsidRPr="00AC6F48">
                    <w:rPr>
                      <w:i/>
                      <w:szCs w:val="22"/>
                    </w:rPr>
                    <w:t>E. acuta</w:t>
                  </w:r>
                  <w:r w:rsidRPr="00AC6F48">
                    <w:rPr>
                      <w:szCs w:val="22"/>
                    </w:rPr>
                    <w:t xml:space="preserve"> and </w:t>
                  </w:r>
                  <w:r>
                    <w:rPr>
                      <w:i/>
                      <w:szCs w:val="22"/>
                    </w:rPr>
                    <w:t>Li</w:t>
                  </w:r>
                  <w:r w:rsidRPr="00842B74">
                    <w:rPr>
                      <w:i/>
                      <w:szCs w:val="22"/>
                    </w:rPr>
                    <w:t>mosella</w:t>
                  </w:r>
                  <w:r w:rsidRPr="00AC6F48">
                    <w:rPr>
                      <w:szCs w:val="22"/>
                    </w:rPr>
                    <w:t xml:space="preserve"> </w:t>
                  </w:r>
                  <w:r>
                    <w:rPr>
                      <w:szCs w:val="22"/>
                    </w:rPr>
                    <w:t xml:space="preserve">spp. </w:t>
                  </w:r>
                  <w:r w:rsidRPr="00AC6F48">
                    <w:rPr>
                      <w:szCs w:val="22"/>
                    </w:rPr>
                    <w:t>were in very low abun</w:t>
                  </w:r>
                  <w:r>
                    <w:rPr>
                      <w:szCs w:val="22"/>
                    </w:rPr>
                    <w:t>dance in zone 2.</w:t>
                  </w:r>
                </w:p>
                <w:p w:rsidR="0097684C" w:rsidRPr="00AC6F48" w:rsidRDefault="0097684C" w:rsidP="00853906">
                  <w:pPr>
                    <w:pStyle w:val="ListBullet"/>
                    <w:numPr>
                      <w:ilvl w:val="0"/>
                      <w:numId w:val="21"/>
                    </w:numPr>
                    <w:spacing w:after="120"/>
                    <w:jc w:val="left"/>
                    <w:rPr>
                      <w:sz w:val="22"/>
                      <w:szCs w:val="22"/>
                    </w:rPr>
                  </w:pPr>
                  <w:r w:rsidRPr="00AC6F48">
                    <w:rPr>
                      <w:sz w:val="22"/>
                      <w:szCs w:val="22"/>
                    </w:rPr>
                    <w:t>The response of aquatic and riverbank vegetation to environmental watering has been an ongoing process. There has been a gradual improvement in vegetation observed</w:t>
                  </w:r>
                  <w:r>
                    <w:rPr>
                      <w:sz w:val="22"/>
                      <w:szCs w:val="22"/>
                    </w:rPr>
                    <w:t xml:space="preserve"> at sites that have received Commonwealth environmental water</w:t>
                  </w:r>
                  <w:r w:rsidRPr="00AC6F48">
                    <w:rPr>
                      <w:sz w:val="22"/>
                      <w:szCs w:val="22"/>
                    </w:rPr>
                    <w:t xml:space="preserve"> over the past </w:t>
                  </w:r>
                  <w:r>
                    <w:rPr>
                      <w:sz w:val="22"/>
                      <w:szCs w:val="22"/>
                    </w:rPr>
                    <w:t>three</w:t>
                  </w:r>
                  <w:r w:rsidRPr="00AC6F48">
                    <w:rPr>
                      <w:sz w:val="22"/>
                      <w:szCs w:val="22"/>
                    </w:rPr>
                    <w:t xml:space="preserve"> years.</w:t>
                  </w:r>
                </w:p>
                <w:p w:rsidR="0097684C" w:rsidRPr="000E1469" w:rsidRDefault="0097684C" w:rsidP="00853906">
                  <w:pPr>
                    <w:pStyle w:val="ListBullet"/>
                    <w:numPr>
                      <w:ilvl w:val="0"/>
                      <w:numId w:val="21"/>
                    </w:numPr>
                    <w:spacing w:after="120"/>
                    <w:jc w:val="left"/>
                    <w:rPr>
                      <w:sz w:val="22"/>
                      <w:szCs w:val="22"/>
                    </w:rPr>
                  </w:pPr>
                  <w:r w:rsidRPr="00AC6F48">
                    <w:rPr>
                      <w:sz w:val="22"/>
                      <w:szCs w:val="22"/>
                    </w:rPr>
                    <w:t>Between April and June 2015 there was a reduction in cover of aquatic vegetation as some taxa became desiccated or affected by frost and entered a p</w:t>
                  </w:r>
                  <w:r>
                    <w:rPr>
                      <w:sz w:val="22"/>
                      <w:szCs w:val="22"/>
                    </w:rPr>
                    <w:t>eriod of dormancy during winter</w:t>
                  </w:r>
                </w:p>
              </w:txbxContent>
            </v:textbox>
            <w10:wrap anchorx="margin"/>
          </v:shape>
        </w:pict>
      </w:r>
      <w:r w:rsidR="00B00804" w:rsidRPr="0092698E">
        <w:rPr>
          <w:b/>
          <w:color w:val="4F6228"/>
          <w:sz w:val="32"/>
          <w:szCs w:val="32"/>
        </w:rPr>
        <w:t xml:space="preserve"> </w:t>
      </w:r>
    </w:p>
    <w:p w:rsidR="00B00804" w:rsidRPr="007D0577" w:rsidRDefault="00B00804" w:rsidP="00F841A9">
      <w:pPr>
        <w:spacing w:after="240"/>
        <w:jc w:val="left"/>
        <w:rPr>
          <w:b/>
          <w:sz w:val="24"/>
          <w:szCs w:val="24"/>
        </w:rPr>
      </w:pPr>
      <w:r>
        <w:br w:type="page"/>
      </w:r>
      <w:r w:rsidR="007D0577" w:rsidRPr="007D0577">
        <w:rPr>
          <w:b/>
          <w:color w:val="4F6228" w:themeColor="accent3" w:themeShade="80"/>
          <w:sz w:val="24"/>
          <w:szCs w:val="24"/>
        </w:rPr>
        <w:t xml:space="preserve">8.1 </w:t>
      </w:r>
      <w:r w:rsidRPr="007D0577">
        <w:rPr>
          <w:b/>
          <w:color w:val="4F6228" w:themeColor="accent3" w:themeShade="80"/>
          <w:sz w:val="24"/>
          <w:szCs w:val="24"/>
        </w:rPr>
        <w:t>Background</w:t>
      </w:r>
    </w:p>
    <w:p w:rsidR="00B00804" w:rsidRPr="007621D8" w:rsidRDefault="00B00804" w:rsidP="00F841A9">
      <w:pPr>
        <w:autoSpaceDE w:val="0"/>
        <w:autoSpaceDN w:val="0"/>
        <w:adjustRightInd w:val="0"/>
        <w:spacing w:after="240"/>
        <w:jc w:val="left"/>
        <w:rPr>
          <w:rFonts w:cs="Calibri"/>
        </w:rPr>
      </w:pPr>
      <w:r w:rsidRPr="007621D8">
        <w:rPr>
          <w:rFonts w:cs="Calibri"/>
        </w:rPr>
        <w:t>Riverbank vegetation and aquatic veget</w:t>
      </w:r>
      <w:r>
        <w:rPr>
          <w:rFonts w:cs="Calibri"/>
        </w:rPr>
        <w:t xml:space="preserve">ation play an important role </w:t>
      </w:r>
      <w:r w:rsidRPr="00F92307">
        <w:rPr>
          <w:rFonts w:cs="Calibri"/>
        </w:rPr>
        <w:t>in the trophic interactions and food webs of aquatic ecosystems.</w:t>
      </w:r>
      <w:r>
        <w:rPr>
          <w:rFonts w:ascii="Georgia" w:hAnsi="Georgia"/>
        </w:rPr>
        <w:t xml:space="preserve"> </w:t>
      </w:r>
      <w:r>
        <w:rPr>
          <w:rFonts w:cs="Calibri"/>
        </w:rPr>
        <w:t>Aquatic plants</w:t>
      </w:r>
      <w:r w:rsidRPr="007621D8">
        <w:rPr>
          <w:rFonts w:cs="Calibri"/>
        </w:rPr>
        <w:t xml:space="preserve"> support </w:t>
      </w:r>
      <w:r>
        <w:rPr>
          <w:rFonts w:cs="Calibri"/>
        </w:rPr>
        <w:t xml:space="preserve">riverine productivity and </w:t>
      </w:r>
      <w:r w:rsidRPr="007621D8">
        <w:rPr>
          <w:rFonts w:cs="Calibri"/>
        </w:rPr>
        <w:t xml:space="preserve">food webs </w:t>
      </w:r>
      <w:r>
        <w:rPr>
          <w:rFonts w:cs="Calibri"/>
        </w:rPr>
        <w:t xml:space="preserve">and provide </w:t>
      </w:r>
      <w:r w:rsidRPr="007621D8">
        <w:rPr>
          <w:rFonts w:cs="Calibri"/>
        </w:rPr>
        <w:t>habitat for fish, invertebrates, frogs and b</w:t>
      </w:r>
      <w:r>
        <w:rPr>
          <w:rFonts w:cs="Calibri"/>
        </w:rPr>
        <w:t>irds (Roberts and Marston 2011). T</w:t>
      </w:r>
      <w:r w:rsidRPr="007621D8">
        <w:rPr>
          <w:rFonts w:cs="Calibri"/>
        </w:rPr>
        <w:t xml:space="preserve">he cover and composition of aquatic vegetation can determine the availability of </w:t>
      </w:r>
      <w:r w:rsidR="0075615A">
        <w:rPr>
          <w:rFonts w:cs="Calibri"/>
        </w:rPr>
        <w:t>sites for macro-</w:t>
      </w:r>
      <w:r w:rsidRPr="007621D8">
        <w:rPr>
          <w:rFonts w:cs="Calibri"/>
        </w:rPr>
        <w:t xml:space="preserve">invertebrates </w:t>
      </w:r>
      <w:r w:rsidR="0075615A">
        <w:rPr>
          <w:rFonts w:cs="Calibri"/>
        </w:rPr>
        <w:t xml:space="preserve">and frogs to lay eggs </w:t>
      </w:r>
      <w:r w:rsidRPr="007621D8">
        <w:rPr>
          <w:rFonts w:cs="Calibri"/>
        </w:rPr>
        <w:t xml:space="preserve">and calling and spawning locations for frogs (Wassens et al. 2010). </w:t>
      </w:r>
      <w:r w:rsidRPr="00760A13">
        <w:rPr>
          <w:rFonts w:cs="Calibri"/>
        </w:rPr>
        <w:t>Furthermore, the response of aquatic and riverbank vegetation following a flow event can assist understanding the response of other biological indicators.</w:t>
      </w:r>
    </w:p>
    <w:p w:rsidR="00B00804" w:rsidRPr="0075615A" w:rsidRDefault="00B00804" w:rsidP="0075615A">
      <w:pPr>
        <w:autoSpaceDE w:val="0"/>
        <w:autoSpaceDN w:val="0"/>
        <w:adjustRightInd w:val="0"/>
        <w:spacing w:after="240"/>
        <w:jc w:val="left"/>
        <w:rPr>
          <w:rFonts w:cs="Calibri"/>
        </w:rPr>
      </w:pPr>
      <w:r w:rsidRPr="0075615A">
        <w:rPr>
          <w:rFonts w:cs="Calibri"/>
        </w:rPr>
        <w:t xml:space="preserve">Flow management and the water regime in a river system can affect the growth and maintenance of adult plants. In addition it can strongly influence reproductive cycle, including flowering, dispersal, germination and recruitment. Riverbank plant survival and growth is affected by the frequency and duration of inundation (Toner and Keddy 1997; Johansson and Nilsson 2002; Lowe et al. 2010). Frequent inundation can delay reproduction (Blom and Voesenek 1996), whilst long duration of inundation can reduce growth or survival (Blom et al. 1994; Johansson and Nilsson 2002; Lowe et al. 2010). </w:t>
      </w:r>
      <w:r w:rsidR="0075615A" w:rsidRPr="0075615A">
        <w:rPr>
          <w:rFonts w:cs="Calibri"/>
        </w:rPr>
        <w:t xml:space="preserve">Differences in seasonal patterns of inundation within a single year can result in different survival, growth and reproduction responses of riverbank and aquatic plant species (Lowe 2002). </w:t>
      </w:r>
      <w:r w:rsidRPr="0075615A">
        <w:rPr>
          <w:rFonts w:cs="Calibri"/>
        </w:rPr>
        <w:t>Favourable soil moisture and nutrient conditions created by a receding flood can encourage rapid recovery and root and shoot development and many plants, including emergent macrophytes and riparian understorey herbs, often germinate on flood recession (Nicol 2004; Roberts and Marston 2011)</w:t>
      </w:r>
      <w:r w:rsidR="0075615A" w:rsidRPr="0075615A">
        <w:rPr>
          <w:rFonts w:cs="Calibri"/>
        </w:rPr>
        <w:t>. H</w:t>
      </w:r>
      <w:r w:rsidR="0075615A">
        <w:rPr>
          <w:rFonts w:cs="Calibri"/>
        </w:rPr>
        <w:t xml:space="preserve">owever, </w:t>
      </w:r>
      <w:r w:rsidR="00E804AF">
        <w:rPr>
          <w:rFonts w:cs="Calibri"/>
        </w:rPr>
        <w:t>a</w:t>
      </w:r>
      <w:r w:rsidR="0075615A">
        <w:rPr>
          <w:rFonts w:cs="Calibri"/>
        </w:rPr>
        <w:t xml:space="preserve"> high level of s</w:t>
      </w:r>
      <w:r w:rsidR="0075615A" w:rsidRPr="0075615A">
        <w:rPr>
          <w:rFonts w:cs="Calibri"/>
        </w:rPr>
        <w:t>ediment deposition during</w:t>
      </w:r>
      <w:r w:rsidR="0075615A">
        <w:rPr>
          <w:rFonts w:cs="Calibri"/>
        </w:rPr>
        <w:t xml:space="preserve"> </w:t>
      </w:r>
      <w:r w:rsidR="0075615A" w:rsidRPr="0075615A">
        <w:rPr>
          <w:rFonts w:cs="Calibri"/>
        </w:rPr>
        <w:t xml:space="preserve">periods of inundation </w:t>
      </w:r>
      <w:r w:rsidR="0075615A">
        <w:rPr>
          <w:rFonts w:cs="Calibri"/>
        </w:rPr>
        <w:t>can reduce the</w:t>
      </w:r>
      <w:r w:rsidR="0075615A" w:rsidRPr="0075615A">
        <w:rPr>
          <w:rFonts w:cs="Calibri"/>
        </w:rPr>
        <w:t xml:space="preserve"> survival</w:t>
      </w:r>
      <w:r w:rsidR="0075615A">
        <w:rPr>
          <w:rFonts w:cs="Calibri"/>
        </w:rPr>
        <w:t xml:space="preserve"> of some herbaceous </w:t>
      </w:r>
      <w:r w:rsidR="00E804AF">
        <w:rPr>
          <w:rFonts w:cs="Calibri"/>
        </w:rPr>
        <w:t xml:space="preserve">riverbank </w:t>
      </w:r>
      <w:r w:rsidR="0075615A">
        <w:rPr>
          <w:rFonts w:cs="Calibri"/>
        </w:rPr>
        <w:t>species (Lowe et al. 2010).</w:t>
      </w:r>
    </w:p>
    <w:p w:rsidR="007D0577" w:rsidRPr="005B7DFE" w:rsidRDefault="007D0577" w:rsidP="00F841A9">
      <w:pPr>
        <w:spacing w:after="240"/>
        <w:jc w:val="left"/>
        <w:rPr>
          <w:b/>
          <w:color w:val="4F6228" w:themeColor="accent3" w:themeShade="80"/>
          <w:sz w:val="24"/>
          <w:szCs w:val="24"/>
        </w:rPr>
      </w:pPr>
      <w:r w:rsidRPr="005B7DFE">
        <w:rPr>
          <w:b/>
          <w:color w:val="4F6228" w:themeColor="accent3" w:themeShade="80"/>
          <w:sz w:val="24"/>
          <w:szCs w:val="24"/>
        </w:rPr>
        <w:t>8.2 Questions</w:t>
      </w:r>
    </w:p>
    <w:p w:rsidR="00B00804" w:rsidRDefault="00B00804" w:rsidP="0075615A">
      <w:pPr>
        <w:autoSpaceDE w:val="0"/>
        <w:autoSpaceDN w:val="0"/>
        <w:adjustRightInd w:val="0"/>
        <w:spacing w:after="120"/>
        <w:jc w:val="left"/>
        <w:rPr>
          <w:rFonts w:cs="Courier New"/>
          <w:color w:val="000000"/>
        </w:rPr>
      </w:pPr>
      <w:r>
        <w:rPr>
          <w:rFonts w:cs="Calibri"/>
          <w:color w:val="000000"/>
        </w:rPr>
        <w:t xml:space="preserve">One of the objectives of the </w:t>
      </w:r>
      <w:r w:rsidRPr="00D155C4">
        <w:rPr>
          <w:rFonts w:cs="Calibri"/>
          <w:color w:val="000000"/>
        </w:rPr>
        <w:t xml:space="preserve">Yallakool Creek Environmental Watering Action </w:t>
      </w:r>
      <w:r>
        <w:rPr>
          <w:rFonts w:cs="Calibri"/>
          <w:color w:val="000000"/>
        </w:rPr>
        <w:t xml:space="preserve">in the Edward-Wakool system </w:t>
      </w:r>
      <w:r w:rsidRPr="00D155C4">
        <w:rPr>
          <w:rFonts w:cs="Calibri"/>
          <w:color w:val="000000"/>
        </w:rPr>
        <w:t>was to</w:t>
      </w:r>
      <w:r>
        <w:rPr>
          <w:b/>
        </w:rPr>
        <w:t xml:space="preserve"> </w:t>
      </w:r>
      <w:r w:rsidRPr="00FD0A2C">
        <w:rPr>
          <w:rFonts w:cs="Courier New"/>
          <w:color w:val="000000"/>
        </w:rPr>
        <w:t xml:space="preserve">contribute to </w:t>
      </w:r>
      <w:r>
        <w:rPr>
          <w:rFonts w:cs="Courier New"/>
          <w:color w:val="000000"/>
        </w:rPr>
        <w:t xml:space="preserve">maintain or </w:t>
      </w:r>
      <w:r w:rsidRPr="002227FA">
        <w:rPr>
          <w:rFonts w:cs="Courier New"/>
          <w:color w:val="000000"/>
        </w:rPr>
        <w:t>improve vegetation con</w:t>
      </w:r>
      <w:r w:rsidR="0075615A">
        <w:rPr>
          <w:rFonts w:cs="Courier New"/>
          <w:color w:val="000000"/>
        </w:rPr>
        <w:t>dition,</w:t>
      </w:r>
      <w:r w:rsidR="0075615A" w:rsidRPr="0050051F">
        <w:t xml:space="preserve"> including fringing vegetation and emergent/submerged aquatic plants</w:t>
      </w:r>
      <w:r w:rsidR="007C2713">
        <w:rPr>
          <w:rFonts w:cs="Courier New"/>
          <w:color w:val="000000"/>
        </w:rPr>
        <w:t xml:space="preserve"> </w:t>
      </w:r>
      <w:r w:rsidRPr="007C2713">
        <w:rPr>
          <w:rFonts w:cs="Courier New"/>
          <w:color w:val="000000"/>
        </w:rPr>
        <w:t>(</w:t>
      </w:r>
      <w:r w:rsidR="007C2713" w:rsidRPr="007C2713">
        <w:rPr>
          <w:rFonts w:cs="Courier New"/>
          <w:color w:val="000000"/>
        </w:rPr>
        <w:t>section 2.3</w:t>
      </w:r>
      <w:r w:rsidRPr="007C2713">
        <w:rPr>
          <w:rFonts w:cs="Courier New"/>
          <w:color w:val="000000"/>
        </w:rPr>
        <w:t>).</w:t>
      </w:r>
      <w:r>
        <w:rPr>
          <w:rFonts w:cs="Courier New"/>
          <w:color w:val="000000"/>
        </w:rPr>
        <w:t xml:space="preserve"> </w:t>
      </w:r>
      <w:bookmarkStart w:id="62" w:name="_Toc398112734"/>
      <w:r>
        <w:rPr>
          <w:rFonts w:cs="Courier New"/>
          <w:color w:val="000000"/>
        </w:rPr>
        <w:t>To evaluate this objective the</w:t>
      </w:r>
      <w:r w:rsidRPr="00FD0A2C">
        <w:rPr>
          <w:rFonts w:cs="Courier New"/>
          <w:color w:val="000000"/>
        </w:rPr>
        <w:t xml:space="preserve"> following questions </w:t>
      </w:r>
      <w:r>
        <w:rPr>
          <w:rFonts w:cs="Courier New"/>
          <w:color w:val="000000"/>
        </w:rPr>
        <w:t xml:space="preserve">relating to aquatic vegetation </w:t>
      </w:r>
      <w:r w:rsidRPr="00FD0A2C">
        <w:rPr>
          <w:rFonts w:cs="Courier New"/>
          <w:color w:val="000000"/>
        </w:rPr>
        <w:t xml:space="preserve">were </w:t>
      </w:r>
      <w:r>
        <w:rPr>
          <w:rFonts w:cs="Courier New"/>
          <w:color w:val="000000"/>
        </w:rPr>
        <w:t>addressed</w:t>
      </w:r>
      <w:r w:rsidR="005B7DFE">
        <w:rPr>
          <w:rFonts w:cs="Courier New"/>
          <w:color w:val="000000"/>
        </w:rPr>
        <w:t>:</w:t>
      </w:r>
    </w:p>
    <w:p w:rsidR="00B00804" w:rsidRPr="005B7DFE" w:rsidRDefault="0075615A" w:rsidP="0075615A">
      <w:pPr>
        <w:pStyle w:val="TableCaption"/>
        <w:spacing w:after="120" w:line="360" w:lineRule="auto"/>
        <w:rPr>
          <w:rFonts w:cs="Calibri"/>
          <w:b w:val="0"/>
          <w:i/>
          <w:sz w:val="22"/>
          <w:szCs w:val="22"/>
        </w:rPr>
      </w:pPr>
      <w:r>
        <w:rPr>
          <w:rFonts w:cs="Calibri"/>
          <w:b w:val="0"/>
          <w:sz w:val="22"/>
          <w:szCs w:val="22"/>
        </w:rPr>
        <w:t xml:space="preserve">Q1: </w:t>
      </w:r>
      <w:r w:rsidR="00B00804" w:rsidRPr="005B7DFE">
        <w:rPr>
          <w:rFonts w:cs="Calibri"/>
          <w:b w:val="0"/>
          <w:i/>
          <w:sz w:val="22"/>
          <w:szCs w:val="22"/>
        </w:rPr>
        <w:t>What did Commonwealth environmental water contribute to the total percent cover of riverbank and aquatic vegetation?</w:t>
      </w:r>
    </w:p>
    <w:p w:rsidR="00B00804" w:rsidRPr="005B7DFE" w:rsidRDefault="0075615A" w:rsidP="00E804AF">
      <w:pPr>
        <w:pStyle w:val="TableCaption"/>
        <w:spacing w:after="120" w:line="360" w:lineRule="auto"/>
        <w:rPr>
          <w:rFonts w:cs="Calibri"/>
          <w:b w:val="0"/>
          <w:i/>
          <w:sz w:val="22"/>
          <w:szCs w:val="22"/>
        </w:rPr>
      </w:pPr>
      <w:r>
        <w:rPr>
          <w:rFonts w:cs="Calibri"/>
          <w:b w:val="0"/>
          <w:sz w:val="22"/>
          <w:szCs w:val="22"/>
        </w:rPr>
        <w:t xml:space="preserve">Q2: </w:t>
      </w:r>
      <w:r w:rsidR="00B00804" w:rsidRPr="005B7DFE">
        <w:rPr>
          <w:rFonts w:cs="Calibri"/>
          <w:b w:val="0"/>
          <w:i/>
          <w:sz w:val="22"/>
          <w:szCs w:val="22"/>
        </w:rPr>
        <w:t>What did Commonwealth environmental water contribute to the percent cover of abundant riverbank and aquatic vegetation taxa?</w:t>
      </w:r>
    </w:p>
    <w:p w:rsidR="00B00804" w:rsidRDefault="0075615A" w:rsidP="00E804AF">
      <w:pPr>
        <w:pStyle w:val="TableCaption"/>
        <w:spacing w:after="120" w:line="360" w:lineRule="auto"/>
        <w:rPr>
          <w:rFonts w:cs="Calibri"/>
          <w:b w:val="0"/>
          <w:i/>
          <w:sz w:val="22"/>
          <w:szCs w:val="22"/>
        </w:rPr>
      </w:pPr>
      <w:r>
        <w:rPr>
          <w:rFonts w:cs="Calibri"/>
          <w:b w:val="0"/>
          <w:sz w:val="22"/>
          <w:szCs w:val="22"/>
        </w:rPr>
        <w:t xml:space="preserve">Q3: </w:t>
      </w:r>
      <w:r w:rsidR="00B00804" w:rsidRPr="005B7DFE">
        <w:rPr>
          <w:rFonts w:cs="Calibri"/>
          <w:b w:val="0"/>
          <w:i/>
          <w:sz w:val="22"/>
          <w:szCs w:val="22"/>
        </w:rPr>
        <w:t>What did Commonwealth environmental water contribute to the diversity of riverbank and aquatic vegetation?</w:t>
      </w:r>
    </w:p>
    <w:p w:rsidR="00E804AF" w:rsidRPr="00E804AF" w:rsidRDefault="00E804AF" w:rsidP="00E804AF">
      <w:r>
        <w:rPr>
          <w:rFonts w:cs="Calibri"/>
        </w:rPr>
        <w:t xml:space="preserve">We hypothesised that the total percent </w:t>
      </w:r>
      <w:r w:rsidRPr="00822163">
        <w:rPr>
          <w:rFonts w:cs="Calibri"/>
        </w:rPr>
        <w:t xml:space="preserve">cover </w:t>
      </w:r>
      <w:r>
        <w:rPr>
          <w:rFonts w:cs="Calibri"/>
        </w:rPr>
        <w:t xml:space="preserve">and cover of abundant taxa </w:t>
      </w:r>
      <w:r w:rsidRPr="00822163">
        <w:rPr>
          <w:rFonts w:cs="Calibri"/>
        </w:rPr>
        <w:t xml:space="preserve">across the 2014-15 monitoring period would be significantly higher in the zones that received environmental water compared to </w:t>
      </w:r>
      <w:r>
        <w:rPr>
          <w:rFonts w:cs="Calibri"/>
        </w:rPr>
        <w:t xml:space="preserve">the </w:t>
      </w:r>
      <w:r w:rsidRPr="00822163">
        <w:rPr>
          <w:rFonts w:cs="Calibri"/>
        </w:rPr>
        <w:t>Wak</w:t>
      </w:r>
      <w:r>
        <w:rPr>
          <w:rFonts w:cs="Calibri"/>
        </w:rPr>
        <w:t>ool River (zone 2) that did not receive environmental water</w:t>
      </w:r>
      <w:r w:rsidRPr="00822163">
        <w:rPr>
          <w:rFonts w:cs="Calibri"/>
        </w:rPr>
        <w:t>.</w:t>
      </w:r>
    </w:p>
    <w:bookmarkEnd w:id="62"/>
    <w:p w:rsidR="00B00804" w:rsidRPr="005B7DFE" w:rsidRDefault="00621059" w:rsidP="00F841A9">
      <w:pPr>
        <w:spacing w:after="240"/>
        <w:jc w:val="left"/>
        <w:rPr>
          <w:b/>
          <w:color w:val="4F6228" w:themeColor="accent3" w:themeShade="80"/>
          <w:sz w:val="24"/>
          <w:szCs w:val="24"/>
        </w:rPr>
      </w:pPr>
      <w:r w:rsidRPr="005B7DFE">
        <w:rPr>
          <w:b/>
          <w:color w:val="4F6228" w:themeColor="accent3" w:themeShade="80"/>
          <w:sz w:val="24"/>
          <w:szCs w:val="24"/>
        </w:rPr>
        <w:t>8.3</w:t>
      </w:r>
      <w:r w:rsidR="007D0577" w:rsidRPr="005B7DFE">
        <w:rPr>
          <w:b/>
          <w:color w:val="4F6228" w:themeColor="accent3" w:themeShade="80"/>
          <w:sz w:val="24"/>
          <w:szCs w:val="24"/>
        </w:rPr>
        <w:t xml:space="preserve"> </w:t>
      </w:r>
      <w:r w:rsidR="00B00804" w:rsidRPr="005B7DFE">
        <w:rPr>
          <w:b/>
          <w:color w:val="4F6228" w:themeColor="accent3" w:themeShade="80"/>
          <w:sz w:val="24"/>
          <w:szCs w:val="24"/>
        </w:rPr>
        <w:t>Methods</w:t>
      </w:r>
    </w:p>
    <w:p w:rsidR="00B00804" w:rsidRPr="00D64A72" w:rsidRDefault="00B00804" w:rsidP="00E804AF">
      <w:pPr>
        <w:autoSpaceDE w:val="0"/>
        <w:autoSpaceDN w:val="0"/>
        <w:adjustRightInd w:val="0"/>
        <w:spacing w:after="120"/>
        <w:jc w:val="left"/>
        <w:rPr>
          <w:rFonts w:cs="Calibri"/>
          <w:i/>
        </w:rPr>
      </w:pPr>
      <w:r>
        <w:rPr>
          <w:rFonts w:cs="Calibri"/>
          <w:i/>
        </w:rPr>
        <w:t>Monitoring design and field sampling</w:t>
      </w:r>
    </w:p>
    <w:p w:rsidR="00B00804" w:rsidRDefault="00B00804" w:rsidP="00F841A9">
      <w:pPr>
        <w:autoSpaceDE w:val="0"/>
        <w:autoSpaceDN w:val="0"/>
        <w:adjustRightInd w:val="0"/>
        <w:spacing w:after="240"/>
        <w:jc w:val="left"/>
        <w:rPr>
          <w:rFonts w:cs="Calibri"/>
        </w:rPr>
      </w:pPr>
      <w:r>
        <w:rPr>
          <w:rFonts w:cs="Calibri"/>
        </w:rPr>
        <w:t>Four</w:t>
      </w:r>
      <w:r w:rsidRPr="00B201E4">
        <w:rPr>
          <w:rFonts w:cs="Calibri"/>
        </w:rPr>
        <w:t xml:space="preserve"> sites </w:t>
      </w:r>
      <w:r>
        <w:rPr>
          <w:rFonts w:cs="Calibri"/>
        </w:rPr>
        <w:t>in</w:t>
      </w:r>
      <w:r w:rsidRPr="00B201E4">
        <w:rPr>
          <w:rFonts w:cs="Calibri"/>
        </w:rPr>
        <w:t xml:space="preserve"> each </w:t>
      </w:r>
      <w:r>
        <w:rPr>
          <w:rFonts w:cs="Calibri"/>
        </w:rPr>
        <w:t xml:space="preserve">of four hydrological zones (Yallakool Creek, Wakool River zone 2, Wakool River zone 3 and Wakool River zone 4) were surveyed </w:t>
      </w:r>
      <w:r w:rsidRPr="00B201E4">
        <w:rPr>
          <w:rFonts w:cs="Calibri"/>
        </w:rPr>
        <w:t>monthl</w:t>
      </w:r>
      <w:r>
        <w:rPr>
          <w:rFonts w:cs="Calibri"/>
        </w:rPr>
        <w:t>y between October 2014 and June 2015. At each site five</w:t>
      </w:r>
      <w:r w:rsidRPr="00DE3CC0">
        <w:rPr>
          <w:rFonts w:cs="Calibri"/>
        </w:rPr>
        <w:t xml:space="preserve"> permanent </w:t>
      </w:r>
      <w:r>
        <w:rPr>
          <w:rFonts w:cs="Calibri"/>
        </w:rPr>
        <w:t xml:space="preserve">20 m long transects were established parallel with the river channel (Figure </w:t>
      </w:r>
      <w:r w:rsidR="007D0577">
        <w:rPr>
          <w:rFonts w:cs="Calibri"/>
        </w:rPr>
        <w:t>8.</w:t>
      </w:r>
      <w:r>
        <w:rPr>
          <w:rFonts w:cs="Calibri"/>
        </w:rPr>
        <w:t>1)</w:t>
      </w:r>
      <w:r w:rsidRPr="00DE3CC0">
        <w:rPr>
          <w:rFonts w:cs="Calibri"/>
        </w:rPr>
        <w:t xml:space="preserve">. </w:t>
      </w:r>
      <w:r>
        <w:rPr>
          <w:rFonts w:cs="Calibri"/>
        </w:rPr>
        <w:t>Star pickets were installed at each end of the permanent transect. The lowest transect on the riverbank was labelled as transect 1 and the other four transects labelled consecu</w:t>
      </w:r>
      <w:r w:rsidR="007C2713">
        <w:rPr>
          <w:rFonts w:cs="Calibri"/>
        </w:rPr>
        <w:t>tively up to transect 5</w:t>
      </w:r>
      <w:r>
        <w:rPr>
          <w:rFonts w:cs="Calibri"/>
        </w:rPr>
        <w:t xml:space="preserve"> highest on the river bank. The transects were surveyed so they were 25 cm apart in vertical height, with the five transects thus covering 1 m of vertical height of the bank. Transect one was </w:t>
      </w:r>
      <w:r w:rsidRPr="007E5E0D">
        <w:rPr>
          <w:rFonts w:cs="Calibri"/>
        </w:rPr>
        <w:t xml:space="preserve">in the water at base </w:t>
      </w:r>
      <w:r>
        <w:rPr>
          <w:rFonts w:cs="Calibri"/>
        </w:rPr>
        <w:t xml:space="preserve">operational </w:t>
      </w:r>
      <w:r w:rsidRPr="007E5E0D">
        <w:rPr>
          <w:rFonts w:cs="Calibri"/>
        </w:rPr>
        <w:t xml:space="preserve">flows, </w:t>
      </w:r>
      <w:r>
        <w:rPr>
          <w:rFonts w:cs="Calibri"/>
        </w:rPr>
        <w:t>and the other four transects further up the riverbank have the potential to</w:t>
      </w:r>
      <w:r w:rsidRPr="007E5E0D">
        <w:rPr>
          <w:rFonts w:cs="Calibri"/>
        </w:rPr>
        <w:t xml:space="preserve"> be inundated during Commonwealth environmental watering</w:t>
      </w:r>
      <w:r>
        <w:rPr>
          <w:rFonts w:cs="Calibri"/>
        </w:rPr>
        <w:t xml:space="preserve"> or during unregulated flows.</w:t>
      </w:r>
    </w:p>
    <w:p w:rsidR="00B00804" w:rsidRDefault="00B00804" w:rsidP="00F841A9">
      <w:pPr>
        <w:autoSpaceDE w:val="0"/>
        <w:autoSpaceDN w:val="0"/>
        <w:adjustRightInd w:val="0"/>
        <w:spacing w:after="240"/>
        <w:jc w:val="left"/>
        <w:rPr>
          <w:rFonts w:cs="Calibri"/>
        </w:rPr>
      </w:pPr>
      <w:r w:rsidRPr="007E5E0D">
        <w:rPr>
          <w:rFonts w:cs="Calibri"/>
        </w:rPr>
        <w:t xml:space="preserve">At each of </w:t>
      </w:r>
      <w:r>
        <w:rPr>
          <w:rFonts w:cs="Calibri"/>
        </w:rPr>
        <w:t>the</w:t>
      </w:r>
      <w:r w:rsidRPr="007E5E0D">
        <w:rPr>
          <w:rFonts w:cs="Calibri"/>
        </w:rPr>
        <w:t xml:space="preserve"> </w:t>
      </w:r>
      <w:r>
        <w:rPr>
          <w:rFonts w:cs="Calibri"/>
        </w:rPr>
        <w:t>transects</w:t>
      </w:r>
      <w:r w:rsidRPr="00DE3CC0">
        <w:rPr>
          <w:rFonts w:cs="Calibri"/>
        </w:rPr>
        <w:t xml:space="preserve"> </w:t>
      </w:r>
      <w:r w:rsidRPr="007E5E0D">
        <w:rPr>
          <w:rFonts w:cs="Calibri"/>
        </w:rPr>
        <w:t xml:space="preserve">on each sampling date </w:t>
      </w:r>
      <w:r>
        <w:rPr>
          <w:rFonts w:cs="Calibri"/>
        </w:rPr>
        <w:t xml:space="preserve">a 20 m tape measure was laid out running horizontally along the riverbank between two star pickets that had been installed a </w:t>
      </w:r>
      <w:r w:rsidR="00E804AF">
        <w:rPr>
          <w:rFonts w:cs="Calibri"/>
        </w:rPr>
        <w:t>known</w:t>
      </w:r>
      <w:r>
        <w:rPr>
          <w:rFonts w:cs="Calibri"/>
        </w:rPr>
        <w:t xml:space="preserve"> height of riverbank. T</w:t>
      </w:r>
      <w:r w:rsidRPr="007E5E0D">
        <w:rPr>
          <w:rFonts w:cs="Calibri"/>
        </w:rPr>
        <w:t xml:space="preserve">he </w:t>
      </w:r>
      <w:r>
        <w:rPr>
          <w:rFonts w:cs="Calibri"/>
        </w:rPr>
        <w:t xml:space="preserve">taxa </w:t>
      </w:r>
      <w:r w:rsidRPr="007E5E0D">
        <w:rPr>
          <w:rFonts w:cs="Calibri"/>
        </w:rPr>
        <w:t xml:space="preserve">at each </w:t>
      </w:r>
      <w:r>
        <w:rPr>
          <w:rFonts w:cs="Calibri"/>
        </w:rPr>
        <w:t>50</w:t>
      </w:r>
      <w:r w:rsidR="004306A6">
        <w:rPr>
          <w:rFonts w:cs="Calibri"/>
        </w:rPr>
        <w:t xml:space="preserve"> </w:t>
      </w:r>
      <w:r>
        <w:rPr>
          <w:rFonts w:cs="Calibri"/>
        </w:rPr>
        <w:t>cm</w:t>
      </w:r>
      <w:r w:rsidRPr="007E5E0D">
        <w:rPr>
          <w:rFonts w:cs="Calibri"/>
        </w:rPr>
        <w:t xml:space="preserve"> </w:t>
      </w:r>
      <w:r>
        <w:rPr>
          <w:rFonts w:cs="Calibri"/>
        </w:rPr>
        <w:t>point quadrat along the</w:t>
      </w:r>
      <w:r w:rsidRPr="00DE3CC0">
        <w:rPr>
          <w:rFonts w:cs="Calibri"/>
        </w:rPr>
        <w:t xml:space="preserve"> </w:t>
      </w:r>
      <w:r>
        <w:rPr>
          <w:rFonts w:cs="Calibri"/>
        </w:rPr>
        <w:t>20</w:t>
      </w:r>
      <w:r w:rsidRPr="007E5E0D">
        <w:rPr>
          <w:rFonts w:cs="Calibri"/>
        </w:rPr>
        <w:t xml:space="preserve"> m </w:t>
      </w:r>
      <w:r w:rsidRPr="002B30AE">
        <w:rPr>
          <w:rFonts w:cs="Calibri"/>
        </w:rPr>
        <w:t xml:space="preserve">transect </w:t>
      </w:r>
      <w:r>
        <w:rPr>
          <w:rFonts w:cs="Calibri"/>
        </w:rPr>
        <w:t xml:space="preserve">(40 points on each transect) </w:t>
      </w:r>
      <w:r w:rsidR="007C2713">
        <w:rPr>
          <w:rFonts w:cs="Calibri"/>
        </w:rPr>
        <w:t>was recorded</w:t>
      </w:r>
      <w:r>
        <w:rPr>
          <w:rFonts w:cs="Calibri"/>
        </w:rPr>
        <w:t xml:space="preserve">. </w:t>
      </w:r>
      <w:r w:rsidR="00E804AF">
        <w:rPr>
          <w:rFonts w:cs="Calibri"/>
        </w:rPr>
        <w:t>P</w:t>
      </w:r>
      <w:r w:rsidRPr="002B30AE">
        <w:rPr>
          <w:rFonts w:cs="Calibri"/>
        </w:rPr>
        <w:t xml:space="preserve">lants were </w:t>
      </w:r>
      <w:r>
        <w:rPr>
          <w:rFonts w:cs="Calibri"/>
        </w:rPr>
        <w:t xml:space="preserve">identified to genus, with the exception of a few common taxa that could be consistently identified to species level. Terrestrial </w:t>
      </w:r>
      <w:r w:rsidRPr="002B30AE">
        <w:rPr>
          <w:rFonts w:cs="Calibri"/>
        </w:rPr>
        <w:t>grasses were not identified taxonomically</w:t>
      </w:r>
      <w:r>
        <w:rPr>
          <w:rFonts w:cs="Calibri"/>
        </w:rPr>
        <w:t xml:space="preserve"> and were recorded collectively as grass</w:t>
      </w:r>
      <w:r w:rsidRPr="002B30AE">
        <w:rPr>
          <w:rFonts w:cs="Calibri"/>
        </w:rPr>
        <w:t xml:space="preserve">. If no vegetation </w:t>
      </w:r>
      <w:r>
        <w:rPr>
          <w:rFonts w:cs="Calibri"/>
        </w:rPr>
        <w:t>was present at a point, then that</w:t>
      </w:r>
      <w:r w:rsidRPr="002B30AE">
        <w:rPr>
          <w:rFonts w:cs="Calibri"/>
        </w:rPr>
        <w:t xml:space="preserve"> point was recorded as bare ground, leaf litter or log</w:t>
      </w:r>
      <w:r>
        <w:rPr>
          <w:rFonts w:cs="Calibri"/>
        </w:rPr>
        <w:t>/tree trunk</w:t>
      </w:r>
      <w:r w:rsidR="007C2713">
        <w:rPr>
          <w:rFonts w:cs="Calibri"/>
        </w:rPr>
        <w:t>.</w:t>
      </w:r>
      <w:r>
        <w:rPr>
          <w:rFonts w:cs="Calibri"/>
        </w:rPr>
        <w:t xml:space="preserve"> When the transects were in the water the tape measure was laid at the waters edge and a flexible fibreglass pole held from the tape out to the water surface to locate the point on the transect for recording data. </w:t>
      </w:r>
      <w:r w:rsidRPr="00AF04E3">
        <w:rPr>
          <w:rFonts w:cs="Calibri"/>
        </w:rPr>
        <w:t xml:space="preserve">Photopoints were established at each site and photos taken on every sample event from </w:t>
      </w:r>
      <w:r>
        <w:rPr>
          <w:rFonts w:cs="Calibri"/>
        </w:rPr>
        <w:t xml:space="preserve">the peg at </w:t>
      </w:r>
      <w:r w:rsidRPr="00AF04E3">
        <w:rPr>
          <w:rFonts w:cs="Calibri"/>
        </w:rPr>
        <w:t>transect 3.</w:t>
      </w:r>
    </w:p>
    <w:p w:rsidR="000F236C" w:rsidRDefault="000F236C" w:rsidP="00E804AF">
      <w:pPr>
        <w:autoSpaceDE w:val="0"/>
        <w:autoSpaceDN w:val="0"/>
        <w:adjustRightInd w:val="0"/>
        <w:spacing w:after="0" w:line="240" w:lineRule="auto"/>
        <w:rPr>
          <w:rFonts w:cs="Calibri"/>
          <w:b/>
          <w:sz w:val="20"/>
        </w:rPr>
      </w:pPr>
      <w:r>
        <w:rPr>
          <w:rFonts w:cs="Calibri"/>
          <w:b/>
          <w:noProof/>
          <w:sz w:val="20"/>
          <w:lang w:eastAsia="en-AU"/>
        </w:rPr>
        <w:drawing>
          <wp:inline distT="0" distB="0" distL="0" distR="0">
            <wp:extent cx="4711331" cy="1980000"/>
            <wp:effectExtent l="0" t="0" r="0" b="127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4711331" cy="198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00804" w:rsidRDefault="00B00804" w:rsidP="00E804AF">
      <w:pPr>
        <w:autoSpaceDE w:val="0"/>
        <w:autoSpaceDN w:val="0"/>
        <w:adjustRightInd w:val="0"/>
        <w:spacing w:after="240"/>
        <w:rPr>
          <w:rFonts w:cs="Calibri"/>
          <w:sz w:val="20"/>
        </w:rPr>
      </w:pPr>
      <w:r w:rsidRPr="000F236C">
        <w:rPr>
          <w:rFonts w:cs="Calibri"/>
          <w:b/>
          <w:sz w:val="20"/>
        </w:rPr>
        <w:t xml:space="preserve">Figure </w:t>
      </w:r>
      <w:r w:rsidR="007D0577" w:rsidRPr="000F236C">
        <w:rPr>
          <w:rFonts w:cs="Calibri"/>
          <w:b/>
          <w:sz w:val="20"/>
        </w:rPr>
        <w:t>8.</w:t>
      </w:r>
      <w:r w:rsidRPr="000F236C">
        <w:rPr>
          <w:rFonts w:cs="Calibri"/>
          <w:b/>
          <w:sz w:val="20"/>
        </w:rPr>
        <w:t>1</w:t>
      </w:r>
      <w:r w:rsidRPr="000F236C">
        <w:rPr>
          <w:rFonts w:cs="Calibri"/>
          <w:sz w:val="20"/>
        </w:rPr>
        <w:t xml:space="preserve">. Line diagram showing spatial arrangement of transects </w:t>
      </w:r>
      <w:r w:rsidR="000F236C">
        <w:rPr>
          <w:rFonts w:cs="Calibri"/>
          <w:sz w:val="20"/>
        </w:rPr>
        <w:t xml:space="preserve">on the river bank </w:t>
      </w:r>
      <w:r w:rsidRPr="000F236C">
        <w:rPr>
          <w:rFonts w:cs="Calibri"/>
          <w:sz w:val="20"/>
        </w:rPr>
        <w:t xml:space="preserve">at each </w:t>
      </w:r>
      <w:r w:rsidR="000F236C">
        <w:rPr>
          <w:rFonts w:cs="Calibri"/>
          <w:sz w:val="20"/>
        </w:rPr>
        <w:t>site</w:t>
      </w:r>
      <w:r w:rsidRPr="000F236C">
        <w:rPr>
          <w:rFonts w:cs="Calibri"/>
          <w:sz w:val="20"/>
        </w:rPr>
        <w:t>.</w:t>
      </w:r>
      <w:r w:rsidRPr="008A59F1">
        <w:rPr>
          <w:rFonts w:cs="Calibri"/>
          <w:sz w:val="20"/>
        </w:rPr>
        <w:t xml:space="preserve"> </w:t>
      </w:r>
    </w:p>
    <w:p w:rsidR="00B00804" w:rsidRPr="00D64A72" w:rsidRDefault="00B00804" w:rsidP="00E804AF">
      <w:pPr>
        <w:shd w:val="clear" w:color="auto" w:fill="FFFFFF"/>
        <w:autoSpaceDE w:val="0"/>
        <w:autoSpaceDN w:val="0"/>
        <w:adjustRightInd w:val="0"/>
        <w:spacing w:after="120"/>
        <w:rPr>
          <w:rFonts w:cs="Calibri"/>
          <w:i/>
        </w:rPr>
      </w:pPr>
      <w:r w:rsidRPr="00D64A72">
        <w:rPr>
          <w:rFonts w:cs="Calibri"/>
          <w:i/>
        </w:rPr>
        <w:t>Data analysis</w:t>
      </w:r>
    </w:p>
    <w:p w:rsidR="00B00804" w:rsidRDefault="00B00804" w:rsidP="00F841A9">
      <w:pPr>
        <w:spacing w:after="240"/>
        <w:jc w:val="left"/>
        <w:rPr>
          <w:rFonts w:ascii="AdvPSPAL-R" w:hAnsi="AdvPSPAL-R" w:cs="AdvPSPAL-R"/>
          <w:sz w:val="19"/>
          <w:szCs w:val="19"/>
          <w:lang w:eastAsia="en-AU"/>
        </w:rPr>
      </w:pPr>
      <w:r>
        <w:rPr>
          <w:rFonts w:cs="Calibri"/>
        </w:rPr>
        <w:t xml:space="preserve">Each species was classified into one of three categories (submerged, amphibious and terrestrial) using a range of sources including </w:t>
      </w:r>
      <w:r w:rsidRPr="00C2243B">
        <w:rPr>
          <w:rFonts w:cs="Calibri"/>
        </w:rPr>
        <w:t>Brock and Casanova</w:t>
      </w:r>
      <w:r>
        <w:rPr>
          <w:rFonts w:cs="Calibri"/>
        </w:rPr>
        <w:t xml:space="preserve"> (1997), Casanova (2011) and Roberts and Marston (2011). Although there are some limitations of using water plant functional groups to classify taxa, the approach of classifying into these three general groups is sound for common taxa</w:t>
      </w:r>
      <w:r w:rsidRPr="00452CAD">
        <w:rPr>
          <w:rFonts w:cs="Calibri"/>
        </w:rPr>
        <w:t xml:space="preserve"> </w:t>
      </w:r>
      <w:r>
        <w:rPr>
          <w:rFonts w:cs="Calibri"/>
        </w:rPr>
        <w:t>that can be</w:t>
      </w:r>
      <w:r w:rsidRPr="00452CAD">
        <w:rPr>
          <w:rFonts w:cs="Calibri"/>
        </w:rPr>
        <w:t xml:space="preserve"> reliably </w:t>
      </w:r>
      <w:r>
        <w:rPr>
          <w:rFonts w:cs="Calibri"/>
        </w:rPr>
        <w:t>distinguished</w:t>
      </w:r>
      <w:r w:rsidRPr="00452CAD">
        <w:rPr>
          <w:rFonts w:cs="Calibri"/>
        </w:rPr>
        <w:t xml:space="preserve">. </w:t>
      </w:r>
    </w:p>
    <w:p w:rsidR="00B00804" w:rsidRDefault="00B00804" w:rsidP="00F841A9">
      <w:pPr>
        <w:spacing w:after="240"/>
        <w:jc w:val="left"/>
        <w:rPr>
          <w:rFonts w:cs="Calibri"/>
        </w:rPr>
      </w:pPr>
      <w:r>
        <w:rPr>
          <w:rFonts w:cs="Calibri"/>
        </w:rPr>
        <w:t xml:space="preserve">The point quadrat data were used </w:t>
      </w:r>
      <w:r w:rsidRPr="007E5E0D">
        <w:rPr>
          <w:rFonts w:cs="Calibri"/>
        </w:rPr>
        <w:t>to estimate</w:t>
      </w:r>
      <w:r w:rsidRPr="00DE3CC0">
        <w:rPr>
          <w:rFonts w:cs="Calibri"/>
        </w:rPr>
        <w:t xml:space="preserve"> </w:t>
      </w:r>
      <w:r>
        <w:rPr>
          <w:rFonts w:cs="Calibri"/>
        </w:rPr>
        <w:t xml:space="preserve">the </w:t>
      </w:r>
      <w:r w:rsidRPr="00DE3CC0">
        <w:rPr>
          <w:rFonts w:cs="Calibri"/>
        </w:rPr>
        <w:t>percent</w:t>
      </w:r>
      <w:r w:rsidRPr="007E5E0D">
        <w:rPr>
          <w:rFonts w:cs="Calibri"/>
        </w:rPr>
        <w:t xml:space="preserve"> cover of riverbank and aquatic vegetation </w:t>
      </w:r>
      <w:r>
        <w:rPr>
          <w:rFonts w:cs="Calibri"/>
        </w:rPr>
        <w:t xml:space="preserve">for each transect at each sample date. If there were any logs or tree trunks recorded in a given transect, the percent cover for that transect was calculated out of a reduced number of points, being 40 minus the number of points recorded as log/tree trunk. This is because no vegetation would have been able </w:t>
      </w:r>
      <w:r w:rsidRPr="009020D1">
        <w:rPr>
          <w:rFonts w:cs="Calibri"/>
        </w:rPr>
        <w:t>to grow at that point if a log or tree trunk is present.</w:t>
      </w:r>
    </w:p>
    <w:p w:rsidR="00B00804" w:rsidRPr="00822163" w:rsidRDefault="00B00804" w:rsidP="00F841A9">
      <w:pPr>
        <w:spacing w:after="240"/>
        <w:jc w:val="left"/>
        <w:rPr>
          <w:rFonts w:cs="Calibri"/>
        </w:rPr>
      </w:pPr>
      <w:r w:rsidRPr="00822163">
        <w:rPr>
          <w:rFonts w:cs="Calibri"/>
        </w:rPr>
        <w:t xml:space="preserve">To test if the percent cover of vegetation was significantly different </w:t>
      </w:r>
      <w:r w:rsidR="00E804AF">
        <w:rPr>
          <w:rFonts w:cs="Calibri"/>
        </w:rPr>
        <w:t>among</w:t>
      </w:r>
      <w:r w:rsidRPr="00822163">
        <w:rPr>
          <w:rFonts w:cs="Calibri"/>
        </w:rPr>
        <w:t xml:space="preserve"> the four zones across the entire monitoring period, </w:t>
      </w:r>
      <w:r>
        <w:rPr>
          <w:rFonts w:cs="Calibri"/>
        </w:rPr>
        <w:t xml:space="preserve">the </w:t>
      </w:r>
      <w:r w:rsidRPr="00822163">
        <w:rPr>
          <w:rFonts w:cs="Calibri"/>
        </w:rPr>
        <w:t xml:space="preserve">total percent cover of all taxa was analysed using a one way ANOVA with zone as the treatment factor. </w:t>
      </w:r>
      <w:r>
        <w:rPr>
          <w:rFonts w:cs="Calibri"/>
        </w:rPr>
        <w:t>A</w:t>
      </w:r>
      <w:r>
        <w:t xml:space="preserve">nalyses were undertaken incorporating the data across the entire monitoring period (October 2014 to June 2015). </w:t>
      </w:r>
      <w:r w:rsidRPr="009020D1">
        <w:t>This enabled a comparison of zones that received environmental water to zones that did not receive environmental water.</w:t>
      </w:r>
      <w:r>
        <w:t xml:space="preserve"> Analysis of the percent cover for the eight most common taxa were analysed individually using Kruskal-Wakllis nonparametric test because the data were not normally distributed. </w:t>
      </w:r>
      <w:r w:rsidRPr="00822163">
        <w:rPr>
          <w:rFonts w:cs="Calibri"/>
        </w:rPr>
        <w:t>Statistical analyses were carried out using the freeware R and the R package MASS (R Development Core Team 2013)</w:t>
      </w:r>
      <w:r>
        <w:rPr>
          <w:rFonts w:cs="Calibri"/>
        </w:rPr>
        <w:t xml:space="preserve"> and IBM SPSS Statistics v20</w:t>
      </w:r>
      <w:r w:rsidRPr="00822163">
        <w:rPr>
          <w:rFonts w:cs="Calibri"/>
        </w:rPr>
        <w:t xml:space="preserve">. P-values of &lt;0.05 were used to determine the significance of each ANOVA test. When significant differences were indicated, post hoc pairwise comparisons were undertaken to determine differences between </w:t>
      </w:r>
      <w:r>
        <w:rPr>
          <w:rFonts w:cs="Calibri"/>
        </w:rPr>
        <w:t>hydrological zones.</w:t>
      </w:r>
    </w:p>
    <w:p w:rsidR="00B00804" w:rsidRPr="00EC5B18" w:rsidRDefault="00B00804" w:rsidP="00F841A9">
      <w:pPr>
        <w:spacing w:after="240"/>
        <w:jc w:val="left"/>
      </w:pPr>
      <w:r w:rsidRPr="007C2713">
        <w:t xml:space="preserve">The diversity of taxa observed in transects that received environmental water was compared to transects that did not receive environmental water. </w:t>
      </w:r>
      <w:r w:rsidRPr="00EC5B18">
        <w:t>The vegetation assemblage was compared among hydrological zones using o</w:t>
      </w:r>
      <w:r w:rsidRPr="00EC5B18">
        <w:rPr>
          <w:rFonts w:cs="Calibri"/>
        </w:rPr>
        <w:t xml:space="preserve">ne-factor analysis of similarities (ANOSIM) (PRIMER v6). Similarity percentages (SIMPER) was used to identify the taxa contributing most to the dissimilarities across zones. The ANOSIM and SIMPER analyses </w:t>
      </w:r>
      <w:r>
        <w:rPr>
          <w:rFonts w:cs="Calibri"/>
        </w:rPr>
        <w:t>were</w:t>
      </w:r>
      <w:r w:rsidRPr="00EC5B18">
        <w:rPr>
          <w:rFonts w:cs="Calibri"/>
        </w:rPr>
        <w:t xml:space="preserve"> undertaken using PRIMER </w:t>
      </w:r>
      <w:r>
        <w:rPr>
          <w:rFonts w:cs="Calibri"/>
        </w:rPr>
        <w:t xml:space="preserve">V6 </w:t>
      </w:r>
      <w:r w:rsidRPr="00EC5B18">
        <w:rPr>
          <w:rFonts w:cs="Calibri"/>
        </w:rPr>
        <w:t>software.</w:t>
      </w:r>
      <w:r>
        <w:rPr>
          <w:rFonts w:cs="Calibri"/>
        </w:rPr>
        <w:t xml:space="preserve"> The data were plotted </w:t>
      </w:r>
      <w:r w:rsidRPr="00EC5B18">
        <w:t>using non-metric multidimensiona</w:t>
      </w:r>
      <w:r>
        <w:t>l scaling ordination</w:t>
      </w:r>
      <w:r w:rsidRPr="00EC5B18">
        <w:t>.</w:t>
      </w:r>
    </w:p>
    <w:p w:rsidR="00B00804" w:rsidRPr="007C2713" w:rsidRDefault="00621059" w:rsidP="00B00804">
      <w:pPr>
        <w:pStyle w:val="Default"/>
        <w:spacing w:after="240"/>
        <w:rPr>
          <w:rFonts w:asciiTheme="minorHAnsi" w:hAnsiTheme="minorHAnsi"/>
          <w:b/>
          <w:bCs/>
          <w:color w:val="4F6228" w:themeColor="accent3" w:themeShade="80"/>
        </w:rPr>
      </w:pPr>
      <w:r w:rsidRPr="007C2713">
        <w:rPr>
          <w:rFonts w:asciiTheme="minorHAnsi" w:hAnsiTheme="minorHAnsi"/>
          <w:b/>
          <w:bCs/>
          <w:color w:val="4F6228" w:themeColor="accent3" w:themeShade="80"/>
        </w:rPr>
        <w:t xml:space="preserve">8.4 </w:t>
      </w:r>
      <w:r w:rsidR="00B00804" w:rsidRPr="007C2713">
        <w:rPr>
          <w:rFonts w:asciiTheme="minorHAnsi" w:hAnsiTheme="minorHAnsi"/>
          <w:b/>
          <w:bCs/>
          <w:color w:val="4F6228" w:themeColor="accent3" w:themeShade="80"/>
        </w:rPr>
        <w:t>Results</w:t>
      </w:r>
    </w:p>
    <w:p w:rsidR="00B00804" w:rsidRPr="00943142" w:rsidRDefault="00B00804" w:rsidP="00E804AF">
      <w:pPr>
        <w:spacing w:after="120"/>
        <w:jc w:val="left"/>
        <w:rPr>
          <w:i/>
        </w:rPr>
      </w:pPr>
      <w:r w:rsidRPr="00943142">
        <w:rPr>
          <w:i/>
        </w:rPr>
        <w:t>Description of riverbank and aquatic vegetation</w:t>
      </w:r>
      <w:r>
        <w:rPr>
          <w:i/>
        </w:rPr>
        <w:t xml:space="preserve"> in the Edward-Wakool system in 2014-15</w:t>
      </w:r>
    </w:p>
    <w:p w:rsidR="00B00804" w:rsidRDefault="00B00804" w:rsidP="00F841A9">
      <w:pPr>
        <w:spacing w:after="240"/>
        <w:jc w:val="left"/>
      </w:pPr>
      <w:r>
        <w:t xml:space="preserve">A total </w:t>
      </w:r>
      <w:r w:rsidRPr="00AA0EEE">
        <w:t>of 34 riverbank</w:t>
      </w:r>
      <w:r>
        <w:t xml:space="preserve"> and aquatic vegetation taxa were recorded across the sixteen sites between October 2014 and June 2015. </w:t>
      </w:r>
      <w:r w:rsidRPr="00802827">
        <w:t xml:space="preserve">Three taxa were classified as submerged, 14 were amphibious and 17 were terrestrial (Table </w:t>
      </w:r>
      <w:r w:rsidR="00621059">
        <w:t>8.</w:t>
      </w:r>
      <w:r>
        <w:t>1</w:t>
      </w:r>
      <w:r w:rsidRPr="00802827">
        <w:t>).</w:t>
      </w:r>
      <w:r>
        <w:t xml:space="preserve"> The ten taxa having the highest percent cover were </w:t>
      </w:r>
      <w:r w:rsidRPr="00AA0EEE">
        <w:rPr>
          <w:i/>
        </w:rPr>
        <w:t>Juncus</w:t>
      </w:r>
      <w:r>
        <w:t xml:space="preserve"> spp. </w:t>
      </w:r>
      <w:r w:rsidRPr="007D60DE">
        <w:rPr>
          <w:i/>
        </w:rPr>
        <w:t>Potamogeton</w:t>
      </w:r>
      <w:r w:rsidRPr="007D60DE">
        <w:t xml:space="preserve"> </w:t>
      </w:r>
      <w:r w:rsidRPr="0091211E">
        <w:rPr>
          <w:i/>
          <w:color w:val="000000"/>
        </w:rPr>
        <w:t>tricarinatus</w:t>
      </w:r>
      <w:r>
        <w:t xml:space="preserve">, </w:t>
      </w:r>
      <w:r w:rsidR="000E1469">
        <w:rPr>
          <w:i/>
          <w:color w:val="000000"/>
        </w:rPr>
        <w:t>Centipeda cunningha</w:t>
      </w:r>
      <w:r w:rsidRPr="00EA245A">
        <w:rPr>
          <w:i/>
          <w:color w:val="000000"/>
        </w:rPr>
        <w:t>mii</w:t>
      </w:r>
      <w:r>
        <w:t xml:space="preserve">, the charophyte </w:t>
      </w:r>
      <w:r w:rsidRPr="007D60DE">
        <w:rPr>
          <w:i/>
        </w:rPr>
        <w:t>Chara</w:t>
      </w:r>
      <w:r w:rsidRPr="007D60DE">
        <w:t xml:space="preserve"> spp.</w:t>
      </w:r>
      <w:r>
        <w:t xml:space="preserve">, </w:t>
      </w:r>
      <w:r w:rsidR="000E1469">
        <w:rPr>
          <w:i/>
          <w:color w:val="000000"/>
        </w:rPr>
        <w:t>Pseudoraphis spinescens</w:t>
      </w:r>
      <w:r>
        <w:rPr>
          <w:i/>
        </w:rPr>
        <w:t xml:space="preserve">, </w:t>
      </w:r>
      <w:r w:rsidRPr="007D60DE">
        <w:rPr>
          <w:i/>
        </w:rPr>
        <w:t>Eleocharis acuta</w:t>
      </w:r>
      <w:r>
        <w:t xml:space="preserve">, </w:t>
      </w:r>
      <w:r w:rsidRPr="007D60DE">
        <w:rPr>
          <w:i/>
        </w:rPr>
        <w:t>Myriophyllum</w:t>
      </w:r>
      <w:r w:rsidRPr="007D60DE">
        <w:t xml:space="preserve"> spp</w:t>
      </w:r>
      <w:r>
        <w:t xml:space="preserve">, grasses, Azolla spp. and the mudwort, </w:t>
      </w:r>
      <w:r>
        <w:rPr>
          <w:i/>
          <w:color w:val="000000"/>
        </w:rPr>
        <w:t>Limos</w:t>
      </w:r>
      <w:r w:rsidRPr="0091211E">
        <w:rPr>
          <w:i/>
          <w:color w:val="000000"/>
        </w:rPr>
        <w:t>ella</w:t>
      </w:r>
      <w:r>
        <w:rPr>
          <w:color w:val="000000"/>
        </w:rPr>
        <w:t xml:space="preserve"> spp. It is not surprising that nine of the ten most abundant taxa were classified as submerged or amphibious taxa, as the surveys were undertaken in the active littoral zone of the riverbank. </w:t>
      </w:r>
      <w:r>
        <w:t xml:space="preserve">The Wakool River zone 3 had a lower proportion of terrestrial taxa (33.3%) compared to Yallakool Creek (50%) Wakool R zone 2 (39%) and Wakool R zone 4 (37.5%) (Table </w:t>
      </w:r>
      <w:r w:rsidR="00621059">
        <w:t>8.</w:t>
      </w:r>
      <w:r>
        <w:t>1).</w:t>
      </w:r>
    </w:p>
    <w:p w:rsidR="00B00804" w:rsidRDefault="00B00804" w:rsidP="00E804AF">
      <w:pPr>
        <w:spacing w:after="120"/>
        <w:jc w:val="left"/>
      </w:pPr>
      <w:r>
        <w:t xml:space="preserve">Changes in the cover of several taxa were observed over the year. </w:t>
      </w:r>
      <w:r w:rsidRPr="007D60DE">
        <w:rPr>
          <w:i/>
        </w:rPr>
        <w:t>Chara</w:t>
      </w:r>
      <w:r w:rsidRPr="007D60DE">
        <w:t xml:space="preserve"> spp.</w:t>
      </w:r>
      <w:r>
        <w:t xml:space="preserve"> grew </w:t>
      </w:r>
      <w:r w:rsidRPr="00E463CE">
        <w:t>strongly</w:t>
      </w:r>
      <w:r>
        <w:t xml:space="preserve"> in the shallow edges of zones 1, 3 and 4 </w:t>
      </w:r>
      <w:r w:rsidRPr="007D60DE">
        <w:t>du</w:t>
      </w:r>
      <w:r>
        <w:t xml:space="preserve">ring the environmental watering (Figure </w:t>
      </w:r>
      <w:r w:rsidR="00621059">
        <w:t>8.</w:t>
      </w:r>
      <w:r>
        <w:t xml:space="preserve">2, </w:t>
      </w:r>
      <w:r w:rsidR="00621059">
        <w:t>8.</w:t>
      </w:r>
      <w:r>
        <w:t xml:space="preserve">3a ), first appearing in transect 3 and then retreating to transects 2 and 1 on the recession of the environmental watering action. </w:t>
      </w:r>
      <w:r w:rsidRPr="00E463CE">
        <w:rPr>
          <w:i/>
        </w:rPr>
        <w:t>Chara</w:t>
      </w:r>
      <w:r>
        <w:t xml:space="preserve"> spp. was</w:t>
      </w:r>
      <w:r w:rsidRPr="007D60DE">
        <w:t xml:space="preserve"> desiccated </w:t>
      </w:r>
      <w:r>
        <w:t>following</w:t>
      </w:r>
      <w:r w:rsidRPr="007D60DE">
        <w:t xml:space="preserve"> the recession in January 2015 and </w:t>
      </w:r>
      <w:r>
        <w:t>was essentially</w:t>
      </w:r>
      <w:r w:rsidRPr="007D60DE">
        <w:t xml:space="preserve"> absent by March 2015</w:t>
      </w:r>
      <w:r>
        <w:t xml:space="preserve">. </w:t>
      </w:r>
      <w:r w:rsidRPr="00F47B82">
        <w:rPr>
          <w:i/>
        </w:rPr>
        <w:t>Eleocharis</w:t>
      </w:r>
      <w:r>
        <w:t xml:space="preserve"> seedlings were observed to germinate on the damp riverbank after the recession of environmental water (Figure </w:t>
      </w:r>
      <w:r w:rsidR="00621059">
        <w:t>8.</w:t>
      </w:r>
      <w:r>
        <w:t xml:space="preserve">3b). Changes in the cover of vegetation were also noted during the period of lower flows. For example, </w:t>
      </w:r>
      <w:r w:rsidRPr="00F47B82">
        <w:rPr>
          <w:i/>
        </w:rPr>
        <w:t>Azolla</w:t>
      </w:r>
      <w:r>
        <w:t xml:space="preserve"> increased in abundance (especially in zone 3) in late summer/early autumn, which is to be expected during periods of lower discharge (Figure </w:t>
      </w:r>
      <w:r w:rsidR="00621059">
        <w:t>8.</w:t>
      </w:r>
      <w:r>
        <w:t xml:space="preserve">2, </w:t>
      </w:r>
      <w:r w:rsidR="00621059">
        <w:t>8.</w:t>
      </w:r>
      <w:r>
        <w:t>3c). In late autumn and early winter</w:t>
      </w:r>
      <w:r w:rsidRPr="007D60DE">
        <w:t xml:space="preserve"> </w:t>
      </w:r>
      <w:r>
        <w:t>(</w:t>
      </w:r>
      <w:r w:rsidRPr="007D60DE">
        <w:t xml:space="preserve">April </w:t>
      </w:r>
      <w:r>
        <w:t>and May</w:t>
      </w:r>
      <w:r w:rsidRPr="007D60DE">
        <w:t xml:space="preserve"> 2015</w:t>
      </w:r>
      <w:r>
        <w:t>)</w:t>
      </w:r>
      <w:r w:rsidRPr="007D60DE">
        <w:t xml:space="preserve"> there was a </w:t>
      </w:r>
      <w:r>
        <w:t xml:space="preserve">slight </w:t>
      </w:r>
      <w:r w:rsidRPr="007D60DE">
        <w:t xml:space="preserve">reduction in cover </w:t>
      </w:r>
      <w:r>
        <w:t xml:space="preserve">of aquatic vegetation </w:t>
      </w:r>
      <w:r w:rsidRPr="007D60DE">
        <w:t xml:space="preserve">as some </w:t>
      </w:r>
      <w:r>
        <w:t xml:space="preserve">species </w:t>
      </w:r>
      <w:r w:rsidRPr="007D60DE">
        <w:t>became desiccated, or affected by frost and entered a period of dormancy during winter.</w:t>
      </w:r>
      <w:r>
        <w:t xml:space="preserve"> For example, </w:t>
      </w:r>
      <w:r w:rsidRPr="00F47B82">
        <w:rPr>
          <w:i/>
        </w:rPr>
        <w:t>Potamogeton</w:t>
      </w:r>
      <w:r>
        <w:t xml:space="preserve"> leaves were observed to go brown as it entered a period of dormancy (Figure </w:t>
      </w:r>
      <w:r w:rsidR="00621059">
        <w:t>8.</w:t>
      </w:r>
      <w:r>
        <w:t xml:space="preserve">3d) and beds of </w:t>
      </w:r>
      <w:r w:rsidRPr="00F47B82">
        <w:rPr>
          <w:i/>
        </w:rPr>
        <w:t>Myriophyllum</w:t>
      </w:r>
      <w:r>
        <w:t xml:space="preserve"> were exposed (Figure </w:t>
      </w:r>
      <w:r w:rsidR="00621059">
        <w:t>8.</w:t>
      </w:r>
      <w:r>
        <w:t xml:space="preserve">3e). In June there was very low or no flow in Yallakool Creek and the Wakool River and flows in this system ceased in June 2015. During this period aquatic plants were observed to be drying on the river bed (Figure </w:t>
      </w:r>
      <w:r w:rsidR="00621059">
        <w:t>8.</w:t>
      </w:r>
      <w:r w:rsidR="00E804AF">
        <w:t>3f).</w:t>
      </w:r>
    </w:p>
    <w:p w:rsidR="00B00804" w:rsidRPr="00D649F2" w:rsidRDefault="00B00804" w:rsidP="00B00804">
      <w:pPr>
        <w:spacing w:after="0" w:line="240" w:lineRule="auto"/>
        <w:rPr>
          <w:sz w:val="20"/>
        </w:rPr>
      </w:pPr>
      <w:r w:rsidRPr="00D649F2">
        <w:rPr>
          <w:b/>
          <w:sz w:val="20"/>
        </w:rPr>
        <w:t xml:space="preserve">Table </w:t>
      </w:r>
      <w:r w:rsidR="00621059">
        <w:rPr>
          <w:b/>
          <w:sz w:val="20"/>
        </w:rPr>
        <w:t>8.</w:t>
      </w:r>
      <w:r w:rsidRPr="00D649F2">
        <w:rPr>
          <w:b/>
          <w:sz w:val="20"/>
        </w:rPr>
        <w:t>1</w:t>
      </w:r>
      <w:r w:rsidRPr="00D649F2">
        <w:rPr>
          <w:sz w:val="20"/>
        </w:rPr>
        <w:t xml:space="preserve">: List of </w:t>
      </w:r>
      <w:r>
        <w:rPr>
          <w:sz w:val="20"/>
        </w:rPr>
        <w:t xml:space="preserve">riverbank and aquatic vegetation </w:t>
      </w:r>
      <w:r w:rsidRPr="00D649F2">
        <w:rPr>
          <w:sz w:val="20"/>
        </w:rPr>
        <w:t xml:space="preserve">taxa </w:t>
      </w:r>
      <w:r>
        <w:rPr>
          <w:sz w:val="20"/>
        </w:rPr>
        <w:t xml:space="preserve">recorded at Long term Intervention Monitoring sites in the Edward-Wakool system in 2014-15. Taxa are listed in order of relative abundance as measured by number of point quadrats in which they were recorded. Group categories: S = submerged, A = amphibious, T = terrestrial. </w:t>
      </w:r>
      <w:proofErr w:type="gramStart"/>
      <w:r w:rsidR="009F4D23">
        <w:rPr>
          <w:sz w:val="20"/>
        </w:rPr>
        <w:t>z</w:t>
      </w:r>
      <w:r w:rsidR="00B86396">
        <w:rPr>
          <w:sz w:val="20"/>
        </w:rPr>
        <w:t>one</w:t>
      </w:r>
      <w:proofErr w:type="gramEnd"/>
      <w:r w:rsidR="00B86396">
        <w:rPr>
          <w:sz w:val="20"/>
        </w:rPr>
        <w:t xml:space="preserve"> 1 = Yallakool Creek, zone 2 = Upper Wakool River, zone 3 = Wakool River upstream of Thule Creek, zone 4 = Wakool River downstream Thule Creek. </w:t>
      </w:r>
      <w:r>
        <w:rPr>
          <w:sz w:val="20"/>
        </w:rPr>
        <w:t>* = present in hydrological zone</w:t>
      </w:r>
    </w:p>
    <w:tbl>
      <w:tblPr>
        <w:tblW w:w="9039" w:type="dxa"/>
        <w:tblLayout w:type="fixed"/>
        <w:tblLook w:val="04A0"/>
      </w:tblPr>
      <w:tblGrid>
        <w:gridCol w:w="1951"/>
        <w:gridCol w:w="2552"/>
        <w:gridCol w:w="850"/>
        <w:gridCol w:w="1418"/>
        <w:gridCol w:w="567"/>
        <w:gridCol w:w="567"/>
        <w:gridCol w:w="567"/>
        <w:gridCol w:w="567"/>
      </w:tblGrid>
      <w:tr w:rsidR="00B00804" w:rsidTr="000B78D1">
        <w:tc>
          <w:tcPr>
            <w:tcW w:w="1951" w:type="dxa"/>
            <w:vMerge w:val="restart"/>
            <w:tcBorders>
              <w:top w:val="single" w:sz="4" w:space="0" w:color="auto"/>
            </w:tcBorders>
            <w:shd w:val="clear" w:color="auto" w:fill="D6E3BC" w:themeFill="accent3" w:themeFillTint="66"/>
          </w:tcPr>
          <w:p w:rsidR="00B00804" w:rsidRPr="00612837" w:rsidRDefault="00B00804" w:rsidP="00BB49EA">
            <w:pPr>
              <w:spacing w:after="0" w:line="240" w:lineRule="auto"/>
              <w:rPr>
                <w:b/>
              </w:rPr>
            </w:pPr>
            <w:r>
              <w:rPr>
                <w:b/>
              </w:rPr>
              <w:t>Common N</w:t>
            </w:r>
            <w:r w:rsidRPr="00612837">
              <w:rPr>
                <w:b/>
              </w:rPr>
              <w:t>ame</w:t>
            </w:r>
          </w:p>
        </w:tc>
        <w:tc>
          <w:tcPr>
            <w:tcW w:w="2552" w:type="dxa"/>
            <w:vMerge w:val="restart"/>
            <w:tcBorders>
              <w:top w:val="single" w:sz="4" w:space="0" w:color="auto"/>
            </w:tcBorders>
            <w:shd w:val="clear" w:color="auto" w:fill="D6E3BC" w:themeFill="accent3" w:themeFillTint="66"/>
          </w:tcPr>
          <w:p w:rsidR="00B00804" w:rsidRDefault="00B00804" w:rsidP="00BB49EA">
            <w:pPr>
              <w:spacing w:after="0" w:line="240" w:lineRule="auto"/>
              <w:rPr>
                <w:b/>
              </w:rPr>
            </w:pPr>
            <w:r>
              <w:rPr>
                <w:b/>
              </w:rPr>
              <w:t>Taxonomic name</w:t>
            </w:r>
          </w:p>
        </w:tc>
        <w:tc>
          <w:tcPr>
            <w:tcW w:w="850" w:type="dxa"/>
            <w:vMerge w:val="restart"/>
            <w:tcBorders>
              <w:top w:val="single" w:sz="4" w:space="0" w:color="auto"/>
            </w:tcBorders>
            <w:shd w:val="clear" w:color="auto" w:fill="D6E3BC" w:themeFill="accent3" w:themeFillTint="66"/>
          </w:tcPr>
          <w:p w:rsidR="00B00804" w:rsidRDefault="00B00804" w:rsidP="00BB49EA">
            <w:pPr>
              <w:spacing w:after="0" w:line="240" w:lineRule="auto"/>
              <w:rPr>
                <w:b/>
              </w:rPr>
            </w:pPr>
            <w:r>
              <w:rPr>
                <w:b/>
              </w:rPr>
              <w:t>Group</w:t>
            </w:r>
          </w:p>
        </w:tc>
        <w:tc>
          <w:tcPr>
            <w:tcW w:w="1418" w:type="dxa"/>
            <w:vMerge w:val="restart"/>
            <w:tcBorders>
              <w:top w:val="single" w:sz="4" w:space="0" w:color="auto"/>
            </w:tcBorders>
            <w:shd w:val="clear" w:color="auto" w:fill="D6E3BC" w:themeFill="accent3" w:themeFillTint="66"/>
          </w:tcPr>
          <w:p w:rsidR="00B00804" w:rsidRPr="00612837" w:rsidRDefault="00B00804" w:rsidP="00BB49EA">
            <w:pPr>
              <w:spacing w:after="0" w:line="240" w:lineRule="auto"/>
              <w:rPr>
                <w:b/>
              </w:rPr>
            </w:pPr>
            <w:r>
              <w:rPr>
                <w:b/>
              </w:rPr>
              <w:t xml:space="preserve">Total number of occurrences </w:t>
            </w:r>
          </w:p>
        </w:tc>
        <w:tc>
          <w:tcPr>
            <w:tcW w:w="2268" w:type="dxa"/>
            <w:gridSpan w:val="4"/>
            <w:tcBorders>
              <w:top w:val="single" w:sz="4" w:space="0" w:color="auto"/>
            </w:tcBorders>
            <w:shd w:val="clear" w:color="auto" w:fill="D6E3BC" w:themeFill="accent3" w:themeFillTint="66"/>
          </w:tcPr>
          <w:p w:rsidR="00B00804" w:rsidRPr="00B50878" w:rsidRDefault="00B00804" w:rsidP="00BB49EA">
            <w:pPr>
              <w:spacing w:after="0" w:line="240" w:lineRule="auto"/>
              <w:jc w:val="center"/>
              <w:rPr>
                <w:b/>
              </w:rPr>
            </w:pPr>
            <w:r w:rsidRPr="00B50878">
              <w:rPr>
                <w:b/>
              </w:rPr>
              <w:t xml:space="preserve">Presence in hydrological zones </w:t>
            </w:r>
          </w:p>
        </w:tc>
      </w:tr>
      <w:tr w:rsidR="00B00804" w:rsidTr="000B78D1">
        <w:tc>
          <w:tcPr>
            <w:tcW w:w="1951" w:type="dxa"/>
            <w:vMerge/>
            <w:tcBorders>
              <w:bottom w:val="single" w:sz="4" w:space="0" w:color="auto"/>
            </w:tcBorders>
            <w:shd w:val="clear" w:color="auto" w:fill="D6E3BC" w:themeFill="accent3" w:themeFillTint="66"/>
          </w:tcPr>
          <w:p w:rsidR="00B00804" w:rsidRDefault="00B00804" w:rsidP="00BB49EA">
            <w:pPr>
              <w:spacing w:after="0" w:line="240" w:lineRule="auto"/>
            </w:pPr>
          </w:p>
        </w:tc>
        <w:tc>
          <w:tcPr>
            <w:tcW w:w="2552" w:type="dxa"/>
            <w:vMerge/>
            <w:tcBorders>
              <w:bottom w:val="single" w:sz="4" w:space="0" w:color="auto"/>
            </w:tcBorders>
            <w:shd w:val="clear" w:color="auto" w:fill="D6E3BC" w:themeFill="accent3" w:themeFillTint="66"/>
          </w:tcPr>
          <w:p w:rsidR="00B00804" w:rsidRDefault="00B00804" w:rsidP="00BB49EA">
            <w:pPr>
              <w:spacing w:after="0" w:line="240" w:lineRule="auto"/>
            </w:pPr>
          </w:p>
        </w:tc>
        <w:tc>
          <w:tcPr>
            <w:tcW w:w="850" w:type="dxa"/>
            <w:vMerge/>
            <w:tcBorders>
              <w:bottom w:val="single" w:sz="4" w:space="0" w:color="auto"/>
            </w:tcBorders>
            <w:shd w:val="clear" w:color="auto" w:fill="D6E3BC" w:themeFill="accent3" w:themeFillTint="66"/>
          </w:tcPr>
          <w:p w:rsidR="00B00804" w:rsidRDefault="00B00804" w:rsidP="00BB49EA">
            <w:pPr>
              <w:spacing w:after="0" w:line="240" w:lineRule="auto"/>
            </w:pPr>
          </w:p>
        </w:tc>
        <w:tc>
          <w:tcPr>
            <w:tcW w:w="1418" w:type="dxa"/>
            <w:vMerge/>
            <w:tcBorders>
              <w:bottom w:val="single" w:sz="4" w:space="0" w:color="auto"/>
            </w:tcBorders>
            <w:shd w:val="clear" w:color="auto" w:fill="D6E3BC" w:themeFill="accent3" w:themeFillTint="66"/>
          </w:tcPr>
          <w:p w:rsidR="00B00804" w:rsidRDefault="00B00804" w:rsidP="00BB49EA">
            <w:pPr>
              <w:spacing w:after="0" w:line="240" w:lineRule="auto"/>
            </w:pPr>
          </w:p>
        </w:tc>
        <w:tc>
          <w:tcPr>
            <w:tcW w:w="567" w:type="dxa"/>
            <w:tcBorders>
              <w:bottom w:val="single" w:sz="4" w:space="0" w:color="auto"/>
            </w:tcBorders>
            <w:shd w:val="clear" w:color="auto" w:fill="D6E3BC" w:themeFill="accent3" w:themeFillTint="66"/>
          </w:tcPr>
          <w:p w:rsidR="00B00804" w:rsidRPr="00B50878" w:rsidRDefault="00B00804" w:rsidP="00BB49EA">
            <w:pPr>
              <w:spacing w:after="0" w:line="240" w:lineRule="auto"/>
              <w:rPr>
                <w:b/>
              </w:rPr>
            </w:pPr>
            <w:r w:rsidRPr="00B50878">
              <w:rPr>
                <w:b/>
              </w:rPr>
              <w:t>1</w:t>
            </w:r>
          </w:p>
        </w:tc>
        <w:tc>
          <w:tcPr>
            <w:tcW w:w="567" w:type="dxa"/>
            <w:tcBorders>
              <w:bottom w:val="single" w:sz="4" w:space="0" w:color="auto"/>
            </w:tcBorders>
            <w:shd w:val="clear" w:color="auto" w:fill="D6E3BC" w:themeFill="accent3" w:themeFillTint="66"/>
          </w:tcPr>
          <w:p w:rsidR="00B00804" w:rsidRPr="00B50878" w:rsidRDefault="00B00804" w:rsidP="00BB49EA">
            <w:pPr>
              <w:spacing w:after="0" w:line="240" w:lineRule="auto"/>
              <w:rPr>
                <w:b/>
              </w:rPr>
            </w:pPr>
            <w:r w:rsidRPr="00B50878">
              <w:rPr>
                <w:b/>
              </w:rPr>
              <w:t>2</w:t>
            </w:r>
          </w:p>
        </w:tc>
        <w:tc>
          <w:tcPr>
            <w:tcW w:w="567" w:type="dxa"/>
            <w:tcBorders>
              <w:bottom w:val="single" w:sz="4" w:space="0" w:color="auto"/>
            </w:tcBorders>
            <w:shd w:val="clear" w:color="auto" w:fill="D6E3BC" w:themeFill="accent3" w:themeFillTint="66"/>
          </w:tcPr>
          <w:p w:rsidR="00B00804" w:rsidRPr="00B50878" w:rsidRDefault="00B00804" w:rsidP="00BB49EA">
            <w:pPr>
              <w:spacing w:after="0" w:line="240" w:lineRule="auto"/>
              <w:rPr>
                <w:b/>
              </w:rPr>
            </w:pPr>
            <w:r w:rsidRPr="00B50878">
              <w:rPr>
                <w:b/>
              </w:rPr>
              <w:t>3</w:t>
            </w:r>
          </w:p>
        </w:tc>
        <w:tc>
          <w:tcPr>
            <w:tcW w:w="567" w:type="dxa"/>
            <w:tcBorders>
              <w:bottom w:val="single" w:sz="4" w:space="0" w:color="auto"/>
            </w:tcBorders>
            <w:shd w:val="clear" w:color="auto" w:fill="D6E3BC" w:themeFill="accent3" w:themeFillTint="66"/>
          </w:tcPr>
          <w:p w:rsidR="00B00804" w:rsidRPr="00B50878" w:rsidRDefault="00B00804" w:rsidP="00BB49EA">
            <w:pPr>
              <w:spacing w:after="0" w:line="240" w:lineRule="auto"/>
              <w:rPr>
                <w:b/>
              </w:rPr>
            </w:pPr>
            <w:r w:rsidRPr="00B50878">
              <w:rPr>
                <w:b/>
              </w:rPr>
              <w:t>4</w:t>
            </w:r>
          </w:p>
        </w:tc>
      </w:tr>
      <w:tr w:rsidR="00B00804" w:rsidTr="00BB49EA">
        <w:tc>
          <w:tcPr>
            <w:tcW w:w="1951" w:type="dxa"/>
            <w:tcBorders>
              <w:top w:val="single" w:sz="4" w:space="0" w:color="auto"/>
            </w:tcBorders>
          </w:tcPr>
          <w:p w:rsidR="00B00804" w:rsidRDefault="00B00804" w:rsidP="00BB49EA">
            <w:pPr>
              <w:spacing w:after="0" w:line="240" w:lineRule="auto"/>
            </w:pPr>
            <w:r>
              <w:t>Rush</w:t>
            </w:r>
          </w:p>
        </w:tc>
        <w:tc>
          <w:tcPr>
            <w:tcW w:w="2552" w:type="dxa"/>
            <w:tcBorders>
              <w:top w:val="single" w:sz="4" w:space="0" w:color="auto"/>
            </w:tcBorders>
          </w:tcPr>
          <w:p w:rsidR="00B00804" w:rsidRDefault="00B00804" w:rsidP="00BB49EA">
            <w:pPr>
              <w:spacing w:after="0" w:line="240" w:lineRule="auto"/>
              <w:rPr>
                <w:color w:val="000000"/>
              </w:rPr>
            </w:pPr>
            <w:r w:rsidRPr="006E2398">
              <w:rPr>
                <w:i/>
                <w:color w:val="000000"/>
              </w:rPr>
              <w:t>Juncus</w:t>
            </w:r>
            <w:r>
              <w:rPr>
                <w:color w:val="000000"/>
              </w:rPr>
              <w:t xml:space="preserve"> spp.</w:t>
            </w:r>
          </w:p>
        </w:tc>
        <w:tc>
          <w:tcPr>
            <w:tcW w:w="850" w:type="dxa"/>
            <w:tcBorders>
              <w:top w:val="single" w:sz="4" w:space="0" w:color="auto"/>
            </w:tcBorders>
          </w:tcPr>
          <w:p w:rsidR="00B00804" w:rsidRDefault="00B00804" w:rsidP="00BB49EA">
            <w:pPr>
              <w:spacing w:after="0" w:line="240" w:lineRule="auto"/>
              <w:jc w:val="right"/>
              <w:rPr>
                <w:color w:val="000000"/>
              </w:rPr>
            </w:pPr>
            <w:r>
              <w:rPr>
                <w:color w:val="000000"/>
              </w:rPr>
              <w:t>A</w:t>
            </w:r>
          </w:p>
        </w:tc>
        <w:tc>
          <w:tcPr>
            <w:tcW w:w="1418" w:type="dxa"/>
            <w:tcBorders>
              <w:top w:val="single" w:sz="4" w:space="0" w:color="auto"/>
            </w:tcBorders>
            <w:vAlign w:val="bottom"/>
          </w:tcPr>
          <w:p w:rsidR="00B00804" w:rsidRDefault="00B00804" w:rsidP="00BB49EA">
            <w:pPr>
              <w:spacing w:after="0" w:line="240" w:lineRule="auto"/>
              <w:jc w:val="right"/>
              <w:rPr>
                <w:color w:val="000000"/>
              </w:rPr>
            </w:pPr>
            <w:r>
              <w:rPr>
                <w:color w:val="000000"/>
              </w:rPr>
              <w:t>1335</w:t>
            </w:r>
          </w:p>
        </w:tc>
        <w:tc>
          <w:tcPr>
            <w:tcW w:w="567" w:type="dxa"/>
            <w:tcBorders>
              <w:top w:val="single" w:sz="4" w:space="0" w:color="auto"/>
            </w:tcBorders>
          </w:tcPr>
          <w:p w:rsidR="00B00804" w:rsidRDefault="00B00804" w:rsidP="00BB49EA">
            <w:pPr>
              <w:spacing w:after="0" w:line="240" w:lineRule="auto"/>
            </w:pPr>
            <w:r>
              <w:t>*</w:t>
            </w:r>
          </w:p>
        </w:tc>
        <w:tc>
          <w:tcPr>
            <w:tcW w:w="567" w:type="dxa"/>
            <w:tcBorders>
              <w:top w:val="single" w:sz="4" w:space="0" w:color="auto"/>
            </w:tcBorders>
          </w:tcPr>
          <w:p w:rsidR="00B00804" w:rsidRDefault="00B00804" w:rsidP="00BB49EA">
            <w:pPr>
              <w:spacing w:after="0" w:line="240" w:lineRule="auto"/>
            </w:pPr>
            <w:r>
              <w:t>*</w:t>
            </w:r>
          </w:p>
        </w:tc>
        <w:tc>
          <w:tcPr>
            <w:tcW w:w="567" w:type="dxa"/>
            <w:tcBorders>
              <w:top w:val="single" w:sz="4" w:space="0" w:color="auto"/>
            </w:tcBorders>
          </w:tcPr>
          <w:p w:rsidR="00B00804" w:rsidRDefault="00B00804" w:rsidP="00BB49EA">
            <w:pPr>
              <w:spacing w:after="0" w:line="240" w:lineRule="auto"/>
            </w:pPr>
            <w:r>
              <w:t>*</w:t>
            </w:r>
          </w:p>
        </w:tc>
        <w:tc>
          <w:tcPr>
            <w:tcW w:w="567" w:type="dxa"/>
            <w:tcBorders>
              <w:top w:val="single" w:sz="4" w:space="0" w:color="auto"/>
            </w:tcBorders>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Pondweed</w:t>
            </w:r>
          </w:p>
        </w:tc>
        <w:tc>
          <w:tcPr>
            <w:tcW w:w="2552" w:type="dxa"/>
          </w:tcPr>
          <w:p w:rsidR="00B00804" w:rsidRPr="0091211E" w:rsidRDefault="00B00804" w:rsidP="00BB49EA">
            <w:pPr>
              <w:spacing w:after="0" w:line="240" w:lineRule="auto"/>
              <w:rPr>
                <w:i/>
                <w:color w:val="000000"/>
              </w:rPr>
            </w:pPr>
            <w:r w:rsidRPr="0091211E">
              <w:rPr>
                <w:i/>
                <w:color w:val="000000"/>
              </w:rPr>
              <w:t>Potamogeton tricarinatus</w:t>
            </w:r>
          </w:p>
        </w:tc>
        <w:tc>
          <w:tcPr>
            <w:tcW w:w="850" w:type="dxa"/>
          </w:tcPr>
          <w:p w:rsidR="00B00804" w:rsidRDefault="00B00804" w:rsidP="00BB49EA">
            <w:pPr>
              <w:spacing w:after="0" w:line="240" w:lineRule="auto"/>
              <w:jc w:val="right"/>
              <w:rPr>
                <w:color w:val="000000"/>
              </w:rPr>
            </w:pPr>
            <w:r>
              <w:rPr>
                <w:color w:val="000000"/>
              </w:rPr>
              <w:t>A</w:t>
            </w:r>
          </w:p>
        </w:tc>
        <w:tc>
          <w:tcPr>
            <w:tcW w:w="1418" w:type="dxa"/>
            <w:vAlign w:val="bottom"/>
          </w:tcPr>
          <w:p w:rsidR="00B00804" w:rsidRDefault="00B00804" w:rsidP="00BB49EA">
            <w:pPr>
              <w:spacing w:after="0" w:line="240" w:lineRule="auto"/>
              <w:jc w:val="right"/>
              <w:rPr>
                <w:color w:val="000000"/>
              </w:rPr>
            </w:pPr>
            <w:r>
              <w:rPr>
                <w:color w:val="000000"/>
              </w:rPr>
              <w:t>588</w:t>
            </w: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Old man weed</w:t>
            </w:r>
          </w:p>
        </w:tc>
        <w:tc>
          <w:tcPr>
            <w:tcW w:w="2552" w:type="dxa"/>
          </w:tcPr>
          <w:p w:rsidR="00B00804" w:rsidRPr="006E2398" w:rsidRDefault="000E1469" w:rsidP="00BB49EA">
            <w:pPr>
              <w:spacing w:after="0" w:line="240" w:lineRule="auto"/>
              <w:rPr>
                <w:rFonts w:ascii="Arial" w:hAnsi="Arial" w:cs="Arial"/>
                <w:i/>
                <w:iCs/>
                <w:color w:val="000000"/>
                <w:sz w:val="20"/>
              </w:rPr>
            </w:pPr>
            <w:r>
              <w:rPr>
                <w:i/>
                <w:color w:val="000000"/>
              </w:rPr>
              <w:t>Centipeda cunningha</w:t>
            </w:r>
            <w:r w:rsidR="00B00804" w:rsidRPr="00EA245A">
              <w:rPr>
                <w:i/>
                <w:color w:val="000000"/>
              </w:rPr>
              <w:t>mii</w:t>
            </w:r>
          </w:p>
        </w:tc>
        <w:tc>
          <w:tcPr>
            <w:tcW w:w="850" w:type="dxa"/>
          </w:tcPr>
          <w:p w:rsidR="00B00804" w:rsidRDefault="00B00804" w:rsidP="00BB49EA">
            <w:pPr>
              <w:spacing w:after="0" w:line="240" w:lineRule="auto"/>
              <w:jc w:val="right"/>
              <w:rPr>
                <w:color w:val="000000"/>
              </w:rPr>
            </w:pPr>
            <w:r>
              <w:rPr>
                <w:color w:val="000000"/>
              </w:rPr>
              <w:t>A</w:t>
            </w:r>
          </w:p>
        </w:tc>
        <w:tc>
          <w:tcPr>
            <w:tcW w:w="1418" w:type="dxa"/>
            <w:vAlign w:val="bottom"/>
          </w:tcPr>
          <w:p w:rsidR="00B00804" w:rsidRDefault="00B00804" w:rsidP="00BB49EA">
            <w:pPr>
              <w:spacing w:after="0" w:line="240" w:lineRule="auto"/>
              <w:jc w:val="right"/>
              <w:rPr>
                <w:color w:val="000000"/>
              </w:rPr>
            </w:pPr>
            <w:r>
              <w:rPr>
                <w:color w:val="000000"/>
              </w:rPr>
              <w:t>545</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Charophyte</w:t>
            </w:r>
          </w:p>
        </w:tc>
        <w:tc>
          <w:tcPr>
            <w:tcW w:w="2552" w:type="dxa"/>
          </w:tcPr>
          <w:p w:rsidR="00B00804" w:rsidRPr="0065300F" w:rsidRDefault="00B00804" w:rsidP="00BB49EA">
            <w:pPr>
              <w:spacing w:after="0" w:line="240" w:lineRule="auto"/>
              <w:rPr>
                <w:i/>
                <w:color w:val="000000"/>
              </w:rPr>
            </w:pPr>
            <w:r w:rsidRPr="0065300F">
              <w:rPr>
                <w:i/>
                <w:color w:val="000000"/>
              </w:rPr>
              <w:t xml:space="preserve">Chara </w:t>
            </w:r>
            <w:r w:rsidRPr="0065300F">
              <w:rPr>
                <w:color w:val="000000"/>
              </w:rPr>
              <w:t>spp.</w:t>
            </w:r>
          </w:p>
        </w:tc>
        <w:tc>
          <w:tcPr>
            <w:tcW w:w="850" w:type="dxa"/>
          </w:tcPr>
          <w:p w:rsidR="00B00804" w:rsidRDefault="00B00804" w:rsidP="00BB49EA">
            <w:pPr>
              <w:spacing w:after="0" w:line="240" w:lineRule="auto"/>
              <w:jc w:val="right"/>
              <w:rPr>
                <w:color w:val="000000"/>
              </w:rPr>
            </w:pPr>
            <w:r>
              <w:rPr>
                <w:color w:val="000000"/>
              </w:rPr>
              <w:t>S</w:t>
            </w:r>
          </w:p>
        </w:tc>
        <w:tc>
          <w:tcPr>
            <w:tcW w:w="1418" w:type="dxa"/>
            <w:vAlign w:val="bottom"/>
          </w:tcPr>
          <w:p w:rsidR="00B00804" w:rsidRDefault="00B00804" w:rsidP="00BB49EA">
            <w:pPr>
              <w:spacing w:after="0" w:line="240" w:lineRule="auto"/>
              <w:jc w:val="right"/>
              <w:rPr>
                <w:color w:val="000000"/>
              </w:rPr>
            </w:pPr>
            <w:r>
              <w:rPr>
                <w:color w:val="000000"/>
              </w:rPr>
              <w:t>408</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Water couch</w:t>
            </w:r>
          </w:p>
        </w:tc>
        <w:tc>
          <w:tcPr>
            <w:tcW w:w="2552" w:type="dxa"/>
          </w:tcPr>
          <w:p w:rsidR="00B00804" w:rsidRPr="0065300F" w:rsidRDefault="000E1469" w:rsidP="00BB49EA">
            <w:pPr>
              <w:spacing w:after="0" w:line="240" w:lineRule="auto"/>
              <w:rPr>
                <w:i/>
                <w:color w:val="000000"/>
              </w:rPr>
            </w:pPr>
            <w:r>
              <w:rPr>
                <w:i/>
                <w:color w:val="000000"/>
              </w:rPr>
              <w:t>Pseudoraphis spinescens</w:t>
            </w:r>
          </w:p>
        </w:tc>
        <w:tc>
          <w:tcPr>
            <w:tcW w:w="850" w:type="dxa"/>
          </w:tcPr>
          <w:p w:rsidR="00B00804" w:rsidRDefault="00B00804" w:rsidP="00BB49EA">
            <w:pPr>
              <w:spacing w:after="0" w:line="240" w:lineRule="auto"/>
              <w:jc w:val="right"/>
              <w:rPr>
                <w:color w:val="000000"/>
              </w:rPr>
            </w:pPr>
            <w:r>
              <w:rPr>
                <w:color w:val="000000"/>
              </w:rPr>
              <w:t>A</w:t>
            </w:r>
          </w:p>
        </w:tc>
        <w:tc>
          <w:tcPr>
            <w:tcW w:w="1418" w:type="dxa"/>
            <w:vAlign w:val="bottom"/>
          </w:tcPr>
          <w:p w:rsidR="00B00804" w:rsidRDefault="00B00804" w:rsidP="00BB49EA">
            <w:pPr>
              <w:spacing w:after="0" w:line="240" w:lineRule="auto"/>
              <w:jc w:val="right"/>
              <w:rPr>
                <w:color w:val="000000"/>
              </w:rPr>
            </w:pPr>
            <w:r>
              <w:rPr>
                <w:color w:val="000000"/>
              </w:rPr>
              <w:t>403</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Common spikerush</w:t>
            </w:r>
          </w:p>
        </w:tc>
        <w:tc>
          <w:tcPr>
            <w:tcW w:w="2552" w:type="dxa"/>
          </w:tcPr>
          <w:p w:rsidR="00B00804" w:rsidRPr="0065300F" w:rsidRDefault="00B00804" w:rsidP="00BB49EA">
            <w:pPr>
              <w:spacing w:after="0" w:line="240" w:lineRule="auto"/>
              <w:rPr>
                <w:i/>
                <w:color w:val="000000"/>
              </w:rPr>
            </w:pPr>
            <w:r w:rsidRPr="0065300F">
              <w:rPr>
                <w:i/>
              </w:rPr>
              <w:t>Eleocharis acuta</w:t>
            </w:r>
          </w:p>
        </w:tc>
        <w:tc>
          <w:tcPr>
            <w:tcW w:w="850" w:type="dxa"/>
          </w:tcPr>
          <w:p w:rsidR="00B00804" w:rsidRDefault="00B00804" w:rsidP="00BB49EA">
            <w:pPr>
              <w:spacing w:after="0" w:line="240" w:lineRule="auto"/>
              <w:jc w:val="right"/>
              <w:rPr>
                <w:color w:val="000000"/>
              </w:rPr>
            </w:pPr>
            <w:r>
              <w:rPr>
                <w:color w:val="000000"/>
              </w:rPr>
              <w:t>A</w:t>
            </w:r>
          </w:p>
        </w:tc>
        <w:tc>
          <w:tcPr>
            <w:tcW w:w="1418" w:type="dxa"/>
            <w:vAlign w:val="bottom"/>
          </w:tcPr>
          <w:p w:rsidR="00B00804" w:rsidRDefault="00B00804" w:rsidP="00BB49EA">
            <w:pPr>
              <w:spacing w:after="0" w:line="240" w:lineRule="auto"/>
              <w:jc w:val="right"/>
              <w:rPr>
                <w:color w:val="000000"/>
              </w:rPr>
            </w:pPr>
            <w:r>
              <w:rPr>
                <w:color w:val="000000"/>
              </w:rPr>
              <w:t>356</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Milfoil</w:t>
            </w:r>
          </w:p>
        </w:tc>
        <w:tc>
          <w:tcPr>
            <w:tcW w:w="2552" w:type="dxa"/>
          </w:tcPr>
          <w:p w:rsidR="00B00804" w:rsidRDefault="00B00804" w:rsidP="00BB49EA">
            <w:pPr>
              <w:spacing w:after="0" w:line="240" w:lineRule="auto"/>
              <w:rPr>
                <w:color w:val="000000"/>
              </w:rPr>
            </w:pPr>
            <w:r w:rsidRPr="0065300F">
              <w:rPr>
                <w:i/>
              </w:rPr>
              <w:t>Myriophyllum</w:t>
            </w:r>
            <w:r>
              <w:t xml:space="preserve"> spp.</w:t>
            </w:r>
          </w:p>
        </w:tc>
        <w:tc>
          <w:tcPr>
            <w:tcW w:w="850" w:type="dxa"/>
          </w:tcPr>
          <w:p w:rsidR="00B00804" w:rsidRDefault="00B00804" w:rsidP="00BB49EA">
            <w:pPr>
              <w:spacing w:after="0" w:line="240" w:lineRule="auto"/>
              <w:jc w:val="right"/>
              <w:rPr>
                <w:color w:val="000000"/>
              </w:rPr>
            </w:pPr>
            <w:r>
              <w:rPr>
                <w:color w:val="000000"/>
              </w:rPr>
              <w:t>A</w:t>
            </w:r>
          </w:p>
        </w:tc>
        <w:tc>
          <w:tcPr>
            <w:tcW w:w="1418" w:type="dxa"/>
            <w:vAlign w:val="bottom"/>
          </w:tcPr>
          <w:p w:rsidR="00B00804" w:rsidRDefault="00B00804" w:rsidP="00BB49EA">
            <w:pPr>
              <w:spacing w:after="0" w:line="240" w:lineRule="auto"/>
              <w:jc w:val="right"/>
              <w:rPr>
                <w:color w:val="000000"/>
              </w:rPr>
            </w:pPr>
            <w:r>
              <w:rPr>
                <w:color w:val="000000"/>
              </w:rPr>
              <w:t>355</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Grass</w:t>
            </w:r>
          </w:p>
        </w:tc>
        <w:tc>
          <w:tcPr>
            <w:tcW w:w="2552" w:type="dxa"/>
          </w:tcPr>
          <w:p w:rsidR="00B00804" w:rsidRDefault="00B00804" w:rsidP="00BB49EA">
            <w:pPr>
              <w:spacing w:after="0" w:line="240" w:lineRule="auto"/>
              <w:rPr>
                <w:color w:val="000000"/>
              </w:rPr>
            </w:pPr>
          </w:p>
        </w:tc>
        <w:tc>
          <w:tcPr>
            <w:tcW w:w="850" w:type="dxa"/>
          </w:tcPr>
          <w:p w:rsidR="00B00804" w:rsidRDefault="00B00804" w:rsidP="00BB49EA">
            <w:pPr>
              <w:spacing w:after="0" w:line="240" w:lineRule="auto"/>
              <w:jc w:val="right"/>
              <w:rPr>
                <w:color w:val="000000"/>
              </w:rPr>
            </w:pPr>
            <w:r>
              <w:rPr>
                <w:color w:val="000000"/>
              </w:rPr>
              <w:t>T</w:t>
            </w:r>
          </w:p>
        </w:tc>
        <w:tc>
          <w:tcPr>
            <w:tcW w:w="1418" w:type="dxa"/>
            <w:vAlign w:val="bottom"/>
          </w:tcPr>
          <w:p w:rsidR="00B00804" w:rsidRDefault="00B00804" w:rsidP="00BB49EA">
            <w:pPr>
              <w:spacing w:after="0" w:line="240" w:lineRule="auto"/>
              <w:jc w:val="right"/>
              <w:rPr>
                <w:color w:val="000000"/>
              </w:rPr>
            </w:pPr>
            <w:r>
              <w:rPr>
                <w:color w:val="000000"/>
              </w:rPr>
              <w:t>331</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Duckweed</w:t>
            </w:r>
          </w:p>
        </w:tc>
        <w:tc>
          <w:tcPr>
            <w:tcW w:w="2552" w:type="dxa"/>
          </w:tcPr>
          <w:p w:rsidR="00B00804" w:rsidRDefault="00B00804" w:rsidP="00BB49EA">
            <w:pPr>
              <w:spacing w:after="0" w:line="240" w:lineRule="auto"/>
              <w:rPr>
                <w:color w:val="000000"/>
              </w:rPr>
            </w:pPr>
            <w:r w:rsidRPr="006E2398">
              <w:rPr>
                <w:i/>
                <w:color w:val="000000"/>
              </w:rPr>
              <w:t>Azolla</w:t>
            </w:r>
            <w:r>
              <w:rPr>
                <w:color w:val="000000"/>
              </w:rPr>
              <w:t xml:space="preserve"> spp.</w:t>
            </w:r>
          </w:p>
        </w:tc>
        <w:tc>
          <w:tcPr>
            <w:tcW w:w="850" w:type="dxa"/>
          </w:tcPr>
          <w:p w:rsidR="00B00804" w:rsidRDefault="00B00804" w:rsidP="00BB49EA">
            <w:pPr>
              <w:spacing w:after="0" w:line="240" w:lineRule="auto"/>
              <w:jc w:val="right"/>
              <w:rPr>
                <w:color w:val="000000"/>
              </w:rPr>
            </w:pPr>
            <w:r>
              <w:rPr>
                <w:color w:val="000000"/>
              </w:rPr>
              <w:t>A</w:t>
            </w:r>
          </w:p>
        </w:tc>
        <w:tc>
          <w:tcPr>
            <w:tcW w:w="1418" w:type="dxa"/>
            <w:vAlign w:val="bottom"/>
          </w:tcPr>
          <w:p w:rsidR="00B00804" w:rsidRDefault="00B00804" w:rsidP="00BB49EA">
            <w:pPr>
              <w:spacing w:after="0" w:line="240" w:lineRule="auto"/>
              <w:jc w:val="right"/>
              <w:rPr>
                <w:color w:val="000000"/>
              </w:rPr>
            </w:pPr>
            <w:r>
              <w:rPr>
                <w:color w:val="000000"/>
              </w:rPr>
              <w:t>191</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Mudwort</w:t>
            </w:r>
          </w:p>
        </w:tc>
        <w:tc>
          <w:tcPr>
            <w:tcW w:w="2552" w:type="dxa"/>
          </w:tcPr>
          <w:p w:rsidR="00B00804" w:rsidRDefault="00B00804" w:rsidP="00BB49EA">
            <w:pPr>
              <w:spacing w:after="0" w:line="240" w:lineRule="auto"/>
              <w:rPr>
                <w:color w:val="000000"/>
              </w:rPr>
            </w:pPr>
            <w:r>
              <w:rPr>
                <w:i/>
                <w:color w:val="000000"/>
              </w:rPr>
              <w:t>Limos</w:t>
            </w:r>
            <w:r w:rsidRPr="0091211E">
              <w:rPr>
                <w:i/>
                <w:color w:val="000000"/>
              </w:rPr>
              <w:t>ella</w:t>
            </w:r>
            <w:r>
              <w:rPr>
                <w:color w:val="000000"/>
              </w:rPr>
              <w:t xml:space="preserve"> spp.</w:t>
            </w:r>
          </w:p>
        </w:tc>
        <w:tc>
          <w:tcPr>
            <w:tcW w:w="850" w:type="dxa"/>
          </w:tcPr>
          <w:p w:rsidR="00B00804" w:rsidRDefault="00B00804" w:rsidP="00BB49EA">
            <w:pPr>
              <w:spacing w:after="0" w:line="240" w:lineRule="auto"/>
              <w:jc w:val="right"/>
              <w:rPr>
                <w:color w:val="000000"/>
              </w:rPr>
            </w:pPr>
            <w:r>
              <w:rPr>
                <w:color w:val="000000"/>
              </w:rPr>
              <w:t>A</w:t>
            </w:r>
          </w:p>
        </w:tc>
        <w:tc>
          <w:tcPr>
            <w:tcW w:w="1418" w:type="dxa"/>
            <w:vAlign w:val="bottom"/>
          </w:tcPr>
          <w:p w:rsidR="00B00804" w:rsidRDefault="00B00804" w:rsidP="00BB49EA">
            <w:pPr>
              <w:spacing w:after="0" w:line="240" w:lineRule="auto"/>
              <w:jc w:val="right"/>
              <w:rPr>
                <w:color w:val="000000"/>
              </w:rPr>
            </w:pPr>
            <w:r>
              <w:rPr>
                <w:color w:val="000000"/>
              </w:rPr>
              <w:t>164</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Knotweed</w:t>
            </w:r>
          </w:p>
        </w:tc>
        <w:tc>
          <w:tcPr>
            <w:tcW w:w="2552" w:type="dxa"/>
          </w:tcPr>
          <w:p w:rsidR="00B00804" w:rsidRDefault="00B00804" w:rsidP="00BB49EA">
            <w:pPr>
              <w:spacing w:after="0" w:line="240" w:lineRule="auto"/>
              <w:rPr>
                <w:color w:val="000000"/>
              </w:rPr>
            </w:pPr>
            <w:r w:rsidRPr="0091211E">
              <w:rPr>
                <w:i/>
              </w:rPr>
              <w:t>Polygonum</w:t>
            </w:r>
            <w:r>
              <w:t xml:space="preserve"> spp.</w:t>
            </w:r>
          </w:p>
        </w:tc>
        <w:tc>
          <w:tcPr>
            <w:tcW w:w="850" w:type="dxa"/>
          </w:tcPr>
          <w:p w:rsidR="00B00804" w:rsidRDefault="00B00804" w:rsidP="00BB49EA">
            <w:pPr>
              <w:spacing w:after="0" w:line="240" w:lineRule="auto"/>
              <w:jc w:val="right"/>
              <w:rPr>
                <w:color w:val="000000"/>
              </w:rPr>
            </w:pPr>
            <w:r>
              <w:rPr>
                <w:color w:val="000000"/>
              </w:rPr>
              <w:t>T</w:t>
            </w:r>
          </w:p>
        </w:tc>
        <w:tc>
          <w:tcPr>
            <w:tcW w:w="1418" w:type="dxa"/>
            <w:vAlign w:val="bottom"/>
          </w:tcPr>
          <w:p w:rsidR="00B00804" w:rsidRDefault="00B00804" w:rsidP="00BB49EA">
            <w:pPr>
              <w:spacing w:after="0" w:line="240" w:lineRule="auto"/>
              <w:jc w:val="right"/>
              <w:rPr>
                <w:color w:val="000000"/>
              </w:rPr>
            </w:pPr>
            <w:r>
              <w:rPr>
                <w:color w:val="000000"/>
              </w:rPr>
              <w:t>135</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Sedge</w:t>
            </w:r>
          </w:p>
        </w:tc>
        <w:tc>
          <w:tcPr>
            <w:tcW w:w="2552" w:type="dxa"/>
          </w:tcPr>
          <w:p w:rsidR="00B00804" w:rsidRDefault="00B00804" w:rsidP="00BB49EA">
            <w:pPr>
              <w:spacing w:after="0" w:line="240" w:lineRule="auto"/>
              <w:rPr>
                <w:color w:val="000000"/>
              </w:rPr>
            </w:pPr>
            <w:r w:rsidRPr="006E2398">
              <w:rPr>
                <w:i/>
                <w:color w:val="000000"/>
              </w:rPr>
              <w:t>Cyperus</w:t>
            </w:r>
            <w:r>
              <w:rPr>
                <w:color w:val="000000"/>
              </w:rPr>
              <w:t xml:space="preserve"> spp.</w:t>
            </w:r>
          </w:p>
        </w:tc>
        <w:tc>
          <w:tcPr>
            <w:tcW w:w="850" w:type="dxa"/>
          </w:tcPr>
          <w:p w:rsidR="00B00804" w:rsidRDefault="00B00804" w:rsidP="00BB49EA">
            <w:pPr>
              <w:spacing w:after="0" w:line="240" w:lineRule="auto"/>
              <w:jc w:val="right"/>
              <w:rPr>
                <w:color w:val="000000"/>
              </w:rPr>
            </w:pPr>
            <w:r>
              <w:rPr>
                <w:color w:val="000000"/>
              </w:rPr>
              <w:t>A</w:t>
            </w:r>
          </w:p>
        </w:tc>
        <w:tc>
          <w:tcPr>
            <w:tcW w:w="1418" w:type="dxa"/>
            <w:vAlign w:val="bottom"/>
          </w:tcPr>
          <w:p w:rsidR="00B00804" w:rsidRDefault="00B00804" w:rsidP="00BB49EA">
            <w:pPr>
              <w:spacing w:after="0" w:line="240" w:lineRule="auto"/>
              <w:jc w:val="right"/>
              <w:rPr>
                <w:color w:val="000000"/>
              </w:rPr>
            </w:pPr>
            <w:r>
              <w:rPr>
                <w:color w:val="000000"/>
              </w:rPr>
              <w:t>126</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Gum seedling</w:t>
            </w:r>
          </w:p>
        </w:tc>
        <w:tc>
          <w:tcPr>
            <w:tcW w:w="2552" w:type="dxa"/>
          </w:tcPr>
          <w:p w:rsidR="00B00804" w:rsidRDefault="00B00804" w:rsidP="00BB49EA">
            <w:pPr>
              <w:spacing w:after="0" w:line="240" w:lineRule="auto"/>
              <w:rPr>
                <w:color w:val="000000"/>
              </w:rPr>
            </w:pPr>
            <w:r w:rsidRPr="0065300F">
              <w:rPr>
                <w:i/>
                <w:color w:val="000000"/>
              </w:rPr>
              <w:t xml:space="preserve">Eucalyptus </w:t>
            </w:r>
            <w:r w:rsidRPr="0065300F">
              <w:rPr>
                <w:color w:val="000000"/>
              </w:rPr>
              <w:t>spp.</w:t>
            </w:r>
          </w:p>
        </w:tc>
        <w:tc>
          <w:tcPr>
            <w:tcW w:w="850" w:type="dxa"/>
          </w:tcPr>
          <w:p w:rsidR="00B00804" w:rsidRDefault="00B00804" w:rsidP="00BB49EA">
            <w:pPr>
              <w:spacing w:after="0" w:line="240" w:lineRule="auto"/>
              <w:jc w:val="right"/>
              <w:rPr>
                <w:color w:val="000000"/>
              </w:rPr>
            </w:pPr>
            <w:r>
              <w:rPr>
                <w:color w:val="000000"/>
              </w:rPr>
              <w:t>A</w:t>
            </w:r>
          </w:p>
        </w:tc>
        <w:tc>
          <w:tcPr>
            <w:tcW w:w="1418" w:type="dxa"/>
            <w:vAlign w:val="bottom"/>
          </w:tcPr>
          <w:p w:rsidR="00B00804" w:rsidRDefault="00B00804" w:rsidP="00BB49EA">
            <w:pPr>
              <w:spacing w:after="0" w:line="240" w:lineRule="auto"/>
              <w:jc w:val="right"/>
              <w:rPr>
                <w:color w:val="000000"/>
              </w:rPr>
            </w:pPr>
            <w:r>
              <w:rPr>
                <w:color w:val="000000"/>
              </w:rPr>
              <w:t>114</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Ragwort daisy</w:t>
            </w:r>
          </w:p>
        </w:tc>
        <w:tc>
          <w:tcPr>
            <w:tcW w:w="2552" w:type="dxa"/>
          </w:tcPr>
          <w:p w:rsidR="00B00804" w:rsidRDefault="00B00804" w:rsidP="00BB49EA">
            <w:pPr>
              <w:spacing w:after="0" w:line="240" w:lineRule="auto"/>
              <w:rPr>
                <w:color w:val="000000"/>
              </w:rPr>
            </w:pPr>
            <w:r w:rsidRPr="00DA1AB2">
              <w:rPr>
                <w:i/>
              </w:rPr>
              <w:t>Senecio</w:t>
            </w:r>
            <w:r>
              <w:t xml:space="preserve"> spp.</w:t>
            </w:r>
          </w:p>
        </w:tc>
        <w:tc>
          <w:tcPr>
            <w:tcW w:w="850" w:type="dxa"/>
          </w:tcPr>
          <w:p w:rsidR="00B00804" w:rsidRDefault="00B00804" w:rsidP="00BB49EA">
            <w:pPr>
              <w:spacing w:after="0" w:line="240" w:lineRule="auto"/>
              <w:jc w:val="right"/>
              <w:rPr>
                <w:color w:val="000000"/>
              </w:rPr>
            </w:pPr>
            <w:r>
              <w:rPr>
                <w:color w:val="000000"/>
              </w:rPr>
              <w:t>T</w:t>
            </w:r>
          </w:p>
        </w:tc>
        <w:tc>
          <w:tcPr>
            <w:tcW w:w="1418" w:type="dxa"/>
            <w:vAlign w:val="bottom"/>
          </w:tcPr>
          <w:p w:rsidR="00B00804" w:rsidRDefault="00B00804" w:rsidP="00BB49EA">
            <w:pPr>
              <w:spacing w:after="0" w:line="240" w:lineRule="auto"/>
              <w:jc w:val="right"/>
              <w:rPr>
                <w:color w:val="000000"/>
              </w:rPr>
            </w:pPr>
            <w:r>
              <w:rPr>
                <w:color w:val="000000"/>
              </w:rPr>
              <w:t>101</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Water primrose</w:t>
            </w:r>
          </w:p>
        </w:tc>
        <w:tc>
          <w:tcPr>
            <w:tcW w:w="2552" w:type="dxa"/>
          </w:tcPr>
          <w:p w:rsidR="00B00804" w:rsidRDefault="00B00804" w:rsidP="00BB49EA">
            <w:pPr>
              <w:spacing w:after="0" w:line="240" w:lineRule="auto"/>
              <w:rPr>
                <w:color w:val="000000"/>
              </w:rPr>
            </w:pPr>
            <w:r w:rsidRPr="0091211E">
              <w:rPr>
                <w:i/>
              </w:rPr>
              <w:t>Ludwigia</w:t>
            </w:r>
            <w:r>
              <w:t xml:space="preserve"> spp.</w:t>
            </w:r>
          </w:p>
        </w:tc>
        <w:tc>
          <w:tcPr>
            <w:tcW w:w="850" w:type="dxa"/>
          </w:tcPr>
          <w:p w:rsidR="00B00804" w:rsidRDefault="00B00804" w:rsidP="00BB49EA">
            <w:pPr>
              <w:spacing w:after="0" w:line="240" w:lineRule="auto"/>
              <w:jc w:val="right"/>
              <w:rPr>
                <w:color w:val="000000"/>
              </w:rPr>
            </w:pPr>
            <w:r>
              <w:rPr>
                <w:color w:val="000000"/>
              </w:rPr>
              <w:t>A</w:t>
            </w:r>
          </w:p>
        </w:tc>
        <w:tc>
          <w:tcPr>
            <w:tcW w:w="1418" w:type="dxa"/>
            <w:vAlign w:val="bottom"/>
          </w:tcPr>
          <w:p w:rsidR="00B00804" w:rsidRDefault="00B00804" w:rsidP="00BB49EA">
            <w:pPr>
              <w:spacing w:after="0" w:line="240" w:lineRule="auto"/>
              <w:jc w:val="right"/>
              <w:rPr>
                <w:color w:val="000000"/>
              </w:rPr>
            </w:pPr>
            <w:r>
              <w:rPr>
                <w:color w:val="000000"/>
              </w:rPr>
              <w:t>92</w:t>
            </w: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Hedgehyssop</w:t>
            </w:r>
          </w:p>
        </w:tc>
        <w:tc>
          <w:tcPr>
            <w:tcW w:w="2552" w:type="dxa"/>
          </w:tcPr>
          <w:p w:rsidR="00B00804" w:rsidRDefault="00B00804" w:rsidP="00BB49EA">
            <w:pPr>
              <w:spacing w:after="0" w:line="240" w:lineRule="auto"/>
              <w:rPr>
                <w:color w:val="000000"/>
              </w:rPr>
            </w:pPr>
            <w:r w:rsidRPr="0091211E">
              <w:rPr>
                <w:i/>
                <w:color w:val="000000"/>
              </w:rPr>
              <w:t>Gratiola</w:t>
            </w:r>
            <w:r>
              <w:rPr>
                <w:color w:val="000000"/>
              </w:rPr>
              <w:t xml:space="preserve"> spp.</w:t>
            </w:r>
          </w:p>
        </w:tc>
        <w:tc>
          <w:tcPr>
            <w:tcW w:w="850" w:type="dxa"/>
          </w:tcPr>
          <w:p w:rsidR="00B00804" w:rsidRDefault="00B00804" w:rsidP="00BB49EA">
            <w:pPr>
              <w:spacing w:after="0" w:line="240" w:lineRule="auto"/>
              <w:jc w:val="right"/>
              <w:rPr>
                <w:color w:val="000000"/>
              </w:rPr>
            </w:pPr>
            <w:r>
              <w:rPr>
                <w:color w:val="000000"/>
              </w:rPr>
              <w:t>T</w:t>
            </w:r>
          </w:p>
        </w:tc>
        <w:tc>
          <w:tcPr>
            <w:tcW w:w="1418" w:type="dxa"/>
            <w:vAlign w:val="bottom"/>
          </w:tcPr>
          <w:p w:rsidR="00B00804" w:rsidRDefault="00B00804" w:rsidP="00BB49EA">
            <w:pPr>
              <w:spacing w:after="0" w:line="240" w:lineRule="auto"/>
              <w:jc w:val="right"/>
              <w:rPr>
                <w:color w:val="000000"/>
              </w:rPr>
            </w:pPr>
            <w:r>
              <w:rPr>
                <w:color w:val="000000"/>
              </w:rPr>
              <w:t>78</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Algae</w:t>
            </w:r>
          </w:p>
        </w:tc>
        <w:tc>
          <w:tcPr>
            <w:tcW w:w="2552" w:type="dxa"/>
          </w:tcPr>
          <w:p w:rsidR="00B00804" w:rsidRDefault="00B00804" w:rsidP="00BB49EA">
            <w:pPr>
              <w:spacing w:after="0" w:line="240" w:lineRule="auto"/>
              <w:rPr>
                <w:color w:val="000000"/>
              </w:rPr>
            </w:pPr>
          </w:p>
        </w:tc>
        <w:tc>
          <w:tcPr>
            <w:tcW w:w="850" w:type="dxa"/>
          </w:tcPr>
          <w:p w:rsidR="00B00804" w:rsidRDefault="00B00804" w:rsidP="00BB49EA">
            <w:pPr>
              <w:spacing w:after="0" w:line="240" w:lineRule="auto"/>
              <w:jc w:val="right"/>
              <w:rPr>
                <w:color w:val="000000"/>
              </w:rPr>
            </w:pPr>
            <w:r>
              <w:rPr>
                <w:color w:val="000000"/>
              </w:rPr>
              <w:t>S</w:t>
            </w:r>
          </w:p>
        </w:tc>
        <w:tc>
          <w:tcPr>
            <w:tcW w:w="1418" w:type="dxa"/>
            <w:vAlign w:val="bottom"/>
          </w:tcPr>
          <w:p w:rsidR="00B00804" w:rsidRDefault="00B00804" w:rsidP="00BB49EA">
            <w:pPr>
              <w:spacing w:after="0" w:line="240" w:lineRule="auto"/>
              <w:jc w:val="right"/>
              <w:rPr>
                <w:color w:val="000000"/>
              </w:rPr>
            </w:pPr>
            <w:r>
              <w:rPr>
                <w:color w:val="000000"/>
              </w:rPr>
              <w:t>75</w:t>
            </w: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Clubrush</w:t>
            </w:r>
          </w:p>
        </w:tc>
        <w:tc>
          <w:tcPr>
            <w:tcW w:w="2552" w:type="dxa"/>
          </w:tcPr>
          <w:p w:rsidR="00B00804" w:rsidRDefault="00B00804" w:rsidP="00BB49EA">
            <w:pPr>
              <w:spacing w:after="0" w:line="240" w:lineRule="auto"/>
              <w:rPr>
                <w:color w:val="000000"/>
              </w:rPr>
            </w:pPr>
            <w:r w:rsidRPr="0091211E">
              <w:rPr>
                <w:i/>
                <w:color w:val="000000"/>
              </w:rPr>
              <w:t>Scirpus</w:t>
            </w:r>
            <w:r>
              <w:rPr>
                <w:color w:val="000000"/>
              </w:rPr>
              <w:t xml:space="preserve"> spp.</w:t>
            </w:r>
          </w:p>
        </w:tc>
        <w:tc>
          <w:tcPr>
            <w:tcW w:w="850" w:type="dxa"/>
          </w:tcPr>
          <w:p w:rsidR="00B00804" w:rsidRDefault="00B00804" w:rsidP="00BB49EA">
            <w:pPr>
              <w:spacing w:after="0" w:line="240" w:lineRule="auto"/>
              <w:jc w:val="right"/>
              <w:rPr>
                <w:color w:val="000000"/>
              </w:rPr>
            </w:pPr>
            <w:r>
              <w:rPr>
                <w:color w:val="000000"/>
              </w:rPr>
              <w:t>A</w:t>
            </w:r>
          </w:p>
        </w:tc>
        <w:tc>
          <w:tcPr>
            <w:tcW w:w="1418" w:type="dxa"/>
            <w:vAlign w:val="bottom"/>
          </w:tcPr>
          <w:p w:rsidR="00B00804" w:rsidRDefault="00B00804" w:rsidP="00BB49EA">
            <w:pPr>
              <w:spacing w:after="0" w:line="240" w:lineRule="auto"/>
              <w:jc w:val="right"/>
              <w:rPr>
                <w:color w:val="000000"/>
              </w:rPr>
            </w:pPr>
            <w:r>
              <w:rPr>
                <w:color w:val="000000"/>
              </w:rPr>
              <w:t>58</w:t>
            </w: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Lippia</w:t>
            </w:r>
          </w:p>
        </w:tc>
        <w:tc>
          <w:tcPr>
            <w:tcW w:w="2552" w:type="dxa"/>
          </w:tcPr>
          <w:p w:rsidR="00B00804" w:rsidRPr="0065300F" w:rsidRDefault="00B00804" w:rsidP="00BB49EA">
            <w:pPr>
              <w:spacing w:after="0" w:line="240" w:lineRule="auto"/>
              <w:rPr>
                <w:i/>
                <w:color w:val="000000"/>
              </w:rPr>
            </w:pPr>
            <w:r w:rsidRPr="0065300F">
              <w:rPr>
                <w:i/>
                <w:color w:val="000000"/>
              </w:rPr>
              <w:t>Phyla canescens</w:t>
            </w:r>
          </w:p>
        </w:tc>
        <w:tc>
          <w:tcPr>
            <w:tcW w:w="850" w:type="dxa"/>
          </w:tcPr>
          <w:p w:rsidR="00B00804" w:rsidRDefault="00B00804" w:rsidP="00BB49EA">
            <w:pPr>
              <w:spacing w:after="0" w:line="240" w:lineRule="auto"/>
              <w:jc w:val="right"/>
              <w:rPr>
                <w:color w:val="000000"/>
              </w:rPr>
            </w:pPr>
            <w:r>
              <w:rPr>
                <w:color w:val="000000"/>
              </w:rPr>
              <w:t>T</w:t>
            </w:r>
          </w:p>
        </w:tc>
        <w:tc>
          <w:tcPr>
            <w:tcW w:w="1418" w:type="dxa"/>
            <w:vAlign w:val="bottom"/>
          </w:tcPr>
          <w:p w:rsidR="00B00804" w:rsidRDefault="00B00804" w:rsidP="00BB49EA">
            <w:pPr>
              <w:spacing w:after="0" w:line="240" w:lineRule="auto"/>
              <w:jc w:val="right"/>
              <w:rPr>
                <w:color w:val="000000"/>
              </w:rPr>
            </w:pPr>
            <w:r>
              <w:rPr>
                <w:color w:val="000000"/>
              </w:rPr>
              <w:t>48</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p>
        </w:tc>
      </w:tr>
      <w:tr w:rsidR="00B00804" w:rsidTr="00BB49EA">
        <w:tc>
          <w:tcPr>
            <w:tcW w:w="1951" w:type="dxa"/>
          </w:tcPr>
          <w:p w:rsidR="00B00804" w:rsidRDefault="00B00804" w:rsidP="00BB49EA">
            <w:pPr>
              <w:spacing w:after="0" w:line="240" w:lineRule="auto"/>
            </w:pPr>
            <w:r>
              <w:t>Daisy</w:t>
            </w:r>
          </w:p>
        </w:tc>
        <w:tc>
          <w:tcPr>
            <w:tcW w:w="2552" w:type="dxa"/>
          </w:tcPr>
          <w:p w:rsidR="00B00804" w:rsidRDefault="00B00804" w:rsidP="00BB49EA">
            <w:pPr>
              <w:spacing w:after="0" w:line="240" w:lineRule="auto"/>
              <w:rPr>
                <w:color w:val="000000"/>
              </w:rPr>
            </w:pPr>
            <w:r w:rsidRPr="006E2398">
              <w:rPr>
                <w:i/>
              </w:rPr>
              <w:t>Epaltes</w:t>
            </w:r>
            <w:r>
              <w:t xml:space="preserve"> spp.</w:t>
            </w:r>
          </w:p>
        </w:tc>
        <w:tc>
          <w:tcPr>
            <w:tcW w:w="850" w:type="dxa"/>
          </w:tcPr>
          <w:p w:rsidR="00B00804" w:rsidRDefault="00B00804" w:rsidP="00BB49EA">
            <w:pPr>
              <w:spacing w:after="0" w:line="240" w:lineRule="auto"/>
              <w:jc w:val="right"/>
              <w:rPr>
                <w:color w:val="000000"/>
              </w:rPr>
            </w:pPr>
            <w:r>
              <w:rPr>
                <w:color w:val="000000"/>
              </w:rPr>
              <w:t>T</w:t>
            </w:r>
          </w:p>
        </w:tc>
        <w:tc>
          <w:tcPr>
            <w:tcW w:w="1418" w:type="dxa"/>
            <w:vAlign w:val="bottom"/>
          </w:tcPr>
          <w:p w:rsidR="00B00804" w:rsidRDefault="00B00804" w:rsidP="00BB49EA">
            <w:pPr>
              <w:spacing w:after="0" w:line="240" w:lineRule="auto"/>
              <w:jc w:val="right"/>
              <w:rPr>
                <w:color w:val="000000"/>
              </w:rPr>
            </w:pPr>
            <w:r>
              <w:rPr>
                <w:color w:val="000000"/>
              </w:rPr>
              <w:t>44</w:t>
            </w: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Joyweed</w:t>
            </w:r>
          </w:p>
        </w:tc>
        <w:tc>
          <w:tcPr>
            <w:tcW w:w="2552" w:type="dxa"/>
          </w:tcPr>
          <w:p w:rsidR="00B00804" w:rsidRDefault="00B00804" w:rsidP="00BB49EA">
            <w:pPr>
              <w:spacing w:after="0" w:line="240" w:lineRule="auto"/>
              <w:rPr>
                <w:color w:val="000000"/>
              </w:rPr>
            </w:pPr>
            <w:r w:rsidRPr="006E2398">
              <w:rPr>
                <w:i/>
                <w:color w:val="000000"/>
              </w:rPr>
              <w:t>Alternanthera</w:t>
            </w:r>
            <w:r>
              <w:rPr>
                <w:color w:val="000000"/>
              </w:rPr>
              <w:t xml:space="preserve"> spp.</w:t>
            </w:r>
          </w:p>
        </w:tc>
        <w:tc>
          <w:tcPr>
            <w:tcW w:w="850" w:type="dxa"/>
          </w:tcPr>
          <w:p w:rsidR="00B00804" w:rsidRDefault="00B00804" w:rsidP="00BB49EA">
            <w:pPr>
              <w:spacing w:after="0" w:line="240" w:lineRule="auto"/>
              <w:jc w:val="right"/>
              <w:rPr>
                <w:color w:val="000000"/>
              </w:rPr>
            </w:pPr>
            <w:r>
              <w:rPr>
                <w:color w:val="000000"/>
              </w:rPr>
              <w:t>T</w:t>
            </w:r>
          </w:p>
        </w:tc>
        <w:tc>
          <w:tcPr>
            <w:tcW w:w="1418" w:type="dxa"/>
            <w:vAlign w:val="bottom"/>
          </w:tcPr>
          <w:p w:rsidR="00B00804" w:rsidRDefault="00B00804" w:rsidP="00BB49EA">
            <w:pPr>
              <w:spacing w:after="0" w:line="240" w:lineRule="auto"/>
              <w:jc w:val="right"/>
              <w:rPr>
                <w:color w:val="000000"/>
              </w:rPr>
            </w:pPr>
            <w:r>
              <w:rPr>
                <w:color w:val="000000"/>
              </w:rPr>
              <w:t>39</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Lignum</w:t>
            </w:r>
          </w:p>
        </w:tc>
        <w:tc>
          <w:tcPr>
            <w:tcW w:w="2552" w:type="dxa"/>
          </w:tcPr>
          <w:p w:rsidR="00B00804" w:rsidRPr="0065300F" w:rsidRDefault="00B00804" w:rsidP="00BB49EA">
            <w:pPr>
              <w:spacing w:after="0" w:line="240" w:lineRule="auto"/>
              <w:rPr>
                <w:i/>
                <w:color w:val="000000"/>
              </w:rPr>
            </w:pPr>
            <w:r w:rsidRPr="0065300F">
              <w:rPr>
                <w:i/>
                <w:color w:val="000000"/>
              </w:rPr>
              <w:t>Muehlenbeckia florulenta</w:t>
            </w:r>
          </w:p>
        </w:tc>
        <w:tc>
          <w:tcPr>
            <w:tcW w:w="850" w:type="dxa"/>
          </w:tcPr>
          <w:p w:rsidR="00B00804" w:rsidRDefault="00B00804" w:rsidP="00BB49EA">
            <w:pPr>
              <w:spacing w:after="0" w:line="240" w:lineRule="auto"/>
              <w:jc w:val="right"/>
              <w:rPr>
                <w:color w:val="000000"/>
              </w:rPr>
            </w:pPr>
            <w:r>
              <w:rPr>
                <w:color w:val="000000"/>
              </w:rPr>
              <w:t>A</w:t>
            </w:r>
          </w:p>
        </w:tc>
        <w:tc>
          <w:tcPr>
            <w:tcW w:w="1418" w:type="dxa"/>
            <w:vAlign w:val="bottom"/>
          </w:tcPr>
          <w:p w:rsidR="00B00804" w:rsidRDefault="00B00804" w:rsidP="00BB49EA">
            <w:pPr>
              <w:spacing w:after="0" w:line="240" w:lineRule="auto"/>
              <w:jc w:val="right"/>
              <w:rPr>
                <w:color w:val="000000"/>
              </w:rPr>
            </w:pPr>
            <w:r>
              <w:rPr>
                <w:color w:val="000000"/>
              </w:rPr>
              <w:t>29</w:t>
            </w: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p>
        </w:tc>
      </w:tr>
      <w:tr w:rsidR="00B00804" w:rsidTr="00BB49EA">
        <w:tc>
          <w:tcPr>
            <w:tcW w:w="1951" w:type="dxa"/>
          </w:tcPr>
          <w:p w:rsidR="00B00804" w:rsidRDefault="00B00804" w:rsidP="00BB49EA">
            <w:pPr>
              <w:spacing w:after="0" w:line="240" w:lineRule="auto"/>
            </w:pPr>
            <w:r>
              <w:t>Australian bluebell</w:t>
            </w:r>
          </w:p>
        </w:tc>
        <w:tc>
          <w:tcPr>
            <w:tcW w:w="2552" w:type="dxa"/>
          </w:tcPr>
          <w:p w:rsidR="00B00804" w:rsidRDefault="00B00804" w:rsidP="00BB49EA">
            <w:pPr>
              <w:spacing w:after="0" w:line="240" w:lineRule="auto"/>
              <w:rPr>
                <w:color w:val="000000"/>
              </w:rPr>
            </w:pPr>
            <w:r w:rsidRPr="00DA1AB2">
              <w:rPr>
                <w:i/>
                <w:color w:val="000000"/>
              </w:rPr>
              <w:t>Wahlenbergia</w:t>
            </w:r>
            <w:r>
              <w:rPr>
                <w:color w:val="000000"/>
              </w:rPr>
              <w:t xml:space="preserve"> spp.</w:t>
            </w:r>
          </w:p>
        </w:tc>
        <w:tc>
          <w:tcPr>
            <w:tcW w:w="850" w:type="dxa"/>
          </w:tcPr>
          <w:p w:rsidR="00B00804" w:rsidRDefault="00B00804" w:rsidP="00BB49EA">
            <w:pPr>
              <w:spacing w:after="0" w:line="240" w:lineRule="auto"/>
              <w:jc w:val="right"/>
              <w:rPr>
                <w:color w:val="000000"/>
              </w:rPr>
            </w:pPr>
            <w:r>
              <w:rPr>
                <w:color w:val="000000"/>
              </w:rPr>
              <w:t>T</w:t>
            </w:r>
          </w:p>
        </w:tc>
        <w:tc>
          <w:tcPr>
            <w:tcW w:w="1418" w:type="dxa"/>
            <w:vAlign w:val="bottom"/>
          </w:tcPr>
          <w:p w:rsidR="00B00804" w:rsidRDefault="00B00804" w:rsidP="00BB49EA">
            <w:pPr>
              <w:spacing w:after="0" w:line="240" w:lineRule="auto"/>
              <w:jc w:val="right"/>
              <w:rPr>
                <w:color w:val="000000"/>
              </w:rPr>
            </w:pPr>
            <w:r>
              <w:rPr>
                <w:color w:val="000000"/>
              </w:rPr>
              <w:t>29</w:t>
            </w: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Redstem</w:t>
            </w:r>
          </w:p>
        </w:tc>
        <w:tc>
          <w:tcPr>
            <w:tcW w:w="2552" w:type="dxa"/>
          </w:tcPr>
          <w:p w:rsidR="00B00804" w:rsidRDefault="00B00804" w:rsidP="00BB49EA">
            <w:pPr>
              <w:spacing w:after="0" w:line="240" w:lineRule="auto"/>
              <w:rPr>
                <w:color w:val="000000"/>
              </w:rPr>
            </w:pPr>
            <w:r w:rsidRPr="006E2398">
              <w:rPr>
                <w:i/>
                <w:color w:val="000000"/>
              </w:rPr>
              <w:t>Ammannia</w:t>
            </w:r>
            <w:r>
              <w:rPr>
                <w:color w:val="000000"/>
              </w:rPr>
              <w:t xml:space="preserve"> spp.</w:t>
            </w:r>
          </w:p>
        </w:tc>
        <w:tc>
          <w:tcPr>
            <w:tcW w:w="850" w:type="dxa"/>
          </w:tcPr>
          <w:p w:rsidR="00B00804" w:rsidRDefault="00B00804" w:rsidP="00BB49EA">
            <w:pPr>
              <w:spacing w:after="0" w:line="240" w:lineRule="auto"/>
              <w:jc w:val="right"/>
              <w:rPr>
                <w:color w:val="000000"/>
              </w:rPr>
            </w:pPr>
            <w:r>
              <w:rPr>
                <w:color w:val="000000"/>
              </w:rPr>
              <w:t>A</w:t>
            </w:r>
          </w:p>
        </w:tc>
        <w:tc>
          <w:tcPr>
            <w:tcW w:w="1418" w:type="dxa"/>
            <w:vAlign w:val="bottom"/>
          </w:tcPr>
          <w:p w:rsidR="00B00804" w:rsidRDefault="00B00804" w:rsidP="00BB49EA">
            <w:pPr>
              <w:spacing w:after="0" w:line="240" w:lineRule="auto"/>
              <w:jc w:val="right"/>
              <w:rPr>
                <w:color w:val="000000"/>
              </w:rPr>
            </w:pPr>
            <w:r>
              <w:rPr>
                <w:color w:val="000000"/>
              </w:rPr>
              <w:t>23</w:t>
            </w: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Cudweed</w:t>
            </w:r>
          </w:p>
        </w:tc>
        <w:tc>
          <w:tcPr>
            <w:tcW w:w="2552" w:type="dxa"/>
          </w:tcPr>
          <w:p w:rsidR="00B00804" w:rsidRDefault="00B00804" w:rsidP="00BB49EA">
            <w:pPr>
              <w:spacing w:after="0" w:line="240" w:lineRule="auto"/>
              <w:rPr>
                <w:color w:val="000000"/>
              </w:rPr>
            </w:pPr>
            <w:r w:rsidRPr="006E2398">
              <w:rPr>
                <w:i/>
                <w:color w:val="000000"/>
              </w:rPr>
              <w:t>Gnaphalium</w:t>
            </w:r>
            <w:r>
              <w:rPr>
                <w:color w:val="000000"/>
              </w:rPr>
              <w:t xml:space="preserve"> spp.</w:t>
            </w:r>
          </w:p>
        </w:tc>
        <w:tc>
          <w:tcPr>
            <w:tcW w:w="850" w:type="dxa"/>
          </w:tcPr>
          <w:p w:rsidR="00B00804" w:rsidRDefault="00B00804" w:rsidP="00BB49EA">
            <w:pPr>
              <w:spacing w:after="0" w:line="240" w:lineRule="auto"/>
              <w:jc w:val="right"/>
              <w:rPr>
                <w:color w:val="000000"/>
              </w:rPr>
            </w:pPr>
            <w:r>
              <w:rPr>
                <w:color w:val="000000"/>
              </w:rPr>
              <w:t>T</w:t>
            </w:r>
          </w:p>
        </w:tc>
        <w:tc>
          <w:tcPr>
            <w:tcW w:w="1418" w:type="dxa"/>
            <w:vAlign w:val="bottom"/>
          </w:tcPr>
          <w:p w:rsidR="00B00804" w:rsidRDefault="00B00804" w:rsidP="00BB49EA">
            <w:pPr>
              <w:spacing w:after="0" w:line="240" w:lineRule="auto"/>
              <w:jc w:val="right"/>
              <w:rPr>
                <w:color w:val="000000"/>
              </w:rPr>
            </w:pPr>
            <w:r>
              <w:rPr>
                <w:color w:val="000000"/>
              </w:rPr>
              <w:t>19</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Herb</w:t>
            </w:r>
          </w:p>
        </w:tc>
        <w:tc>
          <w:tcPr>
            <w:tcW w:w="2552" w:type="dxa"/>
          </w:tcPr>
          <w:p w:rsidR="00B00804" w:rsidRDefault="00B00804" w:rsidP="00BB49EA">
            <w:pPr>
              <w:spacing w:after="0" w:line="240" w:lineRule="auto"/>
              <w:rPr>
                <w:color w:val="000000"/>
              </w:rPr>
            </w:pPr>
          </w:p>
        </w:tc>
        <w:tc>
          <w:tcPr>
            <w:tcW w:w="850" w:type="dxa"/>
          </w:tcPr>
          <w:p w:rsidR="00B00804" w:rsidRDefault="00B00804" w:rsidP="00BB49EA">
            <w:pPr>
              <w:spacing w:after="0" w:line="240" w:lineRule="auto"/>
              <w:jc w:val="right"/>
              <w:rPr>
                <w:color w:val="000000"/>
              </w:rPr>
            </w:pPr>
            <w:r>
              <w:rPr>
                <w:color w:val="000000"/>
              </w:rPr>
              <w:t>T</w:t>
            </w:r>
          </w:p>
        </w:tc>
        <w:tc>
          <w:tcPr>
            <w:tcW w:w="1418" w:type="dxa"/>
            <w:vAlign w:val="bottom"/>
          </w:tcPr>
          <w:p w:rsidR="00B00804" w:rsidRDefault="00B00804" w:rsidP="00BB49EA">
            <w:pPr>
              <w:spacing w:after="0" w:line="240" w:lineRule="auto"/>
              <w:jc w:val="right"/>
              <w:rPr>
                <w:color w:val="000000"/>
              </w:rPr>
            </w:pPr>
            <w:r>
              <w:rPr>
                <w:color w:val="000000"/>
              </w:rPr>
              <w:t>8</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r>
      <w:tr w:rsidR="00B00804" w:rsidTr="00BB49EA">
        <w:tc>
          <w:tcPr>
            <w:tcW w:w="1951" w:type="dxa"/>
          </w:tcPr>
          <w:p w:rsidR="00B00804" w:rsidRDefault="00B00804" w:rsidP="00BB49EA">
            <w:pPr>
              <w:spacing w:after="0" w:line="240" w:lineRule="auto"/>
            </w:pPr>
            <w:r>
              <w:t>Loosetrife</w:t>
            </w:r>
          </w:p>
        </w:tc>
        <w:tc>
          <w:tcPr>
            <w:tcW w:w="2552" w:type="dxa"/>
          </w:tcPr>
          <w:p w:rsidR="00B00804" w:rsidRDefault="00B00804" w:rsidP="00BB49EA">
            <w:pPr>
              <w:spacing w:after="0" w:line="240" w:lineRule="auto"/>
              <w:rPr>
                <w:color w:val="000000"/>
              </w:rPr>
            </w:pPr>
            <w:r w:rsidRPr="0091211E">
              <w:rPr>
                <w:i/>
                <w:color w:val="000000"/>
              </w:rPr>
              <w:t>Lythrum</w:t>
            </w:r>
            <w:r>
              <w:rPr>
                <w:color w:val="000000"/>
              </w:rPr>
              <w:t xml:space="preserve"> spp.</w:t>
            </w:r>
          </w:p>
        </w:tc>
        <w:tc>
          <w:tcPr>
            <w:tcW w:w="850" w:type="dxa"/>
          </w:tcPr>
          <w:p w:rsidR="00B00804" w:rsidRDefault="00B00804" w:rsidP="00BB49EA">
            <w:pPr>
              <w:spacing w:after="0" w:line="240" w:lineRule="auto"/>
              <w:jc w:val="right"/>
              <w:rPr>
                <w:color w:val="000000"/>
              </w:rPr>
            </w:pPr>
            <w:r>
              <w:rPr>
                <w:color w:val="000000"/>
              </w:rPr>
              <w:t>A</w:t>
            </w:r>
          </w:p>
        </w:tc>
        <w:tc>
          <w:tcPr>
            <w:tcW w:w="1418" w:type="dxa"/>
            <w:vAlign w:val="bottom"/>
          </w:tcPr>
          <w:p w:rsidR="00B00804" w:rsidRDefault="00B00804" w:rsidP="00BB49EA">
            <w:pPr>
              <w:spacing w:after="0" w:line="240" w:lineRule="auto"/>
              <w:jc w:val="right"/>
              <w:rPr>
                <w:color w:val="000000"/>
              </w:rPr>
            </w:pPr>
            <w:r>
              <w:rPr>
                <w:color w:val="000000"/>
              </w:rPr>
              <w:t>6</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p>
        </w:tc>
      </w:tr>
      <w:tr w:rsidR="00B00804" w:rsidTr="00BB49EA">
        <w:tc>
          <w:tcPr>
            <w:tcW w:w="1951" w:type="dxa"/>
          </w:tcPr>
          <w:p w:rsidR="00B00804" w:rsidRDefault="00B00804" w:rsidP="00BB49EA">
            <w:pPr>
              <w:spacing w:after="0" w:line="240" w:lineRule="auto"/>
            </w:pPr>
            <w:r>
              <w:t>White daisy</w:t>
            </w:r>
          </w:p>
        </w:tc>
        <w:tc>
          <w:tcPr>
            <w:tcW w:w="2552" w:type="dxa"/>
          </w:tcPr>
          <w:p w:rsidR="00B00804" w:rsidRDefault="00B00804" w:rsidP="00BB49EA">
            <w:pPr>
              <w:spacing w:after="0" w:line="240" w:lineRule="auto"/>
              <w:rPr>
                <w:color w:val="000000"/>
              </w:rPr>
            </w:pPr>
            <w:r w:rsidRPr="006E2398">
              <w:rPr>
                <w:i/>
                <w:color w:val="000000"/>
              </w:rPr>
              <w:t>Calotis</w:t>
            </w:r>
            <w:r>
              <w:rPr>
                <w:color w:val="000000"/>
              </w:rPr>
              <w:t xml:space="preserve"> spp.</w:t>
            </w:r>
          </w:p>
        </w:tc>
        <w:tc>
          <w:tcPr>
            <w:tcW w:w="850" w:type="dxa"/>
          </w:tcPr>
          <w:p w:rsidR="00B00804" w:rsidRDefault="00B00804" w:rsidP="00BB49EA">
            <w:pPr>
              <w:spacing w:after="0" w:line="240" w:lineRule="auto"/>
              <w:jc w:val="right"/>
              <w:rPr>
                <w:color w:val="000000"/>
              </w:rPr>
            </w:pPr>
            <w:r>
              <w:rPr>
                <w:color w:val="000000"/>
              </w:rPr>
              <w:t>T</w:t>
            </w:r>
          </w:p>
        </w:tc>
        <w:tc>
          <w:tcPr>
            <w:tcW w:w="1418" w:type="dxa"/>
            <w:vAlign w:val="bottom"/>
          </w:tcPr>
          <w:p w:rsidR="00B00804" w:rsidRDefault="00B00804" w:rsidP="00BB49EA">
            <w:pPr>
              <w:spacing w:after="0" w:line="240" w:lineRule="auto"/>
              <w:jc w:val="right"/>
              <w:rPr>
                <w:color w:val="000000"/>
              </w:rPr>
            </w:pPr>
            <w:r>
              <w:rPr>
                <w:color w:val="000000"/>
              </w:rPr>
              <w:t>4</w:t>
            </w: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p>
        </w:tc>
      </w:tr>
      <w:tr w:rsidR="00B00804" w:rsidTr="00BB49EA">
        <w:tc>
          <w:tcPr>
            <w:tcW w:w="1951" w:type="dxa"/>
          </w:tcPr>
          <w:p w:rsidR="00B00804" w:rsidRDefault="00B00804" w:rsidP="00BB49EA">
            <w:pPr>
              <w:spacing w:after="0" w:line="240" w:lineRule="auto"/>
            </w:pPr>
            <w:r>
              <w:t>Hypericum</w:t>
            </w:r>
          </w:p>
        </w:tc>
        <w:tc>
          <w:tcPr>
            <w:tcW w:w="2552" w:type="dxa"/>
          </w:tcPr>
          <w:p w:rsidR="00B00804" w:rsidRDefault="00B00804" w:rsidP="00BB49EA">
            <w:pPr>
              <w:spacing w:after="0" w:line="240" w:lineRule="auto"/>
              <w:rPr>
                <w:color w:val="000000"/>
              </w:rPr>
            </w:pPr>
            <w:r w:rsidRPr="00DA1AB2">
              <w:rPr>
                <w:i/>
                <w:color w:val="000000"/>
              </w:rPr>
              <w:t>Hypericum</w:t>
            </w:r>
            <w:r>
              <w:rPr>
                <w:color w:val="000000"/>
              </w:rPr>
              <w:t xml:space="preserve"> spp.</w:t>
            </w:r>
          </w:p>
        </w:tc>
        <w:tc>
          <w:tcPr>
            <w:tcW w:w="850" w:type="dxa"/>
          </w:tcPr>
          <w:p w:rsidR="00B00804" w:rsidRDefault="00B00804" w:rsidP="00BB49EA">
            <w:pPr>
              <w:spacing w:after="0" w:line="240" w:lineRule="auto"/>
              <w:jc w:val="right"/>
              <w:rPr>
                <w:color w:val="000000"/>
              </w:rPr>
            </w:pPr>
            <w:r>
              <w:rPr>
                <w:color w:val="000000"/>
              </w:rPr>
              <w:t>T</w:t>
            </w:r>
          </w:p>
        </w:tc>
        <w:tc>
          <w:tcPr>
            <w:tcW w:w="1418" w:type="dxa"/>
            <w:vAlign w:val="bottom"/>
          </w:tcPr>
          <w:p w:rsidR="00B00804" w:rsidRDefault="00B00804" w:rsidP="00BB49EA">
            <w:pPr>
              <w:spacing w:after="0" w:line="240" w:lineRule="auto"/>
              <w:jc w:val="right"/>
              <w:rPr>
                <w:color w:val="000000"/>
              </w:rPr>
            </w:pPr>
            <w:r>
              <w:rPr>
                <w:color w:val="000000"/>
              </w:rPr>
              <w:t>3</w:t>
            </w: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p>
        </w:tc>
      </w:tr>
      <w:tr w:rsidR="00B00804" w:rsidTr="00BB49EA">
        <w:tc>
          <w:tcPr>
            <w:tcW w:w="1951" w:type="dxa"/>
          </w:tcPr>
          <w:p w:rsidR="00B00804" w:rsidRDefault="00B00804" w:rsidP="00BB49EA">
            <w:pPr>
              <w:spacing w:after="0" w:line="240" w:lineRule="auto"/>
            </w:pPr>
            <w:r>
              <w:t>Germander</w:t>
            </w:r>
          </w:p>
        </w:tc>
        <w:tc>
          <w:tcPr>
            <w:tcW w:w="2552" w:type="dxa"/>
          </w:tcPr>
          <w:p w:rsidR="00B00804" w:rsidRDefault="00B00804" w:rsidP="00BB49EA">
            <w:pPr>
              <w:spacing w:after="0" w:line="240" w:lineRule="auto"/>
              <w:rPr>
                <w:color w:val="000000"/>
              </w:rPr>
            </w:pPr>
            <w:r>
              <w:rPr>
                <w:color w:val="000000"/>
              </w:rPr>
              <w:t>Teucrium spp</w:t>
            </w:r>
          </w:p>
        </w:tc>
        <w:tc>
          <w:tcPr>
            <w:tcW w:w="850" w:type="dxa"/>
          </w:tcPr>
          <w:p w:rsidR="00B00804" w:rsidRDefault="00B00804" w:rsidP="00BB49EA">
            <w:pPr>
              <w:spacing w:after="0" w:line="240" w:lineRule="auto"/>
              <w:jc w:val="right"/>
              <w:rPr>
                <w:color w:val="000000"/>
              </w:rPr>
            </w:pPr>
            <w:r>
              <w:rPr>
                <w:color w:val="000000"/>
              </w:rPr>
              <w:t>T</w:t>
            </w:r>
          </w:p>
        </w:tc>
        <w:tc>
          <w:tcPr>
            <w:tcW w:w="1418" w:type="dxa"/>
            <w:vAlign w:val="bottom"/>
          </w:tcPr>
          <w:p w:rsidR="00B00804" w:rsidRDefault="00B00804" w:rsidP="00BB49EA">
            <w:pPr>
              <w:spacing w:after="0" w:line="240" w:lineRule="auto"/>
              <w:jc w:val="right"/>
              <w:rPr>
                <w:color w:val="000000"/>
              </w:rPr>
            </w:pPr>
            <w:r>
              <w:rPr>
                <w:color w:val="000000"/>
              </w:rPr>
              <w:t>3</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p>
        </w:tc>
      </w:tr>
      <w:tr w:rsidR="00B00804" w:rsidTr="00BB49EA">
        <w:tc>
          <w:tcPr>
            <w:tcW w:w="1951" w:type="dxa"/>
          </w:tcPr>
          <w:p w:rsidR="00B00804" w:rsidRDefault="00B00804" w:rsidP="00BB49EA">
            <w:pPr>
              <w:spacing w:after="0" w:line="240" w:lineRule="auto"/>
            </w:pPr>
            <w:r>
              <w:t>Salt bush</w:t>
            </w:r>
          </w:p>
        </w:tc>
        <w:tc>
          <w:tcPr>
            <w:tcW w:w="2552" w:type="dxa"/>
          </w:tcPr>
          <w:p w:rsidR="00B00804" w:rsidRDefault="00B00804" w:rsidP="00BB49EA">
            <w:pPr>
              <w:spacing w:after="0" w:line="240" w:lineRule="auto"/>
              <w:rPr>
                <w:color w:val="000000"/>
              </w:rPr>
            </w:pPr>
            <w:r w:rsidRPr="006E2398">
              <w:rPr>
                <w:i/>
                <w:color w:val="000000"/>
              </w:rPr>
              <w:t>Atriplex</w:t>
            </w:r>
            <w:r>
              <w:rPr>
                <w:color w:val="000000"/>
              </w:rPr>
              <w:t xml:space="preserve"> spp.</w:t>
            </w:r>
          </w:p>
        </w:tc>
        <w:tc>
          <w:tcPr>
            <w:tcW w:w="850" w:type="dxa"/>
          </w:tcPr>
          <w:p w:rsidR="00B00804" w:rsidRDefault="00B00804" w:rsidP="00BB49EA">
            <w:pPr>
              <w:spacing w:after="0" w:line="240" w:lineRule="auto"/>
              <w:jc w:val="right"/>
              <w:rPr>
                <w:color w:val="000000"/>
              </w:rPr>
            </w:pPr>
            <w:r>
              <w:rPr>
                <w:color w:val="000000"/>
              </w:rPr>
              <w:t>T</w:t>
            </w:r>
          </w:p>
        </w:tc>
        <w:tc>
          <w:tcPr>
            <w:tcW w:w="1418" w:type="dxa"/>
            <w:vAlign w:val="bottom"/>
          </w:tcPr>
          <w:p w:rsidR="00B00804" w:rsidRDefault="00B00804" w:rsidP="00BB49EA">
            <w:pPr>
              <w:spacing w:after="0" w:line="240" w:lineRule="auto"/>
              <w:jc w:val="right"/>
              <w:rPr>
                <w:color w:val="000000"/>
              </w:rPr>
            </w:pPr>
            <w:r>
              <w:rPr>
                <w:color w:val="000000"/>
              </w:rPr>
              <w:t>2</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p>
        </w:tc>
      </w:tr>
      <w:tr w:rsidR="00B00804" w:rsidTr="00BB49EA">
        <w:tc>
          <w:tcPr>
            <w:tcW w:w="1951" w:type="dxa"/>
          </w:tcPr>
          <w:p w:rsidR="00B00804" w:rsidRDefault="00B00804" w:rsidP="00BB49EA">
            <w:pPr>
              <w:spacing w:after="0" w:line="240" w:lineRule="auto"/>
            </w:pPr>
            <w:r>
              <w:t>Goodenia</w:t>
            </w:r>
          </w:p>
        </w:tc>
        <w:tc>
          <w:tcPr>
            <w:tcW w:w="2552" w:type="dxa"/>
          </w:tcPr>
          <w:p w:rsidR="00B00804" w:rsidRDefault="00B00804" w:rsidP="00BB49EA">
            <w:pPr>
              <w:spacing w:after="0" w:line="240" w:lineRule="auto"/>
              <w:rPr>
                <w:color w:val="000000"/>
              </w:rPr>
            </w:pPr>
            <w:r w:rsidRPr="0091211E">
              <w:rPr>
                <w:i/>
                <w:color w:val="000000"/>
              </w:rPr>
              <w:t>Goodenia</w:t>
            </w:r>
            <w:r>
              <w:rPr>
                <w:color w:val="000000"/>
              </w:rPr>
              <w:t xml:space="preserve"> sp</w:t>
            </w:r>
          </w:p>
        </w:tc>
        <w:tc>
          <w:tcPr>
            <w:tcW w:w="850" w:type="dxa"/>
          </w:tcPr>
          <w:p w:rsidR="00B00804" w:rsidRDefault="00B00804" w:rsidP="00BB49EA">
            <w:pPr>
              <w:spacing w:after="0" w:line="240" w:lineRule="auto"/>
              <w:jc w:val="right"/>
              <w:rPr>
                <w:color w:val="000000"/>
              </w:rPr>
            </w:pPr>
            <w:r>
              <w:rPr>
                <w:color w:val="000000"/>
              </w:rPr>
              <w:t>T</w:t>
            </w:r>
          </w:p>
        </w:tc>
        <w:tc>
          <w:tcPr>
            <w:tcW w:w="1418" w:type="dxa"/>
            <w:vAlign w:val="bottom"/>
          </w:tcPr>
          <w:p w:rsidR="00B00804" w:rsidRDefault="00B00804" w:rsidP="00BB49EA">
            <w:pPr>
              <w:spacing w:after="0" w:line="240" w:lineRule="auto"/>
              <w:jc w:val="right"/>
              <w:rPr>
                <w:color w:val="000000"/>
              </w:rPr>
            </w:pPr>
            <w:r>
              <w:rPr>
                <w:color w:val="000000"/>
              </w:rPr>
              <w:t>2</w:t>
            </w: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p>
        </w:tc>
      </w:tr>
      <w:tr w:rsidR="00B00804" w:rsidTr="00BB49EA">
        <w:tc>
          <w:tcPr>
            <w:tcW w:w="1951" w:type="dxa"/>
          </w:tcPr>
          <w:p w:rsidR="00B00804" w:rsidRDefault="00B00804" w:rsidP="00BB49EA">
            <w:pPr>
              <w:spacing w:after="0" w:line="240" w:lineRule="auto"/>
            </w:pPr>
            <w:r>
              <w:t>Clover</w:t>
            </w:r>
          </w:p>
        </w:tc>
        <w:tc>
          <w:tcPr>
            <w:tcW w:w="2552" w:type="dxa"/>
          </w:tcPr>
          <w:p w:rsidR="00B00804" w:rsidRDefault="00B00804" w:rsidP="00BB49EA">
            <w:pPr>
              <w:spacing w:after="0" w:line="240" w:lineRule="auto"/>
              <w:rPr>
                <w:color w:val="000000"/>
              </w:rPr>
            </w:pPr>
            <w:r w:rsidRPr="00DA1AB2">
              <w:rPr>
                <w:i/>
                <w:color w:val="000000"/>
              </w:rPr>
              <w:t>Medicago</w:t>
            </w:r>
            <w:r>
              <w:rPr>
                <w:color w:val="000000"/>
              </w:rPr>
              <w:t xml:space="preserve"> spp.</w:t>
            </w:r>
          </w:p>
        </w:tc>
        <w:tc>
          <w:tcPr>
            <w:tcW w:w="850" w:type="dxa"/>
          </w:tcPr>
          <w:p w:rsidR="00B00804" w:rsidRDefault="00B00804" w:rsidP="00BB49EA">
            <w:pPr>
              <w:spacing w:after="0" w:line="240" w:lineRule="auto"/>
              <w:jc w:val="right"/>
              <w:rPr>
                <w:color w:val="000000"/>
              </w:rPr>
            </w:pPr>
            <w:r>
              <w:rPr>
                <w:color w:val="000000"/>
              </w:rPr>
              <w:t>T</w:t>
            </w:r>
          </w:p>
        </w:tc>
        <w:tc>
          <w:tcPr>
            <w:tcW w:w="1418" w:type="dxa"/>
            <w:vAlign w:val="bottom"/>
          </w:tcPr>
          <w:p w:rsidR="00B00804" w:rsidRDefault="00B00804" w:rsidP="00BB49EA">
            <w:pPr>
              <w:spacing w:after="0" w:line="240" w:lineRule="auto"/>
              <w:jc w:val="right"/>
              <w:rPr>
                <w:color w:val="000000"/>
              </w:rPr>
            </w:pPr>
            <w:r>
              <w:rPr>
                <w:color w:val="000000"/>
              </w:rPr>
              <w:t>2</w:t>
            </w:r>
          </w:p>
        </w:tc>
        <w:tc>
          <w:tcPr>
            <w:tcW w:w="567" w:type="dxa"/>
          </w:tcPr>
          <w:p w:rsidR="00B00804" w:rsidRDefault="00B00804" w:rsidP="00BB49EA">
            <w:pPr>
              <w:spacing w:after="0" w:line="240" w:lineRule="auto"/>
            </w:pPr>
            <w:r>
              <w:t>*</w:t>
            </w: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p>
        </w:tc>
        <w:tc>
          <w:tcPr>
            <w:tcW w:w="567" w:type="dxa"/>
          </w:tcPr>
          <w:p w:rsidR="00B00804" w:rsidRDefault="00B00804" w:rsidP="00BB49EA">
            <w:pPr>
              <w:spacing w:after="0" w:line="240" w:lineRule="auto"/>
            </w:pPr>
          </w:p>
        </w:tc>
      </w:tr>
      <w:tr w:rsidR="00B00804" w:rsidTr="00BB49EA">
        <w:tc>
          <w:tcPr>
            <w:tcW w:w="1951" w:type="dxa"/>
            <w:tcBorders>
              <w:bottom w:val="single" w:sz="4" w:space="0" w:color="auto"/>
            </w:tcBorders>
          </w:tcPr>
          <w:p w:rsidR="00B00804" w:rsidRDefault="00B00804" w:rsidP="00BB49EA">
            <w:pPr>
              <w:spacing w:after="0" w:line="240" w:lineRule="auto"/>
            </w:pPr>
            <w:r>
              <w:t>Ribbon Weed</w:t>
            </w:r>
          </w:p>
        </w:tc>
        <w:tc>
          <w:tcPr>
            <w:tcW w:w="2552" w:type="dxa"/>
            <w:tcBorders>
              <w:bottom w:val="single" w:sz="4" w:space="0" w:color="auto"/>
            </w:tcBorders>
          </w:tcPr>
          <w:p w:rsidR="00B00804" w:rsidRPr="0065300F" w:rsidRDefault="00B00804" w:rsidP="00BB49EA">
            <w:pPr>
              <w:spacing w:after="0" w:line="240" w:lineRule="auto"/>
              <w:rPr>
                <w:i/>
                <w:color w:val="000000"/>
              </w:rPr>
            </w:pPr>
            <w:r w:rsidRPr="0065300F">
              <w:rPr>
                <w:i/>
                <w:color w:val="000000"/>
              </w:rPr>
              <w:t>Vallisneria australis</w:t>
            </w:r>
          </w:p>
        </w:tc>
        <w:tc>
          <w:tcPr>
            <w:tcW w:w="850" w:type="dxa"/>
            <w:tcBorders>
              <w:bottom w:val="single" w:sz="4" w:space="0" w:color="auto"/>
            </w:tcBorders>
          </w:tcPr>
          <w:p w:rsidR="00B00804" w:rsidRDefault="00B00804" w:rsidP="00BB49EA">
            <w:pPr>
              <w:spacing w:after="0" w:line="240" w:lineRule="auto"/>
              <w:jc w:val="right"/>
              <w:rPr>
                <w:color w:val="000000"/>
              </w:rPr>
            </w:pPr>
            <w:r>
              <w:rPr>
                <w:color w:val="000000"/>
              </w:rPr>
              <w:t>S</w:t>
            </w:r>
          </w:p>
        </w:tc>
        <w:tc>
          <w:tcPr>
            <w:tcW w:w="1418" w:type="dxa"/>
            <w:tcBorders>
              <w:bottom w:val="single" w:sz="4" w:space="0" w:color="auto"/>
            </w:tcBorders>
            <w:vAlign w:val="bottom"/>
          </w:tcPr>
          <w:p w:rsidR="00B00804" w:rsidRDefault="00B00804" w:rsidP="00BB49EA">
            <w:pPr>
              <w:spacing w:after="0" w:line="240" w:lineRule="auto"/>
              <w:jc w:val="right"/>
              <w:rPr>
                <w:color w:val="000000"/>
              </w:rPr>
            </w:pPr>
            <w:r>
              <w:rPr>
                <w:color w:val="000000"/>
              </w:rPr>
              <w:t>1</w:t>
            </w:r>
          </w:p>
        </w:tc>
        <w:tc>
          <w:tcPr>
            <w:tcW w:w="567" w:type="dxa"/>
            <w:tcBorders>
              <w:bottom w:val="single" w:sz="4" w:space="0" w:color="auto"/>
            </w:tcBorders>
          </w:tcPr>
          <w:p w:rsidR="00B00804" w:rsidRDefault="00B00804" w:rsidP="00BB49EA">
            <w:pPr>
              <w:spacing w:after="0" w:line="240" w:lineRule="auto"/>
            </w:pPr>
          </w:p>
        </w:tc>
        <w:tc>
          <w:tcPr>
            <w:tcW w:w="567" w:type="dxa"/>
            <w:tcBorders>
              <w:bottom w:val="single" w:sz="4" w:space="0" w:color="auto"/>
            </w:tcBorders>
          </w:tcPr>
          <w:p w:rsidR="00B00804" w:rsidRDefault="00B00804" w:rsidP="00BB49EA">
            <w:pPr>
              <w:spacing w:after="0" w:line="240" w:lineRule="auto"/>
            </w:pPr>
          </w:p>
        </w:tc>
        <w:tc>
          <w:tcPr>
            <w:tcW w:w="567" w:type="dxa"/>
            <w:tcBorders>
              <w:bottom w:val="single" w:sz="4" w:space="0" w:color="auto"/>
            </w:tcBorders>
          </w:tcPr>
          <w:p w:rsidR="00B00804" w:rsidRDefault="00B00804" w:rsidP="00BB49EA">
            <w:pPr>
              <w:spacing w:after="0" w:line="240" w:lineRule="auto"/>
            </w:pPr>
            <w:r>
              <w:t>*</w:t>
            </w:r>
          </w:p>
        </w:tc>
        <w:tc>
          <w:tcPr>
            <w:tcW w:w="567" w:type="dxa"/>
            <w:tcBorders>
              <w:bottom w:val="single" w:sz="4" w:space="0" w:color="auto"/>
            </w:tcBorders>
          </w:tcPr>
          <w:p w:rsidR="00B00804" w:rsidRDefault="00B00804" w:rsidP="00BB49EA">
            <w:pPr>
              <w:spacing w:after="0" w:line="240" w:lineRule="auto"/>
            </w:pPr>
          </w:p>
        </w:tc>
      </w:tr>
      <w:tr w:rsidR="00B00804" w:rsidTr="00BB49EA">
        <w:tc>
          <w:tcPr>
            <w:tcW w:w="1951" w:type="dxa"/>
            <w:tcBorders>
              <w:top w:val="single" w:sz="4" w:space="0" w:color="auto"/>
              <w:bottom w:val="single" w:sz="4" w:space="0" w:color="auto"/>
            </w:tcBorders>
          </w:tcPr>
          <w:p w:rsidR="00B00804" w:rsidRPr="003602E6" w:rsidRDefault="00B00804" w:rsidP="00BB49EA">
            <w:pPr>
              <w:spacing w:after="0" w:line="240" w:lineRule="auto"/>
              <w:rPr>
                <w:b/>
              </w:rPr>
            </w:pPr>
            <w:r w:rsidRPr="003602E6">
              <w:rPr>
                <w:b/>
              </w:rPr>
              <w:t>Total Taxa</w:t>
            </w:r>
          </w:p>
        </w:tc>
        <w:tc>
          <w:tcPr>
            <w:tcW w:w="2552" w:type="dxa"/>
            <w:tcBorders>
              <w:top w:val="single" w:sz="4" w:space="0" w:color="auto"/>
              <w:bottom w:val="single" w:sz="4" w:space="0" w:color="auto"/>
            </w:tcBorders>
          </w:tcPr>
          <w:p w:rsidR="00B00804" w:rsidRPr="003602E6" w:rsidRDefault="00B00804" w:rsidP="00BB49EA">
            <w:pPr>
              <w:spacing w:after="0" w:line="240" w:lineRule="auto"/>
              <w:rPr>
                <w:b/>
                <w:color w:val="000000"/>
              </w:rPr>
            </w:pPr>
          </w:p>
        </w:tc>
        <w:tc>
          <w:tcPr>
            <w:tcW w:w="850" w:type="dxa"/>
            <w:tcBorders>
              <w:top w:val="single" w:sz="4" w:space="0" w:color="auto"/>
              <w:bottom w:val="single" w:sz="4" w:space="0" w:color="auto"/>
            </w:tcBorders>
          </w:tcPr>
          <w:p w:rsidR="00B00804" w:rsidRPr="003602E6" w:rsidRDefault="00B00804" w:rsidP="00BB49EA">
            <w:pPr>
              <w:spacing w:after="0" w:line="240" w:lineRule="auto"/>
              <w:jc w:val="right"/>
              <w:rPr>
                <w:b/>
                <w:color w:val="000000"/>
              </w:rPr>
            </w:pPr>
          </w:p>
        </w:tc>
        <w:tc>
          <w:tcPr>
            <w:tcW w:w="1418" w:type="dxa"/>
            <w:tcBorders>
              <w:top w:val="single" w:sz="4" w:space="0" w:color="auto"/>
              <w:bottom w:val="single" w:sz="4" w:space="0" w:color="auto"/>
            </w:tcBorders>
            <w:vAlign w:val="bottom"/>
          </w:tcPr>
          <w:p w:rsidR="00B00804" w:rsidRPr="003602E6" w:rsidRDefault="00B00804" w:rsidP="00BB49EA">
            <w:pPr>
              <w:spacing w:after="0" w:line="240" w:lineRule="auto"/>
              <w:jc w:val="right"/>
              <w:rPr>
                <w:b/>
                <w:color w:val="000000"/>
              </w:rPr>
            </w:pPr>
          </w:p>
        </w:tc>
        <w:tc>
          <w:tcPr>
            <w:tcW w:w="567" w:type="dxa"/>
            <w:tcBorders>
              <w:top w:val="single" w:sz="4" w:space="0" w:color="auto"/>
              <w:bottom w:val="single" w:sz="4" w:space="0" w:color="auto"/>
            </w:tcBorders>
          </w:tcPr>
          <w:p w:rsidR="00B00804" w:rsidRPr="003602E6" w:rsidRDefault="00B00804" w:rsidP="00BB49EA">
            <w:pPr>
              <w:spacing w:after="0" w:line="240" w:lineRule="auto"/>
              <w:rPr>
                <w:b/>
              </w:rPr>
            </w:pPr>
            <w:r w:rsidRPr="003602E6">
              <w:rPr>
                <w:b/>
              </w:rPr>
              <w:t>22</w:t>
            </w:r>
          </w:p>
        </w:tc>
        <w:tc>
          <w:tcPr>
            <w:tcW w:w="567" w:type="dxa"/>
            <w:tcBorders>
              <w:top w:val="single" w:sz="4" w:space="0" w:color="auto"/>
              <w:bottom w:val="single" w:sz="4" w:space="0" w:color="auto"/>
            </w:tcBorders>
          </w:tcPr>
          <w:p w:rsidR="00B00804" w:rsidRPr="003602E6" w:rsidRDefault="00B00804" w:rsidP="00BB49EA">
            <w:pPr>
              <w:spacing w:after="0" w:line="240" w:lineRule="auto"/>
              <w:rPr>
                <w:b/>
              </w:rPr>
            </w:pPr>
            <w:r w:rsidRPr="003602E6">
              <w:rPr>
                <w:b/>
              </w:rPr>
              <w:t>18</w:t>
            </w:r>
          </w:p>
        </w:tc>
        <w:tc>
          <w:tcPr>
            <w:tcW w:w="567" w:type="dxa"/>
            <w:tcBorders>
              <w:top w:val="single" w:sz="4" w:space="0" w:color="auto"/>
              <w:bottom w:val="single" w:sz="4" w:space="0" w:color="auto"/>
            </w:tcBorders>
          </w:tcPr>
          <w:p w:rsidR="00B00804" w:rsidRPr="003602E6" w:rsidRDefault="00B00804" w:rsidP="00BB49EA">
            <w:pPr>
              <w:spacing w:after="0" w:line="240" w:lineRule="auto"/>
              <w:rPr>
                <w:b/>
              </w:rPr>
            </w:pPr>
            <w:r w:rsidRPr="003602E6">
              <w:rPr>
                <w:b/>
              </w:rPr>
              <w:t>21</w:t>
            </w:r>
          </w:p>
        </w:tc>
        <w:tc>
          <w:tcPr>
            <w:tcW w:w="567" w:type="dxa"/>
            <w:tcBorders>
              <w:top w:val="single" w:sz="4" w:space="0" w:color="auto"/>
              <w:bottom w:val="single" w:sz="4" w:space="0" w:color="auto"/>
            </w:tcBorders>
          </w:tcPr>
          <w:p w:rsidR="00B00804" w:rsidRPr="003602E6" w:rsidRDefault="00B00804" w:rsidP="00BB49EA">
            <w:pPr>
              <w:spacing w:after="0" w:line="240" w:lineRule="auto"/>
              <w:rPr>
                <w:b/>
              </w:rPr>
            </w:pPr>
            <w:r w:rsidRPr="003602E6">
              <w:rPr>
                <w:b/>
              </w:rPr>
              <w:t>24</w:t>
            </w:r>
          </w:p>
        </w:tc>
      </w:tr>
    </w:tbl>
    <w:p w:rsidR="00B00804" w:rsidRDefault="00B00804" w:rsidP="00B00804">
      <w:pPr>
        <w:sectPr w:rsidR="00B00804" w:rsidSect="00BB49EA">
          <w:pgSz w:w="11906" w:h="16838"/>
          <w:pgMar w:top="1440" w:right="1440" w:bottom="1440" w:left="1440" w:header="708" w:footer="708" w:gutter="0"/>
          <w:cols w:space="708"/>
          <w:docGrid w:linePitch="360"/>
        </w:sectPr>
      </w:pPr>
    </w:p>
    <w:p w:rsidR="00B00804" w:rsidRDefault="00F405D1" w:rsidP="0034707C">
      <w:pPr>
        <w:spacing w:after="0" w:line="240" w:lineRule="auto"/>
      </w:pPr>
      <w:r>
        <w:rPr>
          <w:noProof/>
          <w:lang w:eastAsia="en-AU"/>
        </w:rPr>
        <w:drawing>
          <wp:inline distT="0" distB="0" distL="0" distR="0">
            <wp:extent cx="9310370" cy="4695825"/>
            <wp:effectExtent l="0" t="0" r="5080" b="9525"/>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9330308" cy="470588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00804" w:rsidRPr="009C69C3" w:rsidRDefault="00B00804" w:rsidP="00B00804">
      <w:pPr>
        <w:spacing w:after="120" w:line="240" w:lineRule="auto"/>
        <w:rPr>
          <w:sz w:val="20"/>
        </w:rPr>
      </w:pPr>
      <w:r w:rsidRPr="009C69C3">
        <w:rPr>
          <w:b/>
          <w:sz w:val="20"/>
        </w:rPr>
        <w:t xml:space="preserve">Figure </w:t>
      </w:r>
      <w:r w:rsidR="00621059">
        <w:rPr>
          <w:b/>
          <w:sz w:val="20"/>
        </w:rPr>
        <w:t>8.</w:t>
      </w:r>
      <w:r w:rsidRPr="009C69C3">
        <w:rPr>
          <w:b/>
          <w:sz w:val="20"/>
        </w:rPr>
        <w:t>2.</w:t>
      </w:r>
      <w:r w:rsidRPr="009C69C3">
        <w:rPr>
          <w:sz w:val="20"/>
        </w:rPr>
        <w:t xml:space="preserve"> Mean percent cover </w:t>
      </w:r>
      <w:r w:rsidRPr="00E56E9F">
        <w:rPr>
          <w:sz w:val="20"/>
        </w:rPr>
        <w:t xml:space="preserve">(±SE) </w:t>
      </w:r>
      <w:r w:rsidRPr="009C69C3">
        <w:rPr>
          <w:sz w:val="20"/>
        </w:rPr>
        <w:t>of ten most abundant riverbank and aquatic vegetation taxa monitored monthly at 16 sites across 4 hydrological zones in the Edward-Wakool system between October 2014 and June 2015.</w:t>
      </w:r>
      <w:r>
        <w:rPr>
          <w:sz w:val="20"/>
        </w:rPr>
        <w:t xml:space="preserve"> Transect 1 was lowest on the river bank. </w:t>
      </w:r>
    </w:p>
    <w:p w:rsidR="00B00804" w:rsidRDefault="00B00804" w:rsidP="00B00804">
      <w:pPr>
        <w:sectPr w:rsidR="00B00804" w:rsidSect="00BB49EA">
          <w:pgSz w:w="16838" w:h="11906" w:orient="landscape"/>
          <w:pgMar w:top="1440" w:right="1440" w:bottom="1440" w:left="1440" w:header="708" w:footer="708" w:gutter="0"/>
          <w:cols w:space="708"/>
          <w:docGrid w:linePitch="360"/>
        </w:sectPr>
      </w:pPr>
    </w:p>
    <w:p w:rsidR="00B00804" w:rsidRDefault="004446CF" w:rsidP="00BB3E4C">
      <w:pPr>
        <w:spacing w:after="120" w:line="240" w:lineRule="auto"/>
      </w:pPr>
      <w:r>
        <w:rPr>
          <w:noProof/>
          <w:lang w:eastAsia="en-AU"/>
        </w:rPr>
        <w:drawing>
          <wp:inline distT="0" distB="0" distL="0" distR="0">
            <wp:extent cx="5695580" cy="7391400"/>
            <wp:effectExtent l="0" t="0" r="635"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05682" cy="7404510"/>
                    </a:xfrm>
                    <a:prstGeom prst="rect">
                      <a:avLst/>
                    </a:prstGeom>
                    <a:noFill/>
                  </pic:spPr>
                </pic:pic>
              </a:graphicData>
            </a:graphic>
          </wp:inline>
        </w:drawing>
      </w:r>
    </w:p>
    <w:p w:rsidR="00B00804" w:rsidRPr="00EC5B18" w:rsidRDefault="00B00804" w:rsidP="00B00804">
      <w:pPr>
        <w:spacing w:line="240" w:lineRule="auto"/>
        <w:rPr>
          <w:sz w:val="20"/>
        </w:rPr>
      </w:pPr>
      <w:r>
        <w:rPr>
          <w:b/>
          <w:sz w:val="20"/>
        </w:rPr>
        <w:t xml:space="preserve">Figure </w:t>
      </w:r>
      <w:r w:rsidR="00621059">
        <w:rPr>
          <w:b/>
          <w:sz w:val="20"/>
        </w:rPr>
        <w:t>8.</w:t>
      </w:r>
      <w:r>
        <w:rPr>
          <w:b/>
          <w:sz w:val="20"/>
        </w:rPr>
        <w:t>3</w:t>
      </w:r>
      <w:r w:rsidRPr="00C077D9">
        <w:rPr>
          <w:b/>
          <w:sz w:val="20"/>
        </w:rPr>
        <w:t>.</w:t>
      </w:r>
      <w:r w:rsidRPr="00C077D9">
        <w:rPr>
          <w:sz w:val="20"/>
        </w:rPr>
        <w:t xml:space="preserve"> Photos of aquatic and riverbank vegetation in the Edward-Wakool system</w:t>
      </w:r>
      <w:r>
        <w:rPr>
          <w:sz w:val="20"/>
        </w:rPr>
        <w:t xml:space="preserve"> in 2014-15</w:t>
      </w:r>
      <w:r w:rsidRPr="00C077D9">
        <w:rPr>
          <w:sz w:val="20"/>
        </w:rPr>
        <w:t>. a)</w:t>
      </w:r>
      <w:r>
        <w:rPr>
          <w:sz w:val="20"/>
        </w:rPr>
        <w:t xml:space="preserve"> </w:t>
      </w:r>
      <w:r w:rsidRPr="00C077D9">
        <w:rPr>
          <w:sz w:val="20"/>
        </w:rPr>
        <w:t xml:space="preserve">The charophyte </w:t>
      </w:r>
      <w:r w:rsidRPr="00C077D9">
        <w:rPr>
          <w:i/>
          <w:sz w:val="20"/>
        </w:rPr>
        <w:t>Chara</w:t>
      </w:r>
      <w:r w:rsidRPr="00C077D9">
        <w:rPr>
          <w:sz w:val="20"/>
        </w:rPr>
        <w:t xml:space="preserve"> sp</w:t>
      </w:r>
      <w:r>
        <w:rPr>
          <w:sz w:val="20"/>
        </w:rPr>
        <w:t>p.</w:t>
      </w:r>
      <w:r w:rsidRPr="00C077D9">
        <w:rPr>
          <w:sz w:val="20"/>
        </w:rPr>
        <w:t xml:space="preserve"> growing at t</w:t>
      </w:r>
      <w:r>
        <w:rPr>
          <w:sz w:val="20"/>
        </w:rPr>
        <w:t>he edge of the water at site 1</w:t>
      </w:r>
      <w:r w:rsidRPr="00C077D9">
        <w:rPr>
          <w:sz w:val="20"/>
        </w:rPr>
        <w:t xml:space="preserve"> zone 3 </w:t>
      </w:r>
      <w:r w:rsidRPr="00C12569">
        <w:rPr>
          <w:sz w:val="20"/>
        </w:rPr>
        <w:t>in November 2014.</w:t>
      </w:r>
      <w:r w:rsidRPr="00C077D9">
        <w:rPr>
          <w:sz w:val="20"/>
        </w:rPr>
        <w:t xml:space="preserve"> b) Small</w:t>
      </w:r>
      <w:r>
        <w:rPr>
          <w:sz w:val="20"/>
        </w:rPr>
        <w:t xml:space="preserve"> </w:t>
      </w:r>
      <w:r w:rsidRPr="00F6109C">
        <w:rPr>
          <w:i/>
          <w:sz w:val="20"/>
        </w:rPr>
        <w:t>Eleocharis</w:t>
      </w:r>
      <w:r w:rsidRPr="00C077D9">
        <w:rPr>
          <w:sz w:val="20"/>
        </w:rPr>
        <w:t xml:space="preserve"> </w:t>
      </w:r>
      <w:r w:rsidRPr="00C12569">
        <w:rPr>
          <w:i/>
          <w:sz w:val="20"/>
        </w:rPr>
        <w:t>acuta</w:t>
      </w:r>
      <w:r>
        <w:rPr>
          <w:sz w:val="20"/>
        </w:rPr>
        <w:t xml:space="preserve"> </w:t>
      </w:r>
      <w:r w:rsidRPr="00C077D9">
        <w:rPr>
          <w:sz w:val="20"/>
        </w:rPr>
        <w:t xml:space="preserve">plants sprouting </w:t>
      </w:r>
      <w:r>
        <w:rPr>
          <w:sz w:val="20"/>
        </w:rPr>
        <w:t>on the</w:t>
      </w:r>
      <w:r w:rsidRPr="00C077D9">
        <w:rPr>
          <w:sz w:val="20"/>
        </w:rPr>
        <w:t xml:space="preserve"> edge </w:t>
      </w:r>
      <w:r w:rsidRPr="00C12569">
        <w:rPr>
          <w:sz w:val="20"/>
        </w:rPr>
        <w:t>of zone 3 site 3</w:t>
      </w:r>
      <w:r w:rsidRPr="00C077D9">
        <w:rPr>
          <w:sz w:val="20"/>
        </w:rPr>
        <w:t xml:space="preserve"> following the recession of environmental water. c) </w:t>
      </w:r>
      <w:r w:rsidRPr="00C12569">
        <w:rPr>
          <w:i/>
          <w:sz w:val="20"/>
        </w:rPr>
        <w:t>Azolla</w:t>
      </w:r>
      <w:r w:rsidRPr="00C077D9">
        <w:rPr>
          <w:sz w:val="20"/>
        </w:rPr>
        <w:t xml:space="preserve"> </w:t>
      </w:r>
      <w:r>
        <w:rPr>
          <w:sz w:val="20"/>
        </w:rPr>
        <w:t xml:space="preserve">spp. </w:t>
      </w:r>
      <w:r w:rsidRPr="00C077D9">
        <w:rPr>
          <w:sz w:val="20"/>
        </w:rPr>
        <w:t>in</w:t>
      </w:r>
      <w:r>
        <w:rPr>
          <w:sz w:val="20"/>
        </w:rPr>
        <w:t>creased during lower flows,</w:t>
      </w:r>
      <w:r w:rsidRPr="00C077D9">
        <w:rPr>
          <w:sz w:val="20"/>
        </w:rPr>
        <w:t xml:space="preserve"> d) </w:t>
      </w:r>
      <w:r w:rsidRPr="00F6109C">
        <w:rPr>
          <w:i/>
          <w:sz w:val="20"/>
        </w:rPr>
        <w:t>Potamogeton</w:t>
      </w:r>
      <w:r w:rsidRPr="00C077D9">
        <w:rPr>
          <w:sz w:val="20"/>
        </w:rPr>
        <w:t xml:space="preserve"> </w:t>
      </w:r>
      <w:r w:rsidRPr="00F6109C">
        <w:rPr>
          <w:i/>
          <w:sz w:val="20"/>
        </w:rPr>
        <w:t xml:space="preserve">tricarinatus </w:t>
      </w:r>
      <w:r>
        <w:rPr>
          <w:sz w:val="20"/>
        </w:rPr>
        <w:t xml:space="preserve">leaves turning brown </w:t>
      </w:r>
      <w:r w:rsidRPr="00C077D9">
        <w:rPr>
          <w:sz w:val="20"/>
        </w:rPr>
        <w:t xml:space="preserve">at onset of winter </w:t>
      </w:r>
      <w:r>
        <w:rPr>
          <w:sz w:val="20"/>
        </w:rPr>
        <w:t xml:space="preserve">e) exposed </w:t>
      </w:r>
      <w:r w:rsidRPr="00F6109C">
        <w:rPr>
          <w:i/>
          <w:sz w:val="20"/>
        </w:rPr>
        <w:t>Myriophyllum</w:t>
      </w:r>
      <w:r>
        <w:rPr>
          <w:sz w:val="20"/>
        </w:rPr>
        <w:t xml:space="preserve"> spp., and f) d</w:t>
      </w:r>
      <w:r w:rsidRPr="00C077D9">
        <w:rPr>
          <w:sz w:val="20"/>
        </w:rPr>
        <w:t xml:space="preserve">ry river bed at </w:t>
      </w:r>
      <w:r w:rsidRPr="00C12569">
        <w:rPr>
          <w:sz w:val="20"/>
        </w:rPr>
        <w:t>zone 3 site 3</w:t>
      </w:r>
      <w:r w:rsidRPr="00C077D9">
        <w:rPr>
          <w:sz w:val="20"/>
        </w:rPr>
        <w:t xml:space="preserve"> in June 2015 dur</w:t>
      </w:r>
      <w:r>
        <w:rPr>
          <w:sz w:val="20"/>
        </w:rPr>
        <w:t>ing period of no flow.</w:t>
      </w:r>
    </w:p>
    <w:p w:rsidR="00B00804" w:rsidRPr="00943142" w:rsidRDefault="00B00804" w:rsidP="00F841A9">
      <w:pPr>
        <w:spacing w:after="240"/>
        <w:jc w:val="left"/>
        <w:rPr>
          <w:i/>
        </w:rPr>
      </w:pPr>
      <w:r>
        <w:rPr>
          <w:i/>
        </w:rPr>
        <w:br w:type="page"/>
        <w:t xml:space="preserve">Change in total percent cover of </w:t>
      </w:r>
      <w:r w:rsidRPr="00943142">
        <w:rPr>
          <w:i/>
        </w:rPr>
        <w:t>riverbank and aquatic vegetation</w:t>
      </w:r>
      <w:r>
        <w:rPr>
          <w:i/>
        </w:rPr>
        <w:t xml:space="preserve"> in response to Commonwealth environmental watering</w:t>
      </w:r>
    </w:p>
    <w:p w:rsidR="00B00804" w:rsidRDefault="00B00804" w:rsidP="00F841A9">
      <w:pPr>
        <w:spacing w:after="240"/>
        <w:jc w:val="left"/>
      </w:pPr>
      <w:r>
        <w:rPr>
          <w:rFonts w:cs="Calibri"/>
        </w:rPr>
        <w:t xml:space="preserve">It was </w:t>
      </w:r>
      <w:r w:rsidRPr="005866A7">
        <w:rPr>
          <w:rFonts w:cs="Calibri"/>
        </w:rPr>
        <w:t xml:space="preserve">hypothesised that the </w:t>
      </w:r>
      <w:r>
        <w:rPr>
          <w:rFonts w:cs="Calibri"/>
        </w:rPr>
        <w:t>cover of</w:t>
      </w:r>
      <w:r w:rsidRPr="005866A7">
        <w:rPr>
          <w:rFonts w:cs="Calibri"/>
        </w:rPr>
        <w:t xml:space="preserve"> </w:t>
      </w:r>
      <w:r>
        <w:rPr>
          <w:rFonts w:cs="Calibri"/>
        </w:rPr>
        <w:t>riverbank and aquatic vegetation</w:t>
      </w:r>
      <w:r w:rsidRPr="005866A7">
        <w:rPr>
          <w:rFonts w:cs="Calibri"/>
        </w:rPr>
        <w:t xml:space="preserve"> </w:t>
      </w:r>
      <w:r>
        <w:rPr>
          <w:rFonts w:cs="Calibri"/>
        </w:rPr>
        <w:t>in</w:t>
      </w:r>
      <w:r w:rsidRPr="005866A7">
        <w:rPr>
          <w:rFonts w:cs="Calibri"/>
        </w:rPr>
        <w:t xml:space="preserve"> 2014-15 </w:t>
      </w:r>
      <w:r>
        <w:rPr>
          <w:rFonts w:cs="Calibri"/>
        </w:rPr>
        <w:t>would be significantly higher in the hydrological zones</w:t>
      </w:r>
      <w:r w:rsidRPr="005866A7">
        <w:rPr>
          <w:rFonts w:cs="Calibri"/>
        </w:rPr>
        <w:t xml:space="preserve"> that received environmental water compared to </w:t>
      </w:r>
      <w:r>
        <w:rPr>
          <w:rFonts w:cs="Calibri"/>
        </w:rPr>
        <w:t xml:space="preserve">the </w:t>
      </w:r>
      <w:r w:rsidR="009F4D23">
        <w:rPr>
          <w:rFonts w:cs="Calibri"/>
        </w:rPr>
        <w:t>Wakool River (z</w:t>
      </w:r>
      <w:r w:rsidRPr="005866A7">
        <w:rPr>
          <w:rFonts w:cs="Calibri"/>
        </w:rPr>
        <w:t>one 2) that did not</w:t>
      </w:r>
      <w:r>
        <w:rPr>
          <w:rFonts w:cs="Calibri"/>
        </w:rPr>
        <w:t xml:space="preserve"> receive environmental water</w:t>
      </w:r>
      <w:r w:rsidRPr="005866A7">
        <w:rPr>
          <w:rFonts w:cs="Calibri"/>
        </w:rPr>
        <w:t>.</w:t>
      </w:r>
      <w:r>
        <w:rPr>
          <w:rFonts w:cs="Calibri"/>
        </w:rPr>
        <w:t xml:space="preserve"> Results of the ANOVA partially support this hypothesis </w:t>
      </w:r>
      <w:r>
        <w:t xml:space="preserve">(Table </w:t>
      </w:r>
      <w:r w:rsidR="00621059">
        <w:t>8.</w:t>
      </w:r>
      <w:r>
        <w:t xml:space="preserve">2, Figure </w:t>
      </w:r>
      <w:r w:rsidR="00621059">
        <w:t>8.</w:t>
      </w:r>
      <w:r>
        <w:t>4). There was</w:t>
      </w:r>
      <w:r w:rsidRPr="007D60DE">
        <w:t xml:space="preserve"> </w:t>
      </w:r>
      <w:r>
        <w:t xml:space="preserve">a significantly higher </w:t>
      </w:r>
      <w:r w:rsidRPr="007D60DE">
        <w:t xml:space="preserve">percent cover of instream aquatic vegetation growing </w:t>
      </w:r>
      <w:r>
        <w:t xml:space="preserve">in the Wakool River zones 3 and 4 that received Commonwealth </w:t>
      </w:r>
      <w:r w:rsidRPr="007D60DE">
        <w:t>environmental wat</w:t>
      </w:r>
      <w:r>
        <w:t xml:space="preserve">er compared to zone 2 that did not receive environmental water (F=21.548, P&lt; 0.001). The total percent cover of vegetation in Yallakool Creek that received environmental water was not significantly higher than that in the Wakool River zone 2. </w:t>
      </w:r>
    </w:p>
    <w:p w:rsidR="00B00804" w:rsidRDefault="00B00804" w:rsidP="00B00804">
      <w:pPr>
        <w:spacing w:after="0" w:line="240" w:lineRule="auto"/>
      </w:pPr>
      <w:r w:rsidRPr="00E25695">
        <w:rPr>
          <w:noProof/>
          <w:lang w:eastAsia="en-AU"/>
        </w:rPr>
        <w:drawing>
          <wp:inline distT="0" distB="0" distL="0" distR="0">
            <wp:extent cx="4720856" cy="2488019"/>
            <wp:effectExtent l="0" t="0" r="3810" b="7620"/>
            <wp:docPr id="854" name="Picture 8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8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758"/>
                    <a:stretch>
                      <a:fillRect/>
                    </a:stretch>
                  </pic:blipFill>
                  <pic:spPr bwMode="auto">
                    <a:xfrm>
                      <a:off x="0" y="0"/>
                      <a:ext cx="4724007" cy="2489680"/>
                    </a:xfrm>
                    <a:prstGeom prst="rect">
                      <a:avLst/>
                    </a:prstGeom>
                    <a:noFill/>
                    <a:ln>
                      <a:noFill/>
                    </a:ln>
                  </pic:spPr>
                </pic:pic>
              </a:graphicData>
            </a:graphic>
          </wp:inline>
        </w:drawing>
      </w:r>
    </w:p>
    <w:p w:rsidR="00B00804" w:rsidRDefault="00B00804" w:rsidP="00F841A9">
      <w:pPr>
        <w:spacing w:after="240" w:line="240" w:lineRule="auto"/>
      </w:pPr>
      <w:r>
        <w:rPr>
          <w:b/>
          <w:sz w:val="20"/>
        </w:rPr>
        <w:t xml:space="preserve">Figure </w:t>
      </w:r>
      <w:r w:rsidR="00621059">
        <w:rPr>
          <w:b/>
          <w:sz w:val="20"/>
        </w:rPr>
        <w:t>8.</w:t>
      </w:r>
      <w:r>
        <w:rPr>
          <w:b/>
          <w:sz w:val="20"/>
        </w:rPr>
        <w:t>4</w:t>
      </w:r>
      <w:r w:rsidRPr="00E56E9F">
        <w:rPr>
          <w:b/>
          <w:sz w:val="20"/>
        </w:rPr>
        <w:t xml:space="preserve">: </w:t>
      </w:r>
      <w:r w:rsidRPr="00E56E9F">
        <w:rPr>
          <w:sz w:val="20"/>
        </w:rPr>
        <w:t xml:space="preserve">Mean </w:t>
      </w:r>
      <w:r>
        <w:rPr>
          <w:sz w:val="20"/>
        </w:rPr>
        <w:t>percent cover</w:t>
      </w:r>
      <w:r w:rsidRPr="00E56E9F">
        <w:rPr>
          <w:sz w:val="20"/>
        </w:rPr>
        <w:t xml:space="preserve"> (±SE) of </w:t>
      </w:r>
      <w:r>
        <w:rPr>
          <w:sz w:val="20"/>
        </w:rPr>
        <w:t>riverbank and aquatic vegetation</w:t>
      </w:r>
      <w:r w:rsidRPr="00E56E9F">
        <w:rPr>
          <w:sz w:val="20"/>
        </w:rPr>
        <w:t xml:space="preserve"> sampled in 2014-2-15 in t</w:t>
      </w:r>
      <w:r>
        <w:rPr>
          <w:sz w:val="20"/>
        </w:rPr>
        <w:t xml:space="preserve">he Edward-Wakool Selected Area. Yallakool Creek and the Wakool River zones 3 and 4 received Commonwealth environmental water in 2014-15 </w:t>
      </w:r>
      <w:r w:rsidR="000E1469">
        <w:rPr>
          <w:sz w:val="20"/>
        </w:rPr>
        <w:t xml:space="preserve">(black bars) </w:t>
      </w:r>
      <w:r>
        <w:rPr>
          <w:sz w:val="20"/>
        </w:rPr>
        <w:t>and Wakool River zone 2 did not receive environmental water</w:t>
      </w:r>
      <w:r w:rsidR="000E1469">
        <w:rPr>
          <w:sz w:val="20"/>
        </w:rPr>
        <w:t xml:space="preserve"> (white bar)</w:t>
      </w:r>
      <w:r>
        <w:rPr>
          <w:sz w:val="20"/>
        </w:rPr>
        <w:t xml:space="preserve">. </w:t>
      </w:r>
      <w:proofErr w:type="gramStart"/>
      <w:r w:rsidR="000E1469" w:rsidRPr="007819D2">
        <w:rPr>
          <w:sz w:val="20"/>
        </w:rPr>
        <w:t>A and</w:t>
      </w:r>
      <w:proofErr w:type="gramEnd"/>
      <w:r w:rsidR="000E1469" w:rsidRPr="007819D2">
        <w:rPr>
          <w:sz w:val="20"/>
        </w:rPr>
        <w:t xml:space="preserve"> B denotes unique subsets based on posthoc tests.</w:t>
      </w:r>
    </w:p>
    <w:p w:rsidR="00B00804" w:rsidRDefault="00B00804" w:rsidP="00F841A9">
      <w:pPr>
        <w:spacing w:after="240"/>
        <w:jc w:val="left"/>
        <w:rPr>
          <w:rFonts w:cs="Calibri"/>
        </w:rPr>
      </w:pPr>
      <w:r w:rsidRPr="000F766D">
        <w:rPr>
          <w:rFonts w:cs="Calibri"/>
        </w:rPr>
        <w:t>The re</w:t>
      </w:r>
      <w:r>
        <w:rPr>
          <w:rFonts w:cs="Calibri"/>
        </w:rPr>
        <w:t xml:space="preserve">sponse of </w:t>
      </w:r>
      <w:r w:rsidRPr="000F766D">
        <w:rPr>
          <w:rFonts w:cs="Calibri"/>
        </w:rPr>
        <w:t xml:space="preserve">vegetation to environmental </w:t>
      </w:r>
      <w:r>
        <w:rPr>
          <w:rFonts w:cs="Calibri"/>
        </w:rPr>
        <w:t>watering</w:t>
      </w:r>
      <w:r w:rsidRPr="000F766D">
        <w:rPr>
          <w:rFonts w:cs="Calibri"/>
        </w:rPr>
        <w:t xml:space="preserve"> was </w:t>
      </w:r>
      <w:r>
        <w:rPr>
          <w:rFonts w:cs="Calibri"/>
        </w:rPr>
        <w:t xml:space="preserve">strongly </w:t>
      </w:r>
      <w:r w:rsidRPr="000F766D">
        <w:rPr>
          <w:rFonts w:cs="Calibri"/>
        </w:rPr>
        <w:t>influenced by geomorphology, with a significant positive correlation between percent cover of vegetation and average wetted ben</w:t>
      </w:r>
      <w:r>
        <w:rPr>
          <w:rFonts w:cs="Calibri"/>
        </w:rPr>
        <w:t xml:space="preserve">thic area estimated for the discharge experienced between August 2014 and January 2015 during the environmental watering action (Figure </w:t>
      </w:r>
      <w:r w:rsidR="00621059">
        <w:rPr>
          <w:rFonts w:cs="Calibri"/>
        </w:rPr>
        <w:t>8.</w:t>
      </w:r>
      <w:r>
        <w:rPr>
          <w:rFonts w:cs="Calibri"/>
        </w:rPr>
        <w:t>5)</w:t>
      </w:r>
      <w:r w:rsidRPr="000F766D">
        <w:rPr>
          <w:rFonts w:cs="Calibri"/>
        </w:rPr>
        <w:t xml:space="preserve">. </w:t>
      </w:r>
      <w:r>
        <w:rPr>
          <w:rFonts w:cs="Calibri"/>
        </w:rPr>
        <w:t>Zone 2 that did not receive environmental water had the smallest wetted benthic area. This relationship helps explain the different responses of aquatic and riverbank vegetation to environmental watering in different hydrological zones.</w:t>
      </w:r>
    </w:p>
    <w:p w:rsidR="00B00804" w:rsidRDefault="00B00804" w:rsidP="00B00804">
      <w:pPr>
        <w:spacing w:after="0" w:line="240" w:lineRule="auto"/>
        <w:rPr>
          <w:rFonts w:cs="Calibri"/>
        </w:rPr>
      </w:pPr>
      <w:r w:rsidRPr="00E25695">
        <w:rPr>
          <w:noProof/>
          <w:lang w:eastAsia="en-AU"/>
        </w:rPr>
        <w:drawing>
          <wp:inline distT="0" distB="0" distL="0" distR="0">
            <wp:extent cx="4536000" cy="2484000"/>
            <wp:effectExtent l="0" t="0" r="0" b="0"/>
            <wp:docPr id="855" name="Picture 8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rotWithShape="1">
                    <a:blip r:embed="rId8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56" b="3726"/>
                    <a:stretch/>
                  </pic:blipFill>
                  <pic:spPr bwMode="auto">
                    <a:xfrm>
                      <a:off x="0" y="0"/>
                      <a:ext cx="4536000" cy="2484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00804" w:rsidRPr="004426B4" w:rsidRDefault="00B00804" w:rsidP="00B00804">
      <w:pPr>
        <w:spacing w:after="240" w:line="240" w:lineRule="auto"/>
        <w:rPr>
          <w:sz w:val="20"/>
        </w:rPr>
      </w:pPr>
      <w:r>
        <w:rPr>
          <w:b/>
          <w:sz w:val="20"/>
        </w:rPr>
        <w:t xml:space="preserve">Figure </w:t>
      </w:r>
      <w:r w:rsidR="00621059">
        <w:rPr>
          <w:b/>
          <w:sz w:val="20"/>
        </w:rPr>
        <w:t>8.</w:t>
      </w:r>
      <w:r>
        <w:rPr>
          <w:b/>
          <w:sz w:val="20"/>
        </w:rPr>
        <w:t>5</w:t>
      </w:r>
      <w:r w:rsidRPr="004426B4">
        <w:rPr>
          <w:b/>
          <w:sz w:val="20"/>
        </w:rPr>
        <w:t xml:space="preserve">: </w:t>
      </w:r>
      <w:r>
        <w:rPr>
          <w:sz w:val="20"/>
        </w:rPr>
        <w:t>Relationship between mean wetted benthic area (m</w:t>
      </w:r>
      <w:r w:rsidRPr="000F766D">
        <w:rPr>
          <w:sz w:val="20"/>
          <w:vertAlign w:val="superscript"/>
        </w:rPr>
        <w:t>2</w:t>
      </w:r>
      <w:r>
        <w:rPr>
          <w:sz w:val="20"/>
        </w:rPr>
        <w:t>) for each hydrological zone and average percent</w:t>
      </w:r>
      <w:r w:rsidRPr="004426B4">
        <w:rPr>
          <w:sz w:val="20"/>
        </w:rPr>
        <w:t xml:space="preserve"> cover (±SE) of riverbank and aquatic vegetation sampled in 2014-2-15 in </w:t>
      </w:r>
      <w:r>
        <w:rPr>
          <w:sz w:val="20"/>
        </w:rPr>
        <w:t>the Edward-Wakool Selected Area.</w:t>
      </w:r>
    </w:p>
    <w:p w:rsidR="00B00804" w:rsidRPr="00943142" w:rsidRDefault="00B00804" w:rsidP="00BB3E4C">
      <w:pPr>
        <w:spacing w:after="240" w:line="240" w:lineRule="auto"/>
        <w:rPr>
          <w:i/>
        </w:rPr>
      </w:pPr>
      <w:r>
        <w:rPr>
          <w:i/>
        </w:rPr>
        <w:t xml:space="preserve">Change in total percent cover of individual taxa of </w:t>
      </w:r>
      <w:r w:rsidRPr="00943142">
        <w:rPr>
          <w:i/>
        </w:rPr>
        <w:t>riverbank and aquatic vegetation</w:t>
      </w:r>
      <w:r>
        <w:rPr>
          <w:i/>
        </w:rPr>
        <w:t xml:space="preserve"> in response to Commonwealth environmental watering</w:t>
      </w:r>
    </w:p>
    <w:p w:rsidR="00B00804" w:rsidRDefault="00BB3E4C" w:rsidP="00F841A9">
      <w:pPr>
        <w:spacing w:after="0"/>
      </w:pPr>
      <w:r>
        <w:t>There were three types of responses of i</w:t>
      </w:r>
      <w:r w:rsidR="00B00804">
        <w:t>ndividual taxa to Commo</w:t>
      </w:r>
      <w:r>
        <w:t>nwealth environmental watering</w:t>
      </w:r>
      <w:r w:rsidR="00B00804">
        <w:t>:</w:t>
      </w:r>
    </w:p>
    <w:p w:rsidR="00B00804" w:rsidRDefault="00B00804" w:rsidP="00F841A9">
      <w:pPr>
        <w:numPr>
          <w:ilvl w:val="0"/>
          <w:numId w:val="23"/>
        </w:numPr>
        <w:spacing w:after="0"/>
        <w:jc w:val="left"/>
      </w:pPr>
      <w:r>
        <w:t xml:space="preserve">Responses for some taxa partially supported the hypothesis. For example, </w:t>
      </w:r>
      <w:r w:rsidR="000E1469">
        <w:rPr>
          <w:i/>
        </w:rPr>
        <w:t>P. tricarinatus</w:t>
      </w:r>
      <w:r>
        <w:t xml:space="preserve"> and </w:t>
      </w:r>
      <w:r>
        <w:rPr>
          <w:i/>
        </w:rPr>
        <w:t>Myriophyllum</w:t>
      </w:r>
      <w:r>
        <w:t xml:space="preserve"> </w:t>
      </w:r>
      <w:r w:rsidR="000E1469">
        <w:t xml:space="preserve">spp. </w:t>
      </w:r>
      <w:r>
        <w:t>had significantly higher cover in Wakool River zone 3 compared to all other zones</w:t>
      </w:r>
      <w:r w:rsidR="00356440">
        <w:t xml:space="preserve"> and were absent from zone 2</w:t>
      </w:r>
      <w:r>
        <w:t xml:space="preserve">. </w:t>
      </w:r>
      <w:r w:rsidRPr="003029FA">
        <w:rPr>
          <w:i/>
        </w:rPr>
        <w:t>Chara</w:t>
      </w:r>
      <w:r>
        <w:t xml:space="preserve"> spp., </w:t>
      </w:r>
      <w:r w:rsidR="00356440">
        <w:rPr>
          <w:i/>
        </w:rPr>
        <w:t>E. acuta, C, cunninghamii</w:t>
      </w:r>
      <w:r>
        <w:rPr>
          <w:i/>
        </w:rPr>
        <w:t xml:space="preserve">, </w:t>
      </w:r>
      <w:r w:rsidR="00356440">
        <w:rPr>
          <w:i/>
          <w:color w:val="000000"/>
        </w:rPr>
        <w:t>P. spinescens</w:t>
      </w:r>
      <w:r w:rsidR="000E1469">
        <w:rPr>
          <w:i/>
          <w:color w:val="000000"/>
        </w:rPr>
        <w:t xml:space="preserve"> </w:t>
      </w:r>
      <w:r>
        <w:t xml:space="preserve">and grass </w:t>
      </w:r>
      <w:r w:rsidR="00356440">
        <w:t>had</w:t>
      </w:r>
      <w:r>
        <w:t xml:space="preserve"> increased cover of aquatic and riverbank taxa in one or more of the hydrological zones that received environmental water, compared to zone 2 that did n</w:t>
      </w:r>
      <w:r w:rsidR="00356440">
        <w:t>ot receive environmental water.</w:t>
      </w:r>
    </w:p>
    <w:p w:rsidR="00B00804" w:rsidRDefault="00B00804" w:rsidP="00F841A9">
      <w:pPr>
        <w:numPr>
          <w:ilvl w:val="0"/>
          <w:numId w:val="23"/>
        </w:numPr>
        <w:spacing w:after="0"/>
        <w:jc w:val="left"/>
      </w:pPr>
      <w:r>
        <w:t xml:space="preserve">For terrestrial grasses there were significant differences in percent cover among zones, but the zones receiving environmental water was not </w:t>
      </w:r>
      <w:r w:rsidR="00C031D1">
        <w:t>different</w:t>
      </w:r>
      <w:r>
        <w:t xml:space="preserve"> to zone 2 (Table </w:t>
      </w:r>
      <w:r w:rsidR="00BB3E4C">
        <w:t>8.</w:t>
      </w:r>
      <w:r>
        <w:t xml:space="preserve">2, Figure </w:t>
      </w:r>
      <w:r w:rsidR="00621059">
        <w:t>8.</w:t>
      </w:r>
      <w:r w:rsidR="00C031D1">
        <w:t>6).</w:t>
      </w:r>
    </w:p>
    <w:p w:rsidR="00B00804" w:rsidRDefault="00B00804" w:rsidP="00F841A9">
      <w:pPr>
        <w:numPr>
          <w:ilvl w:val="0"/>
          <w:numId w:val="23"/>
        </w:numPr>
        <w:spacing w:after="120"/>
        <w:jc w:val="left"/>
      </w:pPr>
      <w:r>
        <w:t xml:space="preserve">For </w:t>
      </w:r>
      <w:r w:rsidRPr="000A2735">
        <w:rPr>
          <w:i/>
        </w:rPr>
        <w:t>Juncus</w:t>
      </w:r>
      <w:r>
        <w:rPr>
          <w:i/>
        </w:rPr>
        <w:t xml:space="preserve"> </w:t>
      </w:r>
      <w:r>
        <w:t xml:space="preserve">spp there was no difference in mean percent cover among all zones (Table </w:t>
      </w:r>
      <w:r w:rsidR="00621059">
        <w:t>8.</w:t>
      </w:r>
      <w:r>
        <w:t>2).</w:t>
      </w:r>
    </w:p>
    <w:p w:rsidR="00B00804" w:rsidRDefault="00B00804" w:rsidP="00B00804">
      <w:pPr>
        <w:spacing w:before="120" w:after="0" w:line="240" w:lineRule="auto"/>
        <w:rPr>
          <w:sz w:val="20"/>
        </w:rPr>
      </w:pPr>
      <w:r w:rsidRPr="00D41BD4">
        <w:rPr>
          <w:b/>
          <w:sz w:val="20"/>
        </w:rPr>
        <w:t xml:space="preserve">Table </w:t>
      </w:r>
      <w:r w:rsidR="00621059">
        <w:rPr>
          <w:b/>
          <w:sz w:val="20"/>
        </w:rPr>
        <w:t>8.</w:t>
      </w:r>
      <w:r w:rsidRPr="00D41BD4">
        <w:rPr>
          <w:b/>
          <w:sz w:val="20"/>
        </w:rPr>
        <w:t>2</w:t>
      </w:r>
      <w:r w:rsidR="00621059">
        <w:rPr>
          <w:b/>
          <w:sz w:val="20"/>
        </w:rPr>
        <w:t>.</w:t>
      </w:r>
      <w:r w:rsidRPr="00D41BD4">
        <w:rPr>
          <w:sz w:val="20"/>
        </w:rPr>
        <w:t xml:space="preserve">  Resul</w:t>
      </w:r>
      <w:r>
        <w:rPr>
          <w:sz w:val="20"/>
        </w:rPr>
        <w:t>ts of one-way</w:t>
      </w:r>
      <w:r w:rsidRPr="00D41BD4">
        <w:rPr>
          <w:sz w:val="20"/>
        </w:rPr>
        <w:t xml:space="preserve"> ANOVAs comparing mean percent cover of a</w:t>
      </w:r>
      <w:r>
        <w:rPr>
          <w:sz w:val="20"/>
        </w:rPr>
        <w:t>quatic and riverbank vegetation</w:t>
      </w:r>
      <w:r w:rsidRPr="00D41BD4">
        <w:rPr>
          <w:sz w:val="20"/>
        </w:rPr>
        <w:t xml:space="preserve"> cover </w:t>
      </w:r>
      <w:r>
        <w:rPr>
          <w:sz w:val="20"/>
        </w:rPr>
        <w:t xml:space="preserve">of all taxa </w:t>
      </w:r>
      <w:r w:rsidRPr="004426B4">
        <w:rPr>
          <w:sz w:val="20"/>
        </w:rPr>
        <w:t xml:space="preserve">and </w:t>
      </w:r>
      <w:r>
        <w:rPr>
          <w:sz w:val="20"/>
        </w:rPr>
        <w:t>assessed individually for the eight</w:t>
      </w:r>
      <w:r>
        <w:rPr>
          <w:i/>
          <w:sz w:val="20"/>
        </w:rPr>
        <w:t xml:space="preserve"> </w:t>
      </w:r>
      <w:r>
        <w:rPr>
          <w:sz w:val="20"/>
        </w:rPr>
        <w:t xml:space="preserve">most common taxa </w:t>
      </w:r>
      <w:r w:rsidRPr="00D41BD4">
        <w:rPr>
          <w:sz w:val="20"/>
        </w:rPr>
        <w:t xml:space="preserve">across river zones for the </w:t>
      </w:r>
      <w:r>
        <w:rPr>
          <w:sz w:val="20"/>
        </w:rPr>
        <w:t>sampling period October 2014 to June 2015</w:t>
      </w:r>
      <w:r w:rsidRPr="00D41BD4">
        <w:rPr>
          <w:sz w:val="20"/>
        </w:rPr>
        <w:t xml:space="preserve">. </w:t>
      </w:r>
      <w:r w:rsidRPr="00D41BD4">
        <w:rPr>
          <w:i/>
          <w:sz w:val="20"/>
        </w:rPr>
        <w:t xml:space="preserve">P </w:t>
      </w:r>
      <w:r w:rsidRPr="00D41BD4">
        <w:rPr>
          <w:sz w:val="20"/>
        </w:rPr>
        <w:t>values &lt;0.05 indicates a significant difference in cover of vegetation among zones.</w:t>
      </w:r>
      <w:r>
        <w:rPr>
          <w:sz w:val="20"/>
        </w:rPr>
        <w:t xml:space="preserve"> </w:t>
      </w:r>
    </w:p>
    <w:tbl>
      <w:tblPr>
        <w:tblW w:w="0" w:type="auto"/>
        <w:tblLook w:val="04A0"/>
      </w:tblPr>
      <w:tblGrid>
        <w:gridCol w:w="3063"/>
        <w:gridCol w:w="1156"/>
        <w:gridCol w:w="2126"/>
        <w:gridCol w:w="1418"/>
        <w:gridCol w:w="1479"/>
      </w:tblGrid>
      <w:tr w:rsidR="00B00804" w:rsidRPr="00B750D6" w:rsidTr="000B78D1">
        <w:tc>
          <w:tcPr>
            <w:tcW w:w="3063" w:type="dxa"/>
            <w:tcBorders>
              <w:top w:val="single" w:sz="4" w:space="0" w:color="auto"/>
              <w:bottom w:val="single" w:sz="4" w:space="0" w:color="auto"/>
            </w:tcBorders>
            <w:shd w:val="clear" w:color="auto" w:fill="D6E3BC" w:themeFill="accent3" w:themeFillTint="66"/>
            <w:vAlign w:val="bottom"/>
          </w:tcPr>
          <w:p w:rsidR="00C71AD1" w:rsidRPr="004B7140" w:rsidRDefault="00B00804" w:rsidP="00B00804">
            <w:pPr>
              <w:spacing w:after="0" w:line="240" w:lineRule="auto"/>
            </w:pPr>
            <w:r>
              <w:t>Analysis</w:t>
            </w:r>
          </w:p>
        </w:tc>
        <w:tc>
          <w:tcPr>
            <w:tcW w:w="1156" w:type="dxa"/>
            <w:tcBorders>
              <w:top w:val="single" w:sz="4" w:space="0" w:color="auto"/>
              <w:bottom w:val="single" w:sz="4" w:space="0" w:color="auto"/>
            </w:tcBorders>
            <w:shd w:val="clear" w:color="auto" w:fill="D6E3BC" w:themeFill="accent3" w:themeFillTint="66"/>
            <w:vAlign w:val="bottom"/>
          </w:tcPr>
          <w:p w:rsidR="00B00804" w:rsidRPr="004B7140" w:rsidRDefault="00B00804" w:rsidP="00B00804">
            <w:pPr>
              <w:spacing w:after="0" w:line="240" w:lineRule="auto"/>
              <w:jc w:val="center"/>
            </w:pPr>
            <w:r w:rsidRPr="004B7140">
              <w:t>df</w:t>
            </w:r>
          </w:p>
        </w:tc>
        <w:tc>
          <w:tcPr>
            <w:tcW w:w="2126" w:type="dxa"/>
            <w:tcBorders>
              <w:top w:val="single" w:sz="4" w:space="0" w:color="auto"/>
              <w:bottom w:val="single" w:sz="4" w:space="0" w:color="auto"/>
            </w:tcBorders>
            <w:shd w:val="clear" w:color="auto" w:fill="D6E3BC" w:themeFill="accent3" w:themeFillTint="66"/>
            <w:vAlign w:val="bottom"/>
          </w:tcPr>
          <w:p w:rsidR="00B00804" w:rsidRPr="004B7140" w:rsidRDefault="00B00804" w:rsidP="00B00804">
            <w:pPr>
              <w:spacing w:after="0" w:line="240" w:lineRule="auto"/>
              <w:jc w:val="center"/>
            </w:pPr>
            <w:r w:rsidRPr="004B7140">
              <w:t>F-value</w:t>
            </w:r>
          </w:p>
        </w:tc>
        <w:tc>
          <w:tcPr>
            <w:tcW w:w="1418" w:type="dxa"/>
            <w:tcBorders>
              <w:top w:val="single" w:sz="4" w:space="0" w:color="auto"/>
              <w:bottom w:val="single" w:sz="4" w:space="0" w:color="auto"/>
            </w:tcBorders>
            <w:shd w:val="clear" w:color="auto" w:fill="D6E3BC" w:themeFill="accent3" w:themeFillTint="66"/>
            <w:vAlign w:val="bottom"/>
          </w:tcPr>
          <w:p w:rsidR="00B00804" w:rsidRPr="004B7140" w:rsidRDefault="00B00804" w:rsidP="00B00804">
            <w:pPr>
              <w:spacing w:after="0" w:line="240" w:lineRule="auto"/>
              <w:jc w:val="center"/>
            </w:pPr>
            <w:r w:rsidRPr="004B7140">
              <w:t>p</w:t>
            </w:r>
          </w:p>
        </w:tc>
        <w:tc>
          <w:tcPr>
            <w:tcW w:w="1479" w:type="dxa"/>
            <w:tcBorders>
              <w:top w:val="single" w:sz="4" w:space="0" w:color="auto"/>
              <w:bottom w:val="single" w:sz="4" w:space="0" w:color="auto"/>
            </w:tcBorders>
            <w:shd w:val="clear" w:color="auto" w:fill="D6E3BC" w:themeFill="accent3" w:themeFillTint="66"/>
          </w:tcPr>
          <w:p w:rsidR="00B00804" w:rsidRPr="004B7140" w:rsidRDefault="00B00804" w:rsidP="00B00804">
            <w:pPr>
              <w:spacing w:after="0" w:line="240" w:lineRule="auto"/>
              <w:jc w:val="center"/>
            </w:pPr>
            <w:r>
              <w:t>significance</w:t>
            </w:r>
          </w:p>
        </w:tc>
      </w:tr>
      <w:tr w:rsidR="00B00804" w:rsidRPr="00B750D6" w:rsidTr="00BB49EA">
        <w:tc>
          <w:tcPr>
            <w:tcW w:w="3063" w:type="dxa"/>
            <w:tcBorders>
              <w:top w:val="single" w:sz="4" w:space="0" w:color="auto"/>
            </w:tcBorders>
            <w:shd w:val="clear" w:color="auto" w:fill="auto"/>
          </w:tcPr>
          <w:p w:rsidR="00B00804" w:rsidRPr="00DB44EB" w:rsidRDefault="00B00804" w:rsidP="00B00804">
            <w:pPr>
              <w:spacing w:after="0" w:line="240" w:lineRule="auto"/>
            </w:pPr>
            <w:r w:rsidRPr="00DB44EB">
              <w:t>All taxa</w:t>
            </w:r>
          </w:p>
        </w:tc>
        <w:tc>
          <w:tcPr>
            <w:tcW w:w="1156" w:type="dxa"/>
            <w:tcBorders>
              <w:top w:val="single" w:sz="4" w:space="0" w:color="auto"/>
            </w:tcBorders>
            <w:shd w:val="clear" w:color="auto" w:fill="auto"/>
          </w:tcPr>
          <w:p w:rsidR="00B00804" w:rsidRPr="00B750D6" w:rsidRDefault="00B00804" w:rsidP="00B00804">
            <w:pPr>
              <w:spacing w:after="0" w:line="240" w:lineRule="auto"/>
              <w:jc w:val="center"/>
              <w:rPr>
                <w:sz w:val="20"/>
              </w:rPr>
            </w:pPr>
            <w:r w:rsidRPr="00B750D6">
              <w:rPr>
                <w:sz w:val="20"/>
              </w:rPr>
              <w:t>3</w:t>
            </w:r>
          </w:p>
        </w:tc>
        <w:tc>
          <w:tcPr>
            <w:tcW w:w="2126" w:type="dxa"/>
            <w:tcBorders>
              <w:top w:val="single" w:sz="4" w:space="0" w:color="auto"/>
            </w:tcBorders>
            <w:shd w:val="clear" w:color="auto" w:fill="auto"/>
          </w:tcPr>
          <w:p w:rsidR="00B00804" w:rsidRPr="00B750D6" w:rsidRDefault="00B00804" w:rsidP="00B00804">
            <w:pPr>
              <w:spacing w:after="0" w:line="240" w:lineRule="auto"/>
              <w:jc w:val="center"/>
              <w:rPr>
                <w:sz w:val="20"/>
              </w:rPr>
            </w:pPr>
            <w:r w:rsidRPr="00B750D6">
              <w:rPr>
                <w:sz w:val="20"/>
              </w:rPr>
              <w:t>21.548</w:t>
            </w:r>
          </w:p>
        </w:tc>
        <w:tc>
          <w:tcPr>
            <w:tcW w:w="1418" w:type="dxa"/>
            <w:tcBorders>
              <w:top w:val="single" w:sz="4" w:space="0" w:color="auto"/>
            </w:tcBorders>
            <w:shd w:val="clear" w:color="auto" w:fill="auto"/>
          </w:tcPr>
          <w:p w:rsidR="00B00804" w:rsidRPr="00B750D6" w:rsidRDefault="00B00804" w:rsidP="00B00804">
            <w:pPr>
              <w:spacing w:after="0" w:line="240" w:lineRule="auto"/>
              <w:jc w:val="center"/>
              <w:rPr>
                <w:sz w:val="20"/>
              </w:rPr>
            </w:pPr>
            <w:r w:rsidRPr="00B750D6">
              <w:rPr>
                <w:sz w:val="20"/>
              </w:rPr>
              <w:t>0.000</w:t>
            </w:r>
          </w:p>
        </w:tc>
        <w:tc>
          <w:tcPr>
            <w:tcW w:w="1479" w:type="dxa"/>
            <w:tcBorders>
              <w:top w:val="single" w:sz="4" w:space="0" w:color="auto"/>
            </w:tcBorders>
            <w:shd w:val="clear" w:color="auto" w:fill="auto"/>
          </w:tcPr>
          <w:p w:rsidR="00B00804" w:rsidRPr="00B750D6" w:rsidRDefault="00B00804" w:rsidP="00B00804">
            <w:pPr>
              <w:spacing w:after="0" w:line="240" w:lineRule="auto"/>
              <w:jc w:val="center"/>
              <w:rPr>
                <w:sz w:val="20"/>
              </w:rPr>
            </w:pPr>
            <w:r w:rsidRPr="00B750D6">
              <w:rPr>
                <w:sz w:val="20"/>
              </w:rPr>
              <w:t>***</w:t>
            </w:r>
          </w:p>
        </w:tc>
      </w:tr>
      <w:tr w:rsidR="00B00804" w:rsidRPr="00B750D6" w:rsidTr="00BB49EA">
        <w:tc>
          <w:tcPr>
            <w:tcW w:w="3063" w:type="dxa"/>
            <w:shd w:val="clear" w:color="auto" w:fill="auto"/>
          </w:tcPr>
          <w:p w:rsidR="00B00804" w:rsidRPr="00151FF9" w:rsidRDefault="00B00804" w:rsidP="00B00804">
            <w:pPr>
              <w:spacing w:after="0" w:line="240" w:lineRule="auto"/>
            </w:pPr>
            <w:r w:rsidRPr="00B750D6">
              <w:rPr>
                <w:i/>
              </w:rPr>
              <w:t xml:space="preserve">Juncus </w:t>
            </w:r>
            <w:r>
              <w:t>spp.</w:t>
            </w:r>
          </w:p>
        </w:tc>
        <w:tc>
          <w:tcPr>
            <w:tcW w:w="1156" w:type="dxa"/>
            <w:shd w:val="clear" w:color="auto" w:fill="auto"/>
          </w:tcPr>
          <w:p w:rsidR="00B00804" w:rsidRPr="00B750D6" w:rsidRDefault="00B00804" w:rsidP="00B00804">
            <w:pPr>
              <w:spacing w:after="0" w:line="240" w:lineRule="auto"/>
              <w:jc w:val="center"/>
              <w:rPr>
                <w:sz w:val="20"/>
              </w:rPr>
            </w:pPr>
            <w:r w:rsidRPr="00B750D6">
              <w:rPr>
                <w:sz w:val="20"/>
              </w:rPr>
              <w:t>3</w:t>
            </w:r>
          </w:p>
        </w:tc>
        <w:tc>
          <w:tcPr>
            <w:tcW w:w="2126" w:type="dxa"/>
            <w:shd w:val="clear" w:color="auto" w:fill="auto"/>
          </w:tcPr>
          <w:p w:rsidR="00B00804" w:rsidRPr="00B750D6" w:rsidRDefault="00B00804" w:rsidP="00B00804">
            <w:pPr>
              <w:spacing w:after="0" w:line="240" w:lineRule="auto"/>
              <w:jc w:val="center"/>
              <w:rPr>
                <w:sz w:val="20"/>
              </w:rPr>
            </w:pPr>
            <w:r w:rsidRPr="00B750D6">
              <w:rPr>
                <w:sz w:val="20"/>
              </w:rPr>
              <w:t>1.788</w:t>
            </w:r>
          </w:p>
        </w:tc>
        <w:tc>
          <w:tcPr>
            <w:tcW w:w="1418" w:type="dxa"/>
            <w:shd w:val="clear" w:color="auto" w:fill="auto"/>
          </w:tcPr>
          <w:p w:rsidR="00B00804" w:rsidRPr="00B750D6" w:rsidRDefault="00B00804" w:rsidP="00B00804">
            <w:pPr>
              <w:spacing w:after="0" w:line="240" w:lineRule="auto"/>
              <w:jc w:val="center"/>
              <w:rPr>
                <w:sz w:val="20"/>
              </w:rPr>
            </w:pPr>
            <w:r>
              <w:rPr>
                <w:sz w:val="20"/>
              </w:rPr>
              <w:t>0.158</w:t>
            </w:r>
          </w:p>
        </w:tc>
        <w:tc>
          <w:tcPr>
            <w:tcW w:w="1479" w:type="dxa"/>
            <w:shd w:val="clear" w:color="auto" w:fill="auto"/>
          </w:tcPr>
          <w:p w:rsidR="00B00804" w:rsidRPr="00B750D6" w:rsidRDefault="00B00804" w:rsidP="00B00804">
            <w:pPr>
              <w:spacing w:after="0" w:line="240" w:lineRule="auto"/>
              <w:jc w:val="center"/>
              <w:rPr>
                <w:sz w:val="20"/>
              </w:rPr>
            </w:pPr>
            <w:r w:rsidRPr="00B750D6">
              <w:rPr>
                <w:sz w:val="20"/>
              </w:rPr>
              <w:t>n.s</w:t>
            </w:r>
          </w:p>
        </w:tc>
      </w:tr>
      <w:tr w:rsidR="00B00804" w:rsidRPr="00B750D6" w:rsidTr="00BB49EA">
        <w:tc>
          <w:tcPr>
            <w:tcW w:w="3063" w:type="dxa"/>
            <w:shd w:val="clear" w:color="auto" w:fill="auto"/>
          </w:tcPr>
          <w:p w:rsidR="00B00804" w:rsidRPr="00DB44EB" w:rsidRDefault="00B00804" w:rsidP="00B00804">
            <w:pPr>
              <w:spacing w:after="0" w:line="240" w:lineRule="auto"/>
            </w:pPr>
            <w:r w:rsidRPr="00B750D6">
              <w:rPr>
                <w:i/>
              </w:rPr>
              <w:t>Potamogeton</w:t>
            </w:r>
            <w:r w:rsidRPr="00DB44EB">
              <w:t xml:space="preserve"> </w:t>
            </w:r>
            <w:r w:rsidRPr="00B750D6">
              <w:rPr>
                <w:i/>
                <w:color w:val="000000"/>
              </w:rPr>
              <w:t>tricarinatus</w:t>
            </w:r>
          </w:p>
        </w:tc>
        <w:tc>
          <w:tcPr>
            <w:tcW w:w="1156" w:type="dxa"/>
            <w:shd w:val="clear" w:color="auto" w:fill="auto"/>
          </w:tcPr>
          <w:p w:rsidR="00B00804" w:rsidRPr="00B750D6" w:rsidRDefault="00B00804" w:rsidP="00B00804">
            <w:pPr>
              <w:spacing w:after="0" w:line="240" w:lineRule="auto"/>
              <w:jc w:val="center"/>
              <w:rPr>
                <w:sz w:val="20"/>
              </w:rPr>
            </w:pPr>
            <w:r w:rsidRPr="00B750D6">
              <w:rPr>
                <w:sz w:val="20"/>
              </w:rPr>
              <w:t>3</w:t>
            </w:r>
          </w:p>
        </w:tc>
        <w:tc>
          <w:tcPr>
            <w:tcW w:w="2126" w:type="dxa"/>
            <w:shd w:val="clear" w:color="auto" w:fill="auto"/>
          </w:tcPr>
          <w:p w:rsidR="00B00804" w:rsidRPr="00B750D6" w:rsidRDefault="00B00804" w:rsidP="00B00804">
            <w:pPr>
              <w:spacing w:after="0" w:line="240" w:lineRule="auto"/>
              <w:jc w:val="center"/>
              <w:rPr>
                <w:sz w:val="20"/>
              </w:rPr>
            </w:pPr>
            <w:r w:rsidRPr="00B750D6">
              <w:rPr>
                <w:sz w:val="20"/>
              </w:rPr>
              <w:t>23.368</w:t>
            </w:r>
          </w:p>
        </w:tc>
        <w:tc>
          <w:tcPr>
            <w:tcW w:w="1418" w:type="dxa"/>
            <w:shd w:val="clear" w:color="auto" w:fill="auto"/>
          </w:tcPr>
          <w:p w:rsidR="00B00804" w:rsidRPr="00B750D6" w:rsidRDefault="00B00804" w:rsidP="00B00804">
            <w:pPr>
              <w:spacing w:after="0" w:line="240" w:lineRule="auto"/>
              <w:jc w:val="center"/>
              <w:rPr>
                <w:sz w:val="20"/>
              </w:rPr>
            </w:pPr>
            <w:r w:rsidRPr="00B750D6">
              <w:rPr>
                <w:sz w:val="20"/>
              </w:rPr>
              <w:t>0.000</w:t>
            </w:r>
          </w:p>
        </w:tc>
        <w:tc>
          <w:tcPr>
            <w:tcW w:w="1479" w:type="dxa"/>
            <w:shd w:val="clear" w:color="auto" w:fill="auto"/>
          </w:tcPr>
          <w:p w:rsidR="00B00804" w:rsidRPr="00B750D6" w:rsidRDefault="00B00804" w:rsidP="00B00804">
            <w:pPr>
              <w:spacing w:after="0" w:line="240" w:lineRule="auto"/>
              <w:jc w:val="center"/>
              <w:rPr>
                <w:sz w:val="20"/>
              </w:rPr>
            </w:pPr>
            <w:r w:rsidRPr="00B750D6">
              <w:rPr>
                <w:sz w:val="20"/>
              </w:rPr>
              <w:t>***</w:t>
            </w:r>
          </w:p>
        </w:tc>
      </w:tr>
      <w:tr w:rsidR="00B00804" w:rsidRPr="00B750D6" w:rsidTr="00BB49EA">
        <w:tc>
          <w:tcPr>
            <w:tcW w:w="3063" w:type="dxa"/>
            <w:shd w:val="clear" w:color="auto" w:fill="auto"/>
          </w:tcPr>
          <w:p w:rsidR="00B00804" w:rsidRPr="00B750D6" w:rsidRDefault="000E1469" w:rsidP="00B00804">
            <w:pPr>
              <w:spacing w:after="0" w:line="240" w:lineRule="auto"/>
              <w:rPr>
                <w:sz w:val="20"/>
              </w:rPr>
            </w:pPr>
            <w:r>
              <w:rPr>
                <w:i/>
                <w:color w:val="000000"/>
              </w:rPr>
              <w:t>Centipeda cunningha</w:t>
            </w:r>
            <w:r w:rsidR="00B00804" w:rsidRPr="00B750D6">
              <w:rPr>
                <w:i/>
                <w:color w:val="000000"/>
              </w:rPr>
              <w:t>mii</w:t>
            </w:r>
          </w:p>
        </w:tc>
        <w:tc>
          <w:tcPr>
            <w:tcW w:w="1156" w:type="dxa"/>
            <w:shd w:val="clear" w:color="auto" w:fill="auto"/>
          </w:tcPr>
          <w:p w:rsidR="00B00804" w:rsidRPr="00B750D6" w:rsidRDefault="00B00804" w:rsidP="00B00804">
            <w:pPr>
              <w:spacing w:after="0" w:line="240" w:lineRule="auto"/>
              <w:jc w:val="center"/>
              <w:rPr>
                <w:sz w:val="20"/>
              </w:rPr>
            </w:pPr>
            <w:r w:rsidRPr="00B750D6">
              <w:rPr>
                <w:sz w:val="20"/>
              </w:rPr>
              <w:t>3</w:t>
            </w:r>
          </w:p>
        </w:tc>
        <w:tc>
          <w:tcPr>
            <w:tcW w:w="2126" w:type="dxa"/>
            <w:shd w:val="clear" w:color="auto" w:fill="auto"/>
          </w:tcPr>
          <w:p w:rsidR="00B00804" w:rsidRPr="00B750D6" w:rsidRDefault="00B00804" w:rsidP="00B00804">
            <w:pPr>
              <w:spacing w:after="0" w:line="240" w:lineRule="auto"/>
              <w:jc w:val="center"/>
              <w:rPr>
                <w:sz w:val="20"/>
              </w:rPr>
            </w:pPr>
            <w:r w:rsidRPr="00B750D6">
              <w:rPr>
                <w:sz w:val="20"/>
              </w:rPr>
              <w:t>16.563</w:t>
            </w:r>
          </w:p>
        </w:tc>
        <w:tc>
          <w:tcPr>
            <w:tcW w:w="1418" w:type="dxa"/>
            <w:shd w:val="clear" w:color="auto" w:fill="auto"/>
          </w:tcPr>
          <w:p w:rsidR="00B00804" w:rsidRPr="00B750D6" w:rsidRDefault="00B00804" w:rsidP="00B00804">
            <w:pPr>
              <w:spacing w:after="0" w:line="240" w:lineRule="auto"/>
              <w:jc w:val="center"/>
              <w:rPr>
                <w:sz w:val="20"/>
              </w:rPr>
            </w:pPr>
            <w:r w:rsidRPr="00B750D6">
              <w:rPr>
                <w:sz w:val="20"/>
              </w:rPr>
              <w:t>0.000</w:t>
            </w:r>
          </w:p>
        </w:tc>
        <w:tc>
          <w:tcPr>
            <w:tcW w:w="1479" w:type="dxa"/>
            <w:shd w:val="clear" w:color="auto" w:fill="auto"/>
          </w:tcPr>
          <w:p w:rsidR="00B00804" w:rsidRPr="00B750D6" w:rsidRDefault="00B00804" w:rsidP="00B00804">
            <w:pPr>
              <w:spacing w:after="0" w:line="240" w:lineRule="auto"/>
              <w:jc w:val="center"/>
              <w:rPr>
                <w:sz w:val="20"/>
              </w:rPr>
            </w:pPr>
            <w:r w:rsidRPr="00B750D6">
              <w:rPr>
                <w:sz w:val="20"/>
              </w:rPr>
              <w:t>***</w:t>
            </w:r>
          </w:p>
        </w:tc>
      </w:tr>
      <w:tr w:rsidR="00B00804" w:rsidRPr="00B750D6" w:rsidTr="00BB49EA">
        <w:tc>
          <w:tcPr>
            <w:tcW w:w="3063" w:type="dxa"/>
            <w:shd w:val="clear" w:color="auto" w:fill="auto"/>
          </w:tcPr>
          <w:p w:rsidR="00B00804" w:rsidRPr="00C02AC7" w:rsidRDefault="00B00804" w:rsidP="00B00804">
            <w:pPr>
              <w:spacing w:after="0" w:line="240" w:lineRule="auto"/>
            </w:pPr>
            <w:r w:rsidRPr="00B750D6">
              <w:rPr>
                <w:i/>
              </w:rPr>
              <w:t>Chara</w:t>
            </w:r>
            <w:r>
              <w:t xml:space="preserve"> spp.</w:t>
            </w:r>
          </w:p>
        </w:tc>
        <w:tc>
          <w:tcPr>
            <w:tcW w:w="1156" w:type="dxa"/>
            <w:shd w:val="clear" w:color="auto" w:fill="auto"/>
          </w:tcPr>
          <w:p w:rsidR="00B00804" w:rsidRPr="00B750D6" w:rsidRDefault="00B00804" w:rsidP="00B00804">
            <w:pPr>
              <w:spacing w:after="0" w:line="240" w:lineRule="auto"/>
              <w:jc w:val="center"/>
              <w:rPr>
                <w:sz w:val="20"/>
              </w:rPr>
            </w:pPr>
            <w:r w:rsidRPr="00B750D6">
              <w:rPr>
                <w:sz w:val="20"/>
              </w:rPr>
              <w:t>3</w:t>
            </w:r>
          </w:p>
        </w:tc>
        <w:tc>
          <w:tcPr>
            <w:tcW w:w="2126" w:type="dxa"/>
            <w:shd w:val="clear" w:color="auto" w:fill="auto"/>
          </w:tcPr>
          <w:p w:rsidR="00B00804" w:rsidRPr="00B750D6" w:rsidRDefault="00B00804" w:rsidP="00B00804">
            <w:pPr>
              <w:spacing w:after="0" w:line="240" w:lineRule="auto"/>
              <w:jc w:val="center"/>
              <w:rPr>
                <w:sz w:val="20"/>
              </w:rPr>
            </w:pPr>
            <w:r w:rsidRPr="00B750D6">
              <w:rPr>
                <w:sz w:val="20"/>
              </w:rPr>
              <w:t>3.540</w:t>
            </w:r>
          </w:p>
        </w:tc>
        <w:tc>
          <w:tcPr>
            <w:tcW w:w="1418" w:type="dxa"/>
            <w:shd w:val="clear" w:color="auto" w:fill="auto"/>
          </w:tcPr>
          <w:p w:rsidR="00B00804" w:rsidRPr="00B750D6" w:rsidRDefault="00B00804" w:rsidP="00B00804">
            <w:pPr>
              <w:spacing w:after="0" w:line="240" w:lineRule="auto"/>
              <w:jc w:val="center"/>
              <w:rPr>
                <w:sz w:val="20"/>
              </w:rPr>
            </w:pPr>
            <w:r w:rsidRPr="00B750D6">
              <w:rPr>
                <w:sz w:val="20"/>
              </w:rPr>
              <w:t>0.028</w:t>
            </w:r>
          </w:p>
        </w:tc>
        <w:tc>
          <w:tcPr>
            <w:tcW w:w="1479" w:type="dxa"/>
            <w:shd w:val="clear" w:color="auto" w:fill="auto"/>
          </w:tcPr>
          <w:p w:rsidR="00B00804" w:rsidRPr="00B750D6" w:rsidRDefault="00B00804" w:rsidP="00B00804">
            <w:pPr>
              <w:spacing w:after="0" w:line="240" w:lineRule="auto"/>
              <w:jc w:val="center"/>
              <w:rPr>
                <w:sz w:val="20"/>
              </w:rPr>
            </w:pPr>
            <w:r w:rsidRPr="00B750D6">
              <w:rPr>
                <w:sz w:val="20"/>
              </w:rPr>
              <w:t>*</w:t>
            </w:r>
          </w:p>
        </w:tc>
      </w:tr>
      <w:tr w:rsidR="00B00804" w:rsidRPr="00B750D6" w:rsidTr="00BB49EA">
        <w:tc>
          <w:tcPr>
            <w:tcW w:w="3063" w:type="dxa"/>
            <w:shd w:val="clear" w:color="auto" w:fill="auto"/>
          </w:tcPr>
          <w:p w:rsidR="00B00804" w:rsidRPr="00B750D6" w:rsidRDefault="000E1469" w:rsidP="00B00804">
            <w:pPr>
              <w:spacing w:after="0" w:line="240" w:lineRule="auto"/>
              <w:rPr>
                <w:i/>
              </w:rPr>
            </w:pPr>
            <w:r>
              <w:rPr>
                <w:i/>
                <w:color w:val="000000"/>
              </w:rPr>
              <w:t>Pseudoraphis spinescens</w:t>
            </w:r>
          </w:p>
        </w:tc>
        <w:tc>
          <w:tcPr>
            <w:tcW w:w="1156" w:type="dxa"/>
            <w:shd w:val="clear" w:color="auto" w:fill="auto"/>
          </w:tcPr>
          <w:p w:rsidR="00B00804" w:rsidRPr="00B750D6" w:rsidRDefault="00B00804" w:rsidP="00B00804">
            <w:pPr>
              <w:spacing w:after="0" w:line="240" w:lineRule="auto"/>
              <w:jc w:val="center"/>
              <w:rPr>
                <w:sz w:val="20"/>
              </w:rPr>
            </w:pPr>
            <w:r w:rsidRPr="00B750D6">
              <w:rPr>
                <w:sz w:val="20"/>
              </w:rPr>
              <w:t>3</w:t>
            </w:r>
          </w:p>
        </w:tc>
        <w:tc>
          <w:tcPr>
            <w:tcW w:w="2126" w:type="dxa"/>
            <w:shd w:val="clear" w:color="auto" w:fill="auto"/>
          </w:tcPr>
          <w:p w:rsidR="00B00804" w:rsidRPr="00B750D6" w:rsidRDefault="00B00804" w:rsidP="00B00804">
            <w:pPr>
              <w:spacing w:after="0" w:line="240" w:lineRule="auto"/>
              <w:jc w:val="center"/>
              <w:rPr>
                <w:sz w:val="20"/>
              </w:rPr>
            </w:pPr>
            <w:r w:rsidRPr="00B750D6">
              <w:rPr>
                <w:sz w:val="20"/>
              </w:rPr>
              <w:t>5.441</w:t>
            </w:r>
          </w:p>
        </w:tc>
        <w:tc>
          <w:tcPr>
            <w:tcW w:w="1418" w:type="dxa"/>
            <w:shd w:val="clear" w:color="auto" w:fill="auto"/>
          </w:tcPr>
          <w:p w:rsidR="00B00804" w:rsidRPr="00B750D6" w:rsidRDefault="00B00804" w:rsidP="00B00804">
            <w:pPr>
              <w:spacing w:after="0" w:line="240" w:lineRule="auto"/>
              <w:jc w:val="center"/>
              <w:rPr>
                <w:sz w:val="20"/>
              </w:rPr>
            </w:pPr>
            <w:r>
              <w:rPr>
                <w:sz w:val="20"/>
              </w:rPr>
              <w:t>0.050</w:t>
            </w:r>
          </w:p>
        </w:tc>
        <w:tc>
          <w:tcPr>
            <w:tcW w:w="1479" w:type="dxa"/>
            <w:shd w:val="clear" w:color="auto" w:fill="auto"/>
          </w:tcPr>
          <w:p w:rsidR="00B00804" w:rsidRPr="00B750D6" w:rsidRDefault="00B00804" w:rsidP="00B00804">
            <w:pPr>
              <w:spacing w:after="0" w:line="240" w:lineRule="auto"/>
              <w:jc w:val="center"/>
              <w:rPr>
                <w:sz w:val="20"/>
              </w:rPr>
            </w:pPr>
            <w:r w:rsidRPr="00B750D6">
              <w:rPr>
                <w:sz w:val="20"/>
              </w:rPr>
              <w:t>**</w:t>
            </w:r>
          </w:p>
        </w:tc>
      </w:tr>
      <w:tr w:rsidR="00B00804" w:rsidRPr="00B750D6" w:rsidTr="00BB49EA">
        <w:tc>
          <w:tcPr>
            <w:tcW w:w="3063" w:type="dxa"/>
            <w:shd w:val="clear" w:color="auto" w:fill="auto"/>
          </w:tcPr>
          <w:p w:rsidR="00B00804" w:rsidRPr="00B750D6" w:rsidRDefault="00B00804" w:rsidP="00B00804">
            <w:pPr>
              <w:spacing w:after="0" w:line="240" w:lineRule="auto"/>
              <w:rPr>
                <w:i/>
              </w:rPr>
            </w:pPr>
            <w:r w:rsidRPr="00B750D6">
              <w:rPr>
                <w:i/>
              </w:rPr>
              <w:t>Eleocharis acuta</w:t>
            </w:r>
          </w:p>
        </w:tc>
        <w:tc>
          <w:tcPr>
            <w:tcW w:w="1156" w:type="dxa"/>
            <w:shd w:val="clear" w:color="auto" w:fill="auto"/>
          </w:tcPr>
          <w:p w:rsidR="00B00804" w:rsidRPr="00B750D6" w:rsidRDefault="00B00804" w:rsidP="00B00804">
            <w:pPr>
              <w:spacing w:after="0" w:line="240" w:lineRule="auto"/>
              <w:jc w:val="center"/>
              <w:rPr>
                <w:sz w:val="20"/>
              </w:rPr>
            </w:pPr>
            <w:r w:rsidRPr="00B750D6">
              <w:rPr>
                <w:sz w:val="20"/>
              </w:rPr>
              <w:t>3</w:t>
            </w:r>
          </w:p>
        </w:tc>
        <w:tc>
          <w:tcPr>
            <w:tcW w:w="2126" w:type="dxa"/>
            <w:shd w:val="clear" w:color="auto" w:fill="auto"/>
          </w:tcPr>
          <w:p w:rsidR="00B00804" w:rsidRPr="00B750D6" w:rsidRDefault="00B00804" w:rsidP="00B00804">
            <w:pPr>
              <w:spacing w:after="0" w:line="240" w:lineRule="auto"/>
              <w:jc w:val="center"/>
              <w:rPr>
                <w:sz w:val="20"/>
              </w:rPr>
            </w:pPr>
            <w:r w:rsidRPr="00B750D6">
              <w:rPr>
                <w:sz w:val="20"/>
              </w:rPr>
              <w:t>7.621</w:t>
            </w:r>
          </w:p>
        </w:tc>
        <w:tc>
          <w:tcPr>
            <w:tcW w:w="1418" w:type="dxa"/>
            <w:shd w:val="clear" w:color="auto" w:fill="auto"/>
          </w:tcPr>
          <w:p w:rsidR="00B00804" w:rsidRPr="00B750D6" w:rsidRDefault="00B00804" w:rsidP="00B00804">
            <w:pPr>
              <w:spacing w:after="0" w:line="240" w:lineRule="auto"/>
              <w:jc w:val="center"/>
              <w:rPr>
                <w:sz w:val="20"/>
              </w:rPr>
            </w:pPr>
            <w:r>
              <w:rPr>
                <w:sz w:val="20"/>
              </w:rPr>
              <w:t>0.000</w:t>
            </w:r>
          </w:p>
        </w:tc>
        <w:tc>
          <w:tcPr>
            <w:tcW w:w="1479" w:type="dxa"/>
            <w:shd w:val="clear" w:color="auto" w:fill="auto"/>
          </w:tcPr>
          <w:p w:rsidR="00B00804" w:rsidRPr="00B750D6" w:rsidRDefault="00B00804" w:rsidP="00B00804">
            <w:pPr>
              <w:spacing w:after="0" w:line="240" w:lineRule="auto"/>
              <w:jc w:val="center"/>
              <w:rPr>
                <w:sz w:val="20"/>
              </w:rPr>
            </w:pPr>
            <w:r w:rsidRPr="00B750D6">
              <w:rPr>
                <w:sz w:val="20"/>
              </w:rPr>
              <w:t>**</w:t>
            </w:r>
          </w:p>
        </w:tc>
      </w:tr>
      <w:tr w:rsidR="00B00804" w:rsidRPr="00B750D6" w:rsidTr="00BB49EA">
        <w:tc>
          <w:tcPr>
            <w:tcW w:w="3063" w:type="dxa"/>
            <w:shd w:val="clear" w:color="auto" w:fill="auto"/>
          </w:tcPr>
          <w:p w:rsidR="00B00804" w:rsidRPr="00B750D6" w:rsidRDefault="00B00804" w:rsidP="00B00804">
            <w:pPr>
              <w:spacing w:after="0" w:line="240" w:lineRule="auto"/>
              <w:rPr>
                <w:i/>
              </w:rPr>
            </w:pPr>
            <w:r w:rsidRPr="00B750D6">
              <w:rPr>
                <w:i/>
              </w:rPr>
              <w:t>Myriophyllum</w:t>
            </w:r>
            <w:r>
              <w:t xml:space="preserve"> spp.</w:t>
            </w:r>
          </w:p>
        </w:tc>
        <w:tc>
          <w:tcPr>
            <w:tcW w:w="1156" w:type="dxa"/>
            <w:shd w:val="clear" w:color="auto" w:fill="auto"/>
          </w:tcPr>
          <w:p w:rsidR="00B00804" w:rsidRPr="00B750D6" w:rsidRDefault="00B00804" w:rsidP="00B00804">
            <w:pPr>
              <w:spacing w:after="0" w:line="240" w:lineRule="auto"/>
              <w:jc w:val="center"/>
              <w:rPr>
                <w:sz w:val="20"/>
              </w:rPr>
            </w:pPr>
            <w:r w:rsidRPr="00B750D6">
              <w:rPr>
                <w:sz w:val="20"/>
              </w:rPr>
              <w:t>3</w:t>
            </w:r>
          </w:p>
        </w:tc>
        <w:tc>
          <w:tcPr>
            <w:tcW w:w="2126" w:type="dxa"/>
            <w:shd w:val="clear" w:color="auto" w:fill="auto"/>
          </w:tcPr>
          <w:p w:rsidR="00B00804" w:rsidRPr="00B750D6" w:rsidRDefault="00B00804" w:rsidP="00B00804">
            <w:pPr>
              <w:spacing w:after="0" w:line="240" w:lineRule="auto"/>
              <w:jc w:val="center"/>
              <w:rPr>
                <w:sz w:val="20"/>
              </w:rPr>
            </w:pPr>
            <w:r w:rsidRPr="00B750D6">
              <w:rPr>
                <w:sz w:val="20"/>
              </w:rPr>
              <w:t>15.456</w:t>
            </w:r>
          </w:p>
        </w:tc>
        <w:tc>
          <w:tcPr>
            <w:tcW w:w="1418" w:type="dxa"/>
            <w:shd w:val="clear" w:color="auto" w:fill="auto"/>
          </w:tcPr>
          <w:p w:rsidR="00B00804" w:rsidRPr="00B750D6" w:rsidRDefault="00B00804" w:rsidP="00B00804">
            <w:pPr>
              <w:spacing w:after="0" w:line="240" w:lineRule="auto"/>
              <w:jc w:val="center"/>
              <w:rPr>
                <w:sz w:val="20"/>
              </w:rPr>
            </w:pPr>
            <w:r w:rsidRPr="00B750D6">
              <w:rPr>
                <w:sz w:val="20"/>
              </w:rPr>
              <w:t>0.000</w:t>
            </w:r>
          </w:p>
        </w:tc>
        <w:tc>
          <w:tcPr>
            <w:tcW w:w="1479" w:type="dxa"/>
            <w:shd w:val="clear" w:color="auto" w:fill="auto"/>
          </w:tcPr>
          <w:p w:rsidR="00B00804" w:rsidRPr="00B750D6" w:rsidRDefault="00B00804" w:rsidP="00B00804">
            <w:pPr>
              <w:spacing w:after="0" w:line="240" w:lineRule="auto"/>
              <w:jc w:val="center"/>
              <w:rPr>
                <w:sz w:val="20"/>
              </w:rPr>
            </w:pPr>
            <w:r w:rsidRPr="00B750D6">
              <w:rPr>
                <w:sz w:val="20"/>
              </w:rPr>
              <w:t>***</w:t>
            </w:r>
          </w:p>
        </w:tc>
      </w:tr>
      <w:tr w:rsidR="00B00804" w:rsidRPr="00B750D6" w:rsidTr="00BB49EA">
        <w:trPr>
          <w:trHeight w:val="70"/>
        </w:trPr>
        <w:tc>
          <w:tcPr>
            <w:tcW w:w="3063" w:type="dxa"/>
            <w:tcBorders>
              <w:bottom w:val="single" w:sz="4" w:space="0" w:color="auto"/>
            </w:tcBorders>
            <w:shd w:val="clear" w:color="auto" w:fill="auto"/>
          </w:tcPr>
          <w:p w:rsidR="00B00804" w:rsidRPr="006F6BFE" w:rsidRDefault="00B00804" w:rsidP="00B00804">
            <w:pPr>
              <w:spacing w:after="0" w:line="240" w:lineRule="auto"/>
            </w:pPr>
            <w:r w:rsidRPr="006F6BFE">
              <w:t>Grass</w:t>
            </w:r>
          </w:p>
        </w:tc>
        <w:tc>
          <w:tcPr>
            <w:tcW w:w="1156" w:type="dxa"/>
            <w:tcBorders>
              <w:bottom w:val="single" w:sz="4" w:space="0" w:color="auto"/>
            </w:tcBorders>
            <w:shd w:val="clear" w:color="auto" w:fill="auto"/>
          </w:tcPr>
          <w:p w:rsidR="00B00804" w:rsidRPr="00B750D6" w:rsidRDefault="00B00804" w:rsidP="00B00804">
            <w:pPr>
              <w:spacing w:after="0" w:line="240" w:lineRule="auto"/>
              <w:jc w:val="center"/>
              <w:rPr>
                <w:sz w:val="20"/>
              </w:rPr>
            </w:pPr>
            <w:r w:rsidRPr="00B750D6">
              <w:rPr>
                <w:sz w:val="20"/>
              </w:rPr>
              <w:t>3</w:t>
            </w:r>
          </w:p>
        </w:tc>
        <w:tc>
          <w:tcPr>
            <w:tcW w:w="2126" w:type="dxa"/>
            <w:tcBorders>
              <w:bottom w:val="single" w:sz="4" w:space="0" w:color="auto"/>
            </w:tcBorders>
            <w:shd w:val="clear" w:color="auto" w:fill="auto"/>
          </w:tcPr>
          <w:p w:rsidR="00B00804" w:rsidRPr="00B750D6" w:rsidRDefault="00B00804" w:rsidP="00B00804">
            <w:pPr>
              <w:spacing w:after="0" w:line="240" w:lineRule="auto"/>
              <w:jc w:val="center"/>
              <w:rPr>
                <w:sz w:val="20"/>
              </w:rPr>
            </w:pPr>
            <w:r w:rsidRPr="00B750D6">
              <w:rPr>
                <w:sz w:val="20"/>
              </w:rPr>
              <w:t>3.914</w:t>
            </w:r>
          </w:p>
        </w:tc>
        <w:tc>
          <w:tcPr>
            <w:tcW w:w="1418" w:type="dxa"/>
            <w:tcBorders>
              <w:bottom w:val="single" w:sz="4" w:space="0" w:color="auto"/>
            </w:tcBorders>
            <w:shd w:val="clear" w:color="auto" w:fill="auto"/>
          </w:tcPr>
          <w:p w:rsidR="00B00804" w:rsidRPr="00B750D6" w:rsidRDefault="00B00804" w:rsidP="00B00804">
            <w:pPr>
              <w:spacing w:after="0" w:line="240" w:lineRule="auto"/>
              <w:jc w:val="center"/>
              <w:rPr>
                <w:sz w:val="20"/>
              </w:rPr>
            </w:pPr>
            <w:r>
              <w:rPr>
                <w:sz w:val="20"/>
              </w:rPr>
              <w:t>0.016</w:t>
            </w:r>
          </w:p>
        </w:tc>
        <w:tc>
          <w:tcPr>
            <w:tcW w:w="1479" w:type="dxa"/>
            <w:tcBorders>
              <w:bottom w:val="single" w:sz="4" w:space="0" w:color="auto"/>
            </w:tcBorders>
            <w:shd w:val="clear" w:color="auto" w:fill="auto"/>
          </w:tcPr>
          <w:p w:rsidR="00B00804" w:rsidRPr="00B750D6" w:rsidRDefault="00B00804" w:rsidP="00B00804">
            <w:pPr>
              <w:spacing w:after="0" w:line="240" w:lineRule="auto"/>
              <w:jc w:val="center"/>
              <w:rPr>
                <w:sz w:val="20"/>
              </w:rPr>
            </w:pPr>
            <w:r w:rsidRPr="00B750D6">
              <w:rPr>
                <w:sz w:val="20"/>
              </w:rPr>
              <w:t>*</w:t>
            </w:r>
          </w:p>
        </w:tc>
      </w:tr>
    </w:tbl>
    <w:p w:rsidR="00B00804" w:rsidRDefault="00B00804" w:rsidP="00B00804">
      <w:pPr>
        <w:spacing w:after="0" w:line="240" w:lineRule="auto"/>
        <w:rPr>
          <w:rFonts w:cs="Calibri"/>
          <w:highlight w:val="yellow"/>
        </w:rPr>
      </w:pPr>
      <w:r w:rsidRPr="00056F86">
        <w:rPr>
          <w:noProof/>
          <w:lang w:eastAsia="en-AU"/>
        </w:rPr>
        <w:drawing>
          <wp:inline distT="0" distB="0" distL="0" distR="0">
            <wp:extent cx="2694940" cy="1581150"/>
            <wp:effectExtent l="0" t="0" r="10160" b="0"/>
            <wp:docPr id="856" name="Chart 8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r w:rsidRPr="00056F86">
        <w:rPr>
          <w:noProof/>
          <w:lang w:eastAsia="en-AU"/>
        </w:rPr>
        <w:drawing>
          <wp:inline distT="0" distB="0" distL="0" distR="0">
            <wp:extent cx="2694940" cy="1590675"/>
            <wp:effectExtent l="0" t="0" r="10160" b="9525"/>
            <wp:docPr id="857" name="Chart 8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r w:rsidRPr="00056F86">
        <w:rPr>
          <w:noProof/>
          <w:lang w:eastAsia="en-AU"/>
        </w:rPr>
        <w:drawing>
          <wp:inline distT="0" distB="0" distL="0" distR="0">
            <wp:extent cx="2694940" cy="1724025"/>
            <wp:effectExtent l="0" t="0" r="10160" b="9525"/>
            <wp:docPr id="858" name="Chart 8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r w:rsidR="00A25540">
        <w:rPr>
          <w:noProof/>
          <w:lang w:eastAsia="en-AU"/>
        </w:rPr>
        <w:drawing>
          <wp:inline distT="0" distB="0" distL="0" distR="0">
            <wp:extent cx="2638425" cy="1714500"/>
            <wp:effectExtent l="0" t="0" r="9525" b="0"/>
            <wp:docPr id="471" name="Chart 47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r w:rsidRPr="00056F86">
        <w:rPr>
          <w:noProof/>
          <w:lang w:eastAsia="en-AU"/>
        </w:rPr>
        <w:drawing>
          <wp:inline distT="0" distB="0" distL="0" distR="0">
            <wp:extent cx="2694940" cy="1895475"/>
            <wp:effectExtent l="0" t="0" r="10160" b="9525"/>
            <wp:docPr id="860" name="Chart 8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r w:rsidR="00EE0785" w:rsidRPr="00056F86">
        <w:rPr>
          <w:noProof/>
          <w:lang w:eastAsia="en-AU"/>
        </w:rPr>
        <w:drawing>
          <wp:inline distT="0" distB="0" distL="0" distR="0">
            <wp:extent cx="2694940" cy="1866900"/>
            <wp:effectExtent l="0" t="0" r="10160" b="0"/>
            <wp:docPr id="863" name="Chart 8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r w:rsidRPr="00056F86">
        <w:rPr>
          <w:noProof/>
          <w:lang w:eastAsia="en-AU"/>
        </w:rPr>
        <w:drawing>
          <wp:inline distT="0" distB="0" distL="0" distR="0">
            <wp:extent cx="2694940" cy="1905000"/>
            <wp:effectExtent l="0" t="0" r="10160" b="0"/>
            <wp:docPr id="861" name="Chart 8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r w:rsidR="00DF4C2A" w:rsidRPr="00DF4C2A">
        <w:rPr>
          <w:noProof/>
          <w:lang w:eastAsia="en-AU"/>
        </w:rPr>
        <w:t xml:space="preserve"> </w:t>
      </w:r>
      <w:r w:rsidR="00DF4C2A">
        <w:rPr>
          <w:noProof/>
          <w:lang w:eastAsia="en-AU"/>
        </w:rPr>
        <w:drawing>
          <wp:inline distT="0" distB="0" distL="0" distR="0">
            <wp:extent cx="2705100" cy="1885950"/>
            <wp:effectExtent l="0" t="0" r="0" b="0"/>
            <wp:docPr id="1052" name="Chart 1052"/>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r w:rsidRPr="000A2735">
        <w:rPr>
          <w:noProof/>
          <w:lang w:eastAsia="en-AU"/>
        </w:rPr>
        <w:t xml:space="preserve"> </w:t>
      </w:r>
    </w:p>
    <w:p w:rsidR="00B00804" w:rsidRDefault="00B00804" w:rsidP="00EE0785">
      <w:pPr>
        <w:spacing w:after="0" w:line="240" w:lineRule="auto"/>
        <w:rPr>
          <w:sz w:val="20"/>
        </w:rPr>
      </w:pPr>
      <w:r w:rsidRPr="004426B4">
        <w:rPr>
          <w:b/>
          <w:sz w:val="20"/>
        </w:rPr>
        <w:t xml:space="preserve">Figure </w:t>
      </w:r>
      <w:r w:rsidR="00621059">
        <w:rPr>
          <w:b/>
          <w:sz w:val="20"/>
        </w:rPr>
        <w:t>8.6.</w:t>
      </w:r>
      <w:r w:rsidRPr="004426B4">
        <w:rPr>
          <w:b/>
          <w:sz w:val="20"/>
        </w:rPr>
        <w:t xml:space="preserve"> </w:t>
      </w:r>
      <w:r w:rsidRPr="004426B4">
        <w:rPr>
          <w:sz w:val="20"/>
        </w:rPr>
        <w:t xml:space="preserve">Mean cover (±SE) of </w:t>
      </w:r>
      <w:r>
        <w:rPr>
          <w:sz w:val="20"/>
        </w:rPr>
        <w:t xml:space="preserve">eight most abundant </w:t>
      </w:r>
      <w:r w:rsidRPr="004426B4">
        <w:rPr>
          <w:sz w:val="20"/>
        </w:rPr>
        <w:t>riverbank and aquatic vegetation sampled in 2014-2-15 in t</w:t>
      </w:r>
      <w:r>
        <w:rPr>
          <w:sz w:val="20"/>
        </w:rPr>
        <w:t xml:space="preserve">he Edward-Wakool Selected Area. </w:t>
      </w:r>
      <w:r w:rsidRPr="004426B4">
        <w:rPr>
          <w:sz w:val="20"/>
        </w:rPr>
        <w:t xml:space="preserve">i) </w:t>
      </w:r>
      <w:r w:rsidRPr="00601B64">
        <w:rPr>
          <w:i/>
          <w:sz w:val="20"/>
        </w:rPr>
        <w:t xml:space="preserve">Juncus </w:t>
      </w:r>
      <w:r>
        <w:rPr>
          <w:sz w:val="20"/>
        </w:rPr>
        <w:t xml:space="preserve">spp., ii) </w:t>
      </w:r>
      <w:r w:rsidRPr="004426B4">
        <w:rPr>
          <w:i/>
          <w:sz w:val="20"/>
        </w:rPr>
        <w:t>Potamogeton</w:t>
      </w:r>
      <w:r w:rsidRPr="00601B64">
        <w:rPr>
          <w:i/>
          <w:color w:val="000000"/>
        </w:rPr>
        <w:t xml:space="preserve"> </w:t>
      </w:r>
      <w:r w:rsidRPr="00601B64">
        <w:rPr>
          <w:i/>
          <w:sz w:val="20"/>
        </w:rPr>
        <w:t>tricarinatus,</w:t>
      </w:r>
      <w:r w:rsidRPr="004426B4">
        <w:rPr>
          <w:sz w:val="20"/>
        </w:rPr>
        <w:t xml:space="preserve"> i</w:t>
      </w:r>
      <w:r>
        <w:rPr>
          <w:sz w:val="20"/>
        </w:rPr>
        <w:t>ii</w:t>
      </w:r>
      <w:r w:rsidRPr="004426B4">
        <w:rPr>
          <w:sz w:val="20"/>
        </w:rPr>
        <w:t xml:space="preserve">) </w:t>
      </w:r>
      <w:r w:rsidR="000E1469">
        <w:rPr>
          <w:i/>
          <w:sz w:val="20"/>
        </w:rPr>
        <w:t>Centipeda cunningha</w:t>
      </w:r>
      <w:r w:rsidRPr="00601B64">
        <w:rPr>
          <w:i/>
          <w:sz w:val="20"/>
        </w:rPr>
        <w:t>mii</w:t>
      </w:r>
      <w:r>
        <w:rPr>
          <w:i/>
          <w:sz w:val="20"/>
        </w:rPr>
        <w:t xml:space="preserve">, iv) </w:t>
      </w:r>
      <w:r w:rsidRPr="004426B4">
        <w:rPr>
          <w:i/>
          <w:sz w:val="20"/>
        </w:rPr>
        <w:t>Chara</w:t>
      </w:r>
      <w:r w:rsidRPr="004426B4">
        <w:rPr>
          <w:sz w:val="20"/>
        </w:rPr>
        <w:t xml:space="preserve"> spp.</w:t>
      </w:r>
      <w:r>
        <w:rPr>
          <w:sz w:val="20"/>
        </w:rPr>
        <w:t>,</w:t>
      </w:r>
      <w:r w:rsidRPr="004426B4">
        <w:rPr>
          <w:sz w:val="20"/>
        </w:rPr>
        <w:t xml:space="preserve"> </w:t>
      </w:r>
      <w:r>
        <w:rPr>
          <w:sz w:val="20"/>
        </w:rPr>
        <w:t>v</w:t>
      </w:r>
      <w:r w:rsidRPr="00235C16">
        <w:rPr>
          <w:sz w:val="20"/>
        </w:rPr>
        <w:t xml:space="preserve">) </w:t>
      </w:r>
      <w:r w:rsidR="00356440" w:rsidRPr="00235C16">
        <w:rPr>
          <w:i/>
          <w:color w:val="000000"/>
          <w:sz w:val="20"/>
        </w:rPr>
        <w:t>Pseudoraphis spinescens</w:t>
      </w:r>
      <w:r w:rsidRPr="00235C16">
        <w:rPr>
          <w:i/>
          <w:sz w:val="20"/>
        </w:rPr>
        <w:t>,</w:t>
      </w:r>
      <w:r>
        <w:rPr>
          <w:i/>
          <w:sz w:val="20"/>
        </w:rPr>
        <w:t xml:space="preserve"> vi) Eleocharis acuta, vii) </w:t>
      </w:r>
      <w:r w:rsidRPr="004426B4">
        <w:rPr>
          <w:i/>
          <w:sz w:val="20"/>
        </w:rPr>
        <w:t>Myriophyllum</w:t>
      </w:r>
      <w:r w:rsidRPr="004426B4">
        <w:rPr>
          <w:sz w:val="20"/>
        </w:rPr>
        <w:t xml:space="preserve"> spp</w:t>
      </w:r>
      <w:r>
        <w:rPr>
          <w:sz w:val="20"/>
        </w:rPr>
        <w:t xml:space="preserve">., and viii) grass. </w:t>
      </w:r>
      <w:r w:rsidRPr="004426B4">
        <w:rPr>
          <w:sz w:val="20"/>
        </w:rPr>
        <w:t>Significant differences in mean cover across the four study zones are shown using small letters</w:t>
      </w:r>
      <w:r>
        <w:rPr>
          <w:sz w:val="20"/>
        </w:rPr>
        <w:t>.</w:t>
      </w:r>
    </w:p>
    <w:p w:rsidR="00EE0785" w:rsidRPr="004426B4" w:rsidRDefault="00EE0785" w:rsidP="00EE0785">
      <w:pPr>
        <w:spacing w:after="0" w:line="240" w:lineRule="auto"/>
        <w:rPr>
          <w:sz w:val="20"/>
        </w:rPr>
      </w:pPr>
    </w:p>
    <w:p w:rsidR="0034707C" w:rsidRDefault="0034707C">
      <w:pPr>
        <w:spacing w:after="0" w:line="240" w:lineRule="auto"/>
        <w:jc w:val="left"/>
        <w:rPr>
          <w:i/>
        </w:rPr>
      </w:pPr>
      <w:r>
        <w:rPr>
          <w:i/>
        </w:rPr>
        <w:br w:type="page"/>
      </w:r>
    </w:p>
    <w:p w:rsidR="00B00804" w:rsidRDefault="00B00804" w:rsidP="009264BA">
      <w:pPr>
        <w:spacing w:after="240"/>
        <w:jc w:val="left"/>
        <w:rPr>
          <w:i/>
        </w:rPr>
      </w:pPr>
      <w:r w:rsidRPr="00943142">
        <w:rPr>
          <w:i/>
        </w:rPr>
        <w:t xml:space="preserve">Effects of Commonwealth </w:t>
      </w:r>
      <w:r>
        <w:rPr>
          <w:i/>
        </w:rPr>
        <w:t xml:space="preserve">environmental </w:t>
      </w:r>
      <w:r w:rsidRPr="00943142">
        <w:rPr>
          <w:i/>
        </w:rPr>
        <w:t xml:space="preserve">watering on </w:t>
      </w:r>
      <w:r>
        <w:rPr>
          <w:i/>
        </w:rPr>
        <w:t xml:space="preserve">assemblage and taxonomic diversity of </w:t>
      </w:r>
      <w:r w:rsidRPr="00943142">
        <w:rPr>
          <w:i/>
        </w:rPr>
        <w:t>riverbank and aquatic vegetation</w:t>
      </w:r>
    </w:p>
    <w:p w:rsidR="009264BA" w:rsidRDefault="00356440" w:rsidP="00F841A9">
      <w:pPr>
        <w:spacing w:after="240"/>
        <w:jc w:val="left"/>
      </w:pPr>
      <w:r>
        <w:t>More taxa were</w:t>
      </w:r>
      <w:r w:rsidR="00EE0785">
        <w:t xml:space="preserve"> recorded in zones 1</w:t>
      </w:r>
      <w:r w:rsidR="00413E51">
        <w:t xml:space="preserve"> (n=22)</w:t>
      </w:r>
      <w:r w:rsidR="00EE0785">
        <w:t xml:space="preserve">, </w:t>
      </w:r>
      <w:r w:rsidR="00413E51">
        <w:t xml:space="preserve">zone </w:t>
      </w:r>
      <w:r w:rsidR="00EE0785">
        <w:t xml:space="preserve">3 </w:t>
      </w:r>
      <w:r w:rsidR="00413E51">
        <w:t xml:space="preserve">(n=21) and zone 4 (n=24) </w:t>
      </w:r>
      <w:r w:rsidR="00EE0785">
        <w:t>that rece</w:t>
      </w:r>
      <w:r w:rsidR="004658D6">
        <w:t>i</w:t>
      </w:r>
      <w:r w:rsidR="00EE0785">
        <w:t>ved Commonwealth environmental water than in zone 2 (n=</w:t>
      </w:r>
      <w:r w:rsidR="00413E51">
        <w:t>18)</w:t>
      </w:r>
      <w:r>
        <w:t xml:space="preserve"> tat did not receive the environmental flow </w:t>
      </w:r>
      <w:r w:rsidR="00413E51">
        <w:t>(Table 8.1)</w:t>
      </w:r>
      <w:r>
        <w:t>.</w:t>
      </w:r>
    </w:p>
    <w:p w:rsidR="00B00804" w:rsidRDefault="00B00804" w:rsidP="00F841A9">
      <w:pPr>
        <w:spacing w:after="240"/>
        <w:jc w:val="left"/>
      </w:pPr>
      <w:r>
        <w:t>It was expected that</w:t>
      </w:r>
      <w:r w:rsidRPr="00173F9E">
        <w:t xml:space="preserve"> </w:t>
      </w:r>
      <w:r>
        <w:t xml:space="preserve">the vegetation assemblage in the Wakool River </w:t>
      </w:r>
      <w:r w:rsidRPr="00173F9E">
        <w:t xml:space="preserve">zone 2 </w:t>
      </w:r>
      <w:r>
        <w:t xml:space="preserve">that did not receive </w:t>
      </w:r>
      <w:r w:rsidR="00855BC3">
        <w:t xml:space="preserve">Commonwealth environmental water </w:t>
      </w:r>
      <w:r>
        <w:t>would be</w:t>
      </w:r>
      <w:r w:rsidRPr="00173F9E">
        <w:t xml:space="preserve"> significantly different </w:t>
      </w:r>
      <w:r>
        <w:t xml:space="preserve">to the </w:t>
      </w:r>
      <w:r w:rsidRPr="00173F9E">
        <w:t>assemblage to zones 1, 3, and 4 that received Commonwealth environmental water in 2014-15.</w:t>
      </w:r>
      <w:r>
        <w:t xml:space="preserve"> The four hydrological zones had significantly different assemblage of vegetation (Global R = 0.402, p = 0.001).</w:t>
      </w:r>
      <w:r w:rsidRPr="001C0694">
        <w:t xml:space="preserve"> </w:t>
      </w:r>
      <w:r w:rsidR="009264BA">
        <w:t xml:space="preserve">The vegetation assemblage in zone 3 (environmental water) was most different to zone 2 (no environmental water), and this can be seen in the ordination (Figure 8.7) as there is no overlap of sites from these zones. </w:t>
      </w:r>
      <w:r w:rsidR="005F1088">
        <w:t xml:space="preserve">However, </w:t>
      </w:r>
      <w:r w:rsidR="009264BA">
        <w:t xml:space="preserve">there was </w:t>
      </w:r>
      <w:r w:rsidR="00356440">
        <w:t xml:space="preserve">overlap of </w:t>
      </w:r>
      <w:r w:rsidR="009264BA">
        <w:t>the vegetation assemblage</w:t>
      </w:r>
      <w:r w:rsidR="00356440">
        <w:t>s</w:t>
      </w:r>
      <w:r w:rsidR="009264BA">
        <w:t xml:space="preserve"> between zone 1 and 4</w:t>
      </w:r>
      <w:r w:rsidR="005F1088">
        <w:t xml:space="preserve"> </w:t>
      </w:r>
      <w:r w:rsidR="009264BA">
        <w:t>(</w:t>
      </w:r>
      <w:r w:rsidR="005F1088">
        <w:t>receiving environmental water</w:t>
      </w:r>
      <w:r w:rsidR="009264BA">
        <w:t>)</w:t>
      </w:r>
      <w:r w:rsidR="005F1088">
        <w:t xml:space="preserve"> and </w:t>
      </w:r>
      <w:r>
        <w:t xml:space="preserve">the Wakool River </w:t>
      </w:r>
      <w:r w:rsidRPr="00173F9E">
        <w:t xml:space="preserve">zone 2 </w:t>
      </w:r>
      <w:r w:rsidR="009264BA">
        <w:t>(no</w:t>
      </w:r>
      <w:r>
        <w:t xml:space="preserve"> environmental </w:t>
      </w:r>
      <w:r w:rsidRPr="00173F9E">
        <w:t>water</w:t>
      </w:r>
      <w:r w:rsidR="00356440">
        <w:t>).</w:t>
      </w:r>
    </w:p>
    <w:p w:rsidR="00B00804" w:rsidRDefault="005F1088" w:rsidP="00413E51">
      <w:pPr>
        <w:spacing w:after="0" w:line="240" w:lineRule="auto"/>
        <w:rPr>
          <w:noProof/>
          <w:lang w:eastAsia="en-AU"/>
        </w:rPr>
      </w:pPr>
      <w:r w:rsidRPr="005F1088">
        <w:rPr>
          <w:noProof/>
          <w:lang w:eastAsia="en-AU"/>
        </w:rPr>
        <w:drawing>
          <wp:inline distT="0" distB="0" distL="0" distR="0">
            <wp:extent cx="5614441" cy="3240000"/>
            <wp:effectExtent l="0" t="0" r="5715"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736" b="2084"/>
                    <a:stretch/>
                  </pic:blipFill>
                  <pic:spPr bwMode="auto">
                    <a:xfrm>
                      <a:off x="0" y="0"/>
                      <a:ext cx="5614441" cy="324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00804" w:rsidRPr="002868D2" w:rsidRDefault="00B00804" w:rsidP="00413E51">
      <w:pPr>
        <w:spacing w:after="240" w:line="240" w:lineRule="auto"/>
        <w:rPr>
          <w:sz w:val="20"/>
        </w:rPr>
      </w:pPr>
      <w:r w:rsidRPr="002868D2">
        <w:rPr>
          <w:b/>
          <w:sz w:val="20"/>
        </w:rPr>
        <w:t xml:space="preserve">Figure </w:t>
      </w:r>
      <w:r w:rsidR="00621059">
        <w:rPr>
          <w:b/>
          <w:sz w:val="20"/>
        </w:rPr>
        <w:t>8.</w:t>
      </w:r>
      <w:r w:rsidRPr="002868D2">
        <w:rPr>
          <w:b/>
          <w:sz w:val="20"/>
        </w:rPr>
        <w:t>7</w:t>
      </w:r>
      <w:r w:rsidR="00621059">
        <w:rPr>
          <w:sz w:val="20"/>
        </w:rPr>
        <w:t>.</w:t>
      </w:r>
      <w:r w:rsidRPr="002868D2">
        <w:rPr>
          <w:sz w:val="20"/>
        </w:rPr>
        <w:t xml:space="preserve"> Multi-dimensional scaling ordination plot based on riverbank and aquatic vegetation assemblages from four hydrological zones in the Edward-Wakool system. Symbols represent sites within each hydrological zone. Stress = 0.24</w:t>
      </w:r>
      <w:r w:rsidR="009264BA">
        <w:rPr>
          <w:sz w:val="20"/>
        </w:rPr>
        <w:t>. Points that are closer together in the ordination have the most similar vegetation assemblage.</w:t>
      </w:r>
      <w:r w:rsidR="00356440">
        <w:rPr>
          <w:sz w:val="20"/>
        </w:rPr>
        <w:t xml:space="preserve"> </w:t>
      </w:r>
      <w:r w:rsidR="00356440" w:rsidRPr="00356440">
        <w:rPr>
          <w:sz w:val="20"/>
        </w:rPr>
        <w:t>Yallakool Creek and the Wakool River zones 3 and 4 received the environmental flow and Wakool River zone 2 did not receive the environmental flow.</w:t>
      </w:r>
    </w:p>
    <w:p w:rsidR="00356440" w:rsidRDefault="00356440" w:rsidP="009264BA">
      <w:pPr>
        <w:spacing w:after="240"/>
        <w:jc w:val="left"/>
      </w:pPr>
    </w:p>
    <w:p w:rsidR="009264BA" w:rsidRDefault="009264BA" w:rsidP="009264BA">
      <w:pPr>
        <w:spacing w:after="240"/>
        <w:jc w:val="left"/>
      </w:pPr>
      <w:r>
        <w:t xml:space="preserve">The taxa contributing most to the dissimilarity between zone 2 (no environmental water) and zones 1, 3 and 4 (environmental water) include </w:t>
      </w:r>
      <w:r w:rsidR="00356440">
        <w:rPr>
          <w:i/>
        </w:rPr>
        <w:t>C.</w:t>
      </w:r>
      <w:r>
        <w:t xml:space="preserve"> </w:t>
      </w:r>
      <w:r w:rsidR="000E1469">
        <w:rPr>
          <w:i/>
        </w:rPr>
        <w:t>cunningha</w:t>
      </w:r>
      <w:r w:rsidRPr="003329FF">
        <w:rPr>
          <w:i/>
        </w:rPr>
        <w:t>mii</w:t>
      </w:r>
      <w:r>
        <w:t xml:space="preserve"> that responds to wetting of the riverbank (Table 8.3). Several aquatic taxa such as </w:t>
      </w:r>
      <w:r w:rsidR="00356440">
        <w:rPr>
          <w:i/>
        </w:rPr>
        <w:t>P tricarinatus</w:t>
      </w:r>
      <w:r>
        <w:t xml:space="preserve">, </w:t>
      </w:r>
      <w:r w:rsidRPr="00601B64">
        <w:rPr>
          <w:i/>
        </w:rPr>
        <w:t>Myriophyllum</w:t>
      </w:r>
      <w:r>
        <w:t xml:space="preserve"> spp. and </w:t>
      </w:r>
      <w:r w:rsidRPr="00601B64">
        <w:rPr>
          <w:i/>
        </w:rPr>
        <w:t>Azolla</w:t>
      </w:r>
      <w:r>
        <w:t xml:space="preserve"> spp. were absent from zone 2 (no environmental water) and other aquatic taxa such as </w:t>
      </w:r>
      <w:r w:rsidRPr="00844275">
        <w:rPr>
          <w:i/>
        </w:rPr>
        <w:t>Chara</w:t>
      </w:r>
      <w:r>
        <w:t xml:space="preserve"> spp., </w:t>
      </w:r>
      <w:r w:rsidRPr="00601B64">
        <w:rPr>
          <w:i/>
        </w:rPr>
        <w:t>E. acuta</w:t>
      </w:r>
      <w:r>
        <w:t xml:space="preserve"> and mudwort were in very low abundance in zone 2 (Table 8.3). The zones </w:t>
      </w:r>
      <w:r w:rsidRPr="00844275">
        <w:t xml:space="preserve">receiving environmental water always had higher abundance of aquatic taxa such as </w:t>
      </w:r>
      <w:r w:rsidRPr="00844275">
        <w:rPr>
          <w:i/>
        </w:rPr>
        <w:t>Chara</w:t>
      </w:r>
      <w:r>
        <w:rPr>
          <w:i/>
        </w:rPr>
        <w:t xml:space="preserve"> </w:t>
      </w:r>
      <w:r w:rsidRPr="00601B64">
        <w:t>spp</w:t>
      </w:r>
      <w:r>
        <w:rPr>
          <w:i/>
        </w:rPr>
        <w:t>.</w:t>
      </w:r>
      <w:r w:rsidRPr="00844275">
        <w:t xml:space="preserve">, </w:t>
      </w:r>
      <w:r w:rsidR="00356440">
        <w:rPr>
          <w:i/>
        </w:rPr>
        <w:t>P. tricarinatus</w:t>
      </w:r>
      <w:r w:rsidRPr="00844275">
        <w:t xml:space="preserve">, </w:t>
      </w:r>
      <w:r w:rsidRPr="00601B64">
        <w:rPr>
          <w:i/>
        </w:rPr>
        <w:t>Myriophyllum</w:t>
      </w:r>
      <w:r>
        <w:t xml:space="preserve"> spp.</w:t>
      </w:r>
      <w:r w:rsidRPr="00844275">
        <w:t xml:space="preserve">, and taxa that respond after inundation of riverbank, such as </w:t>
      </w:r>
      <w:r w:rsidR="00356440" w:rsidRPr="00235C16">
        <w:rPr>
          <w:i/>
        </w:rPr>
        <w:t>Limosella</w:t>
      </w:r>
      <w:r w:rsidR="00356440">
        <w:t xml:space="preserve"> spp.</w:t>
      </w:r>
      <w:r w:rsidRPr="00844275">
        <w:t xml:space="preserve"> (Table </w:t>
      </w:r>
      <w:r>
        <w:t>8.3</w:t>
      </w:r>
      <w:r w:rsidRPr="00844275">
        <w:t>).</w:t>
      </w:r>
    </w:p>
    <w:p w:rsidR="00235C16" w:rsidRDefault="00235C16" w:rsidP="009264BA">
      <w:pPr>
        <w:spacing w:after="240"/>
        <w:jc w:val="left"/>
      </w:pPr>
    </w:p>
    <w:p w:rsidR="00B00804" w:rsidRPr="00173F9E" w:rsidRDefault="00B00804" w:rsidP="00B00804">
      <w:pPr>
        <w:spacing w:after="0" w:line="240" w:lineRule="auto"/>
        <w:rPr>
          <w:sz w:val="20"/>
        </w:rPr>
      </w:pPr>
      <w:r>
        <w:rPr>
          <w:b/>
          <w:sz w:val="20"/>
        </w:rPr>
        <w:t xml:space="preserve">Table </w:t>
      </w:r>
      <w:r w:rsidR="00621059">
        <w:rPr>
          <w:b/>
          <w:sz w:val="20"/>
        </w:rPr>
        <w:t>8.</w:t>
      </w:r>
      <w:r>
        <w:rPr>
          <w:b/>
          <w:sz w:val="20"/>
        </w:rPr>
        <w:t>3</w:t>
      </w:r>
      <w:r w:rsidRPr="00173F9E">
        <w:rPr>
          <w:b/>
          <w:sz w:val="20"/>
        </w:rPr>
        <w:t>:</w:t>
      </w:r>
      <w:r w:rsidRPr="00173F9E">
        <w:rPr>
          <w:sz w:val="20"/>
        </w:rPr>
        <w:t xml:space="preserve"> Results of SIMPER analysis</w:t>
      </w:r>
      <w:r>
        <w:rPr>
          <w:sz w:val="20"/>
        </w:rPr>
        <w:t xml:space="preserve"> </w:t>
      </w:r>
      <w:r w:rsidR="00855BC3">
        <w:rPr>
          <w:sz w:val="20"/>
        </w:rPr>
        <w:t>showing</w:t>
      </w:r>
      <w:r>
        <w:rPr>
          <w:sz w:val="20"/>
        </w:rPr>
        <w:t xml:space="preserve"> the abundance of taxa that contributed most to the difference between zone 2 (no </w:t>
      </w:r>
      <w:r w:rsidR="00855BC3" w:rsidRPr="00855BC3">
        <w:rPr>
          <w:sz w:val="20"/>
        </w:rPr>
        <w:t>environmental water</w:t>
      </w:r>
      <w:r>
        <w:rPr>
          <w:sz w:val="20"/>
        </w:rPr>
        <w:t xml:space="preserve">) and zones 1, 3 and 4 </w:t>
      </w:r>
      <w:r w:rsidR="00855BC3">
        <w:rPr>
          <w:sz w:val="20"/>
        </w:rPr>
        <w:t>(</w:t>
      </w:r>
      <w:r>
        <w:rPr>
          <w:sz w:val="20"/>
        </w:rPr>
        <w:t xml:space="preserve">received </w:t>
      </w:r>
      <w:r w:rsidR="00855BC3">
        <w:rPr>
          <w:sz w:val="20"/>
        </w:rPr>
        <w:t>Commonwealth environmental water)</w:t>
      </w:r>
    </w:p>
    <w:tbl>
      <w:tblPr>
        <w:tblW w:w="0" w:type="auto"/>
        <w:tblLook w:val="04A0"/>
      </w:tblPr>
      <w:tblGrid>
        <w:gridCol w:w="2235"/>
        <w:gridCol w:w="2693"/>
        <w:gridCol w:w="1559"/>
        <w:gridCol w:w="1418"/>
        <w:gridCol w:w="1337"/>
      </w:tblGrid>
      <w:tr w:rsidR="00B00804" w:rsidTr="000B78D1">
        <w:tc>
          <w:tcPr>
            <w:tcW w:w="2235" w:type="dxa"/>
            <w:tcBorders>
              <w:top w:val="single" w:sz="4" w:space="0" w:color="auto"/>
              <w:bottom w:val="single" w:sz="4" w:space="0" w:color="auto"/>
            </w:tcBorders>
            <w:shd w:val="clear" w:color="auto" w:fill="D6E3BC" w:themeFill="accent3" w:themeFillTint="66"/>
          </w:tcPr>
          <w:p w:rsidR="00B00804" w:rsidRPr="00855BC3" w:rsidRDefault="00B00804" w:rsidP="00855BC3">
            <w:pPr>
              <w:spacing w:after="0" w:line="240" w:lineRule="auto"/>
              <w:rPr>
                <w:b/>
                <w:szCs w:val="22"/>
              </w:rPr>
            </w:pPr>
            <w:r w:rsidRPr="00855BC3">
              <w:rPr>
                <w:b/>
                <w:szCs w:val="22"/>
              </w:rPr>
              <w:t>Comparison</w:t>
            </w:r>
          </w:p>
        </w:tc>
        <w:tc>
          <w:tcPr>
            <w:tcW w:w="2693" w:type="dxa"/>
            <w:tcBorders>
              <w:top w:val="single" w:sz="4" w:space="0" w:color="auto"/>
              <w:bottom w:val="single" w:sz="4" w:space="0" w:color="auto"/>
            </w:tcBorders>
            <w:shd w:val="clear" w:color="auto" w:fill="D6E3BC" w:themeFill="accent3" w:themeFillTint="66"/>
          </w:tcPr>
          <w:p w:rsidR="00B00804" w:rsidRPr="00855BC3" w:rsidRDefault="00B00804" w:rsidP="00855BC3">
            <w:pPr>
              <w:spacing w:after="0" w:line="240" w:lineRule="auto"/>
              <w:rPr>
                <w:b/>
                <w:szCs w:val="22"/>
              </w:rPr>
            </w:pPr>
            <w:r w:rsidRPr="00855BC3">
              <w:rPr>
                <w:b/>
                <w:szCs w:val="22"/>
              </w:rPr>
              <w:t>species</w:t>
            </w:r>
          </w:p>
        </w:tc>
        <w:tc>
          <w:tcPr>
            <w:tcW w:w="1559" w:type="dxa"/>
            <w:tcBorders>
              <w:top w:val="single" w:sz="4" w:space="0" w:color="auto"/>
              <w:bottom w:val="single" w:sz="4" w:space="0" w:color="auto"/>
            </w:tcBorders>
            <w:shd w:val="clear" w:color="auto" w:fill="D6E3BC" w:themeFill="accent3" w:themeFillTint="66"/>
          </w:tcPr>
          <w:p w:rsidR="00B00804" w:rsidRPr="00855BC3" w:rsidRDefault="00B00804" w:rsidP="00855BC3">
            <w:pPr>
              <w:spacing w:after="0" w:line="240" w:lineRule="auto"/>
              <w:rPr>
                <w:b/>
                <w:szCs w:val="22"/>
              </w:rPr>
            </w:pPr>
            <w:r w:rsidRPr="00855BC3">
              <w:rPr>
                <w:b/>
                <w:szCs w:val="22"/>
              </w:rPr>
              <w:t>% contribution to difference between zones</w:t>
            </w:r>
          </w:p>
        </w:tc>
        <w:tc>
          <w:tcPr>
            <w:tcW w:w="1418" w:type="dxa"/>
            <w:tcBorders>
              <w:top w:val="single" w:sz="4" w:space="0" w:color="auto"/>
              <w:bottom w:val="single" w:sz="4" w:space="0" w:color="auto"/>
            </w:tcBorders>
            <w:shd w:val="clear" w:color="auto" w:fill="D6E3BC" w:themeFill="accent3" w:themeFillTint="66"/>
          </w:tcPr>
          <w:p w:rsidR="00B00804" w:rsidRPr="00855BC3" w:rsidRDefault="00B00804" w:rsidP="00855BC3">
            <w:pPr>
              <w:spacing w:after="0" w:line="240" w:lineRule="auto"/>
              <w:rPr>
                <w:b/>
                <w:szCs w:val="22"/>
              </w:rPr>
            </w:pPr>
            <w:r w:rsidRPr="00855BC3">
              <w:rPr>
                <w:b/>
                <w:szCs w:val="22"/>
              </w:rPr>
              <w:t>Average abundance</w:t>
            </w:r>
          </w:p>
          <w:p w:rsidR="00B00804" w:rsidRPr="00855BC3" w:rsidRDefault="00B00804" w:rsidP="00855BC3">
            <w:pPr>
              <w:spacing w:after="0" w:line="240" w:lineRule="auto"/>
              <w:jc w:val="left"/>
              <w:rPr>
                <w:b/>
                <w:szCs w:val="22"/>
              </w:rPr>
            </w:pPr>
            <w:r w:rsidRPr="00855BC3">
              <w:rPr>
                <w:b/>
                <w:szCs w:val="22"/>
              </w:rPr>
              <w:t>Zone 2           (no CEW)</w:t>
            </w:r>
          </w:p>
        </w:tc>
        <w:tc>
          <w:tcPr>
            <w:tcW w:w="1337" w:type="dxa"/>
            <w:tcBorders>
              <w:top w:val="single" w:sz="4" w:space="0" w:color="auto"/>
              <w:bottom w:val="single" w:sz="4" w:space="0" w:color="auto"/>
            </w:tcBorders>
            <w:shd w:val="clear" w:color="auto" w:fill="D6E3BC" w:themeFill="accent3" w:themeFillTint="66"/>
          </w:tcPr>
          <w:p w:rsidR="00B00804" w:rsidRPr="00855BC3" w:rsidRDefault="00B00804" w:rsidP="00855BC3">
            <w:pPr>
              <w:spacing w:after="0" w:line="240" w:lineRule="auto"/>
              <w:rPr>
                <w:b/>
                <w:szCs w:val="22"/>
              </w:rPr>
            </w:pPr>
            <w:r w:rsidRPr="00855BC3">
              <w:rPr>
                <w:b/>
                <w:szCs w:val="22"/>
              </w:rPr>
              <w:t>Average abundance (zones with CEW)</w:t>
            </w:r>
          </w:p>
        </w:tc>
      </w:tr>
      <w:tr w:rsidR="00B00804" w:rsidTr="00BB49EA">
        <w:tc>
          <w:tcPr>
            <w:tcW w:w="2235" w:type="dxa"/>
            <w:vMerge w:val="restart"/>
            <w:tcBorders>
              <w:top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Wakool R Zone 2 and Yallakool Creek</w:t>
            </w:r>
          </w:p>
        </w:tc>
        <w:tc>
          <w:tcPr>
            <w:tcW w:w="2693" w:type="dxa"/>
            <w:tcBorders>
              <w:top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rPr>
            </w:pPr>
          </w:p>
        </w:tc>
        <w:tc>
          <w:tcPr>
            <w:tcW w:w="1559" w:type="dxa"/>
            <w:tcBorders>
              <w:top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rPr>
            </w:pPr>
          </w:p>
        </w:tc>
        <w:tc>
          <w:tcPr>
            <w:tcW w:w="1418" w:type="dxa"/>
            <w:tcBorders>
              <w:top w:val="single" w:sz="4" w:space="0" w:color="auto"/>
            </w:tcBorders>
            <w:shd w:val="clear" w:color="auto" w:fill="auto"/>
          </w:tcPr>
          <w:p w:rsidR="00B00804" w:rsidRPr="00855BC3" w:rsidRDefault="00B00804" w:rsidP="00855BC3">
            <w:pPr>
              <w:spacing w:after="0" w:line="240" w:lineRule="auto"/>
              <w:rPr>
                <w:rFonts w:asciiTheme="minorHAnsi" w:hAnsiTheme="minorHAnsi"/>
                <w:b/>
                <w:sz w:val="19"/>
                <w:szCs w:val="19"/>
              </w:rPr>
            </w:pPr>
            <w:r w:rsidRPr="00855BC3">
              <w:rPr>
                <w:rFonts w:asciiTheme="minorHAnsi" w:hAnsiTheme="minorHAnsi"/>
                <w:b/>
                <w:sz w:val="19"/>
                <w:szCs w:val="19"/>
              </w:rPr>
              <w:t>Zone 2</w:t>
            </w:r>
          </w:p>
        </w:tc>
        <w:tc>
          <w:tcPr>
            <w:tcW w:w="1337" w:type="dxa"/>
            <w:tcBorders>
              <w:top w:val="single" w:sz="4" w:space="0" w:color="auto"/>
            </w:tcBorders>
            <w:shd w:val="clear" w:color="auto" w:fill="auto"/>
          </w:tcPr>
          <w:p w:rsidR="00B00804" w:rsidRPr="00855BC3" w:rsidRDefault="00B00804" w:rsidP="00855BC3">
            <w:pPr>
              <w:spacing w:after="0" w:line="240" w:lineRule="auto"/>
              <w:rPr>
                <w:rFonts w:asciiTheme="minorHAnsi" w:hAnsiTheme="minorHAnsi"/>
                <w:b/>
                <w:sz w:val="19"/>
                <w:szCs w:val="19"/>
              </w:rPr>
            </w:pPr>
            <w:r w:rsidRPr="00855BC3">
              <w:rPr>
                <w:rFonts w:asciiTheme="minorHAnsi" w:hAnsiTheme="minorHAnsi"/>
                <w:b/>
                <w:sz w:val="19"/>
                <w:szCs w:val="19"/>
              </w:rPr>
              <w:t>Zone 1</w:t>
            </w:r>
          </w:p>
        </w:tc>
      </w:tr>
      <w:tr w:rsidR="00B00804" w:rsidTr="00BB49EA">
        <w:tc>
          <w:tcPr>
            <w:tcW w:w="2235" w:type="dxa"/>
            <w:vMerge/>
            <w:shd w:val="clear" w:color="auto" w:fill="auto"/>
          </w:tcPr>
          <w:p w:rsidR="00B00804" w:rsidRPr="00855BC3" w:rsidRDefault="00B00804" w:rsidP="00855BC3">
            <w:pPr>
              <w:spacing w:after="0" w:line="240" w:lineRule="auto"/>
              <w:rPr>
                <w:rFonts w:asciiTheme="minorHAnsi" w:hAnsiTheme="minorHAnsi"/>
                <w:sz w:val="19"/>
                <w:szCs w:val="19"/>
              </w:rPr>
            </w:pPr>
          </w:p>
        </w:tc>
        <w:tc>
          <w:tcPr>
            <w:tcW w:w="2693" w:type="dxa"/>
            <w:shd w:val="clear" w:color="auto" w:fill="auto"/>
          </w:tcPr>
          <w:p w:rsidR="00B00804" w:rsidRPr="00855BC3" w:rsidRDefault="00B00804" w:rsidP="00855BC3">
            <w:pPr>
              <w:spacing w:after="0" w:line="240" w:lineRule="auto"/>
              <w:rPr>
                <w:rFonts w:asciiTheme="minorHAnsi" w:hAnsiTheme="minorHAnsi"/>
                <w:sz w:val="19"/>
                <w:szCs w:val="19"/>
                <w:highlight w:val="yellow"/>
              </w:rPr>
            </w:pPr>
            <w:r w:rsidRPr="00855BC3">
              <w:rPr>
                <w:rFonts w:asciiTheme="minorHAnsi" w:hAnsiTheme="minorHAnsi"/>
                <w:i/>
                <w:sz w:val="19"/>
                <w:szCs w:val="19"/>
              </w:rPr>
              <w:t>Centipeda</w:t>
            </w:r>
            <w:r w:rsidRPr="00855BC3">
              <w:rPr>
                <w:rFonts w:asciiTheme="minorHAnsi" w:hAnsiTheme="minorHAnsi"/>
                <w:sz w:val="19"/>
                <w:szCs w:val="19"/>
              </w:rPr>
              <w:t xml:space="preserve"> </w:t>
            </w:r>
            <w:r w:rsidR="00235C16">
              <w:rPr>
                <w:rFonts w:asciiTheme="minorHAnsi" w:hAnsiTheme="minorHAnsi"/>
                <w:i/>
                <w:sz w:val="19"/>
                <w:szCs w:val="19"/>
              </w:rPr>
              <w:t>cunningha</w:t>
            </w:r>
            <w:r w:rsidRPr="00855BC3">
              <w:rPr>
                <w:rFonts w:asciiTheme="minorHAnsi" w:hAnsiTheme="minorHAnsi"/>
                <w:i/>
                <w:sz w:val="19"/>
                <w:szCs w:val="19"/>
              </w:rPr>
              <w:t>mii</w:t>
            </w:r>
          </w:p>
        </w:tc>
        <w:tc>
          <w:tcPr>
            <w:tcW w:w="1559"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11.91</w:t>
            </w:r>
          </w:p>
        </w:tc>
        <w:tc>
          <w:tcPr>
            <w:tcW w:w="1418"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0.94</w:t>
            </w:r>
          </w:p>
        </w:tc>
        <w:tc>
          <w:tcPr>
            <w:tcW w:w="1337"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1.39</w:t>
            </w:r>
          </w:p>
        </w:tc>
      </w:tr>
      <w:tr w:rsidR="00B00804" w:rsidTr="00BB49EA">
        <w:tc>
          <w:tcPr>
            <w:tcW w:w="2235" w:type="dxa"/>
            <w:vMerge/>
            <w:shd w:val="clear" w:color="auto" w:fill="auto"/>
          </w:tcPr>
          <w:p w:rsidR="00B00804" w:rsidRPr="00855BC3" w:rsidRDefault="00B00804" w:rsidP="00855BC3">
            <w:pPr>
              <w:spacing w:after="0" w:line="240" w:lineRule="auto"/>
              <w:rPr>
                <w:rFonts w:asciiTheme="minorHAnsi" w:hAnsiTheme="minorHAnsi"/>
                <w:sz w:val="19"/>
                <w:szCs w:val="19"/>
              </w:rPr>
            </w:pPr>
          </w:p>
        </w:tc>
        <w:tc>
          <w:tcPr>
            <w:tcW w:w="2693" w:type="dxa"/>
            <w:shd w:val="clear" w:color="auto" w:fill="auto"/>
          </w:tcPr>
          <w:p w:rsidR="00B00804" w:rsidRPr="00855BC3" w:rsidRDefault="00B00804" w:rsidP="00855BC3">
            <w:pPr>
              <w:spacing w:after="0" w:line="240" w:lineRule="auto"/>
              <w:rPr>
                <w:rFonts w:asciiTheme="minorHAnsi" w:hAnsiTheme="minorHAnsi"/>
                <w:sz w:val="19"/>
                <w:szCs w:val="19"/>
                <w:highlight w:val="yellow"/>
              </w:rPr>
            </w:pPr>
            <w:r w:rsidRPr="00855BC3">
              <w:rPr>
                <w:rFonts w:asciiTheme="minorHAnsi" w:hAnsiTheme="minorHAnsi"/>
                <w:i/>
                <w:sz w:val="19"/>
                <w:szCs w:val="19"/>
              </w:rPr>
              <w:t>Juncus</w:t>
            </w:r>
            <w:r w:rsidRPr="00855BC3">
              <w:rPr>
                <w:rFonts w:asciiTheme="minorHAnsi" w:hAnsiTheme="minorHAnsi"/>
                <w:sz w:val="19"/>
                <w:szCs w:val="19"/>
              </w:rPr>
              <w:t xml:space="preserve"> spp.</w:t>
            </w:r>
          </w:p>
        </w:tc>
        <w:tc>
          <w:tcPr>
            <w:tcW w:w="1559"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10.83</w:t>
            </w:r>
          </w:p>
        </w:tc>
        <w:tc>
          <w:tcPr>
            <w:tcW w:w="1418"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2.16</w:t>
            </w:r>
          </w:p>
        </w:tc>
        <w:tc>
          <w:tcPr>
            <w:tcW w:w="1337"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2.06</w:t>
            </w:r>
          </w:p>
        </w:tc>
      </w:tr>
      <w:tr w:rsidR="00B00804" w:rsidTr="00BB49EA">
        <w:tc>
          <w:tcPr>
            <w:tcW w:w="2235" w:type="dxa"/>
            <w:vMerge/>
            <w:shd w:val="clear" w:color="auto" w:fill="auto"/>
          </w:tcPr>
          <w:p w:rsidR="00B00804" w:rsidRPr="00855BC3" w:rsidRDefault="00B00804" w:rsidP="00855BC3">
            <w:pPr>
              <w:spacing w:after="0" w:line="240" w:lineRule="auto"/>
              <w:rPr>
                <w:rFonts w:asciiTheme="minorHAnsi" w:hAnsiTheme="minorHAnsi"/>
                <w:sz w:val="19"/>
                <w:szCs w:val="19"/>
              </w:rPr>
            </w:pPr>
          </w:p>
        </w:tc>
        <w:tc>
          <w:tcPr>
            <w:tcW w:w="2693" w:type="dxa"/>
            <w:shd w:val="clear" w:color="auto" w:fill="auto"/>
          </w:tcPr>
          <w:p w:rsidR="00B00804" w:rsidRPr="00855BC3" w:rsidRDefault="00B00804" w:rsidP="00855BC3">
            <w:pPr>
              <w:spacing w:after="0" w:line="240" w:lineRule="auto"/>
              <w:rPr>
                <w:rFonts w:asciiTheme="minorHAnsi" w:hAnsiTheme="minorHAnsi"/>
                <w:sz w:val="19"/>
                <w:szCs w:val="19"/>
                <w:highlight w:val="yellow"/>
              </w:rPr>
            </w:pPr>
            <w:r w:rsidRPr="00855BC3">
              <w:rPr>
                <w:rFonts w:asciiTheme="minorHAnsi" w:hAnsiTheme="minorHAnsi"/>
                <w:sz w:val="19"/>
                <w:szCs w:val="19"/>
              </w:rPr>
              <w:t>grass</w:t>
            </w:r>
          </w:p>
        </w:tc>
        <w:tc>
          <w:tcPr>
            <w:tcW w:w="1559"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10.24</w:t>
            </w:r>
          </w:p>
        </w:tc>
        <w:tc>
          <w:tcPr>
            <w:tcW w:w="1418"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0.67</w:t>
            </w:r>
          </w:p>
        </w:tc>
        <w:tc>
          <w:tcPr>
            <w:tcW w:w="1337"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1.08</w:t>
            </w:r>
          </w:p>
        </w:tc>
      </w:tr>
      <w:tr w:rsidR="00B00804" w:rsidTr="00BB49EA">
        <w:tc>
          <w:tcPr>
            <w:tcW w:w="2235" w:type="dxa"/>
            <w:vMerge/>
            <w:shd w:val="clear" w:color="auto" w:fill="auto"/>
          </w:tcPr>
          <w:p w:rsidR="00B00804" w:rsidRPr="00855BC3" w:rsidRDefault="00B00804" w:rsidP="00855BC3">
            <w:pPr>
              <w:spacing w:after="0" w:line="240" w:lineRule="auto"/>
              <w:rPr>
                <w:rFonts w:asciiTheme="minorHAnsi" w:hAnsiTheme="minorHAnsi"/>
                <w:sz w:val="19"/>
                <w:szCs w:val="19"/>
              </w:rPr>
            </w:pPr>
          </w:p>
        </w:tc>
        <w:tc>
          <w:tcPr>
            <w:tcW w:w="2693" w:type="dxa"/>
            <w:shd w:val="clear" w:color="auto" w:fill="auto"/>
          </w:tcPr>
          <w:p w:rsidR="00B00804" w:rsidRPr="00855BC3" w:rsidRDefault="00B00804" w:rsidP="00855BC3">
            <w:pPr>
              <w:spacing w:after="0" w:line="240" w:lineRule="auto"/>
              <w:rPr>
                <w:rFonts w:asciiTheme="minorHAnsi" w:hAnsiTheme="minorHAnsi"/>
                <w:sz w:val="19"/>
                <w:szCs w:val="19"/>
                <w:highlight w:val="yellow"/>
              </w:rPr>
            </w:pPr>
            <w:r w:rsidRPr="00855BC3">
              <w:rPr>
                <w:rFonts w:asciiTheme="minorHAnsi" w:hAnsiTheme="minorHAnsi"/>
                <w:i/>
                <w:sz w:val="19"/>
                <w:szCs w:val="19"/>
              </w:rPr>
              <w:t>Chara</w:t>
            </w:r>
            <w:r w:rsidRPr="00855BC3">
              <w:rPr>
                <w:rFonts w:asciiTheme="minorHAnsi" w:hAnsiTheme="minorHAnsi"/>
                <w:sz w:val="19"/>
                <w:szCs w:val="19"/>
              </w:rPr>
              <w:t xml:space="preserve"> spp.</w:t>
            </w:r>
          </w:p>
        </w:tc>
        <w:tc>
          <w:tcPr>
            <w:tcW w:w="1559"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9.53</w:t>
            </w:r>
          </w:p>
        </w:tc>
        <w:tc>
          <w:tcPr>
            <w:tcW w:w="1418"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0.02</w:t>
            </w:r>
          </w:p>
        </w:tc>
        <w:tc>
          <w:tcPr>
            <w:tcW w:w="1337"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1.01</w:t>
            </w:r>
          </w:p>
        </w:tc>
      </w:tr>
      <w:tr w:rsidR="00B00804" w:rsidTr="00BB49EA">
        <w:tc>
          <w:tcPr>
            <w:tcW w:w="2235" w:type="dxa"/>
            <w:vMerge/>
            <w:shd w:val="clear" w:color="auto" w:fill="auto"/>
          </w:tcPr>
          <w:p w:rsidR="00B00804" w:rsidRPr="00855BC3" w:rsidRDefault="00B00804" w:rsidP="00855BC3">
            <w:pPr>
              <w:spacing w:after="0" w:line="240" w:lineRule="auto"/>
              <w:rPr>
                <w:rFonts w:asciiTheme="minorHAnsi" w:hAnsiTheme="minorHAnsi"/>
                <w:sz w:val="19"/>
                <w:szCs w:val="19"/>
              </w:rPr>
            </w:pPr>
          </w:p>
        </w:tc>
        <w:tc>
          <w:tcPr>
            <w:tcW w:w="2693" w:type="dxa"/>
            <w:shd w:val="clear" w:color="auto" w:fill="auto"/>
          </w:tcPr>
          <w:p w:rsidR="00B00804" w:rsidRPr="00855BC3" w:rsidRDefault="00B00804" w:rsidP="00855BC3">
            <w:pPr>
              <w:spacing w:after="0" w:line="240" w:lineRule="auto"/>
              <w:rPr>
                <w:rFonts w:asciiTheme="minorHAnsi" w:hAnsiTheme="minorHAnsi"/>
                <w:sz w:val="19"/>
                <w:szCs w:val="19"/>
                <w:highlight w:val="yellow"/>
              </w:rPr>
            </w:pPr>
            <w:r w:rsidRPr="00855BC3">
              <w:rPr>
                <w:rFonts w:asciiTheme="minorHAnsi" w:hAnsiTheme="minorHAnsi"/>
                <w:sz w:val="19"/>
                <w:szCs w:val="19"/>
              </w:rPr>
              <w:t>Eucalypt seedling</w:t>
            </w:r>
          </w:p>
        </w:tc>
        <w:tc>
          <w:tcPr>
            <w:tcW w:w="1559"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9.10</w:t>
            </w:r>
          </w:p>
        </w:tc>
        <w:tc>
          <w:tcPr>
            <w:tcW w:w="1418"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0.87</w:t>
            </w:r>
          </w:p>
        </w:tc>
        <w:tc>
          <w:tcPr>
            <w:tcW w:w="1337"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0.06</w:t>
            </w:r>
          </w:p>
        </w:tc>
      </w:tr>
      <w:tr w:rsidR="00B00804" w:rsidTr="00BB49EA">
        <w:tc>
          <w:tcPr>
            <w:tcW w:w="2235" w:type="dxa"/>
            <w:vMerge/>
            <w:shd w:val="clear" w:color="auto" w:fill="auto"/>
          </w:tcPr>
          <w:p w:rsidR="00B00804" w:rsidRPr="00855BC3" w:rsidRDefault="00B00804" w:rsidP="00855BC3">
            <w:pPr>
              <w:spacing w:after="0" w:line="240" w:lineRule="auto"/>
              <w:rPr>
                <w:rFonts w:asciiTheme="minorHAnsi" w:hAnsiTheme="minorHAnsi"/>
                <w:sz w:val="19"/>
                <w:szCs w:val="19"/>
              </w:rPr>
            </w:pPr>
          </w:p>
        </w:tc>
        <w:tc>
          <w:tcPr>
            <w:tcW w:w="2693" w:type="dxa"/>
            <w:shd w:val="clear" w:color="auto" w:fill="auto"/>
          </w:tcPr>
          <w:p w:rsidR="00B00804" w:rsidRPr="00235C16" w:rsidRDefault="00235C16" w:rsidP="00855BC3">
            <w:pPr>
              <w:spacing w:after="0" w:line="240" w:lineRule="auto"/>
              <w:rPr>
                <w:rFonts w:asciiTheme="minorHAnsi" w:hAnsiTheme="minorHAnsi"/>
                <w:sz w:val="19"/>
                <w:szCs w:val="19"/>
                <w:highlight w:val="yellow"/>
              </w:rPr>
            </w:pPr>
            <w:r w:rsidRPr="00235C16">
              <w:rPr>
                <w:i/>
                <w:color w:val="000000"/>
                <w:sz w:val="19"/>
                <w:szCs w:val="19"/>
              </w:rPr>
              <w:t>Pseudoraphis spinescens</w:t>
            </w:r>
          </w:p>
        </w:tc>
        <w:tc>
          <w:tcPr>
            <w:tcW w:w="1559"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8.18</w:t>
            </w:r>
          </w:p>
        </w:tc>
        <w:tc>
          <w:tcPr>
            <w:tcW w:w="1418"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0.17</w:t>
            </w:r>
          </w:p>
        </w:tc>
        <w:tc>
          <w:tcPr>
            <w:tcW w:w="1337"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0.87</w:t>
            </w:r>
          </w:p>
        </w:tc>
      </w:tr>
      <w:tr w:rsidR="00B00804" w:rsidTr="00BB49EA">
        <w:tc>
          <w:tcPr>
            <w:tcW w:w="2235" w:type="dxa"/>
            <w:vMerge/>
            <w:tcBorders>
              <w:bottom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rPr>
            </w:pPr>
          </w:p>
        </w:tc>
        <w:tc>
          <w:tcPr>
            <w:tcW w:w="2693" w:type="dxa"/>
            <w:tcBorders>
              <w:bottom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highlight w:val="yellow"/>
              </w:rPr>
            </w:pPr>
            <w:r w:rsidRPr="00855BC3">
              <w:rPr>
                <w:rFonts w:asciiTheme="minorHAnsi" w:hAnsiTheme="minorHAnsi"/>
                <w:i/>
                <w:sz w:val="19"/>
                <w:szCs w:val="19"/>
              </w:rPr>
              <w:t>Myriophyllum spp.</w:t>
            </w:r>
          </w:p>
        </w:tc>
        <w:tc>
          <w:tcPr>
            <w:tcW w:w="1559" w:type="dxa"/>
            <w:tcBorders>
              <w:bottom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6.00</w:t>
            </w:r>
          </w:p>
        </w:tc>
        <w:tc>
          <w:tcPr>
            <w:tcW w:w="1418" w:type="dxa"/>
            <w:tcBorders>
              <w:bottom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0.00</w:t>
            </w:r>
          </w:p>
        </w:tc>
        <w:tc>
          <w:tcPr>
            <w:tcW w:w="1337" w:type="dxa"/>
            <w:tcBorders>
              <w:bottom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0.62</w:t>
            </w:r>
          </w:p>
        </w:tc>
      </w:tr>
      <w:tr w:rsidR="00B00804" w:rsidTr="00BB49EA">
        <w:tc>
          <w:tcPr>
            <w:tcW w:w="2235" w:type="dxa"/>
            <w:vMerge w:val="restart"/>
            <w:tcBorders>
              <w:top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Wakool R Zone 2 and Wakool R zone 3</w:t>
            </w:r>
          </w:p>
        </w:tc>
        <w:tc>
          <w:tcPr>
            <w:tcW w:w="2693" w:type="dxa"/>
            <w:tcBorders>
              <w:top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highlight w:val="yellow"/>
              </w:rPr>
            </w:pPr>
          </w:p>
        </w:tc>
        <w:tc>
          <w:tcPr>
            <w:tcW w:w="1559" w:type="dxa"/>
            <w:tcBorders>
              <w:top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rPr>
            </w:pPr>
          </w:p>
        </w:tc>
        <w:tc>
          <w:tcPr>
            <w:tcW w:w="1418" w:type="dxa"/>
            <w:tcBorders>
              <w:top w:val="single" w:sz="4" w:space="0" w:color="auto"/>
            </w:tcBorders>
            <w:shd w:val="clear" w:color="auto" w:fill="auto"/>
          </w:tcPr>
          <w:p w:rsidR="00B00804" w:rsidRPr="00855BC3" w:rsidRDefault="00B00804" w:rsidP="00855BC3">
            <w:pPr>
              <w:spacing w:after="0" w:line="240" w:lineRule="auto"/>
              <w:rPr>
                <w:rFonts w:asciiTheme="minorHAnsi" w:hAnsiTheme="minorHAnsi"/>
                <w:b/>
                <w:sz w:val="19"/>
                <w:szCs w:val="19"/>
              </w:rPr>
            </w:pPr>
            <w:r w:rsidRPr="00855BC3">
              <w:rPr>
                <w:rFonts w:asciiTheme="minorHAnsi" w:hAnsiTheme="minorHAnsi"/>
                <w:b/>
                <w:sz w:val="19"/>
                <w:szCs w:val="19"/>
              </w:rPr>
              <w:t>Zone 2</w:t>
            </w:r>
          </w:p>
        </w:tc>
        <w:tc>
          <w:tcPr>
            <w:tcW w:w="1337" w:type="dxa"/>
            <w:tcBorders>
              <w:top w:val="single" w:sz="4" w:space="0" w:color="auto"/>
            </w:tcBorders>
            <w:shd w:val="clear" w:color="auto" w:fill="auto"/>
          </w:tcPr>
          <w:p w:rsidR="00B00804" w:rsidRPr="00855BC3" w:rsidRDefault="00B00804" w:rsidP="00855BC3">
            <w:pPr>
              <w:spacing w:after="0" w:line="240" w:lineRule="auto"/>
              <w:rPr>
                <w:rFonts w:asciiTheme="minorHAnsi" w:hAnsiTheme="minorHAnsi"/>
                <w:b/>
                <w:sz w:val="19"/>
                <w:szCs w:val="19"/>
              </w:rPr>
            </w:pPr>
            <w:r w:rsidRPr="00855BC3">
              <w:rPr>
                <w:rFonts w:asciiTheme="minorHAnsi" w:hAnsiTheme="minorHAnsi"/>
                <w:b/>
                <w:sz w:val="19"/>
                <w:szCs w:val="19"/>
              </w:rPr>
              <w:t>Zone 3</w:t>
            </w:r>
          </w:p>
        </w:tc>
      </w:tr>
      <w:tr w:rsidR="00B00804" w:rsidTr="00BB49EA">
        <w:tc>
          <w:tcPr>
            <w:tcW w:w="2235" w:type="dxa"/>
            <w:vMerge/>
            <w:shd w:val="clear" w:color="auto" w:fill="auto"/>
          </w:tcPr>
          <w:p w:rsidR="00B00804" w:rsidRPr="00855BC3" w:rsidRDefault="00B00804" w:rsidP="00855BC3">
            <w:pPr>
              <w:spacing w:after="0" w:line="240" w:lineRule="auto"/>
              <w:rPr>
                <w:rFonts w:asciiTheme="minorHAnsi" w:hAnsiTheme="minorHAnsi"/>
                <w:sz w:val="19"/>
                <w:szCs w:val="19"/>
              </w:rPr>
            </w:pPr>
          </w:p>
        </w:tc>
        <w:tc>
          <w:tcPr>
            <w:tcW w:w="2693" w:type="dxa"/>
            <w:shd w:val="clear" w:color="auto" w:fill="auto"/>
          </w:tcPr>
          <w:p w:rsidR="00B00804" w:rsidRPr="00855BC3" w:rsidRDefault="00B00804" w:rsidP="00855BC3">
            <w:pPr>
              <w:spacing w:after="0" w:line="240" w:lineRule="auto"/>
              <w:rPr>
                <w:rFonts w:asciiTheme="minorHAnsi" w:hAnsiTheme="minorHAnsi"/>
                <w:sz w:val="19"/>
                <w:szCs w:val="19"/>
                <w:highlight w:val="yellow"/>
              </w:rPr>
            </w:pPr>
            <w:r w:rsidRPr="00855BC3">
              <w:rPr>
                <w:rFonts w:asciiTheme="minorHAnsi" w:hAnsiTheme="minorHAnsi"/>
                <w:i/>
                <w:sz w:val="19"/>
                <w:szCs w:val="19"/>
              </w:rPr>
              <w:t>Potamogeton</w:t>
            </w:r>
            <w:r w:rsidRPr="00855BC3">
              <w:rPr>
                <w:rFonts w:asciiTheme="minorHAnsi" w:hAnsiTheme="minorHAnsi"/>
                <w:sz w:val="19"/>
                <w:szCs w:val="19"/>
              </w:rPr>
              <w:t xml:space="preserve"> spp.</w:t>
            </w:r>
          </w:p>
        </w:tc>
        <w:tc>
          <w:tcPr>
            <w:tcW w:w="1559"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18.22</w:t>
            </w:r>
          </w:p>
        </w:tc>
        <w:tc>
          <w:tcPr>
            <w:tcW w:w="1418"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w:t>
            </w:r>
          </w:p>
        </w:tc>
        <w:tc>
          <w:tcPr>
            <w:tcW w:w="1337"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2.54</w:t>
            </w:r>
          </w:p>
        </w:tc>
      </w:tr>
      <w:tr w:rsidR="00B00804" w:rsidTr="00BB49EA">
        <w:tc>
          <w:tcPr>
            <w:tcW w:w="2235" w:type="dxa"/>
            <w:vMerge/>
            <w:shd w:val="clear" w:color="auto" w:fill="auto"/>
          </w:tcPr>
          <w:p w:rsidR="00B00804" w:rsidRPr="00855BC3" w:rsidRDefault="00B00804" w:rsidP="00855BC3">
            <w:pPr>
              <w:spacing w:after="0" w:line="240" w:lineRule="auto"/>
              <w:rPr>
                <w:rFonts w:asciiTheme="minorHAnsi" w:hAnsiTheme="minorHAnsi"/>
                <w:sz w:val="19"/>
                <w:szCs w:val="19"/>
              </w:rPr>
            </w:pPr>
          </w:p>
        </w:tc>
        <w:tc>
          <w:tcPr>
            <w:tcW w:w="2693" w:type="dxa"/>
            <w:shd w:val="clear" w:color="auto" w:fill="auto"/>
          </w:tcPr>
          <w:p w:rsidR="00B00804" w:rsidRPr="00855BC3" w:rsidRDefault="00B00804" w:rsidP="00855BC3">
            <w:pPr>
              <w:spacing w:after="0" w:line="240" w:lineRule="auto"/>
              <w:rPr>
                <w:rFonts w:asciiTheme="minorHAnsi" w:hAnsiTheme="minorHAnsi"/>
                <w:sz w:val="19"/>
                <w:szCs w:val="19"/>
                <w:highlight w:val="yellow"/>
              </w:rPr>
            </w:pPr>
            <w:r w:rsidRPr="00855BC3">
              <w:rPr>
                <w:rFonts w:asciiTheme="minorHAnsi" w:hAnsiTheme="minorHAnsi"/>
                <w:i/>
                <w:sz w:val="19"/>
                <w:szCs w:val="19"/>
              </w:rPr>
              <w:t xml:space="preserve">Myriophyllum </w:t>
            </w:r>
            <w:r w:rsidRPr="00855BC3">
              <w:rPr>
                <w:rFonts w:asciiTheme="minorHAnsi" w:hAnsiTheme="minorHAnsi"/>
                <w:sz w:val="19"/>
                <w:szCs w:val="19"/>
              </w:rPr>
              <w:t>spp</w:t>
            </w:r>
            <w:r w:rsidRPr="00855BC3">
              <w:rPr>
                <w:rFonts w:asciiTheme="minorHAnsi" w:hAnsiTheme="minorHAnsi"/>
                <w:i/>
                <w:sz w:val="19"/>
                <w:szCs w:val="19"/>
              </w:rPr>
              <w:t>.</w:t>
            </w:r>
          </w:p>
        </w:tc>
        <w:tc>
          <w:tcPr>
            <w:tcW w:w="1559"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9.77</w:t>
            </w:r>
          </w:p>
        </w:tc>
        <w:tc>
          <w:tcPr>
            <w:tcW w:w="1418"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w:t>
            </w:r>
          </w:p>
        </w:tc>
        <w:tc>
          <w:tcPr>
            <w:tcW w:w="1337"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1.44</w:t>
            </w:r>
          </w:p>
        </w:tc>
      </w:tr>
      <w:tr w:rsidR="00B00804" w:rsidTr="00BB49EA">
        <w:tc>
          <w:tcPr>
            <w:tcW w:w="2235" w:type="dxa"/>
            <w:vMerge/>
            <w:shd w:val="clear" w:color="auto" w:fill="auto"/>
          </w:tcPr>
          <w:p w:rsidR="00B00804" w:rsidRPr="00855BC3" w:rsidRDefault="00B00804" w:rsidP="00855BC3">
            <w:pPr>
              <w:spacing w:after="0" w:line="240" w:lineRule="auto"/>
              <w:rPr>
                <w:rFonts w:asciiTheme="minorHAnsi" w:hAnsiTheme="minorHAnsi"/>
                <w:sz w:val="19"/>
                <w:szCs w:val="19"/>
              </w:rPr>
            </w:pPr>
          </w:p>
        </w:tc>
        <w:tc>
          <w:tcPr>
            <w:tcW w:w="2693" w:type="dxa"/>
            <w:shd w:val="clear" w:color="auto" w:fill="auto"/>
          </w:tcPr>
          <w:p w:rsidR="00B00804" w:rsidRPr="00855BC3" w:rsidRDefault="00B00804" w:rsidP="00855BC3">
            <w:pPr>
              <w:spacing w:after="0" w:line="240" w:lineRule="auto"/>
              <w:rPr>
                <w:rFonts w:asciiTheme="minorHAnsi" w:hAnsiTheme="minorHAnsi"/>
                <w:sz w:val="19"/>
                <w:szCs w:val="19"/>
                <w:highlight w:val="yellow"/>
              </w:rPr>
            </w:pPr>
            <w:r w:rsidRPr="00855BC3">
              <w:rPr>
                <w:rFonts w:asciiTheme="minorHAnsi" w:hAnsiTheme="minorHAnsi"/>
                <w:i/>
                <w:sz w:val="19"/>
                <w:szCs w:val="19"/>
              </w:rPr>
              <w:t>Chara</w:t>
            </w:r>
            <w:r w:rsidRPr="00855BC3">
              <w:rPr>
                <w:rFonts w:asciiTheme="minorHAnsi" w:hAnsiTheme="minorHAnsi"/>
                <w:sz w:val="19"/>
                <w:szCs w:val="19"/>
              </w:rPr>
              <w:t xml:space="preserve"> spp.</w:t>
            </w:r>
          </w:p>
        </w:tc>
        <w:tc>
          <w:tcPr>
            <w:tcW w:w="1559"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9.64</w:t>
            </w:r>
          </w:p>
        </w:tc>
        <w:tc>
          <w:tcPr>
            <w:tcW w:w="1418"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0.02</w:t>
            </w:r>
          </w:p>
        </w:tc>
        <w:tc>
          <w:tcPr>
            <w:tcW w:w="1337"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1.15</w:t>
            </w:r>
          </w:p>
        </w:tc>
      </w:tr>
      <w:tr w:rsidR="00B00804" w:rsidTr="00BB49EA">
        <w:tc>
          <w:tcPr>
            <w:tcW w:w="2235" w:type="dxa"/>
            <w:vMerge/>
            <w:shd w:val="clear" w:color="auto" w:fill="auto"/>
          </w:tcPr>
          <w:p w:rsidR="00B00804" w:rsidRPr="00855BC3" w:rsidRDefault="00B00804" w:rsidP="00855BC3">
            <w:pPr>
              <w:spacing w:after="0" w:line="240" w:lineRule="auto"/>
              <w:rPr>
                <w:rFonts w:asciiTheme="minorHAnsi" w:hAnsiTheme="minorHAnsi"/>
                <w:sz w:val="19"/>
                <w:szCs w:val="19"/>
              </w:rPr>
            </w:pPr>
          </w:p>
        </w:tc>
        <w:tc>
          <w:tcPr>
            <w:tcW w:w="2693" w:type="dxa"/>
            <w:shd w:val="clear" w:color="auto" w:fill="auto"/>
          </w:tcPr>
          <w:p w:rsidR="00B00804" w:rsidRPr="00855BC3" w:rsidRDefault="00B00804" w:rsidP="00855BC3">
            <w:pPr>
              <w:spacing w:after="0" w:line="240" w:lineRule="auto"/>
              <w:rPr>
                <w:rFonts w:asciiTheme="minorHAnsi" w:hAnsiTheme="minorHAnsi"/>
                <w:sz w:val="19"/>
                <w:szCs w:val="19"/>
                <w:highlight w:val="yellow"/>
              </w:rPr>
            </w:pPr>
            <w:r w:rsidRPr="00855BC3">
              <w:rPr>
                <w:rFonts w:asciiTheme="minorHAnsi" w:hAnsiTheme="minorHAnsi"/>
                <w:i/>
                <w:sz w:val="19"/>
                <w:szCs w:val="19"/>
              </w:rPr>
              <w:t>Juncus</w:t>
            </w:r>
            <w:r w:rsidRPr="00855BC3">
              <w:rPr>
                <w:rFonts w:asciiTheme="minorHAnsi" w:hAnsiTheme="minorHAnsi"/>
                <w:sz w:val="19"/>
                <w:szCs w:val="19"/>
              </w:rPr>
              <w:t xml:space="preserve"> spp.</w:t>
            </w:r>
          </w:p>
        </w:tc>
        <w:tc>
          <w:tcPr>
            <w:tcW w:w="1559"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8.51</w:t>
            </w:r>
          </w:p>
        </w:tc>
        <w:tc>
          <w:tcPr>
            <w:tcW w:w="1418"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2.16</w:t>
            </w:r>
          </w:p>
        </w:tc>
        <w:tc>
          <w:tcPr>
            <w:tcW w:w="1337"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2.25</w:t>
            </w:r>
          </w:p>
        </w:tc>
      </w:tr>
      <w:tr w:rsidR="00B00804" w:rsidTr="00BB49EA">
        <w:tc>
          <w:tcPr>
            <w:tcW w:w="2235" w:type="dxa"/>
            <w:vMerge/>
            <w:shd w:val="clear" w:color="auto" w:fill="auto"/>
          </w:tcPr>
          <w:p w:rsidR="00B00804" w:rsidRPr="00855BC3" w:rsidRDefault="00B00804" w:rsidP="00855BC3">
            <w:pPr>
              <w:spacing w:after="0" w:line="240" w:lineRule="auto"/>
              <w:rPr>
                <w:rFonts w:asciiTheme="minorHAnsi" w:hAnsiTheme="minorHAnsi"/>
                <w:sz w:val="19"/>
                <w:szCs w:val="19"/>
              </w:rPr>
            </w:pPr>
          </w:p>
        </w:tc>
        <w:tc>
          <w:tcPr>
            <w:tcW w:w="2693" w:type="dxa"/>
            <w:shd w:val="clear" w:color="auto" w:fill="auto"/>
          </w:tcPr>
          <w:p w:rsidR="00B00804" w:rsidRPr="00855BC3" w:rsidRDefault="00B00804" w:rsidP="00855BC3">
            <w:pPr>
              <w:spacing w:after="0" w:line="240" w:lineRule="auto"/>
              <w:rPr>
                <w:rFonts w:asciiTheme="minorHAnsi" w:hAnsiTheme="minorHAnsi"/>
                <w:sz w:val="19"/>
                <w:szCs w:val="19"/>
                <w:highlight w:val="yellow"/>
              </w:rPr>
            </w:pPr>
            <w:r w:rsidRPr="00855BC3">
              <w:rPr>
                <w:rFonts w:asciiTheme="minorHAnsi" w:hAnsiTheme="minorHAnsi"/>
                <w:i/>
                <w:sz w:val="19"/>
                <w:szCs w:val="19"/>
              </w:rPr>
              <w:t>Centipeda</w:t>
            </w:r>
            <w:r w:rsidRPr="00855BC3">
              <w:rPr>
                <w:rFonts w:asciiTheme="minorHAnsi" w:hAnsiTheme="minorHAnsi"/>
                <w:sz w:val="19"/>
                <w:szCs w:val="19"/>
              </w:rPr>
              <w:t xml:space="preserve"> </w:t>
            </w:r>
            <w:r w:rsidRPr="00855BC3">
              <w:rPr>
                <w:rFonts w:asciiTheme="minorHAnsi" w:hAnsiTheme="minorHAnsi"/>
                <w:i/>
                <w:sz w:val="19"/>
                <w:szCs w:val="19"/>
              </w:rPr>
              <w:t>cunninghammii</w:t>
            </w:r>
          </w:p>
        </w:tc>
        <w:tc>
          <w:tcPr>
            <w:tcW w:w="1559"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6.68</w:t>
            </w:r>
          </w:p>
        </w:tc>
        <w:tc>
          <w:tcPr>
            <w:tcW w:w="1418"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0.94</w:t>
            </w:r>
          </w:p>
        </w:tc>
        <w:tc>
          <w:tcPr>
            <w:tcW w:w="1337"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0.58</w:t>
            </w:r>
          </w:p>
        </w:tc>
      </w:tr>
      <w:tr w:rsidR="00B00804" w:rsidTr="00BB49EA">
        <w:tc>
          <w:tcPr>
            <w:tcW w:w="2235" w:type="dxa"/>
            <w:vMerge/>
            <w:shd w:val="clear" w:color="auto" w:fill="auto"/>
          </w:tcPr>
          <w:p w:rsidR="00B00804" w:rsidRPr="00855BC3" w:rsidRDefault="00B00804" w:rsidP="00855BC3">
            <w:pPr>
              <w:spacing w:after="0" w:line="240" w:lineRule="auto"/>
              <w:rPr>
                <w:rFonts w:asciiTheme="minorHAnsi" w:hAnsiTheme="minorHAnsi"/>
                <w:sz w:val="19"/>
                <w:szCs w:val="19"/>
              </w:rPr>
            </w:pPr>
          </w:p>
        </w:tc>
        <w:tc>
          <w:tcPr>
            <w:tcW w:w="2693" w:type="dxa"/>
            <w:shd w:val="clear" w:color="auto" w:fill="auto"/>
          </w:tcPr>
          <w:p w:rsidR="00B00804" w:rsidRPr="00855BC3" w:rsidRDefault="00B00804" w:rsidP="00855BC3">
            <w:pPr>
              <w:spacing w:after="0" w:line="240" w:lineRule="auto"/>
              <w:rPr>
                <w:rFonts w:asciiTheme="minorHAnsi" w:hAnsiTheme="minorHAnsi"/>
                <w:sz w:val="19"/>
                <w:szCs w:val="19"/>
                <w:highlight w:val="yellow"/>
              </w:rPr>
            </w:pPr>
            <w:r w:rsidRPr="00855BC3">
              <w:rPr>
                <w:rFonts w:asciiTheme="minorHAnsi" w:hAnsiTheme="minorHAnsi"/>
                <w:i/>
                <w:sz w:val="19"/>
                <w:szCs w:val="19"/>
              </w:rPr>
              <w:t>Azolla</w:t>
            </w:r>
            <w:r w:rsidRPr="00855BC3">
              <w:rPr>
                <w:rFonts w:asciiTheme="minorHAnsi" w:hAnsiTheme="minorHAnsi"/>
                <w:sz w:val="19"/>
                <w:szCs w:val="19"/>
              </w:rPr>
              <w:t xml:space="preserve"> spp.</w:t>
            </w:r>
          </w:p>
        </w:tc>
        <w:tc>
          <w:tcPr>
            <w:tcW w:w="1559"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6.60</w:t>
            </w:r>
          </w:p>
        </w:tc>
        <w:tc>
          <w:tcPr>
            <w:tcW w:w="1418"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w:t>
            </w:r>
          </w:p>
        </w:tc>
        <w:tc>
          <w:tcPr>
            <w:tcW w:w="1337"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1.02</w:t>
            </w:r>
          </w:p>
        </w:tc>
      </w:tr>
      <w:tr w:rsidR="00B00804" w:rsidTr="00BB49EA">
        <w:tc>
          <w:tcPr>
            <w:tcW w:w="2235" w:type="dxa"/>
            <w:tcBorders>
              <w:bottom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rPr>
            </w:pPr>
          </w:p>
        </w:tc>
        <w:tc>
          <w:tcPr>
            <w:tcW w:w="2693" w:type="dxa"/>
            <w:tcBorders>
              <w:bottom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highlight w:val="yellow"/>
              </w:rPr>
            </w:pPr>
            <w:r w:rsidRPr="00855BC3">
              <w:rPr>
                <w:rFonts w:asciiTheme="minorHAnsi" w:hAnsiTheme="minorHAnsi"/>
                <w:sz w:val="19"/>
                <w:szCs w:val="19"/>
              </w:rPr>
              <w:t>Eucalypt seedling</w:t>
            </w:r>
          </w:p>
        </w:tc>
        <w:tc>
          <w:tcPr>
            <w:tcW w:w="1559" w:type="dxa"/>
            <w:tcBorders>
              <w:bottom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6.05</w:t>
            </w:r>
          </w:p>
        </w:tc>
        <w:tc>
          <w:tcPr>
            <w:tcW w:w="1418" w:type="dxa"/>
            <w:tcBorders>
              <w:bottom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0.87</w:t>
            </w:r>
          </w:p>
        </w:tc>
        <w:tc>
          <w:tcPr>
            <w:tcW w:w="1337" w:type="dxa"/>
            <w:tcBorders>
              <w:bottom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0.35</w:t>
            </w:r>
          </w:p>
        </w:tc>
      </w:tr>
      <w:tr w:rsidR="00B00804" w:rsidTr="00BB49EA">
        <w:tc>
          <w:tcPr>
            <w:tcW w:w="2235" w:type="dxa"/>
            <w:vMerge w:val="restart"/>
            <w:tcBorders>
              <w:top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Wakool R zone 2 and Wakool R zone 4</w:t>
            </w:r>
          </w:p>
        </w:tc>
        <w:tc>
          <w:tcPr>
            <w:tcW w:w="2693" w:type="dxa"/>
            <w:tcBorders>
              <w:top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highlight w:val="yellow"/>
              </w:rPr>
            </w:pPr>
          </w:p>
        </w:tc>
        <w:tc>
          <w:tcPr>
            <w:tcW w:w="1559" w:type="dxa"/>
            <w:tcBorders>
              <w:top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rPr>
            </w:pPr>
          </w:p>
        </w:tc>
        <w:tc>
          <w:tcPr>
            <w:tcW w:w="1418" w:type="dxa"/>
            <w:tcBorders>
              <w:top w:val="single" w:sz="4" w:space="0" w:color="auto"/>
            </w:tcBorders>
            <w:shd w:val="clear" w:color="auto" w:fill="auto"/>
          </w:tcPr>
          <w:p w:rsidR="00B00804" w:rsidRPr="00855BC3" w:rsidRDefault="00B00804" w:rsidP="00855BC3">
            <w:pPr>
              <w:spacing w:after="0" w:line="240" w:lineRule="auto"/>
              <w:rPr>
                <w:rFonts w:asciiTheme="minorHAnsi" w:hAnsiTheme="minorHAnsi"/>
                <w:b/>
                <w:sz w:val="19"/>
                <w:szCs w:val="19"/>
              </w:rPr>
            </w:pPr>
            <w:r w:rsidRPr="00855BC3">
              <w:rPr>
                <w:rFonts w:asciiTheme="minorHAnsi" w:hAnsiTheme="minorHAnsi"/>
                <w:b/>
                <w:sz w:val="19"/>
                <w:szCs w:val="19"/>
              </w:rPr>
              <w:t>Zone 2</w:t>
            </w:r>
          </w:p>
        </w:tc>
        <w:tc>
          <w:tcPr>
            <w:tcW w:w="1337" w:type="dxa"/>
            <w:tcBorders>
              <w:top w:val="single" w:sz="4" w:space="0" w:color="auto"/>
            </w:tcBorders>
            <w:shd w:val="clear" w:color="auto" w:fill="auto"/>
          </w:tcPr>
          <w:p w:rsidR="00B00804" w:rsidRPr="00855BC3" w:rsidRDefault="00B00804" w:rsidP="00855BC3">
            <w:pPr>
              <w:spacing w:after="0" w:line="240" w:lineRule="auto"/>
              <w:rPr>
                <w:rFonts w:asciiTheme="minorHAnsi" w:hAnsiTheme="minorHAnsi"/>
                <w:b/>
                <w:sz w:val="19"/>
                <w:szCs w:val="19"/>
              </w:rPr>
            </w:pPr>
            <w:r w:rsidRPr="00855BC3">
              <w:rPr>
                <w:rFonts w:asciiTheme="minorHAnsi" w:hAnsiTheme="minorHAnsi"/>
                <w:b/>
                <w:sz w:val="19"/>
                <w:szCs w:val="19"/>
              </w:rPr>
              <w:t>Zone 4</w:t>
            </w:r>
          </w:p>
        </w:tc>
      </w:tr>
      <w:tr w:rsidR="00B00804" w:rsidTr="00BB49EA">
        <w:tc>
          <w:tcPr>
            <w:tcW w:w="2235" w:type="dxa"/>
            <w:vMerge/>
            <w:shd w:val="clear" w:color="auto" w:fill="auto"/>
          </w:tcPr>
          <w:p w:rsidR="00B00804" w:rsidRPr="00855BC3" w:rsidRDefault="00B00804" w:rsidP="00855BC3">
            <w:pPr>
              <w:spacing w:after="0" w:line="240" w:lineRule="auto"/>
              <w:rPr>
                <w:rFonts w:asciiTheme="minorHAnsi" w:hAnsiTheme="minorHAnsi"/>
                <w:sz w:val="19"/>
                <w:szCs w:val="19"/>
              </w:rPr>
            </w:pPr>
          </w:p>
        </w:tc>
        <w:tc>
          <w:tcPr>
            <w:tcW w:w="2693" w:type="dxa"/>
            <w:shd w:val="clear" w:color="auto" w:fill="auto"/>
          </w:tcPr>
          <w:p w:rsidR="00B00804" w:rsidRPr="00855BC3" w:rsidRDefault="00B00804" w:rsidP="00855BC3">
            <w:pPr>
              <w:spacing w:after="0" w:line="240" w:lineRule="auto"/>
              <w:rPr>
                <w:rFonts w:asciiTheme="minorHAnsi" w:hAnsiTheme="minorHAnsi"/>
                <w:sz w:val="19"/>
                <w:szCs w:val="19"/>
                <w:highlight w:val="yellow"/>
              </w:rPr>
            </w:pPr>
            <w:r w:rsidRPr="00855BC3">
              <w:rPr>
                <w:rFonts w:asciiTheme="minorHAnsi" w:hAnsiTheme="minorHAnsi"/>
                <w:i/>
                <w:sz w:val="19"/>
                <w:szCs w:val="19"/>
              </w:rPr>
              <w:t>Juncus</w:t>
            </w:r>
            <w:r w:rsidRPr="00855BC3">
              <w:rPr>
                <w:rFonts w:asciiTheme="minorHAnsi" w:hAnsiTheme="minorHAnsi"/>
                <w:sz w:val="19"/>
                <w:szCs w:val="19"/>
              </w:rPr>
              <w:t xml:space="preserve"> spp.</w:t>
            </w:r>
          </w:p>
        </w:tc>
        <w:tc>
          <w:tcPr>
            <w:tcW w:w="1559"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10.51</w:t>
            </w:r>
          </w:p>
        </w:tc>
        <w:tc>
          <w:tcPr>
            <w:tcW w:w="1418"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2.16</w:t>
            </w:r>
          </w:p>
        </w:tc>
        <w:tc>
          <w:tcPr>
            <w:tcW w:w="1337"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2.34</w:t>
            </w:r>
          </w:p>
        </w:tc>
      </w:tr>
      <w:tr w:rsidR="00B00804" w:rsidTr="00BB49EA">
        <w:tc>
          <w:tcPr>
            <w:tcW w:w="2235" w:type="dxa"/>
            <w:vMerge/>
            <w:shd w:val="clear" w:color="auto" w:fill="auto"/>
          </w:tcPr>
          <w:p w:rsidR="00B00804" w:rsidRPr="00855BC3" w:rsidRDefault="00B00804" w:rsidP="00855BC3">
            <w:pPr>
              <w:spacing w:after="0" w:line="240" w:lineRule="auto"/>
              <w:rPr>
                <w:rFonts w:asciiTheme="minorHAnsi" w:hAnsiTheme="minorHAnsi"/>
                <w:sz w:val="19"/>
                <w:szCs w:val="19"/>
              </w:rPr>
            </w:pPr>
          </w:p>
        </w:tc>
        <w:tc>
          <w:tcPr>
            <w:tcW w:w="2693" w:type="dxa"/>
            <w:shd w:val="clear" w:color="auto" w:fill="auto"/>
          </w:tcPr>
          <w:p w:rsidR="00B00804" w:rsidRPr="00855BC3" w:rsidRDefault="00B00804" w:rsidP="00855BC3">
            <w:pPr>
              <w:spacing w:after="0" w:line="240" w:lineRule="auto"/>
              <w:rPr>
                <w:rFonts w:asciiTheme="minorHAnsi" w:hAnsiTheme="minorHAnsi"/>
                <w:sz w:val="19"/>
                <w:szCs w:val="19"/>
                <w:highlight w:val="yellow"/>
              </w:rPr>
            </w:pPr>
            <w:r w:rsidRPr="00855BC3">
              <w:rPr>
                <w:rFonts w:asciiTheme="minorHAnsi" w:hAnsiTheme="minorHAnsi"/>
                <w:i/>
                <w:sz w:val="19"/>
                <w:szCs w:val="19"/>
              </w:rPr>
              <w:t>Centipeda</w:t>
            </w:r>
            <w:r w:rsidRPr="00855BC3">
              <w:rPr>
                <w:rFonts w:asciiTheme="minorHAnsi" w:hAnsiTheme="minorHAnsi"/>
                <w:sz w:val="19"/>
                <w:szCs w:val="19"/>
              </w:rPr>
              <w:t xml:space="preserve"> </w:t>
            </w:r>
            <w:r w:rsidRPr="00855BC3">
              <w:rPr>
                <w:rFonts w:asciiTheme="minorHAnsi" w:hAnsiTheme="minorHAnsi"/>
                <w:i/>
                <w:sz w:val="19"/>
                <w:szCs w:val="19"/>
              </w:rPr>
              <w:t>cunninghammii</w:t>
            </w:r>
          </w:p>
        </w:tc>
        <w:tc>
          <w:tcPr>
            <w:tcW w:w="1559"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10.23</w:t>
            </w:r>
          </w:p>
        </w:tc>
        <w:tc>
          <w:tcPr>
            <w:tcW w:w="1418"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0.94</w:t>
            </w:r>
          </w:p>
        </w:tc>
        <w:tc>
          <w:tcPr>
            <w:tcW w:w="1337"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1.71</w:t>
            </w:r>
          </w:p>
        </w:tc>
      </w:tr>
      <w:tr w:rsidR="00B00804" w:rsidTr="00BB49EA">
        <w:tc>
          <w:tcPr>
            <w:tcW w:w="2235" w:type="dxa"/>
            <w:vMerge/>
            <w:shd w:val="clear" w:color="auto" w:fill="auto"/>
          </w:tcPr>
          <w:p w:rsidR="00B00804" w:rsidRPr="00855BC3" w:rsidRDefault="00B00804" w:rsidP="00855BC3">
            <w:pPr>
              <w:spacing w:after="0" w:line="240" w:lineRule="auto"/>
              <w:rPr>
                <w:rFonts w:asciiTheme="minorHAnsi" w:hAnsiTheme="minorHAnsi"/>
                <w:sz w:val="19"/>
                <w:szCs w:val="19"/>
              </w:rPr>
            </w:pPr>
          </w:p>
        </w:tc>
        <w:tc>
          <w:tcPr>
            <w:tcW w:w="2693" w:type="dxa"/>
            <w:shd w:val="clear" w:color="auto" w:fill="auto"/>
          </w:tcPr>
          <w:p w:rsidR="00B00804" w:rsidRPr="00855BC3" w:rsidRDefault="00235C16" w:rsidP="00855BC3">
            <w:pPr>
              <w:spacing w:after="0" w:line="240" w:lineRule="auto"/>
              <w:rPr>
                <w:rFonts w:asciiTheme="minorHAnsi" w:hAnsiTheme="minorHAnsi"/>
                <w:sz w:val="19"/>
                <w:szCs w:val="19"/>
                <w:highlight w:val="yellow"/>
              </w:rPr>
            </w:pPr>
            <w:r w:rsidRPr="00235C16">
              <w:rPr>
                <w:i/>
                <w:color w:val="000000"/>
                <w:sz w:val="19"/>
                <w:szCs w:val="19"/>
              </w:rPr>
              <w:t>Pseudoraphis spinescens</w:t>
            </w:r>
          </w:p>
        </w:tc>
        <w:tc>
          <w:tcPr>
            <w:tcW w:w="1559"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8.42</w:t>
            </w:r>
          </w:p>
        </w:tc>
        <w:tc>
          <w:tcPr>
            <w:tcW w:w="1418"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0.17</w:t>
            </w:r>
          </w:p>
        </w:tc>
        <w:tc>
          <w:tcPr>
            <w:tcW w:w="1337"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0.97</w:t>
            </w:r>
          </w:p>
        </w:tc>
      </w:tr>
      <w:tr w:rsidR="00B00804" w:rsidTr="00BB49EA">
        <w:tc>
          <w:tcPr>
            <w:tcW w:w="2235" w:type="dxa"/>
            <w:vMerge/>
            <w:shd w:val="clear" w:color="auto" w:fill="auto"/>
          </w:tcPr>
          <w:p w:rsidR="00B00804" w:rsidRPr="00855BC3" w:rsidRDefault="00B00804" w:rsidP="00855BC3">
            <w:pPr>
              <w:spacing w:after="0" w:line="240" w:lineRule="auto"/>
              <w:rPr>
                <w:rFonts w:asciiTheme="minorHAnsi" w:hAnsiTheme="minorHAnsi"/>
                <w:sz w:val="19"/>
                <w:szCs w:val="19"/>
              </w:rPr>
            </w:pPr>
          </w:p>
        </w:tc>
        <w:tc>
          <w:tcPr>
            <w:tcW w:w="2693" w:type="dxa"/>
            <w:shd w:val="clear" w:color="auto" w:fill="auto"/>
          </w:tcPr>
          <w:p w:rsidR="00B00804" w:rsidRPr="00855BC3" w:rsidRDefault="00B00804" w:rsidP="00855BC3">
            <w:pPr>
              <w:spacing w:after="0" w:line="240" w:lineRule="auto"/>
              <w:rPr>
                <w:rFonts w:asciiTheme="minorHAnsi" w:hAnsiTheme="minorHAnsi"/>
                <w:i/>
                <w:sz w:val="19"/>
                <w:szCs w:val="19"/>
              </w:rPr>
            </w:pPr>
            <w:r w:rsidRPr="00855BC3">
              <w:rPr>
                <w:rFonts w:asciiTheme="minorHAnsi" w:hAnsiTheme="minorHAnsi"/>
                <w:i/>
                <w:sz w:val="19"/>
                <w:szCs w:val="19"/>
              </w:rPr>
              <w:t>Eleocharis acuta</w:t>
            </w:r>
          </w:p>
        </w:tc>
        <w:tc>
          <w:tcPr>
            <w:tcW w:w="1559"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8.05</w:t>
            </w:r>
          </w:p>
        </w:tc>
        <w:tc>
          <w:tcPr>
            <w:tcW w:w="1418"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0.05</w:t>
            </w:r>
          </w:p>
        </w:tc>
        <w:tc>
          <w:tcPr>
            <w:tcW w:w="1337"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1.11</w:t>
            </w:r>
          </w:p>
        </w:tc>
      </w:tr>
      <w:tr w:rsidR="00B00804" w:rsidTr="00BB49EA">
        <w:tc>
          <w:tcPr>
            <w:tcW w:w="2235" w:type="dxa"/>
            <w:vMerge/>
            <w:shd w:val="clear" w:color="auto" w:fill="auto"/>
          </w:tcPr>
          <w:p w:rsidR="00B00804" w:rsidRPr="00855BC3" w:rsidRDefault="00B00804" w:rsidP="00855BC3">
            <w:pPr>
              <w:spacing w:after="0" w:line="240" w:lineRule="auto"/>
              <w:rPr>
                <w:rFonts w:asciiTheme="minorHAnsi" w:hAnsiTheme="minorHAnsi"/>
                <w:sz w:val="19"/>
                <w:szCs w:val="19"/>
              </w:rPr>
            </w:pPr>
          </w:p>
        </w:tc>
        <w:tc>
          <w:tcPr>
            <w:tcW w:w="2693"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i/>
                <w:sz w:val="19"/>
                <w:szCs w:val="19"/>
              </w:rPr>
              <w:t>Polygonum</w:t>
            </w:r>
            <w:r w:rsidRPr="00855BC3">
              <w:rPr>
                <w:rFonts w:asciiTheme="minorHAnsi" w:hAnsiTheme="minorHAnsi"/>
                <w:sz w:val="19"/>
                <w:szCs w:val="19"/>
              </w:rPr>
              <w:t xml:space="preserve"> spp.</w:t>
            </w:r>
          </w:p>
        </w:tc>
        <w:tc>
          <w:tcPr>
            <w:tcW w:w="1559"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7.94</w:t>
            </w:r>
          </w:p>
        </w:tc>
        <w:tc>
          <w:tcPr>
            <w:tcW w:w="1418"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0.37</w:t>
            </w:r>
          </w:p>
        </w:tc>
        <w:tc>
          <w:tcPr>
            <w:tcW w:w="1337"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0.96</w:t>
            </w:r>
          </w:p>
        </w:tc>
      </w:tr>
      <w:tr w:rsidR="00B00804" w:rsidTr="00BB49EA">
        <w:tc>
          <w:tcPr>
            <w:tcW w:w="2235" w:type="dxa"/>
            <w:vMerge/>
            <w:shd w:val="clear" w:color="auto" w:fill="auto"/>
          </w:tcPr>
          <w:p w:rsidR="00B00804" w:rsidRPr="00855BC3" w:rsidRDefault="00B00804" w:rsidP="00855BC3">
            <w:pPr>
              <w:spacing w:after="0" w:line="240" w:lineRule="auto"/>
              <w:rPr>
                <w:rFonts w:asciiTheme="minorHAnsi" w:hAnsiTheme="minorHAnsi"/>
                <w:sz w:val="19"/>
                <w:szCs w:val="19"/>
              </w:rPr>
            </w:pPr>
          </w:p>
        </w:tc>
        <w:tc>
          <w:tcPr>
            <w:tcW w:w="2693"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Mudwort</w:t>
            </w:r>
          </w:p>
        </w:tc>
        <w:tc>
          <w:tcPr>
            <w:tcW w:w="1559"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7.64</w:t>
            </w:r>
          </w:p>
        </w:tc>
        <w:tc>
          <w:tcPr>
            <w:tcW w:w="1418"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0.04</w:t>
            </w:r>
          </w:p>
        </w:tc>
        <w:tc>
          <w:tcPr>
            <w:tcW w:w="1337"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1.02</w:t>
            </w:r>
          </w:p>
        </w:tc>
      </w:tr>
      <w:tr w:rsidR="00B00804" w:rsidTr="00BB49EA">
        <w:tc>
          <w:tcPr>
            <w:tcW w:w="2235" w:type="dxa"/>
            <w:vMerge/>
            <w:shd w:val="clear" w:color="auto" w:fill="auto"/>
          </w:tcPr>
          <w:p w:rsidR="00B00804" w:rsidRPr="00855BC3" w:rsidRDefault="00B00804" w:rsidP="00855BC3">
            <w:pPr>
              <w:spacing w:after="0" w:line="240" w:lineRule="auto"/>
              <w:rPr>
                <w:rFonts w:asciiTheme="minorHAnsi" w:hAnsiTheme="minorHAnsi"/>
                <w:sz w:val="19"/>
                <w:szCs w:val="19"/>
              </w:rPr>
            </w:pPr>
          </w:p>
        </w:tc>
        <w:tc>
          <w:tcPr>
            <w:tcW w:w="2693"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grass</w:t>
            </w:r>
          </w:p>
        </w:tc>
        <w:tc>
          <w:tcPr>
            <w:tcW w:w="1559"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7.27</w:t>
            </w:r>
          </w:p>
        </w:tc>
        <w:tc>
          <w:tcPr>
            <w:tcW w:w="1418"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0.67</w:t>
            </w:r>
          </w:p>
        </w:tc>
        <w:tc>
          <w:tcPr>
            <w:tcW w:w="1337" w:type="dxa"/>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0.82</w:t>
            </w:r>
          </w:p>
        </w:tc>
      </w:tr>
      <w:tr w:rsidR="00B00804" w:rsidTr="00BB49EA">
        <w:tc>
          <w:tcPr>
            <w:tcW w:w="2235" w:type="dxa"/>
            <w:tcBorders>
              <w:bottom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rPr>
            </w:pPr>
          </w:p>
        </w:tc>
        <w:tc>
          <w:tcPr>
            <w:tcW w:w="2693" w:type="dxa"/>
            <w:tcBorders>
              <w:bottom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highlight w:val="yellow"/>
              </w:rPr>
            </w:pPr>
            <w:r w:rsidRPr="00855BC3">
              <w:rPr>
                <w:rFonts w:asciiTheme="minorHAnsi" w:hAnsiTheme="minorHAnsi"/>
                <w:sz w:val="19"/>
                <w:szCs w:val="19"/>
              </w:rPr>
              <w:t>Eucalypt seedling</w:t>
            </w:r>
          </w:p>
        </w:tc>
        <w:tc>
          <w:tcPr>
            <w:tcW w:w="1559" w:type="dxa"/>
            <w:tcBorders>
              <w:bottom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6.22</w:t>
            </w:r>
          </w:p>
        </w:tc>
        <w:tc>
          <w:tcPr>
            <w:tcW w:w="1418" w:type="dxa"/>
            <w:tcBorders>
              <w:bottom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0.87</w:t>
            </w:r>
          </w:p>
        </w:tc>
        <w:tc>
          <w:tcPr>
            <w:tcW w:w="1337" w:type="dxa"/>
            <w:tcBorders>
              <w:bottom w:val="single" w:sz="4" w:space="0" w:color="auto"/>
            </w:tcBorders>
            <w:shd w:val="clear" w:color="auto" w:fill="auto"/>
          </w:tcPr>
          <w:p w:rsidR="00B00804" w:rsidRPr="00855BC3" w:rsidRDefault="00B00804" w:rsidP="00855BC3">
            <w:pPr>
              <w:spacing w:after="0" w:line="240" w:lineRule="auto"/>
              <w:rPr>
                <w:rFonts w:asciiTheme="minorHAnsi" w:hAnsiTheme="minorHAnsi"/>
                <w:sz w:val="19"/>
                <w:szCs w:val="19"/>
              </w:rPr>
            </w:pPr>
            <w:r w:rsidRPr="00855BC3">
              <w:rPr>
                <w:rFonts w:asciiTheme="minorHAnsi" w:hAnsiTheme="minorHAnsi"/>
                <w:sz w:val="19"/>
                <w:szCs w:val="19"/>
              </w:rPr>
              <w:t>0.31</w:t>
            </w:r>
          </w:p>
        </w:tc>
      </w:tr>
    </w:tbl>
    <w:p w:rsidR="00B00804" w:rsidRDefault="00B00804" w:rsidP="009264BA">
      <w:pPr>
        <w:spacing w:after="240"/>
      </w:pPr>
    </w:p>
    <w:p w:rsidR="00235C16" w:rsidRDefault="00235C16" w:rsidP="00B00804">
      <w:pPr>
        <w:rPr>
          <w:b/>
          <w:bCs/>
          <w:sz w:val="26"/>
          <w:szCs w:val="26"/>
        </w:rPr>
      </w:pPr>
    </w:p>
    <w:p w:rsidR="0034707C" w:rsidRDefault="0034707C">
      <w:pPr>
        <w:spacing w:after="0" w:line="240" w:lineRule="auto"/>
        <w:jc w:val="left"/>
        <w:rPr>
          <w:b/>
          <w:bCs/>
          <w:sz w:val="26"/>
          <w:szCs w:val="26"/>
        </w:rPr>
      </w:pPr>
      <w:r>
        <w:rPr>
          <w:b/>
          <w:bCs/>
          <w:sz w:val="26"/>
          <w:szCs w:val="26"/>
        </w:rPr>
        <w:br w:type="page"/>
      </w:r>
    </w:p>
    <w:p w:rsidR="00B00804" w:rsidRPr="0034707C" w:rsidRDefault="00413E51" w:rsidP="00B00804">
      <w:pPr>
        <w:rPr>
          <w:b/>
          <w:bCs/>
          <w:color w:val="4F6228" w:themeColor="accent3" w:themeShade="80"/>
          <w:sz w:val="26"/>
          <w:szCs w:val="26"/>
        </w:rPr>
      </w:pPr>
      <w:r w:rsidRPr="0034707C">
        <w:rPr>
          <w:b/>
          <w:bCs/>
          <w:color w:val="4F6228" w:themeColor="accent3" w:themeShade="80"/>
          <w:sz w:val="26"/>
          <w:szCs w:val="26"/>
        </w:rPr>
        <w:t xml:space="preserve">8.5 </w:t>
      </w:r>
      <w:r w:rsidR="00B00804" w:rsidRPr="0034707C">
        <w:rPr>
          <w:b/>
          <w:bCs/>
          <w:color w:val="4F6228" w:themeColor="accent3" w:themeShade="80"/>
          <w:sz w:val="26"/>
          <w:szCs w:val="26"/>
        </w:rPr>
        <w:t>Discussion</w:t>
      </w:r>
    </w:p>
    <w:p w:rsidR="00B00804" w:rsidRDefault="00B00804" w:rsidP="00F841A9">
      <w:pPr>
        <w:spacing w:after="240"/>
        <w:jc w:val="left"/>
      </w:pPr>
      <w:r>
        <w:t xml:space="preserve">There was a significant response of riverbank and aquatic vegetation to Commonwealth environmental watering with higher percent cover observed in two of the three zones that received </w:t>
      </w:r>
      <w:r w:rsidR="00855BC3">
        <w:t>Commonwealth environmental water</w:t>
      </w:r>
      <w:r>
        <w:t xml:space="preserve">. Changes in the cover of vegetation at the monitoring sites were observed over time. Aquatic vegetation increased in cover in the shallow edges of zones 1, 3 and 4 </w:t>
      </w:r>
      <w:r w:rsidRPr="007D60DE">
        <w:t>du</w:t>
      </w:r>
      <w:r>
        <w:t xml:space="preserve">ring the environmental watering (August 2014 to January 2015) and contracted to transect 2 and then to transect 1 on the recession of the environmental watering action. Several aquatic taxa such as </w:t>
      </w:r>
      <w:r w:rsidR="00235C16">
        <w:rPr>
          <w:i/>
        </w:rPr>
        <w:t>P. tricarinatus</w:t>
      </w:r>
      <w:r>
        <w:t xml:space="preserve">., </w:t>
      </w:r>
      <w:r w:rsidRPr="00601B64">
        <w:rPr>
          <w:i/>
        </w:rPr>
        <w:t>Myriophyllum</w:t>
      </w:r>
      <w:r>
        <w:t xml:space="preserve"> spp. and </w:t>
      </w:r>
      <w:r w:rsidRPr="00601B64">
        <w:rPr>
          <w:i/>
        </w:rPr>
        <w:t>Azolla</w:t>
      </w:r>
      <w:r>
        <w:t xml:space="preserve"> spp. were absent from the Wakool </w:t>
      </w:r>
      <w:r w:rsidR="00F83277">
        <w:t>R</w:t>
      </w:r>
      <w:r>
        <w:t xml:space="preserve">iver zone 2 that did not receive </w:t>
      </w:r>
      <w:r w:rsidR="00855BC3">
        <w:t>Commonwealth environmental water</w:t>
      </w:r>
      <w:r>
        <w:t xml:space="preserve">, and other taxa such as </w:t>
      </w:r>
      <w:r w:rsidRPr="00844275">
        <w:rPr>
          <w:i/>
        </w:rPr>
        <w:t>Chara</w:t>
      </w:r>
      <w:r>
        <w:t xml:space="preserve"> spp., </w:t>
      </w:r>
      <w:r w:rsidRPr="00601B64">
        <w:rPr>
          <w:i/>
        </w:rPr>
        <w:t>E. acuta</w:t>
      </w:r>
      <w:r>
        <w:t xml:space="preserve"> and </w:t>
      </w:r>
      <w:r w:rsidR="00235C16" w:rsidRPr="00235C16">
        <w:rPr>
          <w:i/>
        </w:rPr>
        <w:t>Limosella</w:t>
      </w:r>
      <w:r w:rsidR="00235C16">
        <w:t xml:space="preserve"> spp.</w:t>
      </w:r>
      <w:r>
        <w:t xml:space="preserve"> were in low abundance in this zone. </w:t>
      </w:r>
    </w:p>
    <w:p w:rsidR="00B00804" w:rsidRDefault="00B00804" w:rsidP="00F841A9">
      <w:pPr>
        <w:spacing w:after="240"/>
        <w:jc w:val="left"/>
      </w:pPr>
      <w:r>
        <w:t xml:space="preserve">The response of aquatic and riverbank vegetation to the environmental watering action in Yallakool Creek in 2014-15 was not consistent among the three hydrological zones that received </w:t>
      </w:r>
      <w:r w:rsidR="00855BC3">
        <w:t>Commonwealth environmental water</w:t>
      </w:r>
      <w:r w:rsidR="000A4F7E">
        <w:t xml:space="preserve">. </w:t>
      </w:r>
      <w:r w:rsidRPr="00D36D1D">
        <w:t xml:space="preserve">Several components of the flow regime (duration, magnitude, rate of recession) and the river channel geomorphology </w:t>
      </w:r>
      <w:r>
        <w:t xml:space="preserve">can </w:t>
      </w:r>
      <w:r w:rsidRPr="00D36D1D">
        <w:t xml:space="preserve">influence the </w:t>
      </w:r>
      <w:r>
        <w:t>response</w:t>
      </w:r>
      <w:r w:rsidRPr="00D36D1D">
        <w:t xml:space="preserve"> of aquatic vegetation. </w:t>
      </w:r>
      <w:r>
        <w:t xml:space="preserve">The response of vegetation to environmental watering was strongly related to in-channel geomorphology, with river reaches having a gentle slope, shallow in-channel benches and a larger area of benthic inundation during environmental watering having a higher percent cover of plants. The higher percent cover of vegetation at zones 3 and 4 reflects an increase in aquatic vegetation that have sprouted and grown in the shallow water during the period of inundation (e.g. </w:t>
      </w:r>
      <w:r w:rsidRPr="00F06BE8">
        <w:rPr>
          <w:i/>
        </w:rPr>
        <w:t>Chara</w:t>
      </w:r>
      <w:r>
        <w:t xml:space="preserve"> spp.), and also taxa that increased in cover following the environmental watering action after the water has receded. Some taxa such as </w:t>
      </w:r>
      <w:r w:rsidR="00235C16">
        <w:rPr>
          <w:i/>
        </w:rPr>
        <w:t>E.</w:t>
      </w:r>
      <w:r w:rsidRPr="00F06BE8">
        <w:rPr>
          <w:i/>
        </w:rPr>
        <w:t xml:space="preserve"> acuta</w:t>
      </w:r>
      <w:r>
        <w:t xml:space="preserve"> grow more vigorously in damp or saturated soils than in shallow water (Blanch and Brock 1994) and </w:t>
      </w:r>
      <w:r w:rsidRPr="00213AEE">
        <w:rPr>
          <w:i/>
        </w:rPr>
        <w:t>Cyperus</w:t>
      </w:r>
      <w:r>
        <w:t xml:space="preserve"> spp. does not germinate under water but regeneration occurs with water level recession (Roberts and Marst</w:t>
      </w:r>
      <w:r w:rsidR="00235C16">
        <w:t>o</w:t>
      </w:r>
      <w:r>
        <w:t>n 2011). Thus the larger the area of shallow inundation created during the watering action in combination with the recession of the event creates the greatest opportunity for plants to grow and germinate.</w:t>
      </w:r>
    </w:p>
    <w:p w:rsidR="00B00804" w:rsidRPr="00621059" w:rsidRDefault="00B00804" w:rsidP="00F841A9">
      <w:pPr>
        <w:pStyle w:val="ListBullet"/>
        <w:spacing w:after="240" w:line="360" w:lineRule="auto"/>
        <w:jc w:val="left"/>
        <w:rPr>
          <w:rFonts w:eastAsia="Calibri"/>
          <w:sz w:val="22"/>
          <w:lang w:eastAsia="en-US"/>
        </w:rPr>
      </w:pPr>
      <w:r w:rsidRPr="00621059">
        <w:rPr>
          <w:rFonts w:eastAsia="Calibri"/>
          <w:sz w:val="22"/>
          <w:lang w:eastAsia="en-US"/>
        </w:rPr>
        <w:t>The watering action in 2014-15 was managed with a slower rate</w:t>
      </w:r>
      <w:r w:rsidR="000A4F7E">
        <w:rPr>
          <w:rFonts w:eastAsia="Calibri"/>
          <w:sz w:val="22"/>
          <w:lang w:eastAsia="en-US"/>
        </w:rPr>
        <w:t xml:space="preserve"> of recession than in 2013-14. </w:t>
      </w:r>
      <w:r w:rsidRPr="00621059">
        <w:rPr>
          <w:rFonts w:eastAsia="Calibri"/>
          <w:sz w:val="22"/>
          <w:lang w:eastAsia="en-US"/>
        </w:rPr>
        <w:t xml:space="preserve">The recession </w:t>
      </w:r>
      <w:r w:rsidR="00235C16">
        <w:rPr>
          <w:rFonts w:eastAsia="Calibri"/>
          <w:sz w:val="22"/>
          <w:lang w:eastAsia="en-US"/>
        </w:rPr>
        <w:t xml:space="preserve">of </w:t>
      </w:r>
      <w:r w:rsidR="00235C16">
        <w:t>about 40cm occurred over 30 days until it reached operational flows in the range of 200 to 240 ML/day</w:t>
      </w:r>
      <w:r w:rsidRPr="00621059">
        <w:rPr>
          <w:rFonts w:eastAsia="Calibri"/>
          <w:sz w:val="22"/>
          <w:lang w:eastAsia="en-US"/>
        </w:rPr>
        <w:t xml:space="preserve">. This management action was based on learning from previous watering events to avoid stranding of biota and enable the aquatic vegetation to persist over an extended period of time. In 2012-13 the recession at the end of the Yallakool Creek environmental watering action was rapid and aquatic vegetation was exposed and desiccated immediately after recession of e-watering (Watts et al. 2014). The longer recession in 2014-15 resulted in longer duration of persistence of some taxa, such as </w:t>
      </w:r>
      <w:r w:rsidRPr="00235C16">
        <w:rPr>
          <w:rFonts w:eastAsia="Calibri"/>
          <w:i/>
          <w:sz w:val="22"/>
          <w:lang w:eastAsia="en-US"/>
        </w:rPr>
        <w:t>Chara</w:t>
      </w:r>
      <w:r w:rsidRPr="00621059">
        <w:rPr>
          <w:rFonts w:eastAsia="Calibri"/>
          <w:sz w:val="22"/>
          <w:lang w:eastAsia="en-US"/>
        </w:rPr>
        <w:t xml:space="preserve"> spp and </w:t>
      </w:r>
      <w:r w:rsidR="00235C16" w:rsidRPr="00235C16">
        <w:rPr>
          <w:rFonts w:eastAsia="Calibri"/>
          <w:i/>
          <w:sz w:val="22"/>
          <w:lang w:eastAsia="en-US"/>
        </w:rPr>
        <w:t>Limosella</w:t>
      </w:r>
      <w:r w:rsidR="00235C16">
        <w:rPr>
          <w:rFonts w:eastAsia="Calibri"/>
          <w:sz w:val="22"/>
          <w:lang w:eastAsia="en-US"/>
        </w:rPr>
        <w:t xml:space="preserve"> spp. </w:t>
      </w:r>
      <w:r w:rsidRPr="00621059">
        <w:rPr>
          <w:rFonts w:eastAsia="Calibri"/>
          <w:sz w:val="22"/>
          <w:lang w:eastAsia="en-US"/>
        </w:rPr>
        <w:t xml:space="preserve"> (Figure </w:t>
      </w:r>
      <w:r w:rsidR="00621059">
        <w:rPr>
          <w:rFonts w:eastAsia="Calibri"/>
          <w:sz w:val="22"/>
          <w:lang w:eastAsia="en-US"/>
        </w:rPr>
        <w:t>8.</w:t>
      </w:r>
      <w:r w:rsidRPr="00621059">
        <w:rPr>
          <w:rFonts w:eastAsia="Calibri"/>
          <w:sz w:val="22"/>
          <w:lang w:eastAsia="en-US"/>
        </w:rPr>
        <w:t>8). The dried algae that persists on the riverbank sediment after desiccation would provide nutrients to help ‘kick-start’ a river productivity response during subsequent inundation events.</w:t>
      </w:r>
    </w:p>
    <w:p w:rsidR="00B00804" w:rsidRDefault="00B00804" w:rsidP="00F841A9">
      <w:pPr>
        <w:spacing w:after="240"/>
        <w:jc w:val="left"/>
      </w:pPr>
      <w:r>
        <w:t xml:space="preserve">The response of aquatic and riverbank vegetation to environmental watering has been an ongoing process and the observations in 2014-15 document a continuation of a gradual improvement in vegetation in this system over the past few years. In addition to the watering action in 2014-15, </w:t>
      </w:r>
      <w:r w:rsidR="00855BC3">
        <w:t>Commonwealth environmental water</w:t>
      </w:r>
      <w:r>
        <w:t xml:space="preserve"> was delivered to Yallakool Creek in </w:t>
      </w:r>
      <w:r w:rsidR="00235C16">
        <w:t xml:space="preserve">2011-12, </w:t>
      </w:r>
      <w:r>
        <w:t xml:space="preserve">2012-13 and 2013-14, thus zones 1, 3 and 4 have been influenced by </w:t>
      </w:r>
      <w:r w:rsidR="00855BC3">
        <w:t>environmental water</w:t>
      </w:r>
      <w:r>
        <w:t xml:space="preserve"> over the past </w:t>
      </w:r>
      <w:r w:rsidR="00235C16">
        <w:t>4</w:t>
      </w:r>
      <w:r>
        <w:t xml:space="preserve"> years. While vegetation was not formally monitored in all of the hydrological zones during that period, landholders and other community members have commented that the vegetation response to flows in 2014-15 was stronger than in 2012-13 and 13-14. It is likely that the response of riverbank and aquatic vegetation to environmental watering has been cumulative over time, as the previous watering in these zones would have enabled rhizomes of plants such as </w:t>
      </w:r>
      <w:r w:rsidR="00235C16">
        <w:rPr>
          <w:i/>
        </w:rPr>
        <w:t>E.</w:t>
      </w:r>
      <w:r w:rsidRPr="00807BD6">
        <w:rPr>
          <w:i/>
        </w:rPr>
        <w:t xml:space="preserve"> acuta</w:t>
      </w:r>
      <w:r w:rsidR="00235C16">
        <w:t xml:space="preserve"> </w:t>
      </w:r>
      <w:r>
        <w:t xml:space="preserve">or stolons of other aquatic taxa (such as </w:t>
      </w:r>
      <w:r w:rsidRPr="00F06BE8">
        <w:rPr>
          <w:i/>
        </w:rPr>
        <w:t xml:space="preserve">Vallisineria </w:t>
      </w:r>
      <w:r w:rsidR="00DC78EC" w:rsidRPr="00CF2C3F">
        <w:rPr>
          <w:i/>
        </w:rPr>
        <w:t>australis</w:t>
      </w:r>
      <w:r>
        <w:t xml:space="preserve">) </w:t>
      </w:r>
      <w:r w:rsidRPr="00F06BE8">
        <w:t>to</w:t>
      </w:r>
      <w:r>
        <w:t xml:space="preserve"> spread or plants to set seed.</w:t>
      </w:r>
      <w:r w:rsidR="00235C16">
        <w:t xml:space="preserve"> This would contribute to the continuous improvement in </w:t>
      </w:r>
      <w:r w:rsidR="00235C16" w:rsidRPr="009A5F84">
        <w:t xml:space="preserve">response of riverbank and aquatic vegetation to environmental watering </w:t>
      </w:r>
      <w:r w:rsidR="00235C16">
        <w:t xml:space="preserve">that </w:t>
      </w:r>
      <w:r w:rsidR="00235C16" w:rsidRPr="009A5F84">
        <w:t xml:space="preserve">has been </w:t>
      </w:r>
      <w:r w:rsidR="00235C16">
        <w:t>observed in this system over time.</w:t>
      </w:r>
    </w:p>
    <w:p w:rsidR="00B00804" w:rsidRDefault="00B00804" w:rsidP="00F841A9">
      <w:pPr>
        <w:spacing w:after="240"/>
        <w:jc w:val="left"/>
      </w:pPr>
      <w:r>
        <w:t xml:space="preserve">One of the longer lived taxa, </w:t>
      </w:r>
      <w:r w:rsidRPr="00FF6F4A">
        <w:rPr>
          <w:i/>
        </w:rPr>
        <w:t xml:space="preserve">Juncus </w:t>
      </w:r>
      <w:r w:rsidR="00235C16">
        <w:rPr>
          <w:i/>
        </w:rPr>
        <w:t>spp.</w:t>
      </w:r>
      <w:r>
        <w:t xml:space="preserve">, did not </w:t>
      </w:r>
      <w:r w:rsidR="00235C16">
        <w:t xml:space="preserve">significantly </w:t>
      </w:r>
      <w:r>
        <w:t xml:space="preserve">increase in percent cover in response to the environmental watering action. The cover of this species in Wakool River zone 2 was similar to </w:t>
      </w:r>
      <w:r w:rsidR="000A4F7E">
        <w:t xml:space="preserve">that in the other three zones. </w:t>
      </w:r>
      <w:r>
        <w:t xml:space="preserve">However, there </w:t>
      </w:r>
      <w:r w:rsidR="00842B74">
        <w:t>appeared to be some recruitment</w:t>
      </w:r>
      <w:r>
        <w:t xml:space="preserve"> response of this species to </w:t>
      </w:r>
      <w:r w:rsidR="00855BC3">
        <w:t>Commonwealth environmental water</w:t>
      </w:r>
      <w:r>
        <w:t xml:space="preserve">. </w:t>
      </w:r>
      <w:r w:rsidRPr="00FF6F4A">
        <w:rPr>
          <w:i/>
        </w:rPr>
        <w:t>Juncus</w:t>
      </w:r>
      <w:r>
        <w:t xml:space="preserve"> plants were also observed to be </w:t>
      </w:r>
      <w:r w:rsidR="00842B74">
        <w:t xml:space="preserve">across a wide size range of zines including new recruits </w:t>
      </w:r>
      <w:r>
        <w:t>in zones 1, 3 and 4 there were plants suggesting recruitment has occurred during e-watering over 2012-13, 2013-14 and 2014-15</w:t>
      </w:r>
      <w:r w:rsidR="00842B74">
        <w:t xml:space="preserve">, whereas in zone 2 where there has been no environmental flow the </w:t>
      </w:r>
      <w:r w:rsidR="00842B74">
        <w:rPr>
          <w:i/>
        </w:rPr>
        <w:t xml:space="preserve">Juncus sp. </w:t>
      </w:r>
      <w:r w:rsidR="00842B74">
        <w:t xml:space="preserve">plants were </w:t>
      </w:r>
      <w:r w:rsidR="00842B74" w:rsidRPr="00A777A4">
        <w:t>all of similar he</w:t>
      </w:r>
      <w:r w:rsidR="00842B74">
        <w:t>ight</w:t>
      </w:r>
      <w:r>
        <w:t xml:space="preserve">. In the Wakool River zone 2 </w:t>
      </w:r>
      <w:r w:rsidRPr="00FF6F4A">
        <w:rPr>
          <w:i/>
        </w:rPr>
        <w:t>Juncus</w:t>
      </w:r>
      <w:r>
        <w:t xml:space="preserve"> spp. </w:t>
      </w:r>
      <w:r w:rsidR="00842B74">
        <w:t>tended to occur</w:t>
      </w:r>
      <w:r>
        <w:t xml:space="preserve"> in one or two narrow bands at a height of the riverbank that correspond</w:t>
      </w:r>
      <w:r w:rsidR="00842B74">
        <w:t>ed</w:t>
      </w:r>
      <w:r>
        <w:t xml:space="preserve"> with the maximum height of a previous unregulated event </w:t>
      </w:r>
      <w:r w:rsidR="00842B74">
        <w:t xml:space="preserve">or at the water level of the dominant operational flow </w:t>
      </w:r>
      <w:r>
        <w:t xml:space="preserve">(Figure </w:t>
      </w:r>
      <w:r w:rsidR="00621059">
        <w:t>8.</w:t>
      </w:r>
      <w:r w:rsidR="00842B74">
        <w:t>9).</w:t>
      </w:r>
    </w:p>
    <w:p w:rsidR="00B00804" w:rsidRPr="00D36D1D" w:rsidRDefault="00B00804" w:rsidP="00B00804">
      <w:pPr>
        <w:pStyle w:val="ListBullet"/>
        <w:tabs>
          <w:tab w:val="left" w:pos="9639"/>
          <w:tab w:val="left" w:pos="9781"/>
        </w:tabs>
        <w:spacing w:after="0"/>
        <w:rPr>
          <w:highlight w:val="yellow"/>
        </w:rPr>
      </w:pPr>
      <w:r w:rsidRPr="00D36D1D">
        <w:rPr>
          <w:noProof/>
        </w:rPr>
        <w:drawing>
          <wp:inline distT="0" distB="0" distL="0" distR="0">
            <wp:extent cx="3651452" cy="2700000"/>
            <wp:effectExtent l="0" t="0" r="6350" b="5715"/>
            <wp:docPr id="83" name="Picture 83" descr="desiccating_mudwort_Zone_4_January_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iccating_mudwort_Zone_4_January_2015.jpg"/>
                    <pic:cNvPicPr>
                      <a:picLocks noChangeAspect="1" noChangeArrowheads="1"/>
                    </pic:cNvPicPr>
                  </pic:nvPicPr>
                  <pic:blipFill>
                    <a:blip r:embed="rId9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51452" cy="2700000"/>
                    </a:xfrm>
                    <a:prstGeom prst="rect">
                      <a:avLst/>
                    </a:prstGeom>
                    <a:noFill/>
                    <a:ln>
                      <a:noFill/>
                    </a:ln>
                  </pic:spPr>
                </pic:pic>
              </a:graphicData>
            </a:graphic>
          </wp:inline>
        </w:drawing>
      </w:r>
    </w:p>
    <w:p w:rsidR="00B00804" w:rsidRDefault="00B00804" w:rsidP="00B00804">
      <w:pPr>
        <w:pStyle w:val="ListBullet"/>
        <w:tabs>
          <w:tab w:val="left" w:pos="7088"/>
          <w:tab w:val="left" w:pos="7655"/>
        </w:tabs>
        <w:spacing w:after="0" w:line="220" w:lineRule="exact"/>
        <w:ind w:right="95"/>
      </w:pPr>
      <w:r>
        <w:rPr>
          <w:b/>
        </w:rPr>
        <w:t xml:space="preserve">Figure </w:t>
      </w:r>
      <w:r w:rsidR="00621059">
        <w:rPr>
          <w:b/>
        </w:rPr>
        <w:t>8.</w:t>
      </w:r>
      <w:r>
        <w:rPr>
          <w:b/>
        </w:rPr>
        <w:t>8</w:t>
      </w:r>
      <w:r w:rsidRPr="00D36D1D">
        <w:rPr>
          <w:b/>
        </w:rPr>
        <w:t>:</w:t>
      </w:r>
      <w:r w:rsidRPr="00D36D1D">
        <w:t xml:space="preserve"> </w:t>
      </w:r>
      <w:r>
        <w:t>M</w:t>
      </w:r>
      <w:r w:rsidRPr="00D36D1D">
        <w:t xml:space="preserve">udwort </w:t>
      </w:r>
      <w:r w:rsidR="00235C16" w:rsidRPr="00235C16">
        <w:rPr>
          <w:i/>
        </w:rPr>
        <w:t>Limosella</w:t>
      </w:r>
      <w:r w:rsidR="00235C16">
        <w:t xml:space="preserve"> spp. </w:t>
      </w:r>
      <w:r w:rsidRPr="00D36D1D">
        <w:t>in zone 4 Wakool River, January 2015 during the e-watering recession. (Photo: S. Healy)</w:t>
      </w:r>
    </w:p>
    <w:p w:rsidR="00235C16" w:rsidRPr="00D36D1D" w:rsidRDefault="00235C16" w:rsidP="00B00804">
      <w:pPr>
        <w:pStyle w:val="ListBullet"/>
        <w:tabs>
          <w:tab w:val="left" w:pos="7088"/>
          <w:tab w:val="left" w:pos="7655"/>
        </w:tabs>
        <w:spacing w:after="0" w:line="220" w:lineRule="exact"/>
        <w:ind w:right="95"/>
      </w:pPr>
    </w:p>
    <w:p w:rsidR="00B00804" w:rsidRPr="007614A3" w:rsidRDefault="00B00804" w:rsidP="00B00804">
      <w:pPr>
        <w:spacing w:after="0" w:line="240" w:lineRule="auto"/>
        <w:rPr>
          <w:b/>
        </w:rPr>
      </w:pPr>
      <w:r>
        <w:rPr>
          <w:b/>
          <w:noProof/>
          <w:lang w:eastAsia="en-AU"/>
        </w:rPr>
        <w:drawing>
          <wp:inline distT="0" distB="0" distL="0" distR="0">
            <wp:extent cx="3596288" cy="2700000"/>
            <wp:effectExtent l="0" t="0" r="4445" b="5715"/>
            <wp:docPr id="94" name="Picture 94" descr="100_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00_2185"/>
                    <pic:cNvPicPr>
                      <a:picLocks noChangeAspect="1" noChangeArrowheads="1"/>
                    </pic:cNvPicPr>
                  </pic:nvPicPr>
                  <pic:blipFill>
                    <a:blip r:embed="rId9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96288" cy="2700000"/>
                    </a:xfrm>
                    <a:prstGeom prst="rect">
                      <a:avLst/>
                    </a:prstGeom>
                    <a:noFill/>
                    <a:ln>
                      <a:noFill/>
                    </a:ln>
                  </pic:spPr>
                </pic:pic>
              </a:graphicData>
            </a:graphic>
          </wp:inline>
        </w:drawing>
      </w:r>
    </w:p>
    <w:p w:rsidR="00B00804" w:rsidRDefault="00B00804" w:rsidP="00B00804">
      <w:pPr>
        <w:spacing w:after="120" w:line="240" w:lineRule="auto"/>
        <w:rPr>
          <w:sz w:val="20"/>
        </w:rPr>
      </w:pPr>
      <w:r>
        <w:rPr>
          <w:b/>
          <w:sz w:val="20"/>
        </w:rPr>
        <w:t xml:space="preserve">Figure </w:t>
      </w:r>
      <w:r w:rsidR="00621059">
        <w:rPr>
          <w:b/>
          <w:sz w:val="20"/>
        </w:rPr>
        <w:t>8.</w:t>
      </w:r>
      <w:r>
        <w:rPr>
          <w:b/>
          <w:sz w:val="20"/>
        </w:rPr>
        <w:t>9</w:t>
      </w:r>
      <w:r w:rsidRPr="007614A3">
        <w:rPr>
          <w:b/>
          <w:sz w:val="20"/>
        </w:rPr>
        <w:t>.</w:t>
      </w:r>
      <w:r w:rsidRPr="007614A3">
        <w:rPr>
          <w:sz w:val="20"/>
        </w:rPr>
        <w:t xml:space="preserve"> </w:t>
      </w:r>
      <w:r w:rsidRPr="007614A3">
        <w:rPr>
          <w:i/>
          <w:sz w:val="20"/>
        </w:rPr>
        <w:t>Juncus</w:t>
      </w:r>
      <w:r w:rsidRPr="007614A3">
        <w:rPr>
          <w:sz w:val="20"/>
        </w:rPr>
        <w:t xml:space="preserve"> spp. occurring in a narrow band in the Wakool River zone </w:t>
      </w:r>
      <w:r w:rsidR="00842B74" w:rsidRPr="007614A3">
        <w:rPr>
          <w:sz w:val="20"/>
        </w:rPr>
        <w:t>2 that</w:t>
      </w:r>
      <w:r w:rsidRPr="007614A3">
        <w:rPr>
          <w:sz w:val="20"/>
        </w:rPr>
        <w:t xml:space="preserve"> did not receive Commonwealth environmental water.</w:t>
      </w:r>
      <w:r>
        <w:rPr>
          <w:sz w:val="20"/>
        </w:rPr>
        <w:t xml:space="preserve"> (Photo: R. Watts)</w:t>
      </w:r>
    </w:p>
    <w:p w:rsidR="00C72ABB" w:rsidRDefault="00C72ABB" w:rsidP="00B00804">
      <w:pPr>
        <w:pStyle w:val="Default"/>
        <w:spacing w:after="240"/>
        <w:rPr>
          <w:rFonts w:ascii="Calibri" w:hAnsi="Calibri" w:cs="Times New Roman"/>
          <w:color w:val="auto"/>
          <w:sz w:val="20"/>
          <w:szCs w:val="20"/>
        </w:rPr>
      </w:pPr>
    </w:p>
    <w:p w:rsidR="00B00804" w:rsidRPr="00ED6D80" w:rsidRDefault="00B00804" w:rsidP="00B00804">
      <w:pPr>
        <w:pStyle w:val="Default"/>
        <w:spacing w:after="240"/>
        <w:rPr>
          <w:rFonts w:asciiTheme="minorHAnsi" w:hAnsiTheme="minorHAnsi"/>
          <w:b/>
          <w:bCs/>
          <w:color w:val="4F6228" w:themeColor="accent3" w:themeShade="80"/>
        </w:rPr>
      </w:pPr>
      <w:r w:rsidRPr="00ED6D80">
        <w:rPr>
          <w:rFonts w:asciiTheme="minorHAnsi" w:hAnsiTheme="minorHAnsi"/>
          <w:b/>
          <w:bCs/>
          <w:color w:val="4F6228" w:themeColor="accent3" w:themeShade="80"/>
        </w:rPr>
        <w:t>Acknowledgments</w:t>
      </w:r>
    </w:p>
    <w:p w:rsidR="00235C16" w:rsidRDefault="00B00804" w:rsidP="00235C16">
      <w:pPr>
        <w:pStyle w:val="Default"/>
        <w:spacing w:after="240" w:line="360" w:lineRule="auto"/>
        <w:rPr>
          <w:rFonts w:asciiTheme="minorHAnsi" w:hAnsiTheme="minorHAnsi"/>
          <w:b/>
          <w:bCs/>
          <w:color w:val="4F6228" w:themeColor="accent3" w:themeShade="80"/>
        </w:rPr>
      </w:pPr>
      <w:r w:rsidRPr="00033C35">
        <w:rPr>
          <w:rFonts w:asciiTheme="minorHAnsi" w:hAnsiTheme="minorHAnsi"/>
          <w:bCs/>
          <w:sz w:val="22"/>
          <w:szCs w:val="22"/>
        </w:rPr>
        <w:t>The field monitoring was undertaken by Sascha Healy and Robyn Watts, with assistance on some trips from Lachlan Webster, James Dyer, and David Bishop. Many thanks to Ian Lunt for initial discussion and assistance with the monitoring design</w:t>
      </w:r>
      <w:r>
        <w:rPr>
          <w:bCs/>
          <w:sz w:val="22"/>
          <w:szCs w:val="22"/>
        </w:rPr>
        <w:t xml:space="preserve">. </w:t>
      </w:r>
      <w:r w:rsidR="00235C16">
        <w:rPr>
          <w:rFonts w:asciiTheme="minorHAnsi" w:hAnsiTheme="minorHAnsi"/>
          <w:b/>
          <w:bCs/>
          <w:color w:val="4F6228" w:themeColor="accent3" w:themeShade="80"/>
        </w:rPr>
        <w:br w:type="page"/>
      </w:r>
    </w:p>
    <w:p w:rsidR="00B00804" w:rsidRPr="00C72ABB" w:rsidRDefault="00C72ABB" w:rsidP="00B00804">
      <w:pPr>
        <w:pStyle w:val="Default"/>
        <w:spacing w:after="240"/>
        <w:rPr>
          <w:rFonts w:asciiTheme="minorHAnsi" w:hAnsiTheme="minorHAnsi"/>
          <w:b/>
          <w:bCs/>
          <w:color w:val="4F6228" w:themeColor="accent3" w:themeShade="80"/>
        </w:rPr>
      </w:pPr>
      <w:r w:rsidRPr="00C72ABB">
        <w:rPr>
          <w:rFonts w:asciiTheme="minorHAnsi" w:hAnsiTheme="minorHAnsi"/>
          <w:b/>
          <w:bCs/>
          <w:color w:val="4F6228" w:themeColor="accent3" w:themeShade="80"/>
        </w:rPr>
        <w:t>8.6</w:t>
      </w:r>
      <w:r w:rsidR="00413E51" w:rsidRPr="00C72ABB">
        <w:rPr>
          <w:rFonts w:asciiTheme="minorHAnsi" w:hAnsiTheme="minorHAnsi"/>
          <w:b/>
          <w:bCs/>
          <w:color w:val="4F6228" w:themeColor="accent3" w:themeShade="80"/>
        </w:rPr>
        <w:t xml:space="preserve"> </w:t>
      </w:r>
      <w:r w:rsidR="00B00804" w:rsidRPr="00C72ABB">
        <w:rPr>
          <w:rFonts w:asciiTheme="minorHAnsi" w:hAnsiTheme="minorHAnsi"/>
          <w:b/>
          <w:bCs/>
          <w:color w:val="4F6228" w:themeColor="accent3" w:themeShade="80"/>
        </w:rPr>
        <w:t>References</w:t>
      </w:r>
    </w:p>
    <w:p w:rsidR="00B00804" w:rsidRPr="00CC5454" w:rsidRDefault="00B00804" w:rsidP="00311640">
      <w:pPr>
        <w:spacing w:after="120" w:line="240" w:lineRule="auto"/>
        <w:ind w:left="284" w:hanging="284"/>
        <w:jc w:val="left"/>
      </w:pPr>
      <w:r w:rsidRPr="00CC5454">
        <w:t xml:space="preserve">Blom, C.W.P.M., Voesenek, L.A.C.J., Banga, M., Engelaar, W.M.H.G., Rijnders, J.H.G.M., Vandesteeg, H.M. and Visser, E.J.W. (1994) Physiological ecology of riverside species - adaptive responses of plants to submergence. </w:t>
      </w:r>
      <w:r w:rsidRPr="00CC5454">
        <w:rPr>
          <w:i/>
          <w:iCs/>
        </w:rPr>
        <w:t xml:space="preserve">Annals of Botany </w:t>
      </w:r>
      <w:r w:rsidRPr="00CC5454">
        <w:t>74 (3), 253-263.</w:t>
      </w:r>
    </w:p>
    <w:p w:rsidR="00B00804" w:rsidRPr="00CC5454" w:rsidRDefault="00B00804" w:rsidP="00311640">
      <w:pPr>
        <w:spacing w:after="120" w:line="240" w:lineRule="auto"/>
        <w:ind w:left="284" w:hanging="284"/>
        <w:jc w:val="left"/>
      </w:pPr>
      <w:r w:rsidRPr="00CC5454">
        <w:t xml:space="preserve">Blom, C.W.P.M. and Voesenek, L.A.C.J. (1996) Flooding - the survival strategies of plants. </w:t>
      </w:r>
      <w:r w:rsidRPr="00CC5454">
        <w:rPr>
          <w:i/>
          <w:iCs/>
        </w:rPr>
        <w:t xml:space="preserve">Trends in Ecology &amp; Evolution </w:t>
      </w:r>
      <w:r w:rsidRPr="00CC5454">
        <w:t>11 (7), 290-295.</w:t>
      </w:r>
    </w:p>
    <w:p w:rsidR="00B00804" w:rsidRPr="00CC5454" w:rsidRDefault="00B00804" w:rsidP="00311640">
      <w:pPr>
        <w:autoSpaceDE w:val="0"/>
        <w:autoSpaceDN w:val="0"/>
        <w:adjustRightInd w:val="0"/>
        <w:spacing w:after="120" w:line="240" w:lineRule="auto"/>
        <w:ind w:left="284" w:hanging="284"/>
        <w:jc w:val="left"/>
      </w:pPr>
      <w:r w:rsidRPr="00CC5454">
        <w:t>Brock M.A. &amp; Casanova M.T. (1997) Plant life at the edges of wetlands; ecological responses to wetting and drying patterns. In: Frontiers in Ecology; Building the Links (Eds N. Klomp &amp; I. Lunt), pp. 181–192. Elsevier Science, Oxford.</w:t>
      </w:r>
    </w:p>
    <w:p w:rsidR="00B00804" w:rsidRPr="00CC5454" w:rsidRDefault="00B00804" w:rsidP="00311640">
      <w:pPr>
        <w:autoSpaceDE w:val="0"/>
        <w:autoSpaceDN w:val="0"/>
        <w:adjustRightInd w:val="0"/>
        <w:spacing w:after="120" w:line="240" w:lineRule="auto"/>
        <w:ind w:left="284" w:hanging="284"/>
        <w:jc w:val="left"/>
      </w:pPr>
      <w:r w:rsidRPr="00CC5454">
        <w:t xml:space="preserve">Casanova, M.T. (2011) Using water plant functional groups to investigate environmental water brequirements. </w:t>
      </w:r>
      <w:r w:rsidRPr="00BA7121">
        <w:rPr>
          <w:i/>
        </w:rPr>
        <w:t>Freshwater Biology</w:t>
      </w:r>
      <w:r w:rsidRPr="00CC5454">
        <w:t xml:space="preserve"> 56, 2637-2652.</w:t>
      </w:r>
    </w:p>
    <w:p w:rsidR="00B00804" w:rsidRPr="00CC5454" w:rsidRDefault="00B00804" w:rsidP="00311640">
      <w:pPr>
        <w:spacing w:after="120" w:line="240" w:lineRule="auto"/>
        <w:ind w:left="284" w:hanging="284"/>
        <w:jc w:val="left"/>
      </w:pPr>
      <w:r w:rsidRPr="00CC5454">
        <w:t xml:space="preserve">Johansson, M.E. and Nilsson, C. (2002) Responses of Riparian Plants to Flooding in Free-Flowing and Regulated Boreal Rivers: an Experimental Study. </w:t>
      </w:r>
      <w:r w:rsidRPr="00CC5454">
        <w:rPr>
          <w:i/>
          <w:iCs/>
        </w:rPr>
        <w:t xml:space="preserve">Journal of Applied Ecology </w:t>
      </w:r>
      <w:r w:rsidRPr="00CC5454">
        <w:t>39, 971-986.</w:t>
      </w:r>
    </w:p>
    <w:p w:rsidR="00B00804" w:rsidRPr="00CC5454" w:rsidRDefault="00B00804" w:rsidP="00311640">
      <w:pPr>
        <w:spacing w:after="120" w:line="240" w:lineRule="auto"/>
        <w:ind w:left="284" w:hanging="284"/>
        <w:jc w:val="left"/>
      </w:pPr>
      <w:r w:rsidRPr="00CC5454">
        <w:t>Lowe, B.J. (2002) Impacts of altered flow regime on riverbank vegetation in a lowland floodplain river. Unpublished PhD thesis, Charles Sturt University.</w:t>
      </w:r>
    </w:p>
    <w:p w:rsidR="00B00804" w:rsidRPr="00CC5454" w:rsidRDefault="00B00804" w:rsidP="00311640">
      <w:pPr>
        <w:tabs>
          <w:tab w:val="left" w:pos="0"/>
        </w:tabs>
        <w:spacing w:after="120" w:line="240" w:lineRule="auto"/>
        <w:ind w:left="284" w:hanging="284"/>
        <w:jc w:val="left"/>
        <w:rPr>
          <w:rFonts w:cs="Calibri"/>
        </w:rPr>
      </w:pPr>
      <w:r w:rsidRPr="00CC5454">
        <w:rPr>
          <w:rFonts w:cs="Calibri"/>
        </w:rPr>
        <w:t xml:space="preserve">Lowe, B.J., Watts, R.J., Roberts J., and Robertson, A. 2010. The effect of experimental inundation and sediment deposition on the survival and growth of two herbaceous riverbank plant species. </w:t>
      </w:r>
      <w:r w:rsidRPr="00CC5454">
        <w:rPr>
          <w:rFonts w:cs="Calibri"/>
          <w:i/>
        </w:rPr>
        <w:t xml:space="preserve">Plant Ecology </w:t>
      </w:r>
      <w:r w:rsidRPr="00CC5454">
        <w:rPr>
          <w:rFonts w:cs="Calibri"/>
        </w:rPr>
        <w:t>209(1), 57-69.</w:t>
      </w:r>
    </w:p>
    <w:p w:rsidR="00B00804" w:rsidRPr="00CC5454" w:rsidRDefault="00B00804" w:rsidP="00311640">
      <w:pPr>
        <w:spacing w:after="120" w:line="240" w:lineRule="auto"/>
        <w:ind w:left="284" w:hanging="284"/>
        <w:jc w:val="left"/>
      </w:pPr>
      <w:r w:rsidRPr="00CC5454">
        <w:t>Nicol J. (2004) Vegetation Dynamics of the Menindee Lakes with Reference to the Seed Bank. PhD Thesis. The University of Adelaide, Adelaide, SA.</w:t>
      </w:r>
    </w:p>
    <w:p w:rsidR="00B00804" w:rsidRPr="00CC5454" w:rsidRDefault="00B00804" w:rsidP="00311640">
      <w:pPr>
        <w:spacing w:after="120" w:line="240" w:lineRule="auto"/>
        <w:ind w:left="284" w:hanging="284"/>
        <w:jc w:val="left"/>
      </w:pPr>
      <w:r w:rsidRPr="00CC5454">
        <w:t>Roberts, J. and Marston, F. (2011) Water regime for wetland and floodplain plants: A source book for the Murray-Darling Basin. National Water Commission, Canberra.</w:t>
      </w:r>
    </w:p>
    <w:p w:rsidR="00B00804" w:rsidRPr="00CC5454" w:rsidRDefault="00B00804" w:rsidP="00311640">
      <w:pPr>
        <w:spacing w:after="120" w:line="240" w:lineRule="auto"/>
        <w:ind w:left="284" w:hanging="284"/>
        <w:jc w:val="left"/>
      </w:pPr>
      <w:r w:rsidRPr="00CC5454">
        <w:t xml:space="preserve">Toner, M. and Keddy, P. (1997) River hydrology and riparian wetlands - a predictive model for ecological assembly. </w:t>
      </w:r>
      <w:r w:rsidRPr="00CC5454">
        <w:rPr>
          <w:i/>
          <w:iCs/>
        </w:rPr>
        <w:t xml:space="preserve">Ecological Applications </w:t>
      </w:r>
      <w:r w:rsidRPr="00CC5454">
        <w:rPr>
          <w:b/>
          <w:bCs/>
        </w:rPr>
        <w:t xml:space="preserve">7 </w:t>
      </w:r>
      <w:r w:rsidRPr="00CC5454">
        <w:t>(1), 236-246.</w:t>
      </w:r>
    </w:p>
    <w:p w:rsidR="00B00804" w:rsidRPr="00ED3B99" w:rsidRDefault="00B00804" w:rsidP="00311640">
      <w:pPr>
        <w:pStyle w:val="ListParagraph"/>
        <w:spacing w:after="120" w:line="240" w:lineRule="auto"/>
        <w:ind w:left="284" w:hanging="284"/>
        <w:jc w:val="left"/>
        <w:rPr>
          <w:rFonts w:cs="Calibri"/>
          <w:b/>
          <w:noProof/>
          <w:szCs w:val="22"/>
        </w:rPr>
      </w:pPr>
      <w:r w:rsidRPr="00CC5454">
        <w:rPr>
          <w:szCs w:val="22"/>
        </w:rPr>
        <w:t xml:space="preserve">Wassens, S., Hall, A., Osborne, W. and Watts, R.J. (2010) Habitat characteristics predict occupancy patterns of the endangered amphibian Litoria raniformis in flow-regulated flood plain wetlands. </w:t>
      </w:r>
      <w:r w:rsidRPr="00CC5454">
        <w:rPr>
          <w:i/>
          <w:iCs/>
          <w:szCs w:val="22"/>
        </w:rPr>
        <w:t xml:space="preserve">Austral Ecology </w:t>
      </w:r>
      <w:r w:rsidRPr="00CC5454">
        <w:rPr>
          <w:szCs w:val="22"/>
        </w:rPr>
        <w:t>35(8), 944-955.</w:t>
      </w:r>
    </w:p>
    <w:p w:rsidR="00B00804" w:rsidRPr="0009147C" w:rsidRDefault="00B00804" w:rsidP="00311640">
      <w:pPr>
        <w:spacing w:line="240" w:lineRule="auto"/>
        <w:ind w:left="323" w:hanging="323"/>
        <w:jc w:val="left"/>
      </w:pPr>
      <w:r w:rsidRPr="00DA23B7">
        <w:t>Watts, R.</w:t>
      </w:r>
      <w:r w:rsidRPr="0009147C">
        <w:t>J., McCasker, N., Thiem, J., Howitt, J.A., Grace, M. Healy, S., Kopf, R.K., Dyer, J.G., Conallin, A., Wooden I., Baumgartner L., Bowen P. 2014. Monitoring the ecosystem responses to Commonwealth environmental water delivered to the Edward-Wakool river system, 2013-14. Institute for Land, Water and Society, Charles Sturt University, Final Report. Prepared for Commonwealth Environmental Water Office.</w:t>
      </w:r>
    </w:p>
    <w:p w:rsidR="003014CA" w:rsidRDefault="003014CA">
      <w:pPr>
        <w:spacing w:after="0" w:line="240" w:lineRule="auto"/>
        <w:jc w:val="left"/>
      </w:pPr>
      <w:r>
        <w:br w:type="page"/>
      </w:r>
    </w:p>
    <w:p w:rsidR="003014CA" w:rsidRPr="00CA5BEA" w:rsidRDefault="003014CA" w:rsidP="00ED6D80">
      <w:pPr>
        <w:pStyle w:val="MurrumH1"/>
      </w:pPr>
      <w:bookmarkStart w:id="63" w:name="_Toc450199554"/>
      <w:r>
        <w:t>Response of fish community to C</w:t>
      </w:r>
      <w:r w:rsidRPr="00CA5BEA">
        <w:t>ommonwealth environmental watering</w:t>
      </w:r>
      <w:bookmarkEnd w:id="63"/>
    </w:p>
    <w:p w:rsidR="003014CA" w:rsidRPr="00FB36B5" w:rsidRDefault="00F671D2" w:rsidP="003014CA">
      <w:pPr>
        <w:pStyle w:val="Default"/>
        <w:spacing w:after="240" w:line="360" w:lineRule="auto"/>
        <w:rPr>
          <w:rFonts w:asciiTheme="minorHAnsi" w:hAnsiTheme="minorHAnsi" w:cs="Times New Roman"/>
        </w:rPr>
      </w:pPr>
      <w:r w:rsidRPr="00F671D2">
        <w:rPr>
          <w:rFonts w:ascii="Times New Roman" w:hAnsi="Times New Roman" w:cs="Times New Roman"/>
          <w:b/>
          <w:bCs/>
          <w:noProof/>
        </w:rPr>
        <w:pict>
          <v:shape id="Text Box 11" o:spid="_x0000_s1399" type="#_x0000_t202" style="position:absolute;margin-left:0;margin-top:6.8pt;width:453.75pt;height:582pt;z-index:251731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" fillcolor="#d6e3bc [1302]">
            <v:textbox>
              <w:txbxContent>
                <w:p w:rsidR="0097684C" w:rsidRDefault="0097684C" w:rsidP="000B78D1">
                  <w:pPr>
                    <w:shd w:val="clear" w:color="auto" w:fill="D6E3BC" w:themeFill="accent3" w:themeFillTint="66"/>
                    <w:spacing w:before="120" w:after="0"/>
                    <w:jc w:val="center"/>
                    <w:rPr>
                      <w:b/>
                    </w:rPr>
                  </w:pPr>
                  <w:r>
                    <w:rPr>
                      <w:b/>
                      <w:noProof/>
                      <w:lang w:eastAsia="en-AU"/>
                    </w:rPr>
                    <w:drawing>
                      <wp:inline distT="0" distB="0" distL="0" distR="0">
                        <wp:extent cx="3676650" cy="2762467"/>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ing_pics_2015.tif"/>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90627" cy="2772969"/>
                                </a:xfrm>
                                <a:prstGeom prst="rect">
                                  <a:avLst/>
                                </a:prstGeom>
                              </pic:spPr>
                            </pic:pic>
                          </a:graphicData>
                        </a:graphic>
                      </wp:inline>
                    </w:drawing>
                  </w:r>
                </w:p>
                <w:p w:rsidR="0097684C" w:rsidRPr="001D0150" w:rsidRDefault="0097684C" w:rsidP="000B78D1">
                  <w:pPr>
                    <w:shd w:val="clear" w:color="auto" w:fill="D6E3BC" w:themeFill="accent3" w:themeFillTint="66"/>
                    <w:spacing w:after="120" w:line="240" w:lineRule="auto"/>
                    <w:rPr>
                      <w:rFonts w:asciiTheme="minorHAnsi" w:hAnsiTheme="minorHAnsi"/>
                      <w:b/>
                      <w:szCs w:val="22"/>
                    </w:rPr>
                  </w:pPr>
                  <w:r>
                    <w:rPr>
                      <w:rFonts w:asciiTheme="minorHAnsi" w:hAnsiTheme="minorHAnsi"/>
                      <w:b/>
                      <w:szCs w:val="22"/>
                    </w:rPr>
                    <w:t>Summary</w:t>
                  </w:r>
                </w:p>
                <w:p w:rsidR="0097684C" w:rsidRPr="001D0150" w:rsidDel="005913E8" w:rsidRDefault="0097684C" w:rsidP="003014CA">
                  <w:pPr>
                    <w:pStyle w:val="NoSpacing"/>
                    <w:numPr>
                      <w:ilvl w:val="0"/>
                      <w:numId w:val="4"/>
                    </w:numPr>
                    <w:spacing w:after="120"/>
                    <w:rPr>
                      <w:rFonts w:asciiTheme="minorHAnsi" w:hAnsiTheme="minorHAnsi"/>
                      <w:kern w:val="32"/>
                      <w:szCs w:val="22"/>
                    </w:rPr>
                  </w:pPr>
                  <w:r w:rsidRPr="001D0150" w:rsidDel="005913E8">
                    <w:rPr>
                      <w:rFonts w:asciiTheme="minorHAnsi" w:hAnsiTheme="minorHAnsi"/>
                      <w:szCs w:val="22"/>
                    </w:rPr>
                    <w:t xml:space="preserve">Fish community sampling was undertaken in May through June 2015 at 19 in-channel sites throughout the Edward-Wakool system. Data from these sites </w:t>
                  </w:r>
                  <w:r>
                    <w:rPr>
                      <w:rFonts w:asciiTheme="minorHAnsi" w:hAnsiTheme="minorHAnsi"/>
                      <w:szCs w:val="22"/>
                    </w:rPr>
                    <w:t>were</w:t>
                  </w:r>
                  <w:r w:rsidRPr="001D0150" w:rsidDel="005913E8">
                    <w:rPr>
                      <w:rFonts w:asciiTheme="minorHAnsi" w:hAnsiTheme="minorHAnsi"/>
                      <w:szCs w:val="22"/>
                    </w:rPr>
                    <w:t xml:space="preserve"> compared with annual </w:t>
                  </w:r>
                  <w:r>
                    <w:rPr>
                      <w:rFonts w:asciiTheme="minorHAnsi" w:hAnsiTheme="minorHAnsi"/>
                      <w:szCs w:val="22"/>
                    </w:rPr>
                    <w:t>survey data</w:t>
                  </w:r>
                  <w:r w:rsidRPr="001D0150" w:rsidDel="005913E8">
                    <w:rPr>
                      <w:rFonts w:asciiTheme="minorHAnsi" w:hAnsiTheme="minorHAnsi"/>
                      <w:szCs w:val="22"/>
                    </w:rPr>
                    <w:t xml:space="preserve"> </w:t>
                  </w:r>
                  <w:r>
                    <w:rPr>
                      <w:rFonts w:asciiTheme="minorHAnsi" w:hAnsiTheme="minorHAnsi"/>
                      <w:szCs w:val="22"/>
                    </w:rPr>
                    <w:t>from</w:t>
                  </w:r>
                  <w:r w:rsidRPr="001D0150" w:rsidDel="005913E8">
                    <w:rPr>
                      <w:rFonts w:asciiTheme="minorHAnsi" w:hAnsiTheme="minorHAnsi"/>
                      <w:szCs w:val="22"/>
                    </w:rPr>
                    <w:t xml:space="preserve"> 2010–2014 from the same sites to provide context for the 2015 LTIM baseline data.</w:t>
                  </w:r>
                </w:p>
                <w:p w:rsidR="0097684C" w:rsidRPr="001D0150" w:rsidRDefault="0097684C" w:rsidP="003014CA">
                  <w:pPr>
                    <w:pStyle w:val="NoSpacing"/>
                    <w:numPr>
                      <w:ilvl w:val="0"/>
                      <w:numId w:val="4"/>
                    </w:numPr>
                    <w:spacing w:after="120"/>
                    <w:rPr>
                      <w:rFonts w:asciiTheme="minorHAnsi" w:hAnsiTheme="minorHAnsi"/>
                      <w:kern w:val="32"/>
                      <w:szCs w:val="22"/>
                    </w:rPr>
                  </w:pPr>
                  <w:r w:rsidRPr="001D0150">
                    <w:rPr>
                      <w:rFonts w:asciiTheme="minorHAnsi" w:hAnsiTheme="minorHAnsi"/>
                      <w:szCs w:val="22"/>
                    </w:rPr>
                    <w:t>There is a general trend of improvement in the native fish community in the Edward-Wakool system following the Millennium drought, widespread flooding and hypoxic blackwater fish kills in recent times. Improvement was species and location-specific, and the overall fish community assemblage is still considered to be in poor condition. Nativeness (the proportion of native abundance, biomass and species) was the highest on record based on six years of sampling and is classified as good.</w:t>
                  </w:r>
                </w:p>
                <w:p w:rsidR="0097684C" w:rsidRPr="001D0150" w:rsidRDefault="0097684C" w:rsidP="003014CA">
                  <w:pPr>
                    <w:pStyle w:val="NoSpacing"/>
                    <w:numPr>
                      <w:ilvl w:val="0"/>
                      <w:numId w:val="4"/>
                    </w:numPr>
                    <w:spacing w:after="120"/>
                    <w:rPr>
                      <w:rFonts w:asciiTheme="minorHAnsi" w:hAnsiTheme="minorHAnsi"/>
                      <w:kern w:val="32"/>
                      <w:szCs w:val="22"/>
                    </w:rPr>
                  </w:pPr>
                  <w:r w:rsidRPr="001D0150">
                    <w:rPr>
                      <w:rFonts w:asciiTheme="minorHAnsi" w:hAnsiTheme="minorHAnsi"/>
                      <w:szCs w:val="22"/>
                    </w:rPr>
                    <w:t>There was no significant difference in the abundance of the fish c</w:t>
                  </w:r>
                  <w:r>
                    <w:rPr>
                      <w:rFonts w:asciiTheme="minorHAnsi" w:hAnsiTheme="minorHAnsi"/>
                      <w:szCs w:val="22"/>
                    </w:rPr>
                    <w:t>ommunity assemblage between 2014 and 2015</w:t>
                  </w:r>
                  <w:r w:rsidRPr="001D0150">
                    <w:rPr>
                      <w:rFonts w:asciiTheme="minorHAnsi" w:hAnsiTheme="minorHAnsi"/>
                      <w:szCs w:val="22"/>
                    </w:rPr>
                    <w:t>. There was, however, a significant difference in biomass, and this was driven by increases in golden perch and common carp biomass, and decreases in Murray cod, goldfish and bony herring biomass in 2015.</w:t>
                  </w:r>
                </w:p>
                <w:p w:rsidR="0097684C" w:rsidRPr="003A6084" w:rsidRDefault="0097684C" w:rsidP="003014CA">
                  <w:pPr>
                    <w:pStyle w:val="NoSpacing"/>
                    <w:numPr>
                      <w:ilvl w:val="0"/>
                      <w:numId w:val="4"/>
                    </w:numPr>
                    <w:spacing w:after="120"/>
                    <w:rPr>
                      <w:rFonts w:asciiTheme="minorHAnsi" w:hAnsiTheme="minorHAnsi"/>
                      <w:kern w:val="32"/>
                      <w:szCs w:val="22"/>
                    </w:rPr>
                  </w:pPr>
                  <w:r w:rsidRPr="001D0150">
                    <w:rPr>
                      <w:rFonts w:asciiTheme="minorHAnsi" w:hAnsiTheme="minorHAnsi"/>
                      <w:szCs w:val="22"/>
                    </w:rPr>
                    <w:t xml:space="preserve">Recent recruits were detected </w:t>
                  </w:r>
                  <w:r>
                    <w:rPr>
                      <w:rFonts w:asciiTheme="minorHAnsi" w:hAnsiTheme="minorHAnsi"/>
                      <w:szCs w:val="22"/>
                    </w:rPr>
                    <w:t>of</w:t>
                  </w:r>
                  <w:r w:rsidRPr="001D0150">
                    <w:rPr>
                      <w:rFonts w:asciiTheme="minorHAnsi" w:hAnsiTheme="minorHAnsi"/>
                      <w:szCs w:val="22"/>
                    </w:rPr>
                    <w:t xml:space="preserve"> four native short-lived species (Australian smelt, carp gudgeon, Murray-Darling rainbowfish and un-specked hardyhead) and three native longer-lived species (bony herring, Murray cod and silver perch)</w:t>
                  </w:r>
                  <w:r>
                    <w:rPr>
                      <w:rFonts w:asciiTheme="minorHAnsi" w:hAnsiTheme="minorHAnsi"/>
                      <w:szCs w:val="22"/>
                    </w:rPr>
                    <w:t xml:space="preserve"> by the fish community survey</w:t>
                  </w:r>
                  <w:r w:rsidRPr="001D0150">
                    <w:rPr>
                      <w:rFonts w:asciiTheme="minorHAnsi" w:hAnsiTheme="minorHAnsi"/>
                      <w:szCs w:val="22"/>
                    </w:rPr>
                    <w:t>.</w:t>
                  </w:r>
                </w:p>
                <w:p w:rsidR="0097684C" w:rsidRPr="003A6084" w:rsidRDefault="0097684C" w:rsidP="003A6084">
                  <w:pPr>
                    <w:pStyle w:val="ListParagraph"/>
                    <w:numPr>
                      <w:ilvl w:val="0"/>
                      <w:numId w:val="4"/>
                    </w:numPr>
                    <w:spacing w:after="120" w:line="240" w:lineRule="auto"/>
                    <w:ind w:left="357" w:hanging="357"/>
                    <w:jc w:val="left"/>
                    <w:rPr>
                      <w:szCs w:val="24"/>
                    </w:rPr>
                  </w:pPr>
                  <w:r w:rsidRPr="003A6084">
                    <w:rPr>
                      <w:rFonts w:asciiTheme="minorHAnsi" w:hAnsiTheme="minorHAnsi"/>
                      <w:szCs w:val="22"/>
                    </w:rPr>
                    <w:t>The data indicate that the fish communities</w:t>
                  </w:r>
                  <w:r w:rsidRPr="003A6084">
                    <w:rPr>
                      <w:szCs w:val="24"/>
                    </w:rPr>
                    <w:t xml:space="preserve"> of the system and region have been dynamic over the past </w:t>
                  </w:r>
                  <w:r>
                    <w:rPr>
                      <w:szCs w:val="24"/>
                    </w:rPr>
                    <w:t>ten</w:t>
                  </w:r>
                  <w:r w:rsidRPr="003A6084">
                    <w:rPr>
                      <w:szCs w:val="24"/>
                    </w:rPr>
                    <w:t xml:space="preserve"> years. Sustainable Rivers Audit indicators were calculated from each annual survey from 2010–2015. There </w:t>
                  </w:r>
                  <w:r>
                    <w:rPr>
                      <w:szCs w:val="24"/>
                    </w:rPr>
                    <w:t xml:space="preserve">was a decline in all indicators from 2010 to 2011 and there </w:t>
                  </w:r>
                  <w:r w:rsidRPr="003A6084">
                    <w:rPr>
                      <w:szCs w:val="24"/>
                    </w:rPr>
                    <w:t xml:space="preserve">is a general trend towards improvement of the native fish community in the Edward-Wakool </w:t>
                  </w:r>
                  <w:r>
                    <w:rPr>
                      <w:szCs w:val="24"/>
                    </w:rPr>
                    <w:t>system back toward 2010 levels.</w:t>
                  </w:r>
                </w:p>
              </w:txbxContent>
            </v:textbox>
            <w10:wrap anchorx="margin"/>
          </v:shape>
        </w:pict>
      </w:r>
      <w:r w:rsidR="003014CA">
        <w:rPr>
          <w:b/>
        </w:rPr>
        <w:br w:type="page"/>
      </w:r>
      <w:r w:rsidR="003014CA">
        <w:rPr>
          <w:rFonts w:asciiTheme="minorHAnsi" w:hAnsiTheme="minorHAnsi"/>
          <w:b/>
          <w:color w:val="4F6228" w:themeColor="accent3" w:themeShade="80"/>
        </w:rPr>
        <w:t>9</w:t>
      </w:r>
      <w:r w:rsidR="003014CA" w:rsidRPr="00FB36B5">
        <w:rPr>
          <w:rFonts w:asciiTheme="minorHAnsi" w:hAnsiTheme="minorHAnsi"/>
          <w:b/>
          <w:color w:val="4F6228" w:themeColor="accent3" w:themeShade="80"/>
        </w:rPr>
        <w:t>.1</w:t>
      </w:r>
      <w:r w:rsidR="003014CA">
        <w:rPr>
          <w:rFonts w:asciiTheme="minorHAnsi" w:hAnsiTheme="minorHAnsi"/>
          <w:b/>
          <w:color w:val="4F6228" w:themeColor="accent3" w:themeShade="80"/>
        </w:rPr>
        <w:t xml:space="preserve"> </w:t>
      </w:r>
      <w:r w:rsidR="003014CA" w:rsidRPr="00FB36B5">
        <w:rPr>
          <w:rFonts w:asciiTheme="minorHAnsi" w:hAnsiTheme="minorHAnsi" w:cs="Times New Roman"/>
          <w:b/>
          <w:bCs/>
          <w:color w:val="4F6228" w:themeColor="accent3" w:themeShade="80"/>
        </w:rPr>
        <w:t xml:space="preserve">Background </w:t>
      </w:r>
    </w:p>
    <w:p w:rsidR="003014CA" w:rsidRPr="00FB36B5" w:rsidRDefault="003014CA" w:rsidP="004306A6">
      <w:pPr>
        <w:pStyle w:val="Default"/>
        <w:spacing w:after="240" w:line="360" w:lineRule="auto"/>
        <w:rPr>
          <w:rFonts w:asciiTheme="minorHAnsi" w:hAnsiTheme="minorHAnsi" w:cs="Times New Roman"/>
          <w:sz w:val="22"/>
          <w:szCs w:val="22"/>
        </w:rPr>
      </w:pPr>
      <w:r w:rsidRPr="00FB36B5">
        <w:rPr>
          <w:rFonts w:asciiTheme="minorHAnsi" w:hAnsiTheme="minorHAnsi" w:cs="Times New Roman"/>
          <w:sz w:val="22"/>
          <w:szCs w:val="22"/>
        </w:rPr>
        <w:t xml:space="preserve">Dryland </w:t>
      </w:r>
      <w:proofErr w:type="gramStart"/>
      <w:r w:rsidRPr="00FB36B5">
        <w:rPr>
          <w:rFonts w:asciiTheme="minorHAnsi" w:hAnsiTheme="minorHAnsi" w:cs="Times New Roman"/>
          <w:sz w:val="22"/>
          <w:szCs w:val="22"/>
        </w:rPr>
        <w:t>rivers</w:t>
      </w:r>
      <w:proofErr w:type="gramEnd"/>
      <w:r w:rsidRPr="00FB36B5">
        <w:rPr>
          <w:rFonts w:asciiTheme="minorHAnsi" w:hAnsiTheme="minorHAnsi" w:cs="Times New Roman"/>
          <w:sz w:val="22"/>
          <w:szCs w:val="22"/>
        </w:rPr>
        <w:t xml:space="preserve"> in Australia contain ecological communities that have adapted to extreme hydrological regimes, </w:t>
      </w:r>
      <w:r>
        <w:rPr>
          <w:rFonts w:asciiTheme="minorHAnsi" w:hAnsiTheme="minorHAnsi" w:cs="Times New Roman"/>
          <w:sz w:val="22"/>
          <w:szCs w:val="22"/>
        </w:rPr>
        <w:t>where</w:t>
      </w:r>
      <w:r w:rsidRPr="00FB36B5">
        <w:rPr>
          <w:rFonts w:asciiTheme="minorHAnsi" w:hAnsiTheme="minorHAnsi" w:cs="Times New Roman"/>
          <w:sz w:val="22"/>
          <w:szCs w:val="22"/>
        </w:rPr>
        <w:t xml:space="preserve"> long periods of low flow and drought can be interrupted by extensive flooding (Humphries et al. 1999, Thoms and Sheldon 2000). The majority of fish communities within these systems have undergone severe declines, largely as an artefact of altered flow regimes since European settlement. Flow regulation has reduced habitat complexity, altered the timing and magnitude of flows necessary for critical life stages for fish, reduced in- and off-channel connectivity and has promoted the invasion of generalist alien species (Bunn and Arthington 2002). Environmental water can be used to restore more natural flow characteristics to benefit native fish by increasing reproduction opportunities, by creating the cues necessary to facilitate migration to trigger a spawning response or by improving food availability which can translate to improved condition and larval survival (Humphries et al. 1999, Humphries et al. 2002, King et al. 2003). The delivery of environmental water can also promote connectivity with off-channel habitats such as wetlands and floodplains, which many native fish species have been shown to opportunistically use for nursery habitat and to benefit from increased food availability (Lyon et al. 2010). </w:t>
      </w:r>
    </w:p>
    <w:p w:rsidR="003014CA" w:rsidRDefault="003014CA" w:rsidP="004306A6">
      <w:pPr>
        <w:jc w:val="left"/>
        <w:rPr>
          <w:szCs w:val="24"/>
        </w:rPr>
      </w:pPr>
      <w:r w:rsidRPr="0048558B">
        <w:rPr>
          <w:szCs w:val="24"/>
        </w:rPr>
        <w:t xml:space="preserve">Environmental water delivery has previously </w:t>
      </w:r>
      <w:r w:rsidR="00E71CE0">
        <w:rPr>
          <w:szCs w:val="24"/>
        </w:rPr>
        <w:t>resulted in</w:t>
      </w:r>
      <w:r w:rsidRPr="0048558B">
        <w:rPr>
          <w:szCs w:val="24"/>
        </w:rPr>
        <w:t xml:space="preserve"> detectable short-term changes in fish communities in the Edward-Wakool system. For example, Gilligan et al. (2009) examined changes to the fish community before, during and after 30 GL </w:t>
      </w:r>
      <w:r>
        <w:rPr>
          <w:szCs w:val="24"/>
        </w:rPr>
        <w:t xml:space="preserve">of stock and domestic and </w:t>
      </w:r>
      <w:r w:rsidRPr="0048558B">
        <w:rPr>
          <w:szCs w:val="24"/>
        </w:rPr>
        <w:t>environmental flow</w:t>
      </w:r>
      <w:r>
        <w:rPr>
          <w:szCs w:val="24"/>
        </w:rPr>
        <w:t>s</w:t>
      </w:r>
      <w:r w:rsidRPr="0048558B">
        <w:rPr>
          <w:szCs w:val="24"/>
        </w:rPr>
        <w:t xml:space="preserve">. The objective of the flow was to sustain existing populations by improving water quality in deteriorating conditions during an extreme drought. Spawning </w:t>
      </w:r>
      <w:r>
        <w:rPr>
          <w:szCs w:val="24"/>
        </w:rPr>
        <w:t>of</w:t>
      </w:r>
      <w:r w:rsidRPr="0048558B">
        <w:rPr>
          <w:szCs w:val="24"/>
        </w:rPr>
        <w:t xml:space="preserve"> Murray-Darling rainbowfish (</w:t>
      </w:r>
      <w:r w:rsidRPr="0048558B">
        <w:rPr>
          <w:i/>
          <w:iCs/>
          <w:szCs w:val="24"/>
        </w:rPr>
        <w:t>Melanotaenia fluviatilis</w:t>
      </w:r>
      <w:r w:rsidRPr="0048558B">
        <w:rPr>
          <w:szCs w:val="24"/>
        </w:rPr>
        <w:t>) and un-specked hardyhead (</w:t>
      </w:r>
      <w:r w:rsidRPr="0048558B">
        <w:rPr>
          <w:i/>
          <w:iCs/>
          <w:szCs w:val="24"/>
        </w:rPr>
        <w:t>Craterocephalus stercusmuscarum fulvus</w:t>
      </w:r>
      <w:r w:rsidRPr="0048558B">
        <w:rPr>
          <w:szCs w:val="24"/>
        </w:rPr>
        <w:t xml:space="preserve">) was detected during the event, although there was no change detected in the abundance of Murray cod </w:t>
      </w:r>
      <w:r>
        <w:rPr>
          <w:szCs w:val="24"/>
        </w:rPr>
        <w:t>(</w:t>
      </w:r>
      <w:r w:rsidRPr="00A92419">
        <w:rPr>
          <w:i/>
          <w:szCs w:val="24"/>
        </w:rPr>
        <w:t>Maccullochella peelii</w:t>
      </w:r>
      <w:r>
        <w:rPr>
          <w:szCs w:val="24"/>
        </w:rPr>
        <w:t xml:space="preserve">) </w:t>
      </w:r>
      <w:r w:rsidRPr="0048558B">
        <w:rPr>
          <w:szCs w:val="24"/>
        </w:rPr>
        <w:t>or silver perch (</w:t>
      </w:r>
      <w:r w:rsidRPr="0048558B">
        <w:rPr>
          <w:i/>
          <w:iCs/>
          <w:szCs w:val="24"/>
        </w:rPr>
        <w:t>Bidyanus bidyanus</w:t>
      </w:r>
      <w:r w:rsidRPr="0048558B">
        <w:rPr>
          <w:szCs w:val="24"/>
        </w:rPr>
        <w:t xml:space="preserve">) (Gilligan et al. 2009). Following the environmental water release, the abundance of golden perch </w:t>
      </w:r>
      <w:r>
        <w:rPr>
          <w:szCs w:val="24"/>
        </w:rPr>
        <w:t>(</w:t>
      </w:r>
      <w:r w:rsidRPr="00A92419">
        <w:rPr>
          <w:i/>
          <w:szCs w:val="24"/>
        </w:rPr>
        <w:t>Macquaria ambigua</w:t>
      </w:r>
      <w:r>
        <w:rPr>
          <w:szCs w:val="24"/>
        </w:rPr>
        <w:t xml:space="preserve">) </w:t>
      </w:r>
      <w:r w:rsidRPr="0048558B">
        <w:rPr>
          <w:szCs w:val="24"/>
        </w:rPr>
        <w:t>and carp gudgeon (</w:t>
      </w:r>
      <w:r w:rsidRPr="0048558B">
        <w:rPr>
          <w:i/>
          <w:iCs/>
          <w:szCs w:val="24"/>
        </w:rPr>
        <w:t xml:space="preserve">Hypseleotris </w:t>
      </w:r>
      <w:r w:rsidRPr="0048558B">
        <w:rPr>
          <w:szCs w:val="24"/>
        </w:rPr>
        <w:t>spp) decline</w:t>
      </w:r>
      <w:r>
        <w:rPr>
          <w:szCs w:val="24"/>
        </w:rPr>
        <w:t>d</w:t>
      </w:r>
      <w:r w:rsidRPr="0048558B">
        <w:rPr>
          <w:szCs w:val="24"/>
        </w:rPr>
        <w:t xml:space="preserve"> (Gilligan et al. 2009). These </w:t>
      </w:r>
      <w:r>
        <w:rPr>
          <w:szCs w:val="24"/>
        </w:rPr>
        <w:t>results</w:t>
      </w:r>
      <w:r w:rsidRPr="0048558B">
        <w:rPr>
          <w:szCs w:val="24"/>
        </w:rPr>
        <w:t xml:space="preserve"> were all based on short-term before and after comparison</w:t>
      </w:r>
      <w:r>
        <w:rPr>
          <w:szCs w:val="24"/>
        </w:rPr>
        <w:t>s</w:t>
      </w:r>
      <w:r w:rsidRPr="0048558B">
        <w:rPr>
          <w:szCs w:val="24"/>
        </w:rPr>
        <w:t>. It is likely that short</w:t>
      </w:r>
      <w:r>
        <w:rPr>
          <w:szCs w:val="24"/>
        </w:rPr>
        <w:t>-</w:t>
      </w:r>
      <w:r w:rsidRPr="0048558B">
        <w:rPr>
          <w:szCs w:val="24"/>
        </w:rPr>
        <w:t xml:space="preserve">term changes in fish community </w:t>
      </w:r>
      <w:r>
        <w:rPr>
          <w:szCs w:val="24"/>
        </w:rPr>
        <w:t xml:space="preserve">structure following </w:t>
      </w:r>
      <w:r w:rsidRPr="0048558B">
        <w:rPr>
          <w:szCs w:val="24"/>
        </w:rPr>
        <w:t>environmental water delivery are driven by movement, localised changes in hydraulic and structural habitat availability</w:t>
      </w:r>
      <w:r>
        <w:rPr>
          <w:szCs w:val="24"/>
        </w:rPr>
        <w:t>,</w:t>
      </w:r>
      <w:r w:rsidRPr="0048558B">
        <w:rPr>
          <w:szCs w:val="24"/>
        </w:rPr>
        <w:t xml:space="preserve"> and food resources. However, changes in fish community composition at the reach and valley scale are also likely to occur as a result </w:t>
      </w:r>
      <w:r>
        <w:rPr>
          <w:szCs w:val="24"/>
        </w:rPr>
        <w:t xml:space="preserve">of </w:t>
      </w:r>
      <w:r w:rsidRPr="0048558B">
        <w:rPr>
          <w:szCs w:val="24"/>
        </w:rPr>
        <w:t xml:space="preserve">improvements to fish </w:t>
      </w:r>
      <w:r>
        <w:rPr>
          <w:szCs w:val="24"/>
        </w:rPr>
        <w:t xml:space="preserve">body </w:t>
      </w:r>
      <w:r w:rsidRPr="0048558B">
        <w:rPr>
          <w:szCs w:val="24"/>
        </w:rPr>
        <w:t xml:space="preserve">condition, </w:t>
      </w:r>
      <w:r>
        <w:rPr>
          <w:szCs w:val="24"/>
        </w:rPr>
        <w:t>increased</w:t>
      </w:r>
      <w:r w:rsidRPr="0048558B">
        <w:rPr>
          <w:szCs w:val="24"/>
        </w:rPr>
        <w:t xml:space="preserve"> </w:t>
      </w:r>
      <w:r>
        <w:rPr>
          <w:szCs w:val="24"/>
        </w:rPr>
        <w:t xml:space="preserve">spawning opportunities, and subsequent young-of year </w:t>
      </w:r>
      <w:r w:rsidRPr="0048558B">
        <w:rPr>
          <w:szCs w:val="24"/>
        </w:rPr>
        <w:t>recruitment</w:t>
      </w:r>
      <w:r>
        <w:rPr>
          <w:szCs w:val="24"/>
        </w:rPr>
        <w:t xml:space="preserve">, all of which result in </w:t>
      </w:r>
      <w:r w:rsidRPr="0048558B">
        <w:rPr>
          <w:szCs w:val="24"/>
        </w:rPr>
        <w:t>positive changes in native fish abundance</w:t>
      </w:r>
      <w:r>
        <w:rPr>
          <w:szCs w:val="24"/>
        </w:rPr>
        <w:t xml:space="preserve"> and biomass</w:t>
      </w:r>
      <w:r w:rsidRPr="0048558B">
        <w:rPr>
          <w:szCs w:val="24"/>
        </w:rPr>
        <w:t xml:space="preserve">. </w:t>
      </w:r>
    </w:p>
    <w:p w:rsidR="003014CA" w:rsidRDefault="003014CA" w:rsidP="004306A6">
      <w:pPr>
        <w:jc w:val="left"/>
        <w:rPr>
          <w:szCs w:val="24"/>
        </w:rPr>
      </w:pPr>
      <w:r>
        <w:rPr>
          <w:szCs w:val="24"/>
        </w:rPr>
        <w:t>Our</w:t>
      </w:r>
      <w:r w:rsidRPr="0048558B">
        <w:rPr>
          <w:szCs w:val="24"/>
        </w:rPr>
        <w:t xml:space="preserve"> ability to detect change is often influenced by the objective</w:t>
      </w:r>
      <w:r w:rsidR="00E71CE0">
        <w:rPr>
          <w:szCs w:val="24"/>
        </w:rPr>
        <w:t>s and scale</w:t>
      </w:r>
      <w:r w:rsidRPr="0048558B">
        <w:rPr>
          <w:szCs w:val="24"/>
        </w:rPr>
        <w:t xml:space="preserve"> of </w:t>
      </w:r>
      <w:r w:rsidR="00E71CE0">
        <w:rPr>
          <w:szCs w:val="24"/>
        </w:rPr>
        <w:t xml:space="preserve">environmental </w:t>
      </w:r>
      <w:r w:rsidRPr="0048558B">
        <w:rPr>
          <w:szCs w:val="24"/>
        </w:rPr>
        <w:t xml:space="preserve">water delivery. </w:t>
      </w:r>
      <w:r>
        <w:rPr>
          <w:szCs w:val="24"/>
        </w:rPr>
        <w:t>For example, measuring c</w:t>
      </w:r>
      <w:r w:rsidRPr="0048558B">
        <w:rPr>
          <w:szCs w:val="24"/>
        </w:rPr>
        <w:t xml:space="preserve">hanges </w:t>
      </w:r>
      <w:r>
        <w:rPr>
          <w:szCs w:val="24"/>
        </w:rPr>
        <w:t xml:space="preserve">to </w:t>
      </w:r>
      <w:r w:rsidRPr="0048558B">
        <w:rPr>
          <w:szCs w:val="24"/>
        </w:rPr>
        <w:t xml:space="preserve">fish </w:t>
      </w:r>
      <w:r>
        <w:rPr>
          <w:szCs w:val="24"/>
        </w:rPr>
        <w:t xml:space="preserve">assemblages at the </w:t>
      </w:r>
      <w:r w:rsidRPr="0048558B">
        <w:rPr>
          <w:szCs w:val="24"/>
        </w:rPr>
        <w:t xml:space="preserve">landscape-scale </w:t>
      </w:r>
      <w:r>
        <w:rPr>
          <w:szCs w:val="24"/>
        </w:rPr>
        <w:t xml:space="preserve">in association with </w:t>
      </w:r>
      <w:r w:rsidRPr="0048558B">
        <w:rPr>
          <w:szCs w:val="24"/>
        </w:rPr>
        <w:t xml:space="preserve">environmental water delivery are generally </w:t>
      </w:r>
      <w:r>
        <w:rPr>
          <w:szCs w:val="24"/>
        </w:rPr>
        <w:t xml:space="preserve">possible </w:t>
      </w:r>
      <w:r w:rsidRPr="0048558B">
        <w:rPr>
          <w:szCs w:val="24"/>
        </w:rPr>
        <w:t xml:space="preserve">only when </w:t>
      </w:r>
      <w:r>
        <w:rPr>
          <w:szCs w:val="24"/>
        </w:rPr>
        <w:t xml:space="preserve">environmental </w:t>
      </w:r>
      <w:r w:rsidRPr="0048558B">
        <w:rPr>
          <w:szCs w:val="24"/>
        </w:rPr>
        <w:t xml:space="preserve">water </w:t>
      </w:r>
      <w:r>
        <w:rPr>
          <w:szCs w:val="24"/>
        </w:rPr>
        <w:t>availability is</w:t>
      </w:r>
      <w:r w:rsidRPr="0048558B">
        <w:rPr>
          <w:szCs w:val="24"/>
        </w:rPr>
        <w:t xml:space="preserve"> high.</w:t>
      </w:r>
      <w:r>
        <w:rPr>
          <w:szCs w:val="24"/>
        </w:rPr>
        <w:t xml:space="preserve"> </w:t>
      </w:r>
      <w:r w:rsidRPr="0048558B">
        <w:rPr>
          <w:szCs w:val="24"/>
        </w:rPr>
        <w:t xml:space="preserve">During periods when water </w:t>
      </w:r>
      <w:r>
        <w:rPr>
          <w:szCs w:val="24"/>
        </w:rPr>
        <w:t>availability is</w:t>
      </w:r>
      <w:r w:rsidRPr="0048558B">
        <w:rPr>
          <w:szCs w:val="24"/>
        </w:rPr>
        <w:t xml:space="preserve"> low, environmental water delivery </w:t>
      </w:r>
      <w:r>
        <w:rPr>
          <w:szCs w:val="24"/>
        </w:rPr>
        <w:t xml:space="preserve">is most often </w:t>
      </w:r>
      <w:r w:rsidRPr="0048558B">
        <w:rPr>
          <w:szCs w:val="24"/>
        </w:rPr>
        <w:t xml:space="preserve">used to prevent deterioration of fish </w:t>
      </w:r>
      <w:r>
        <w:rPr>
          <w:szCs w:val="24"/>
        </w:rPr>
        <w:t xml:space="preserve">body </w:t>
      </w:r>
      <w:r w:rsidRPr="0048558B">
        <w:rPr>
          <w:szCs w:val="24"/>
        </w:rPr>
        <w:t xml:space="preserve">condition, encourage </w:t>
      </w:r>
      <w:r>
        <w:rPr>
          <w:szCs w:val="24"/>
        </w:rPr>
        <w:t xml:space="preserve">movements </w:t>
      </w:r>
      <w:r w:rsidRPr="0048558B">
        <w:rPr>
          <w:szCs w:val="24"/>
        </w:rPr>
        <w:t xml:space="preserve">to refuge sites and to sustain populations present within refuge areas. For instance, a previous environmental watering action in the Edward-Wakool river system successfully prevented a hypoxic blackwater event and protected many fish when water was released from irrigation escapes into the upper Wakool River and Yallakool Creek. Many fish survived in the area where </w:t>
      </w:r>
      <w:r>
        <w:rPr>
          <w:szCs w:val="24"/>
        </w:rPr>
        <w:t xml:space="preserve">environmental </w:t>
      </w:r>
      <w:r w:rsidRPr="0048558B">
        <w:rPr>
          <w:szCs w:val="24"/>
        </w:rPr>
        <w:t xml:space="preserve">water </w:t>
      </w:r>
      <w:r>
        <w:rPr>
          <w:szCs w:val="24"/>
        </w:rPr>
        <w:t>was delivered</w:t>
      </w:r>
      <w:r w:rsidRPr="0048558B">
        <w:rPr>
          <w:szCs w:val="24"/>
        </w:rPr>
        <w:t>, whilst thousands of fish perished in reaches</w:t>
      </w:r>
      <w:r w:rsidR="00E71CE0">
        <w:rPr>
          <w:szCs w:val="24"/>
        </w:rPr>
        <w:t xml:space="preserve"> affected by blackwater</w:t>
      </w:r>
      <w:r w:rsidRPr="0048558B">
        <w:rPr>
          <w:szCs w:val="24"/>
        </w:rPr>
        <w:t xml:space="preserve">. The delivery of environmental water can also influence native fish reproduction directly by providing cues </w:t>
      </w:r>
      <w:r>
        <w:rPr>
          <w:szCs w:val="24"/>
        </w:rPr>
        <w:t>to</w:t>
      </w:r>
      <w:r w:rsidRPr="0048558B">
        <w:rPr>
          <w:szCs w:val="24"/>
        </w:rPr>
        <w:t xml:space="preserve"> stimulate spawning behaviour or provide access to suitable available habitat. Likewise, the delivery of environmental water to drive fish recruitment can be influenced indirectly by: 1) increasing food resources, 2) increasing available habitat, 3) promoting suitable water quality, and 4) facilitating connectivity and dispersal.</w:t>
      </w:r>
    </w:p>
    <w:p w:rsidR="003014CA" w:rsidRDefault="003014CA" w:rsidP="004306A6">
      <w:pPr>
        <w:jc w:val="left"/>
        <w:rPr>
          <w:szCs w:val="22"/>
        </w:rPr>
      </w:pPr>
      <w:r w:rsidRPr="0048558B">
        <w:rPr>
          <w:szCs w:val="24"/>
        </w:rPr>
        <w:t>A system-wide fish monitoring program was established in 2010 to provide baseline information on native fish population status in the Edward-Wakool system and inform management targets and actions</w:t>
      </w:r>
      <w:r>
        <w:rPr>
          <w:szCs w:val="24"/>
        </w:rPr>
        <w:t xml:space="preserve"> (</w:t>
      </w:r>
      <w:r w:rsidRPr="00817754">
        <w:rPr>
          <w:i/>
          <w:szCs w:val="24"/>
        </w:rPr>
        <w:t>see</w:t>
      </w:r>
      <w:r>
        <w:rPr>
          <w:szCs w:val="24"/>
        </w:rPr>
        <w:t xml:space="preserve"> </w:t>
      </w:r>
      <w:proofErr w:type="gramStart"/>
      <w:r>
        <w:rPr>
          <w:szCs w:val="24"/>
        </w:rPr>
        <w:t>Watts</w:t>
      </w:r>
      <w:proofErr w:type="gramEnd"/>
      <w:r>
        <w:rPr>
          <w:szCs w:val="24"/>
        </w:rPr>
        <w:t xml:space="preserve"> et al. 2014a, b)</w:t>
      </w:r>
      <w:r w:rsidRPr="0048558B">
        <w:rPr>
          <w:szCs w:val="24"/>
        </w:rPr>
        <w:t xml:space="preserve">. The program involved establishing long-term fish monitoring sites </w:t>
      </w:r>
      <w:r>
        <w:rPr>
          <w:szCs w:val="24"/>
        </w:rPr>
        <w:t>which</w:t>
      </w:r>
      <w:r w:rsidRPr="0048558B">
        <w:rPr>
          <w:szCs w:val="24"/>
        </w:rPr>
        <w:t xml:space="preserve"> have been sampled consecutively for </w:t>
      </w:r>
      <w:r>
        <w:rPr>
          <w:szCs w:val="24"/>
        </w:rPr>
        <w:t>six</w:t>
      </w:r>
      <w:r w:rsidRPr="0048558B">
        <w:rPr>
          <w:szCs w:val="24"/>
        </w:rPr>
        <w:t xml:space="preserve"> </w:t>
      </w:r>
      <w:r w:rsidRPr="00587C40">
        <w:rPr>
          <w:szCs w:val="22"/>
        </w:rPr>
        <w:t xml:space="preserve">years. Based on these surveys and short-term intervention monitoring </w:t>
      </w:r>
      <w:r>
        <w:rPr>
          <w:szCs w:val="22"/>
        </w:rPr>
        <w:t>of larval fish</w:t>
      </w:r>
      <w:r w:rsidRPr="00587C40">
        <w:rPr>
          <w:szCs w:val="22"/>
        </w:rPr>
        <w:t xml:space="preserve"> in the Edward-Wakool system</w:t>
      </w:r>
      <w:r>
        <w:rPr>
          <w:szCs w:val="22"/>
        </w:rPr>
        <w:t xml:space="preserve"> (Watts et al. 2012, 2013, 2014) eleven native fish species and five alien species have been recorded as adults or larvae/early juveniles in this system between 2010 and 2015 (Table 9.1).</w:t>
      </w:r>
    </w:p>
    <w:p w:rsidR="003014CA" w:rsidRDefault="003014CA" w:rsidP="004306A6">
      <w:pPr>
        <w:jc w:val="left"/>
        <w:rPr>
          <w:szCs w:val="24"/>
        </w:rPr>
      </w:pPr>
      <w:r w:rsidRPr="0048558B">
        <w:rPr>
          <w:szCs w:val="24"/>
        </w:rPr>
        <w:t xml:space="preserve">The overall objectives </w:t>
      </w:r>
      <w:r>
        <w:rPr>
          <w:szCs w:val="24"/>
        </w:rPr>
        <w:t>of the</w:t>
      </w:r>
      <w:r w:rsidRPr="0048558B">
        <w:rPr>
          <w:szCs w:val="24"/>
        </w:rPr>
        <w:t xml:space="preserve"> monitoring program were to</w:t>
      </w:r>
      <w:r>
        <w:rPr>
          <w:szCs w:val="24"/>
        </w:rPr>
        <w:t>: 1)</w:t>
      </w:r>
      <w:r w:rsidRPr="0048558B">
        <w:rPr>
          <w:szCs w:val="24"/>
        </w:rPr>
        <w:t xml:space="preserve"> identify ecological assets within the system, </w:t>
      </w:r>
      <w:r>
        <w:rPr>
          <w:szCs w:val="24"/>
        </w:rPr>
        <w:t xml:space="preserve">2) </w:t>
      </w:r>
      <w:r w:rsidRPr="0048558B">
        <w:rPr>
          <w:szCs w:val="24"/>
        </w:rPr>
        <w:t xml:space="preserve">quantify the health of the fish community with respect to large-scale hydrological events including the millennium drought, large-scale flooding and hypoxic blackwater, and </w:t>
      </w:r>
      <w:r>
        <w:rPr>
          <w:szCs w:val="24"/>
        </w:rPr>
        <w:t xml:space="preserve">3) </w:t>
      </w:r>
      <w:r w:rsidRPr="0048558B">
        <w:rPr>
          <w:szCs w:val="24"/>
        </w:rPr>
        <w:t>determine long</w:t>
      </w:r>
      <w:r>
        <w:rPr>
          <w:szCs w:val="24"/>
        </w:rPr>
        <w:t>-</w:t>
      </w:r>
      <w:r w:rsidRPr="0048558B">
        <w:rPr>
          <w:szCs w:val="24"/>
        </w:rPr>
        <w:t xml:space="preserve">term trajectories in the fish community assemblage associated with these major events. It is expected that this information, combined with information collected on the movement of fish, fish reproduction and fish recruitment, will provide system-wide </w:t>
      </w:r>
      <w:r>
        <w:rPr>
          <w:szCs w:val="24"/>
        </w:rPr>
        <w:t>‘</w:t>
      </w:r>
      <w:r w:rsidRPr="0048558B">
        <w:rPr>
          <w:szCs w:val="24"/>
        </w:rPr>
        <w:t>multiple lines of evidence</w:t>
      </w:r>
      <w:r>
        <w:rPr>
          <w:szCs w:val="24"/>
        </w:rPr>
        <w:t>’</w:t>
      </w:r>
      <w:r w:rsidRPr="0048558B">
        <w:rPr>
          <w:szCs w:val="24"/>
        </w:rPr>
        <w:t xml:space="preserve"> to </w:t>
      </w:r>
      <w:r>
        <w:rPr>
          <w:szCs w:val="24"/>
        </w:rPr>
        <w:t xml:space="preserve">inform </w:t>
      </w:r>
      <w:r w:rsidRPr="0048558B">
        <w:rPr>
          <w:szCs w:val="24"/>
        </w:rPr>
        <w:t>water management and delivery</w:t>
      </w:r>
      <w:r>
        <w:rPr>
          <w:szCs w:val="24"/>
        </w:rPr>
        <w:t>,</w:t>
      </w:r>
      <w:r w:rsidRPr="0048558B">
        <w:rPr>
          <w:szCs w:val="24"/>
        </w:rPr>
        <w:t xml:space="preserve"> </w:t>
      </w:r>
      <w:r>
        <w:rPr>
          <w:szCs w:val="24"/>
        </w:rPr>
        <w:t xml:space="preserve">that will maximise the </w:t>
      </w:r>
      <w:r w:rsidRPr="0048558B">
        <w:rPr>
          <w:szCs w:val="24"/>
        </w:rPr>
        <w:t xml:space="preserve">benefit </w:t>
      </w:r>
      <w:r>
        <w:rPr>
          <w:szCs w:val="24"/>
        </w:rPr>
        <w:t xml:space="preserve">to </w:t>
      </w:r>
      <w:r w:rsidRPr="0048558B">
        <w:rPr>
          <w:szCs w:val="24"/>
        </w:rPr>
        <w:t xml:space="preserve">native fish communities in the Edward-Wakool system. </w:t>
      </w:r>
    </w:p>
    <w:p w:rsidR="003014CA" w:rsidRPr="007414A2" w:rsidRDefault="003014CA" w:rsidP="003014CA">
      <w:pPr>
        <w:spacing w:after="0" w:line="240" w:lineRule="auto"/>
        <w:rPr>
          <w:sz w:val="20"/>
        </w:rPr>
      </w:pPr>
      <w:r>
        <w:rPr>
          <w:b/>
          <w:sz w:val="20"/>
        </w:rPr>
        <w:t>Table 9</w:t>
      </w:r>
      <w:r w:rsidRPr="00AF305F">
        <w:rPr>
          <w:b/>
          <w:sz w:val="20"/>
        </w:rPr>
        <w:t>.1</w:t>
      </w:r>
      <w:r>
        <w:rPr>
          <w:sz w:val="20"/>
        </w:rPr>
        <w:t xml:space="preserve"> </w:t>
      </w:r>
      <w:r w:rsidRPr="007414A2">
        <w:rPr>
          <w:sz w:val="20"/>
        </w:rPr>
        <w:t xml:space="preserve">List of i) pre-European expected native </w:t>
      </w:r>
      <w:r>
        <w:rPr>
          <w:sz w:val="20"/>
        </w:rPr>
        <w:t xml:space="preserve">fish </w:t>
      </w:r>
      <w:r w:rsidRPr="007414A2">
        <w:rPr>
          <w:sz w:val="20"/>
        </w:rPr>
        <w:t>species present in the central Murray region of the Murray-Darling Basin, and ii) known alien species, recorded as adults or larvae/early juveniles in the Edward-Wakool system between 2010 and 2015.</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227"/>
        <w:gridCol w:w="3827"/>
        <w:gridCol w:w="1134"/>
        <w:gridCol w:w="1418"/>
      </w:tblGrid>
      <w:tr w:rsidR="003014CA" w:rsidTr="000B78D1">
        <w:trPr>
          <w:trHeight w:val="754"/>
        </w:trPr>
        <w:tc>
          <w:tcPr>
            <w:tcW w:w="3227" w:type="dxa"/>
            <w:tcBorders>
              <w:left w:val="nil"/>
              <w:bottom w:val="single" w:sz="4" w:space="0" w:color="auto"/>
              <w:right w:val="nil"/>
            </w:tcBorders>
            <w:shd w:val="clear" w:color="auto" w:fill="D6E3BC" w:themeFill="accent3" w:themeFillTint="66"/>
            <w:vAlign w:val="bottom"/>
          </w:tcPr>
          <w:p w:rsidR="003014CA" w:rsidRPr="00FB34BE" w:rsidRDefault="003014CA" w:rsidP="00BF10FA">
            <w:pPr>
              <w:spacing w:after="240" w:line="240" w:lineRule="auto"/>
              <w:jc w:val="left"/>
              <w:rPr>
                <w:b/>
                <w:szCs w:val="22"/>
              </w:rPr>
            </w:pPr>
            <w:r w:rsidRPr="00FB34BE">
              <w:rPr>
                <w:b/>
                <w:szCs w:val="22"/>
              </w:rPr>
              <w:t>Common name</w:t>
            </w:r>
            <w:r w:rsidRPr="00B76110">
              <w:rPr>
                <w:szCs w:val="22"/>
                <w:vertAlign w:val="superscript"/>
              </w:rPr>
              <w:t>1</w:t>
            </w:r>
          </w:p>
        </w:tc>
        <w:tc>
          <w:tcPr>
            <w:tcW w:w="3827" w:type="dxa"/>
            <w:tcBorders>
              <w:left w:val="nil"/>
              <w:bottom w:val="single" w:sz="4" w:space="0" w:color="auto"/>
              <w:right w:val="nil"/>
            </w:tcBorders>
            <w:shd w:val="clear" w:color="auto" w:fill="D6E3BC" w:themeFill="accent3" w:themeFillTint="66"/>
            <w:vAlign w:val="bottom"/>
          </w:tcPr>
          <w:p w:rsidR="003014CA" w:rsidRPr="00FB34BE" w:rsidRDefault="003014CA" w:rsidP="00BF10FA">
            <w:pPr>
              <w:spacing w:after="240" w:line="240" w:lineRule="auto"/>
              <w:jc w:val="left"/>
              <w:rPr>
                <w:b/>
                <w:szCs w:val="22"/>
              </w:rPr>
            </w:pPr>
            <w:r w:rsidRPr="00FB34BE">
              <w:rPr>
                <w:b/>
                <w:szCs w:val="22"/>
              </w:rPr>
              <w:t>Species name</w:t>
            </w:r>
          </w:p>
        </w:tc>
        <w:tc>
          <w:tcPr>
            <w:tcW w:w="1134" w:type="dxa"/>
            <w:tcBorders>
              <w:left w:val="nil"/>
              <w:bottom w:val="single" w:sz="4" w:space="0" w:color="auto"/>
              <w:right w:val="nil"/>
            </w:tcBorders>
            <w:shd w:val="clear" w:color="auto" w:fill="D6E3BC" w:themeFill="accent3" w:themeFillTint="66"/>
            <w:vAlign w:val="bottom"/>
          </w:tcPr>
          <w:p w:rsidR="003014CA" w:rsidRPr="00FB34BE" w:rsidRDefault="003014CA" w:rsidP="00BF10FA">
            <w:pPr>
              <w:spacing w:after="0" w:line="240" w:lineRule="auto"/>
              <w:jc w:val="center"/>
              <w:rPr>
                <w:b/>
                <w:szCs w:val="22"/>
              </w:rPr>
            </w:pPr>
            <w:r w:rsidRPr="00FB34BE">
              <w:rPr>
                <w:b/>
                <w:szCs w:val="22"/>
              </w:rPr>
              <w:t>Found as adults</w:t>
            </w:r>
            <w:r>
              <w:rPr>
                <w:b/>
                <w:szCs w:val="22"/>
                <w:vertAlign w:val="superscript"/>
              </w:rPr>
              <w:t>2</w:t>
            </w:r>
          </w:p>
        </w:tc>
        <w:tc>
          <w:tcPr>
            <w:tcW w:w="1418" w:type="dxa"/>
            <w:tcBorders>
              <w:left w:val="nil"/>
              <w:bottom w:val="single" w:sz="4" w:space="0" w:color="auto"/>
              <w:right w:val="nil"/>
            </w:tcBorders>
            <w:shd w:val="clear" w:color="auto" w:fill="D6E3BC" w:themeFill="accent3" w:themeFillTint="66"/>
            <w:vAlign w:val="bottom"/>
          </w:tcPr>
          <w:p w:rsidR="003014CA" w:rsidRPr="00FB34BE" w:rsidRDefault="003014CA" w:rsidP="00BF10FA">
            <w:pPr>
              <w:spacing w:after="0" w:line="240" w:lineRule="auto"/>
              <w:jc w:val="center"/>
              <w:rPr>
                <w:b/>
                <w:szCs w:val="22"/>
              </w:rPr>
            </w:pPr>
            <w:r w:rsidRPr="00FB34BE">
              <w:rPr>
                <w:b/>
                <w:szCs w:val="22"/>
              </w:rPr>
              <w:t>Found as larvae/early juveniles</w:t>
            </w:r>
            <w:r>
              <w:rPr>
                <w:b/>
                <w:szCs w:val="22"/>
                <w:vertAlign w:val="superscript"/>
              </w:rPr>
              <w:t>3</w:t>
            </w:r>
          </w:p>
        </w:tc>
      </w:tr>
      <w:tr w:rsidR="003014CA" w:rsidTr="00BF10FA">
        <w:tc>
          <w:tcPr>
            <w:tcW w:w="3227" w:type="dxa"/>
            <w:tcBorders>
              <w:top w:val="single" w:sz="4" w:space="0" w:color="auto"/>
              <w:left w:val="nil"/>
              <w:bottom w:val="nil"/>
              <w:right w:val="nil"/>
            </w:tcBorders>
            <w:vAlign w:val="center"/>
          </w:tcPr>
          <w:p w:rsidR="003014CA" w:rsidRPr="00B76110" w:rsidRDefault="003014CA" w:rsidP="00BF10FA">
            <w:pPr>
              <w:numPr>
                <w:ilvl w:val="0"/>
                <w:numId w:val="44"/>
              </w:numPr>
              <w:spacing w:before="60" w:after="60" w:line="240" w:lineRule="auto"/>
              <w:rPr>
                <w:b/>
                <w:color w:val="000000"/>
                <w:sz w:val="20"/>
              </w:rPr>
            </w:pPr>
            <w:r>
              <w:rPr>
                <w:b/>
                <w:color w:val="000000"/>
                <w:sz w:val="20"/>
              </w:rPr>
              <w:t xml:space="preserve">Expected </w:t>
            </w:r>
            <w:r w:rsidRPr="00B76110">
              <w:rPr>
                <w:b/>
                <w:color w:val="000000"/>
                <w:sz w:val="20"/>
              </w:rPr>
              <w:t>Native species</w:t>
            </w:r>
            <w:r w:rsidRPr="00B76110">
              <w:rPr>
                <w:b/>
                <w:color w:val="000000"/>
                <w:sz w:val="20"/>
                <w:vertAlign w:val="superscript"/>
              </w:rPr>
              <w:t>4</w:t>
            </w:r>
          </w:p>
        </w:tc>
        <w:tc>
          <w:tcPr>
            <w:tcW w:w="3827" w:type="dxa"/>
            <w:tcBorders>
              <w:top w:val="single" w:sz="4" w:space="0" w:color="auto"/>
              <w:left w:val="nil"/>
              <w:bottom w:val="nil"/>
              <w:right w:val="nil"/>
            </w:tcBorders>
          </w:tcPr>
          <w:p w:rsidR="003014CA" w:rsidRPr="000C1C46" w:rsidRDefault="003014CA" w:rsidP="00BF10FA">
            <w:pPr>
              <w:spacing w:before="60" w:after="60" w:line="240" w:lineRule="auto"/>
              <w:jc w:val="left"/>
              <w:rPr>
                <w:i/>
                <w:color w:val="000000"/>
                <w:sz w:val="20"/>
              </w:rPr>
            </w:pPr>
          </w:p>
        </w:tc>
        <w:tc>
          <w:tcPr>
            <w:tcW w:w="1134" w:type="dxa"/>
            <w:tcBorders>
              <w:top w:val="single" w:sz="4" w:space="0" w:color="auto"/>
              <w:left w:val="nil"/>
              <w:bottom w:val="nil"/>
              <w:right w:val="nil"/>
            </w:tcBorders>
            <w:vAlign w:val="center"/>
          </w:tcPr>
          <w:p w:rsidR="003014CA" w:rsidRPr="000C1C46" w:rsidRDefault="003014CA" w:rsidP="00BF10FA">
            <w:pPr>
              <w:spacing w:before="60" w:after="60" w:line="240" w:lineRule="auto"/>
              <w:jc w:val="center"/>
              <w:rPr>
                <w:iCs/>
                <w:color w:val="000000"/>
                <w:sz w:val="20"/>
              </w:rPr>
            </w:pPr>
          </w:p>
        </w:tc>
        <w:tc>
          <w:tcPr>
            <w:tcW w:w="1418" w:type="dxa"/>
            <w:tcBorders>
              <w:top w:val="single" w:sz="4" w:space="0" w:color="auto"/>
              <w:left w:val="nil"/>
              <w:bottom w:val="nil"/>
              <w:right w:val="nil"/>
            </w:tcBorders>
          </w:tcPr>
          <w:p w:rsidR="003014CA" w:rsidRDefault="003014CA" w:rsidP="00BF10FA">
            <w:pPr>
              <w:spacing w:before="60" w:after="60" w:line="240" w:lineRule="auto"/>
              <w:jc w:val="center"/>
              <w:rPr>
                <w:iCs/>
                <w:color w:val="000000"/>
                <w:sz w:val="20"/>
              </w:rPr>
            </w:pPr>
          </w:p>
        </w:tc>
      </w:tr>
      <w:tr w:rsidR="003014CA" w:rsidTr="00BF10FA">
        <w:tc>
          <w:tcPr>
            <w:tcW w:w="3227" w:type="dxa"/>
            <w:tcBorders>
              <w:top w:val="nil"/>
              <w:left w:val="nil"/>
              <w:bottom w:val="nil"/>
              <w:right w:val="nil"/>
            </w:tcBorders>
            <w:vAlign w:val="center"/>
          </w:tcPr>
          <w:p w:rsidR="003014CA" w:rsidRPr="000C1C46" w:rsidRDefault="003014CA" w:rsidP="00BF10FA">
            <w:pPr>
              <w:spacing w:before="60" w:after="60" w:line="240" w:lineRule="auto"/>
              <w:rPr>
                <w:color w:val="000000"/>
                <w:sz w:val="20"/>
              </w:rPr>
            </w:pPr>
            <w:r w:rsidRPr="000C1C46">
              <w:rPr>
                <w:color w:val="000000"/>
                <w:sz w:val="20"/>
              </w:rPr>
              <w:t>Agassiz’s glassfish (olive perchlet)</w:t>
            </w:r>
          </w:p>
        </w:tc>
        <w:tc>
          <w:tcPr>
            <w:tcW w:w="3827" w:type="dxa"/>
            <w:tcBorders>
              <w:top w:val="nil"/>
              <w:left w:val="nil"/>
              <w:bottom w:val="nil"/>
              <w:right w:val="nil"/>
            </w:tcBorders>
          </w:tcPr>
          <w:p w:rsidR="003014CA" w:rsidRPr="000C1C46" w:rsidRDefault="003014CA" w:rsidP="00BF10FA">
            <w:pPr>
              <w:spacing w:before="60" w:after="60" w:line="240" w:lineRule="auto"/>
              <w:jc w:val="left"/>
              <w:rPr>
                <w:i/>
                <w:iCs/>
                <w:color w:val="000000"/>
                <w:sz w:val="20"/>
              </w:rPr>
            </w:pPr>
            <w:r w:rsidRPr="000C1C46">
              <w:rPr>
                <w:i/>
                <w:color w:val="000000"/>
                <w:sz w:val="20"/>
              </w:rPr>
              <w:t>Ambassis agassizii</w:t>
            </w:r>
          </w:p>
        </w:tc>
        <w:tc>
          <w:tcPr>
            <w:tcW w:w="1134" w:type="dxa"/>
            <w:tcBorders>
              <w:top w:val="nil"/>
              <w:left w:val="nil"/>
              <w:bottom w:val="nil"/>
              <w:right w:val="nil"/>
            </w:tcBorders>
            <w:vAlign w:val="center"/>
          </w:tcPr>
          <w:p w:rsidR="003014CA" w:rsidRPr="000C1C46" w:rsidRDefault="003014CA" w:rsidP="00BF10FA">
            <w:pPr>
              <w:spacing w:before="60" w:after="60" w:line="240" w:lineRule="auto"/>
              <w:jc w:val="center"/>
              <w:rPr>
                <w:iCs/>
                <w:color w:val="000000"/>
                <w:sz w:val="20"/>
              </w:rPr>
            </w:pPr>
          </w:p>
        </w:tc>
        <w:tc>
          <w:tcPr>
            <w:tcW w:w="1418" w:type="dxa"/>
            <w:tcBorders>
              <w:top w:val="nil"/>
              <w:left w:val="nil"/>
              <w:bottom w:val="nil"/>
              <w:right w:val="nil"/>
            </w:tcBorders>
          </w:tcPr>
          <w:p w:rsidR="003014CA" w:rsidRPr="000C1C46" w:rsidRDefault="003014CA" w:rsidP="00BF10FA">
            <w:pPr>
              <w:spacing w:before="60" w:after="60" w:line="240" w:lineRule="auto"/>
              <w:jc w:val="center"/>
              <w:rPr>
                <w:iCs/>
                <w:color w:val="000000"/>
                <w:sz w:val="20"/>
              </w:rPr>
            </w:pPr>
          </w:p>
        </w:tc>
      </w:tr>
      <w:tr w:rsidR="003014CA" w:rsidTr="00BF10FA">
        <w:tc>
          <w:tcPr>
            <w:tcW w:w="3227" w:type="dxa"/>
            <w:tcBorders>
              <w:top w:val="nil"/>
              <w:left w:val="nil"/>
              <w:bottom w:val="nil"/>
              <w:right w:val="nil"/>
            </w:tcBorders>
            <w:vAlign w:val="center"/>
          </w:tcPr>
          <w:p w:rsidR="003014CA" w:rsidRPr="000C1C46" w:rsidRDefault="003014CA" w:rsidP="00BF10FA">
            <w:pPr>
              <w:spacing w:before="60" w:after="60" w:line="240" w:lineRule="auto"/>
              <w:rPr>
                <w:color w:val="000000"/>
                <w:sz w:val="20"/>
              </w:rPr>
            </w:pPr>
            <w:r w:rsidRPr="000C1C46">
              <w:rPr>
                <w:color w:val="000000"/>
                <w:sz w:val="20"/>
              </w:rPr>
              <w:t>Australian smelt</w:t>
            </w:r>
          </w:p>
        </w:tc>
        <w:tc>
          <w:tcPr>
            <w:tcW w:w="3827" w:type="dxa"/>
            <w:tcBorders>
              <w:top w:val="nil"/>
              <w:left w:val="nil"/>
              <w:bottom w:val="nil"/>
              <w:right w:val="nil"/>
            </w:tcBorders>
          </w:tcPr>
          <w:p w:rsidR="003014CA" w:rsidRPr="000C1C46" w:rsidRDefault="003014CA" w:rsidP="00BF10FA">
            <w:pPr>
              <w:spacing w:before="60" w:after="60" w:line="240" w:lineRule="auto"/>
              <w:jc w:val="left"/>
              <w:rPr>
                <w:i/>
                <w:iCs/>
                <w:color w:val="000000"/>
                <w:sz w:val="20"/>
              </w:rPr>
            </w:pPr>
            <w:r w:rsidRPr="000C1C46">
              <w:rPr>
                <w:i/>
                <w:iCs/>
                <w:color w:val="000000"/>
                <w:sz w:val="20"/>
              </w:rPr>
              <w:t>Retropinna semoni</w:t>
            </w:r>
          </w:p>
        </w:tc>
        <w:tc>
          <w:tcPr>
            <w:tcW w:w="1134" w:type="dxa"/>
            <w:tcBorders>
              <w:top w:val="nil"/>
              <w:left w:val="nil"/>
              <w:bottom w:val="nil"/>
              <w:right w:val="nil"/>
            </w:tcBorders>
            <w:vAlign w:val="center"/>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c>
          <w:tcPr>
            <w:tcW w:w="1418" w:type="dxa"/>
            <w:tcBorders>
              <w:top w:val="nil"/>
              <w:left w:val="nil"/>
              <w:bottom w:val="nil"/>
              <w:right w:val="nil"/>
            </w:tcBorders>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r>
      <w:tr w:rsidR="003014CA" w:rsidTr="00BF10FA">
        <w:tc>
          <w:tcPr>
            <w:tcW w:w="3227" w:type="dxa"/>
            <w:tcBorders>
              <w:top w:val="nil"/>
              <w:left w:val="nil"/>
              <w:bottom w:val="nil"/>
              <w:right w:val="nil"/>
            </w:tcBorders>
            <w:vAlign w:val="center"/>
          </w:tcPr>
          <w:p w:rsidR="003014CA" w:rsidRPr="000C1C46" w:rsidRDefault="003014CA" w:rsidP="00BF10FA">
            <w:pPr>
              <w:spacing w:before="60" w:after="60" w:line="240" w:lineRule="auto"/>
              <w:rPr>
                <w:color w:val="000000"/>
                <w:sz w:val="20"/>
              </w:rPr>
            </w:pPr>
            <w:r w:rsidRPr="000C1C46">
              <w:rPr>
                <w:color w:val="000000"/>
                <w:sz w:val="20"/>
              </w:rPr>
              <w:t>bony herring</w:t>
            </w:r>
          </w:p>
        </w:tc>
        <w:tc>
          <w:tcPr>
            <w:tcW w:w="3827" w:type="dxa"/>
            <w:tcBorders>
              <w:top w:val="nil"/>
              <w:left w:val="nil"/>
              <w:bottom w:val="nil"/>
              <w:right w:val="nil"/>
            </w:tcBorders>
          </w:tcPr>
          <w:p w:rsidR="003014CA" w:rsidRPr="000C1C46" w:rsidRDefault="003014CA" w:rsidP="00BF10FA">
            <w:pPr>
              <w:spacing w:before="60" w:after="60" w:line="240" w:lineRule="auto"/>
              <w:jc w:val="left"/>
              <w:rPr>
                <w:i/>
                <w:iCs/>
                <w:color w:val="000000"/>
                <w:sz w:val="20"/>
              </w:rPr>
            </w:pPr>
            <w:r w:rsidRPr="000C1C46">
              <w:rPr>
                <w:i/>
                <w:iCs/>
                <w:color w:val="000000"/>
                <w:sz w:val="20"/>
              </w:rPr>
              <w:t>Nematolosa erebi</w:t>
            </w:r>
          </w:p>
        </w:tc>
        <w:tc>
          <w:tcPr>
            <w:tcW w:w="1134" w:type="dxa"/>
            <w:tcBorders>
              <w:top w:val="nil"/>
              <w:left w:val="nil"/>
              <w:bottom w:val="nil"/>
              <w:right w:val="nil"/>
            </w:tcBorders>
            <w:vAlign w:val="center"/>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c>
          <w:tcPr>
            <w:tcW w:w="1418" w:type="dxa"/>
            <w:tcBorders>
              <w:top w:val="nil"/>
              <w:left w:val="nil"/>
              <w:bottom w:val="nil"/>
              <w:right w:val="nil"/>
            </w:tcBorders>
          </w:tcPr>
          <w:p w:rsidR="003014CA" w:rsidRPr="000C1C46" w:rsidRDefault="003014CA" w:rsidP="00BF10FA">
            <w:pPr>
              <w:spacing w:before="60" w:after="60" w:line="240" w:lineRule="auto"/>
              <w:jc w:val="center"/>
              <w:rPr>
                <w:iCs/>
                <w:color w:val="000000"/>
                <w:sz w:val="20"/>
              </w:rPr>
            </w:pPr>
            <w:r>
              <w:rPr>
                <w:iCs/>
                <w:color w:val="000000"/>
                <w:sz w:val="20"/>
              </w:rPr>
              <w:t>-</w:t>
            </w:r>
          </w:p>
        </w:tc>
      </w:tr>
      <w:tr w:rsidR="003014CA" w:rsidTr="00BF10FA">
        <w:tc>
          <w:tcPr>
            <w:tcW w:w="3227" w:type="dxa"/>
            <w:tcBorders>
              <w:top w:val="nil"/>
              <w:left w:val="nil"/>
              <w:bottom w:val="nil"/>
              <w:right w:val="nil"/>
            </w:tcBorders>
            <w:vAlign w:val="center"/>
          </w:tcPr>
          <w:p w:rsidR="003014CA" w:rsidRPr="000C1C46" w:rsidRDefault="003014CA" w:rsidP="00BF10FA">
            <w:pPr>
              <w:spacing w:before="60" w:after="60" w:line="240" w:lineRule="auto"/>
              <w:rPr>
                <w:color w:val="000000"/>
                <w:sz w:val="20"/>
              </w:rPr>
            </w:pPr>
            <w:r w:rsidRPr="000C1C46">
              <w:rPr>
                <w:color w:val="000000"/>
                <w:sz w:val="20"/>
              </w:rPr>
              <w:t>carp gudgeon</w:t>
            </w:r>
          </w:p>
        </w:tc>
        <w:tc>
          <w:tcPr>
            <w:tcW w:w="3827" w:type="dxa"/>
            <w:tcBorders>
              <w:top w:val="nil"/>
              <w:left w:val="nil"/>
              <w:bottom w:val="nil"/>
              <w:right w:val="nil"/>
            </w:tcBorders>
          </w:tcPr>
          <w:p w:rsidR="003014CA" w:rsidRPr="000C1C46" w:rsidRDefault="003014CA" w:rsidP="00BF10FA">
            <w:pPr>
              <w:spacing w:before="60" w:after="60" w:line="240" w:lineRule="auto"/>
              <w:jc w:val="left"/>
              <w:rPr>
                <w:iCs/>
                <w:color w:val="000000"/>
                <w:sz w:val="20"/>
              </w:rPr>
            </w:pPr>
            <w:r w:rsidRPr="000C1C46">
              <w:rPr>
                <w:i/>
                <w:iCs/>
                <w:color w:val="000000"/>
                <w:sz w:val="20"/>
              </w:rPr>
              <w:t xml:space="preserve">Hypseleotris </w:t>
            </w:r>
            <w:r w:rsidRPr="000C1C46">
              <w:rPr>
                <w:iCs/>
                <w:color w:val="000000"/>
                <w:sz w:val="20"/>
              </w:rPr>
              <w:t>spp.</w:t>
            </w:r>
          </w:p>
        </w:tc>
        <w:tc>
          <w:tcPr>
            <w:tcW w:w="1134" w:type="dxa"/>
            <w:tcBorders>
              <w:top w:val="nil"/>
              <w:left w:val="nil"/>
              <w:bottom w:val="nil"/>
              <w:right w:val="nil"/>
            </w:tcBorders>
            <w:vAlign w:val="center"/>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c>
          <w:tcPr>
            <w:tcW w:w="1418" w:type="dxa"/>
            <w:tcBorders>
              <w:top w:val="nil"/>
              <w:left w:val="nil"/>
              <w:bottom w:val="nil"/>
              <w:right w:val="nil"/>
            </w:tcBorders>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r>
      <w:tr w:rsidR="003014CA" w:rsidTr="00BF10FA">
        <w:tc>
          <w:tcPr>
            <w:tcW w:w="3227" w:type="dxa"/>
            <w:tcBorders>
              <w:top w:val="nil"/>
              <w:left w:val="nil"/>
              <w:bottom w:val="nil"/>
              <w:right w:val="nil"/>
            </w:tcBorders>
            <w:vAlign w:val="center"/>
          </w:tcPr>
          <w:p w:rsidR="003014CA" w:rsidRPr="000C1C46" w:rsidRDefault="003014CA" w:rsidP="00BF10FA">
            <w:pPr>
              <w:spacing w:before="60" w:after="60" w:line="240" w:lineRule="auto"/>
              <w:rPr>
                <w:color w:val="000000"/>
                <w:sz w:val="20"/>
              </w:rPr>
            </w:pPr>
            <w:r w:rsidRPr="000C1C46">
              <w:rPr>
                <w:color w:val="000000"/>
                <w:sz w:val="20"/>
              </w:rPr>
              <w:t>dwarf flathead gudgeon</w:t>
            </w:r>
          </w:p>
        </w:tc>
        <w:tc>
          <w:tcPr>
            <w:tcW w:w="3827" w:type="dxa"/>
            <w:tcBorders>
              <w:top w:val="nil"/>
              <w:left w:val="nil"/>
              <w:bottom w:val="nil"/>
              <w:right w:val="nil"/>
            </w:tcBorders>
          </w:tcPr>
          <w:p w:rsidR="003014CA" w:rsidRPr="000C1C46" w:rsidRDefault="003014CA" w:rsidP="00BF10FA">
            <w:pPr>
              <w:spacing w:before="60" w:after="60" w:line="240" w:lineRule="auto"/>
              <w:jc w:val="left"/>
              <w:rPr>
                <w:i/>
                <w:iCs/>
                <w:color w:val="000000"/>
                <w:sz w:val="20"/>
              </w:rPr>
            </w:pPr>
            <w:r w:rsidRPr="000C1C46">
              <w:rPr>
                <w:i/>
                <w:iCs/>
                <w:color w:val="000000"/>
                <w:sz w:val="20"/>
              </w:rPr>
              <w:t>Philypnodon macrostomus</w:t>
            </w:r>
          </w:p>
        </w:tc>
        <w:tc>
          <w:tcPr>
            <w:tcW w:w="1134" w:type="dxa"/>
            <w:tcBorders>
              <w:top w:val="nil"/>
              <w:left w:val="nil"/>
              <w:bottom w:val="nil"/>
              <w:right w:val="nil"/>
            </w:tcBorders>
            <w:vAlign w:val="center"/>
          </w:tcPr>
          <w:p w:rsidR="003014CA" w:rsidRPr="000C1C46" w:rsidRDefault="003014CA" w:rsidP="00BF10FA">
            <w:pPr>
              <w:spacing w:before="60" w:after="60" w:line="240" w:lineRule="auto"/>
              <w:jc w:val="center"/>
              <w:rPr>
                <w:iCs/>
                <w:color w:val="000000"/>
                <w:sz w:val="20"/>
              </w:rPr>
            </w:pPr>
          </w:p>
        </w:tc>
        <w:tc>
          <w:tcPr>
            <w:tcW w:w="1418" w:type="dxa"/>
            <w:tcBorders>
              <w:top w:val="nil"/>
              <w:left w:val="nil"/>
              <w:bottom w:val="nil"/>
              <w:right w:val="nil"/>
            </w:tcBorders>
          </w:tcPr>
          <w:p w:rsidR="003014CA" w:rsidRPr="000C1C46" w:rsidRDefault="003014CA" w:rsidP="00BF10FA">
            <w:pPr>
              <w:spacing w:before="60" w:after="60" w:line="240" w:lineRule="auto"/>
              <w:jc w:val="center"/>
              <w:rPr>
                <w:iCs/>
                <w:color w:val="000000"/>
                <w:sz w:val="20"/>
              </w:rPr>
            </w:pPr>
          </w:p>
        </w:tc>
      </w:tr>
      <w:tr w:rsidR="003014CA" w:rsidTr="00BF10FA">
        <w:tc>
          <w:tcPr>
            <w:tcW w:w="3227" w:type="dxa"/>
            <w:tcBorders>
              <w:top w:val="nil"/>
              <w:left w:val="nil"/>
              <w:bottom w:val="nil"/>
              <w:right w:val="nil"/>
            </w:tcBorders>
            <w:vAlign w:val="center"/>
          </w:tcPr>
          <w:p w:rsidR="003014CA" w:rsidRPr="000C1C46" w:rsidRDefault="003014CA" w:rsidP="00BF10FA">
            <w:pPr>
              <w:spacing w:before="60" w:after="60" w:line="240" w:lineRule="auto"/>
              <w:jc w:val="left"/>
              <w:rPr>
                <w:color w:val="000000"/>
                <w:sz w:val="20"/>
              </w:rPr>
            </w:pPr>
            <w:r w:rsidRPr="000C1C46">
              <w:rPr>
                <w:color w:val="000000"/>
                <w:sz w:val="20"/>
              </w:rPr>
              <w:t>flathead galaxias</w:t>
            </w:r>
          </w:p>
        </w:tc>
        <w:tc>
          <w:tcPr>
            <w:tcW w:w="3827" w:type="dxa"/>
            <w:tcBorders>
              <w:top w:val="nil"/>
              <w:left w:val="nil"/>
              <w:bottom w:val="nil"/>
              <w:right w:val="nil"/>
            </w:tcBorders>
          </w:tcPr>
          <w:p w:rsidR="003014CA" w:rsidRPr="000C1C46" w:rsidRDefault="003014CA" w:rsidP="00BF10FA">
            <w:pPr>
              <w:spacing w:before="60" w:after="60" w:line="240" w:lineRule="auto"/>
              <w:jc w:val="left"/>
              <w:rPr>
                <w:i/>
                <w:iCs/>
                <w:color w:val="000000"/>
                <w:sz w:val="20"/>
              </w:rPr>
            </w:pPr>
            <w:r w:rsidRPr="000C1C46">
              <w:rPr>
                <w:i/>
                <w:iCs/>
                <w:color w:val="000000"/>
                <w:sz w:val="20"/>
              </w:rPr>
              <w:t>Galaxias rostratus</w:t>
            </w:r>
          </w:p>
        </w:tc>
        <w:tc>
          <w:tcPr>
            <w:tcW w:w="1134" w:type="dxa"/>
            <w:tcBorders>
              <w:top w:val="nil"/>
              <w:left w:val="nil"/>
              <w:bottom w:val="nil"/>
              <w:right w:val="nil"/>
            </w:tcBorders>
            <w:vAlign w:val="center"/>
          </w:tcPr>
          <w:p w:rsidR="003014CA" w:rsidRPr="000C1C46" w:rsidRDefault="003014CA" w:rsidP="00BF10FA">
            <w:pPr>
              <w:spacing w:before="60" w:after="60" w:line="240" w:lineRule="auto"/>
              <w:jc w:val="center"/>
              <w:rPr>
                <w:iCs/>
                <w:color w:val="000000"/>
                <w:sz w:val="20"/>
              </w:rPr>
            </w:pPr>
          </w:p>
        </w:tc>
        <w:tc>
          <w:tcPr>
            <w:tcW w:w="1418" w:type="dxa"/>
            <w:tcBorders>
              <w:top w:val="nil"/>
              <w:left w:val="nil"/>
              <w:bottom w:val="nil"/>
              <w:right w:val="nil"/>
            </w:tcBorders>
          </w:tcPr>
          <w:p w:rsidR="003014CA" w:rsidRPr="000C1C46" w:rsidRDefault="003014CA" w:rsidP="00BF10FA">
            <w:pPr>
              <w:spacing w:before="60" w:after="60" w:line="240" w:lineRule="auto"/>
              <w:jc w:val="center"/>
              <w:rPr>
                <w:iCs/>
                <w:color w:val="000000"/>
                <w:sz w:val="20"/>
              </w:rPr>
            </w:pPr>
          </w:p>
        </w:tc>
      </w:tr>
      <w:tr w:rsidR="003014CA" w:rsidTr="00BF10FA">
        <w:tc>
          <w:tcPr>
            <w:tcW w:w="3227" w:type="dxa"/>
            <w:tcBorders>
              <w:top w:val="nil"/>
              <w:left w:val="nil"/>
              <w:bottom w:val="nil"/>
              <w:right w:val="nil"/>
            </w:tcBorders>
            <w:vAlign w:val="center"/>
          </w:tcPr>
          <w:p w:rsidR="003014CA" w:rsidRPr="000C1C46" w:rsidRDefault="003014CA" w:rsidP="00BF10FA">
            <w:pPr>
              <w:spacing w:before="60" w:after="60" w:line="240" w:lineRule="auto"/>
              <w:rPr>
                <w:color w:val="000000"/>
                <w:sz w:val="20"/>
              </w:rPr>
            </w:pPr>
            <w:r>
              <w:rPr>
                <w:color w:val="000000"/>
                <w:sz w:val="20"/>
              </w:rPr>
              <w:t>flathead</w:t>
            </w:r>
            <w:r w:rsidRPr="000C1C46">
              <w:rPr>
                <w:color w:val="000000"/>
                <w:sz w:val="20"/>
              </w:rPr>
              <w:t xml:space="preserve"> gudgeon</w:t>
            </w:r>
          </w:p>
        </w:tc>
        <w:tc>
          <w:tcPr>
            <w:tcW w:w="3827" w:type="dxa"/>
            <w:tcBorders>
              <w:top w:val="nil"/>
              <w:left w:val="nil"/>
              <w:bottom w:val="nil"/>
              <w:right w:val="nil"/>
            </w:tcBorders>
          </w:tcPr>
          <w:p w:rsidR="003014CA" w:rsidRPr="000C1C46" w:rsidRDefault="003014CA" w:rsidP="00BF10FA">
            <w:pPr>
              <w:spacing w:before="60" w:after="60" w:line="240" w:lineRule="auto"/>
              <w:jc w:val="left"/>
              <w:rPr>
                <w:i/>
                <w:iCs/>
                <w:color w:val="000000"/>
                <w:sz w:val="20"/>
              </w:rPr>
            </w:pPr>
            <w:r w:rsidRPr="000C1C46">
              <w:rPr>
                <w:i/>
                <w:iCs/>
                <w:color w:val="000000"/>
                <w:sz w:val="20"/>
              </w:rPr>
              <w:t>Philypnodon grandiceps</w:t>
            </w:r>
          </w:p>
        </w:tc>
        <w:tc>
          <w:tcPr>
            <w:tcW w:w="1134" w:type="dxa"/>
            <w:tcBorders>
              <w:top w:val="nil"/>
              <w:left w:val="nil"/>
              <w:bottom w:val="nil"/>
              <w:right w:val="nil"/>
            </w:tcBorders>
            <w:vAlign w:val="center"/>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c>
          <w:tcPr>
            <w:tcW w:w="1418" w:type="dxa"/>
            <w:tcBorders>
              <w:top w:val="nil"/>
              <w:left w:val="nil"/>
              <w:bottom w:val="nil"/>
              <w:right w:val="nil"/>
            </w:tcBorders>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r>
      <w:tr w:rsidR="003014CA" w:rsidTr="00BF10FA">
        <w:tc>
          <w:tcPr>
            <w:tcW w:w="3227" w:type="dxa"/>
            <w:tcBorders>
              <w:top w:val="nil"/>
              <w:left w:val="nil"/>
              <w:bottom w:val="nil"/>
              <w:right w:val="nil"/>
            </w:tcBorders>
            <w:vAlign w:val="center"/>
          </w:tcPr>
          <w:p w:rsidR="003014CA" w:rsidRPr="000C1C46" w:rsidRDefault="003014CA" w:rsidP="00BF10FA">
            <w:pPr>
              <w:spacing w:before="60" w:after="60" w:line="240" w:lineRule="auto"/>
              <w:rPr>
                <w:color w:val="000000"/>
                <w:sz w:val="20"/>
              </w:rPr>
            </w:pPr>
            <w:r w:rsidRPr="000C1C46">
              <w:rPr>
                <w:color w:val="000000"/>
                <w:sz w:val="20"/>
              </w:rPr>
              <w:t>freshwater catfish</w:t>
            </w:r>
          </w:p>
        </w:tc>
        <w:tc>
          <w:tcPr>
            <w:tcW w:w="3827" w:type="dxa"/>
            <w:tcBorders>
              <w:top w:val="nil"/>
              <w:left w:val="nil"/>
              <w:bottom w:val="nil"/>
              <w:right w:val="nil"/>
            </w:tcBorders>
          </w:tcPr>
          <w:p w:rsidR="003014CA" w:rsidRPr="000C1C46" w:rsidRDefault="003014CA" w:rsidP="00BF10FA">
            <w:pPr>
              <w:spacing w:before="60" w:after="60" w:line="240" w:lineRule="auto"/>
              <w:jc w:val="left"/>
              <w:rPr>
                <w:i/>
                <w:iCs/>
                <w:color w:val="000000"/>
                <w:sz w:val="20"/>
              </w:rPr>
            </w:pPr>
            <w:r w:rsidRPr="000C1C46">
              <w:rPr>
                <w:i/>
                <w:iCs/>
                <w:color w:val="000000"/>
                <w:sz w:val="20"/>
              </w:rPr>
              <w:t>Tandanus tandanus</w:t>
            </w:r>
          </w:p>
        </w:tc>
        <w:tc>
          <w:tcPr>
            <w:tcW w:w="1134" w:type="dxa"/>
            <w:tcBorders>
              <w:top w:val="nil"/>
              <w:left w:val="nil"/>
              <w:bottom w:val="nil"/>
              <w:right w:val="nil"/>
            </w:tcBorders>
            <w:vAlign w:val="center"/>
          </w:tcPr>
          <w:p w:rsidR="003014CA" w:rsidRPr="000C1C46" w:rsidRDefault="003014CA" w:rsidP="00BF10FA">
            <w:pPr>
              <w:spacing w:before="60" w:after="60" w:line="240" w:lineRule="auto"/>
              <w:jc w:val="center"/>
              <w:rPr>
                <w:iCs/>
                <w:color w:val="000000"/>
                <w:sz w:val="20"/>
              </w:rPr>
            </w:pPr>
          </w:p>
        </w:tc>
        <w:tc>
          <w:tcPr>
            <w:tcW w:w="1418" w:type="dxa"/>
            <w:tcBorders>
              <w:top w:val="nil"/>
              <w:left w:val="nil"/>
              <w:bottom w:val="nil"/>
              <w:right w:val="nil"/>
            </w:tcBorders>
          </w:tcPr>
          <w:p w:rsidR="003014CA" w:rsidRPr="000C1C46" w:rsidRDefault="003014CA" w:rsidP="00BF10FA">
            <w:pPr>
              <w:spacing w:before="60" w:after="60" w:line="240" w:lineRule="auto"/>
              <w:jc w:val="center"/>
              <w:rPr>
                <w:iCs/>
                <w:color w:val="000000"/>
                <w:sz w:val="20"/>
              </w:rPr>
            </w:pPr>
          </w:p>
        </w:tc>
      </w:tr>
      <w:tr w:rsidR="003014CA" w:rsidTr="00BF10FA">
        <w:tc>
          <w:tcPr>
            <w:tcW w:w="3227" w:type="dxa"/>
            <w:tcBorders>
              <w:top w:val="nil"/>
              <w:left w:val="nil"/>
              <w:bottom w:val="nil"/>
              <w:right w:val="nil"/>
            </w:tcBorders>
            <w:vAlign w:val="center"/>
          </w:tcPr>
          <w:p w:rsidR="003014CA" w:rsidRPr="000C1C46" w:rsidRDefault="003014CA" w:rsidP="00BF10FA">
            <w:pPr>
              <w:spacing w:before="60" w:after="60" w:line="240" w:lineRule="auto"/>
              <w:rPr>
                <w:color w:val="000000"/>
                <w:sz w:val="20"/>
              </w:rPr>
            </w:pPr>
            <w:r w:rsidRPr="000C1C46">
              <w:rPr>
                <w:color w:val="000000"/>
                <w:sz w:val="20"/>
              </w:rPr>
              <w:t>golden perch</w:t>
            </w:r>
          </w:p>
        </w:tc>
        <w:tc>
          <w:tcPr>
            <w:tcW w:w="3827" w:type="dxa"/>
            <w:tcBorders>
              <w:top w:val="nil"/>
              <w:left w:val="nil"/>
              <w:bottom w:val="nil"/>
              <w:right w:val="nil"/>
            </w:tcBorders>
          </w:tcPr>
          <w:p w:rsidR="003014CA" w:rsidRPr="000C1C46" w:rsidRDefault="003014CA" w:rsidP="00BF10FA">
            <w:pPr>
              <w:spacing w:before="60" w:after="60" w:line="240" w:lineRule="auto"/>
              <w:jc w:val="left"/>
              <w:rPr>
                <w:i/>
                <w:iCs/>
                <w:color w:val="000000"/>
                <w:sz w:val="20"/>
              </w:rPr>
            </w:pPr>
            <w:r w:rsidRPr="000C1C46">
              <w:rPr>
                <w:i/>
                <w:iCs/>
                <w:color w:val="000000"/>
                <w:sz w:val="20"/>
              </w:rPr>
              <w:t>Macquaria ambigua</w:t>
            </w:r>
          </w:p>
        </w:tc>
        <w:tc>
          <w:tcPr>
            <w:tcW w:w="1134" w:type="dxa"/>
            <w:tcBorders>
              <w:top w:val="nil"/>
              <w:left w:val="nil"/>
              <w:bottom w:val="nil"/>
              <w:right w:val="nil"/>
            </w:tcBorders>
            <w:vAlign w:val="center"/>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c>
          <w:tcPr>
            <w:tcW w:w="1418" w:type="dxa"/>
            <w:tcBorders>
              <w:top w:val="nil"/>
              <w:left w:val="nil"/>
              <w:bottom w:val="nil"/>
              <w:right w:val="nil"/>
            </w:tcBorders>
          </w:tcPr>
          <w:p w:rsidR="003014CA" w:rsidRPr="000C1C46" w:rsidRDefault="003014CA" w:rsidP="00BF10FA">
            <w:pPr>
              <w:spacing w:before="60" w:after="60" w:line="240" w:lineRule="auto"/>
              <w:jc w:val="center"/>
              <w:rPr>
                <w:iCs/>
                <w:color w:val="000000"/>
                <w:sz w:val="20"/>
              </w:rPr>
            </w:pPr>
            <w:r>
              <w:rPr>
                <w:iCs/>
                <w:color w:val="000000"/>
                <w:sz w:val="20"/>
              </w:rPr>
              <w:t>-</w:t>
            </w:r>
          </w:p>
        </w:tc>
      </w:tr>
      <w:tr w:rsidR="003014CA" w:rsidTr="00BF10FA">
        <w:tc>
          <w:tcPr>
            <w:tcW w:w="3227" w:type="dxa"/>
            <w:tcBorders>
              <w:top w:val="nil"/>
              <w:left w:val="nil"/>
              <w:bottom w:val="nil"/>
              <w:right w:val="nil"/>
            </w:tcBorders>
            <w:vAlign w:val="center"/>
          </w:tcPr>
          <w:p w:rsidR="003014CA" w:rsidRPr="000C1C46" w:rsidRDefault="003014CA" w:rsidP="00BF10FA">
            <w:pPr>
              <w:spacing w:before="60" w:after="60" w:line="240" w:lineRule="auto"/>
              <w:rPr>
                <w:color w:val="000000"/>
                <w:sz w:val="20"/>
              </w:rPr>
            </w:pPr>
            <w:r w:rsidRPr="000C1C46">
              <w:rPr>
                <w:color w:val="000000"/>
                <w:sz w:val="20"/>
              </w:rPr>
              <w:t>Macquarie perch</w:t>
            </w:r>
          </w:p>
        </w:tc>
        <w:tc>
          <w:tcPr>
            <w:tcW w:w="3827" w:type="dxa"/>
            <w:tcBorders>
              <w:top w:val="nil"/>
              <w:left w:val="nil"/>
              <w:bottom w:val="nil"/>
              <w:right w:val="nil"/>
            </w:tcBorders>
          </w:tcPr>
          <w:p w:rsidR="003014CA" w:rsidRPr="000C1C46" w:rsidRDefault="003014CA" w:rsidP="00BF10FA">
            <w:pPr>
              <w:spacing w:before="60" w:after="60" w:line="240" w:lineRule="auto"/>
              <w:jc w:val="left"/>
              <w:rPr>
                <w:i/>
                <w:iCs/>
                <w:color w:val="000000"/>
                <w:sz w:val="20"/>
              </w:rPr>
            </w:pPr>
            <w:r w:rsidRPr="000C1C46">
              <w:rPr>
                <w:i/>
                <w:iCs/>
                <w:color w:val="000000"/>
                <w:sz w:val="20"/>
              </w:rPr>
              <w:t>Macquaria australasica</w:t>
            </w:r>
          </w:p>
        </w:tc>
        <w:tc>
          <w:tcPr>
            <w:tcW w:w="1134" w:type="dxa"/>
            <w:tcBorders>
              <w:top w:val="nil"/>
              <w:left w:val="nil"/>
              <w:bottom w:val="nil"/>
              <w:right w:val="nil"/>
            </w:tcBorders>
            <w:vAlign w:val="center"/>
          </w:tcPr>
          <w:p w:rsidR="003014CA" w:rsidRPr="000C1C46" w:rsidRDefault="003014CA" w:rsidP="00BF10FA">
            <w:pPr>
              <w:spacing w:before="60" w:after="60" w:line="240" w:lineRule="auto"/>
              <w:jc w:val="center"/>
              <w:rPr>
                <w:iCs/>
                <w:color w:val="000000"/>
                <w:sz w:val="20"/>
              </w:rPr>
            </w:pPr>
          </w:p>
        </w:tc>
        <w:tc>
          <w:tcPr>
            <w:tcW w:w="1418" w:type="dxa"/>
            <w:tcBorders>
              <w:top w:val="nil"/>
              <w:left w:val="nil"/>
              <w:bottom w:val="nil"/>
              <w:right w:val="nil"/>
            </w:tcBorders>
          </w:tcPr>
          <w:p w:rsidR="003014CA" w:rsidRPr="000C1C46" w:rsidRDefault="003014CA" w:rsidP="00BF10FA">
            <w:pPr>
              <w:spacing w:before="60" w:after="60" w:line="240" w:lineRule="auto"/>
              <w:jc w:val="center"/>
              <w:rPr>
                <w:iCs/>
                <w:color w:val="000000"/>
                <w:sz w:val="20"/>
              </w:rPr>
            </w:pPr>
          </w:p>
        </w:tc>
      </w:tr>
      <w:tr w:rsidR="003014CA" w:rsidTr="00BF10FA">
        <w:tc>
          <w:tcPr>
            <w:tcW w:w="3227" w:type="dxa"/>
            <w:tcBorders>
              <w:top w:val="nil"/>
              <w:left w:val="nil"/>
              <w:bottom w:val="nil"/>
              <w:right w:val="nil"/>
            </w:tcBorders>
            <w:vAlign w:val="center"/>
          </w:tcPr>
          <w:p w:rsidR="003014CA" w:rsidRPr="000C1C46" w:rsidRDefault="003014CA" w:rsidP="00BF10FA">
            <w:pPr>
              <w:spacing w:before="60" w:after="60" w:line="240" w:lineRule="auto"/>
              <w:rPr>
                <w:color w:val="000000"/>
                <w:sz w:val="20"/>
              </w:rPr>
            </w:pPr>
            <w:r w:rsidRPr="000C1C46">
              <w:rPr>
                <w:color w:val="000000"/>
                <w:sz w:val="20"/>
              </w:rPr>
              <w:t>mountain galaxias</w:t>
            </w:r>
          </w:p>
        </w:tc>
        <w:tc>
          <w:tcPr>
            <w:tcW w:w="3827" w:type="dxa"/>
            <w:tcBorders>
              <w:top w:val="nil"/>
              <w:left w:val="nil"/>
              <w:bottom w:val="nil"/>
              <w:right w:val="nil"/>
            </w:tcBorders>
          </w:tcPr>
          <w:p w:rsidR="003014CA" w:rsidRPr="000C1C46" w:rsidRDefault="003014CA" w:rsidP="00BF10FA">
            <w:pPr>
              <w:spacing w:before="60" w:after="60" w:line="240" w:lineRule="auto"/>
              <w:jc w:val="left"/>
              <w:rPr>
                <w:i/>
                <w:iCs/>
                <w:color w:val="000000"/>
                <w:sz w:val="20"/>
              </w:rPr>
            </w:pPr>
            <w:r w:rsidRPr="000C1C46">
              <w:rPr>
                <w:i/>
                <w:iCs/>
                <w:color w:val="000000"/>
                <w:sz w:val="20"/>
              </w:rPr>
              <w:t>Galaxias olidus</w:t>
            </w:r>
          </w:p>
        </w:tc>
        <w:tc>
          <w:tcPr>
            <w:tcW w:w="1134" w:type="dxa"/>
            <w:tcBorders>
              <w:top w:val="nil"/>
              <w:left w:val="nil"/>
              <w:bottom w:val="nil"/>
              <w:right w:val="nil"/>
            </w:tcBorders>
            <w:vAlign w:val="center"/>
          </w:tcPr>
          <w:p w:rsidR="003014CA" w:rsidRPr="000C1C46" w:rsidRDefault="003014CA" w:rsidP="00BF10FA">
            <w:pPr>
              <w:spacing w:before="60" w:after="60" w:line="240" w:lineRule="auto"/>
              <w:jc w:val="center"/>
              <w:rPr>
                <w:iCs/>
                <w:color w:val="000000"/>
                <w:sz w:val="20"/>
              </w:rPr>
            </w:pPr>
          </w:p>
        </w:tc>
        <w:tc>
          <w:tcPr>
            <w:tcW w:w="1418" w:type="dxa"/>
            <w:tcBorders>
              <w:top w:val="nil"/>
              <w:left w:val="nil"/>
              <w:bottom w:val="nil"/>
              <w:right w:val="nil"/>
            </w:tcBorders>
          </w:tcPr>
          <w:p w:rsidR="003014CA" w:rsidRPr="000C1C46" w:rsidRDefault="003014CA" w:rsidP="00BF10FA">
            <w:pPr>
              <w:spacing w:before="60" w:after="60" w:line="240" w:lineRule="auto"/>
              <w:jc w:val="center"/>
              <w:rPr>
                <w:iCs/>
                <w:color w:val="000000"/>
                <w:sz w:val="20"/>
              </w:rPr>
            </w:pPr>
          </w:p>
        </w:tc>
      </w:tr>
      <w:tr w:rsidR="003014CA" w:rsidTr="00BF10FA">
        <w:tc>
          <w:tcPr>
            <w:tcW w:w="3227" w:type="dxa"/>
            <w:tcBorders>
              <w:top w:val="nil"/>
              <w:left w:val="nil"/>
              <w:bottom w:val="nil"/>
              <w:right w:val="nil"/>
            </w:tcBorders>
            <w:vAlign w:val="center"/>
          </w:tcPr>
          <w:p w:rsidR="003014CA" w:rsidRPr="000C1C46" w:rsidRDefault="003014CA" w:rsidP="00BF10FA">
            <w:pPr>
              <w:spacing w:before="60" w:after="60" w:line="240" w:lineRule="auto"/>
              <w:rPr>
                <w:color w:val="000000"/>
                <w:sz w:val="20"/>
              </w:rPr>
            </w:pPr>
            <w:r w:rsidRPr="000C1C46">
              <w:rPr>
                <w:color w:val="000000"/>
                <w:sz w:val="20"/>
              </w:rPr>
              <w:t>Murray cod</w:t>
            </w:r>
          </w:p>
        </w:tc>
        <w:tc>
          <w:tcPr>
            <w:tcW w:w="3827" w:type="dxa"/>
            <w:tcBorders>
              <w:top w:val="nil"/>
              <w:left w:val="nil"/>
              <w:bottom w:val="nil"/>
              <w:right w:val="nil"/>
            </w:tcBorders>
          </w:tcPr>
          <w:p w:rsidR="003014CA" w:rsidRPr="000C1C46" w:rsidRDefault="003014CA" w:rsidP="00BF10FA">
            <w:pPr>
              <w:spacing w:before="60" w:after="60" w:line="240" w:lineRule="auto"/>
              <w:jc w:val="left"/>
              <w:rPr>
                <w:i/>
                <w:iCs/>
                <w:color w:val="000000"/>
                <w:sz w:val="20"/>
              </w:rPr>
            </w:pPr>
            <w:r w:rsidRPr="000C1C46">
              <w:rPr>
                <w:i/>
                <w:iCs/>
                <w:color w:val="000000"/>
                <w:sz w:val="20"/>
              </w:rPr>
              <w:t>Maccullochella peelii</w:t>
            </w:r>
          </w:p>
        </w:tc>
        <w:tc>
          <w:tcPr>
            <w:tcW w:w="1134" w:type="dxa"/>
            <w:tcBorders>
              <w:top w:val="nil"/>
              <w:left w:val="nil"/>
              <w:bottom w:val="nil"/>
              <w:right w:val="nil"/>
            </w:tcBorders>
            <w:vAlign w:val="center"/>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c>
          <w:tcPr>
            <w:tcW w:w="1418" w:type="dxa"/>
            <w:tcBorders>
              <w:top w:val="nil"/>
              <w:left w:val="nil"/>
              <w:bottom w:val="nil"/>
              <w:right w:val="nil"/>
            </w:tcBorders>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r>
      <w:tr w:rsidR="003014CA" w:rsidTr="00BF10FA">
        <w:tc>
          <w:tcPr>
            <w:tcW w:w="3227" w:type="dxa"/>
            <w:tcBorders>
              <w:top w:val="nil"/>
              <w:left w:val="nil"/>
              <w:bottom w:val="nil"/>
              <w:right w:val="nil"/>
            </w:tcBorders>
            <w:vAlign w:val="center"/>
          </w:tcPr>
          <w:p w:rsidR="003014CA" w:rsidRPr="000C1C46" w:rsidRDefault="003014CA" w:rsidP="00BF10FA">
            <w:pPr>
              <w:spacing w:before="60" w:after="60" w:line="240" w:lineRule="auto"/>
              <w:rPr>
                <w:color w:val="000000"/>
                <w:sz w:val="20"/>
              </w:rPr>
            </w:pPr>
            <w:r w:rsidRPr="000C1C46">
              <w:rPr>
                <w:color w:val="000000"/>
                <w:sz w:val="20"/>
              </w:rPr>
              <w:t>Murray hardyhead</w:t>
            </w:r>
          </w:p>
        </w:tc>
        <w:tc>
          <w:tcPr>
            <w:tcW w:w="3827" w:type="dxa"/>
            <w:tcBorders>
              <w:top w:val="nil"/>
              <w:left w:val="nil"/>
              <w:bottom w:val="nil"/>
              <w:right w:val="nil"/>
            </w:tcBorders>
          </w:tcPr>
          <w:p w:rsidR="003014CA" w:rsidRPr="000C1C46" w:rsidRDefault="003014CA" w:rsidP="00BF10FA">
            <w:pPr>
              <w:spacing w:before="60" w:after="60" w:line="240" w:lineRule="auto"/>
              <w:jc w:val="left"/>
              <w:rPr>
                <w:i/>
                <w:iCs/>
                <w:color w:val="000000"/>
                <w:sz w:val="20"/>
              </w:rPr>
            </w:pPr>
            <w:r w:rsidRPr="000C1C46">
              <w:rPr>
                <w:i/>
                <w:iCs/>
                <w:color w:val="000000"/>
                <w:sz w:val="20"/>
              </w:rPr>
              <w:t>Craterocephalus fluviatilis</w:t>
            </w:r>
          </w:p>
        </w:tc>
        <w:tc>
          <w:tcPr>
            <w:tcW w:w="1134" w:type="dxa"/>
            <w:tcBorders>
              <w:top w:val="nil"/>
              <w:left w:val="nil"/>
              <w:bottom w:val="nil"/>
              <w:right w:val="nil"/>
            </w:tcBorders>
            <w:vAlign w:val="center"/>
          </w:tcPr>
          <w:p w:rsidR="003014CA" w:rsidRPr="000C1C46" w:rsidRDefault="003014CA" w:rsidP="00BF10FA">
            <w:pPr>
              <w:spacing w:before="60" w:after="60" w:line="240" w:lineRule="auto"/>
              <w:jc w:val="center"/>
              <w:rPr>
                <w:iCs/>
                <w:color w:val="000000"/>
                <w:sz w:val="20"/>
              </w:rPr>
            </w:pPr>
          </w:p>
        </w:tc>
        <w:tc>
          <w:tcPr>
            <w:tcW w:w="1418" w:type="dxa"/>
            <w:tcBorders>
              <w:top w:val="nil"/>
              <w:left w:val="nil"/>
              <w:bottom w:val="nil"/>
              <w:right w:val="nil"/>
            </w:tcBorders>
          </w:tcPr>
          <w:p w:rsidR="003014CA" w:rsidRPr="000C1C46" w:rsidRDefault="003014CA" w:rsidP="00BF10FA">
            <w:pPr>
              <w:spacing w:before="60" w:after="60" w:line="240" w:lineRule="auto"/>
              <w:jc w:val="center"/>
              <w:rPr>
                <w:iCs/>
                <w:color w:val="000000"/>
                <w:sz w:val="20"/>
              </w:rPr>
            </w:pPr>
          </w:p>
        </w:tc>
      </w:tr>
      <w:tr w:rsidR="003014CA" w:rsidTr="00BF10FA">
        <w:tc>
          <w:tcPr>
            <w:tcW w:w="3227" w:type="dxa"/>
            <w:tcBorders>
              <w:top w:val="nil"/>
              <w:left w:val="nil"/>
              <w:bottom w:val="nil"/>
              <w:right w:val="nil"/>
            </w:tcBorders>
            <w:vAlign w:val="center"/>
          </w:tcPr>
          <w:p w:rsidR="003014CA" w:rsidRPr="000C1C46" w:rsidRDefault="003014CA" w:rsidP="00BF10FA">
            <w:pPr>
              <w:spacing w:before="60" w:after="60" w:line="240" w:lineRule="auto"/>
              <w:rPr>
                <w:color w:val="000000"/>
                <w:sz w:val="20"/>
              </w:rPr>
            </w:pPr>
            <w:r w:rsidRPr="000C1C46">
              <w:rPr>
                <w:color w:val="000000"/>
                <w:sz w:val="20"/>
              </w:rPr>
              <w:t>Murray River rainbowfish</w:t>
            </w:r>
          </w:p>
        </w:tc>
        <w:tc>
          <w:tcPr>
            <w:tcW w:w="3827" w:type="dxa"/>
            <w:tcBorders>
              <w:top w:val="nil"/>
              <w:left w:val="nil"/>
              <w:bottom w:val="nil"/>
              <w:right w:val="nil"/>
            </w:tcBorders>
          </w:tcPr>
          <w:p w:rsidR="003014CA" w:rsidRPr="000C1C46" w:rsidRDefault="003014CA" w:rsidP="00BF10FA">
            <w:pPr>
              <w:spacing w:before="60" w:after="60" w:line="240" w:lineRule="auto"/>
              <w:jc w:val="left"/>
              <w:rPr>
                <w:i/>
                <w:iCs/>
                <w:color w:val="000000"/>
                <w:sz w:val="20"/>
              </w:rPr>
            </w:pPr>
            <w:r w:rsidRPr="000C1C46">
              <w:rPr>
                <w:i/>
                <w:iCs/>
                <w:color w:val="000000"/>
                <w:sz w:val="20"/>
              </w:rPr>
              <w:t>Melanotaenia fluviatilis</w:t>
            </w:r>
          </w:p>
        </w:tc>
        <w:tc>
          <w:tcPr>
            <w:tcW w:w="1134" w:type="dxa"/>
            <w:tcBorders>
              <w:top w:val="nil"/>
              <w:left w:val="nil"/>
              <w:bottom w:val="nil"/>
              <w:right w:val="nil"/>
            </w:tcBorders>
            <w:vAlign w:val="center"/>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c>
          <w:tcPr>
            <w:tcW w:w="1418" w:type="dxa"/>
            <w:tcBorders>
              <w:top w:val="nil"/>
              <w:left w:val="nil"/>
              <w:bottom w:val="nil"/>
              <w:right w:val="nil"/>
            </w:tcBorders>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r>
      <w:tr w:rsidR="003014CA" w:rsidTr="00BF10FA">
        <w:tc>
          <w:tcPr>
            <w:tcW w:w="3227" w:type="dxa"/>
            <w:tcBorders>
              <w:top w:val="nil"/>
              <w:left w:val="nil"/>
              <w:bottom w:val="nil"/>
              <w:right w:val="nil"/>
            </w:tcBorders>
            <w:vAlign w:val="center"/>
          </w:tcPr>
          <w:p w:rsidR="003014CA" w:rsidRPr="000C1C46" w:rsidRDefault="003014CA" w:rsidP="00BF10FA">
            <w:pPr>
              <w:spacing w:before="60" w:after="60" w:line="240" w:lineRule="auto"/>
              <w:rPr>
                <w:color w:val="000000"/>
                <w:sz w:val="20"/>
              </w:rPr>
            </w:pPr>
            <w:r w:rsidRPr="000C1C46">
              <w:rPr>
                <w:color w:val="000000"/>
                <w:sz w:val="20"/>
              </w:rPr>
              <w:t>river blackfish</w:t>
            </w:r>
          </w:p>
        </w:tc>
        <w:tc>
          <w:tcPr>
            <w:tcW w:w="3827" w:type="dxa"/>
            <w:tcBorders>
              <w:top w:val="nil"/>
              <w:left w:val="nil"/>
              <w:bottom w:val="nil"/>
              <w:right w:val="nil"/>
            </w:tcBorders>
          </w:tcPr>
          <w:p w:rsidR="003014CA" w:rsidRPr="000C1C46" w:rsidRDefault="003014CA" w:rsidP="00BF10FA">
            <w:pPr>
              <w:spacing w:before="60" w:after="60" w:line="240" w:lineRule="auto"/>
              <w:jc w:val="left"/>
              <w:rPr>
                <w:i/>
                <w:iCs/>
                <w:color w:val="000000"/>
                <w:sz w:val="20"/>
              </w:rPr>
            </w:pPr>
            <w:r w:rsidRPr="000C1C46">
              <w:rPr>
                <w:i/>
                <w:iCs/>
                <w:color w:val="000000"/>
                <w:sz w:val="20"/>
              </w:rPr>
              <w:t>Gadopsis marmoratus</w:t>
            </w:r>
          </w:p>
        </w:tc>
        <w:tc>
          <w:tcPr>
            <w:tcW w:w="1134" w:type="dxa"/>
            <w:tcBorders>
              <w:top w:val="nil"/>
              <w:left w:val="nil"/>
              <w:bottom w:val="nil"/>
              <w:right w:val="nil"/>
            </w:tcBorders>
            <w:vAlign w:val="center"/>
          </w:tcPr>
          <w:p w:rsidR="003014CA" w:rsidRPr="000C1C46" w:rsidRDefault="003014CA" w:rsidP="00BF10FA">
            <w:pPr>
              <w:spacing w:before="60" w:after="60" w:line="240" w:lineRule="auto"/>
              <w:jc w:val="center"/>
              <w:rPr>
                <w:iCs/>
                <w:color w:val="000000"/>
                <w:sz w:val="20"/>
              </w:rPr>
            </w:pPr>
            <w:r>
              <w:rPr>
                <w:iCs/>
                <w:color w:val="000000"/>
                <w:sz w:val="20"/>
              </w:rPr>
              <w:t>-</w:t>
            </w:r>
          </w:p>
        </w:tc>
        <w:tc>
          <w:tcPr>
            <w:tcW w:w="1418" w:type="dxa"/>
            <w:tcBorders>
              <w:top w:val="nil"/>
              <w:left w:val="nil"/>
              <w:bottom w:val="nil"/>
              <w:right w:val="nil"/>
            </w:tcBorders>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r>
      <w:tr w:rsidR="003014CA" w:rsidTr="00BF10FA">
        <w:tc>
          <w:tcPr>
            <w:tcW w:w="3227" w:type="dxa"/>
            <w:tcBorders>
              <w:top w:val="nil"/>
              <w:left w:val="nil"/>
              <w:bottom w:val="nil"/>
              <w:right w:val="nil"/>
            </w:tcBorders>
            <w:vAlign w:val="center"/>
          </w:tcPr>
          <w:p w:rsidR="003014CA" w:rsidRPr="000C1C46" w:rsidRDefault="003014CA" w:rsidP="00BF10FA">
            <w:pPr>
              <w:spacing w:before="60" w:after="60" w:line="240" w:lineRule="auto"/>
              <w:rPr>
                <w:color w:val="000000"/>
                <w:sz w:val="20"/>
              </w:rPr>
            </w:pPr>
            <w:r w:rsidRPr="000C1C46">
              <w:rPr>
                <w:color w:val="000000"/>
                <w:sz w:val="20"/>
              </w:rPr>
              <w:t>shorthead lamprey</w:t>
            </w:r>
          </w:p>
        </w:tc>
        <w:tc>
          <w:tcPr>
            <w:tcW w:w="3827" w:type="dxa"/>
            <w:tcBorders>
              <w:top w:val="nil"/>
              <w:left w:val="nil"/>
              <w:bottom w:val="nil"/>
              <w:right w:val="nil"/>
            </w:tcBorders>
          </w:tcPr>
          <w:p w:rsidR="003014CA" w:rsidRPr="000C1C46" w:rsidRDefault="003014CA" w:rsidP="00BF10FA">
            <w:pPr>
              <w:spacing w:before="60" w:after="60" w:line="240" w:lineRule="auto"/>
              <w:jc w:val="left"/>
              <w:rPr>
                <w:i/>
                <w:iCs/>
                <w:color w:val="000000"/>
                <w:sz w:val="20"/>
              </w:rPr>
            </w:pPr>
            <w:r w:rsidRPr="000C1C46">
              <w:rPr>
                <w:i/>
                <w:iCs/>
                <w:color w:val="000000"/>
                <w:sz w:val="20"/>
              </w:rPr>
              <w:t>Mordacia mordax</w:t>
            </w:r>
          </w:p>
        </w:tc>
        <w:tc>
          <w:tcPr>
            <w:tcW w:w="1134" w:type="dxa"/>
            <w:tcBorders>
              <w:top w:val="nil"/>
              <w:left w:val="nil"/>
              <w:bottom w:val="nil"/>
              <w:right w:val="nil"/>
            </w:tcBorders>
            <w:vAlign w:val="center"/>
          </w:tcPr>
          <w:p w:rsidR="003014CA" w:rsidRPr="000C1C46" w:rsidRDefault="003014CA" w:rsidP="00BF10FA">
            <w:pPr>
              <w:spacing w:before="60" w:after="60" w:line="240" w:lineRule="auto"/>
              <w:jc w:val="center"/>
              <w:rPr>
                <w:iCs/>
                <w:color w:val="000000"/>
                <w:sz w:val="20"/>
              </w:rPr>
            </w:pPr>
          </w:p>
        </w:tc>
        <w:tc>
          <w:tcPr>
            <w:tcW w:w="1418" w:type="dxa"/>
            <w:tcBorders>
              <w:top w:val="nil"/>
              <w:left w:val="nil"/>
              <w:bottom w:val="nil"/>
              <w:right w:val="nil"/>
            </w:tcBorders>
          </w:tcPr>
          <w:p w:rsidR="003014CA" w:rsidRPr="000C1C46" w:rsidRDefault="003014CA" w:rsidP="00BF10FA">
            <w:pPr>
              <w:spacing w:before="60" w:after="60" w:line="240" w:lineRule="auto"/>
              <w:jc w:val="center"/>
              <w:rPr>
                <w:iCs/>
                <w:color w:val="000000"/>
                <w:sz w:val="20"/>
              </w:rPr>
            </w:pPr>
          </w:p>
        </w:tc>
      </w:tr>
      <w:tr w:rsidR="003014CA" w:rsidTr="00BF10FA">
        <w:tc>
          <w:tcPr>
            <w:tcW w:w="3227" w:type="dxa"/>
            <w:tcBorders>
              <w:top w:val="nil"/>
              <w:left w:val="nil"/>
              <w:bottom w:val="nil"/>
              <w:right w:val="nil"/>
            </w:tcBorders>
            <w:vAlign w:val="center"/>
          </w:tcPr>
          <w:p w:rsidR="003014CA" w:rsidRPr="000C1C46" w:rsidRDefault="003014CA" w:rsidP="00BF10FA">
            <w:pPr>
              <w:spacing w:before="60" w:after="60" w:line="240" w:lineRule="auto"/>
              <w:rPr>
                <w:color w:val="000000"/>
                <w:sz w:val="20"/>
              </w:rPr>
            </w:pPr>
            <w:r w:rsidRPr="000C1C46">
              <w:rPr>
                <w:color w:val="000000"/>
                <w:sz w:val="20"/>
              </w:rPr>
              <w:t>silver perch</w:t>
            </w:r>
          </w:p>
        </w:tc>
        <w:tc>
          <w:tcPr>
            <w:tcW w:w="3827" w:type="dxa"/>
            <w:tcBorders>
              <w:top w:val="nil"/>
              <w:left w:val="nil"/>
              <w:bottom w:val="nil"/>
              <w:right w:val="nil"/>
            </w:tcBorders>
          </w:tcPr>
          <w:p w:rsidR="003014CA" w:rsidRPr="000C1C46" w:rsidRDefault="003014CA" w:rsidP="00BF10FA">
            <w:pPr>
              <w:spacing w:before="60" w:after="60" w:line="240" w:lineRule="auto"/>
              <w:jc w:val="left"/>
              <w:rPr>
                <w:i/>
                <w:iCs/>
                <w:color w:val="000000"/>
                <w:sz w:val="20"/>
              </w:rPr>
            </w:pPr>
            <w:r w:rsidRPr="000C1C46">
              <w:rPr>
                <w:i/>
                <w:iCs/>
                <w:color w:val="000000"/>
                <w:sz w:val="20"/>
              </w:rPr>
              <w:t>Bidyanus bidyanus</w:t>
            </w:r>
          </w:p>
        </w:tc>
        <w:tc>
          <w:tcPr>
            <w:tcW w:w="1134" w:type="dxa"/>
            <w:tcBorders>
              <w:top w:val="nil"/>
              <w:left w:val="nil"/>
              <w:bottom w:val="nil"/>
              <w:right w:val="nil"/>
            </w:tcBorders>
            <w:vAlign w:val="center"/>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c>
          <w:tcPr>
            <w:tcW w:w="1418" w:type="dxa"/>
            <w:tcBorders>
              <w:top w:val="nil"/>
              <w:left w:val="nil"/>
              <w:bottom w:val="nil"/>
              <w:right w:val="nil"/>
            </w:tcBorders>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r>
      <w:tr w:rsidR="003014CA" w:rsidTr="00BF10FA">
        <w:tc>
          <w:tcPr>
            <w:tcW w:w="3227" w:type="dxa"/>
            <w:tcBorders>
              <w:top w:val="nil"/>
              <w:left w:val="nil"/>
              <w:bottom w:val="nil"/>
              <w:right w:val="nil"/>
            </w:tcBorders>
            <w:vAlign w:val="center"/>
          </w:tcPr>
          <w:p w:rsidR="003014CA" w:rsidRPr="000C1C46" w:rsidRDefault="003014CA" w:rsidP="00BF10FA">
            <w:pPr>
              <w:spacing w:before="60" w:after="60" w:line="240" w:lineRule="auto"/>
              <w:rPr>
                <w:color w:val="000000"/>
                <w:sz w:val="20"/>
              </w:rPr>
            </w:pPr>
            <w:r w:rsidRPr="000C1C46">
              <w:rPr>
                <w:color w:val="000000"/>
                <w:sz w:val="20"/>
              </w:rPr>
              <w:t>southern purple spotted gudgeon</w:t>
            </w:r>
          </w:p>
        </w:tc>
        <w:tc>
          <w:tcPr>
            <w:tcW w:w="3827" w:type="dxa"/>
            <w:tcBorders>
              <w:top w:val="nil"/>
              <w:left w:val="nil"/>
              <w:bottom w:val="nil"/>
              <w:right w:val="nil"/>
            </w:tcBorders>
          </w:tcPr>
          <w:p w:rsidR="003014CA" w:rsidRPr="000C1C46" w:rsidRDefault="003014CA" w:rsidP="00BF10FA">
            <w:pPr>
              <w:spacing w:before="60" w:after="60" w:line="240" w:lineRule="auto"/>
              <w:jc w:val="left"/>
              <w:rPr>
                <w:i/>
                <w:iCs/>
                <w:color w:val="000000"/>
                <w:sz w:val="20"/>
              </w:rPr>
            </w:pPr>
            <w:r w:rsidRPr="000C1C46">
              <w:rPr>
                <w:i/>
                <w:iCs/>
                <w:color w:val="000000"/>
                <w:sz w:val="20"/>
              </w:rPr>
              <w:t>Mogurnda adspersa</w:t>
            </w:r>
          </w:p>
        </w:tc>
        <w:tc>
          <w:tcPr>
            <w:tcW w:w="1134" w:type="dxa"/>
            <w:tcBorders>
              <w:top w:val="nil"/>
              <w:left w:val="nil"/>
              <w:bottom w:val="nil"/>
              <w:right w:val="nil"/>
            </w:tcBorders>
            <w:vAlign w:val="center"/>
          </w:tcPr>
          <w:p w:rsidR="003014CA" w:rsidRPr="000C1C46" w:rsidRDefault="003014CA" w:rsidP="00BF10FA">
            <w:pPr>
              <w:spacing w:before="60" w:after="60" w:line="240" w:lineRule="auto"/>
              <w:jc w:val="center"/>
              <w:rPr>
                <w:iCs/>
                <w:color w:val="000000"/>
                <w:sz w:val="20"/>
              </w:rPr>
            </w:pPr>
          </w:p>
        </w:tc>
        <w:tc>
          <w:tcPr>
            <w:tcW w:w="1418" w:type="dxa"/>
            <w:tcBorders>
              <w:top w:val="nil"/>
              <w:left w:val="nil"/>
              <w:bottom w:val="nil"/>
              <w:right w:val="nil"/>
            </w:tcBorders>
          </w:tcPr>
          <w:p w:rsidR="003014CA" w:rsidRPr="000C1C46" w:rsidRDefault="003014CA" w:rsidP="00BF10FA">
            <w:pPr>
              <w:spacing w:before="60" w:after="60" w:line="240" w:lineRule="auto"/>
              <w:jc w:val="center"/>
              <w:rPr>
                <w:iCs/>
                <w:color w:val="000000"/>
                <w:sz w:val="20"/>
              </w:rPr>
            </w:pPr>
          </w:p>
        </w:tc>
      </w:tr>
      <w:tr w:rsidR="003014CA" w:rsidTr="00BF10FA">
        <w:tc>
          <w:tcPr>
            <w:tcW w:w="3227" w:type="dxa"/>
            <w:tcBorders>
              <w:top w:val="nil"/>
              <w:left w:val="nil"/>
              <w:bottom w:val="nil"/>
              <w:right w:val="nil"/>
            </w:tcBorders>
            <w:vAlign w:val="center"/>
          </w:tcPr>
          <w:p w:rsidR="003014CA" w:rsidRPr="000C1C46" w:rsidRDefault="003014CA" w:rsidP="00BF10FA">
            <w:pPr>
              <w:spacing w:before="60" w:after="60" w:line="240" w:lineRule="auto"/>
              <w:rPr>
                <w:color w:val="000000"/>
                <w:sz w:val="20"/>
              </w:rPr>
            </w:pPr>
            <w:r w:rsidRPr="000C1C46">
              <w:rPr>
                <w:color w:val="000000"/>
                <w:sz w:val="20"/>
              </w:rPr>
              <w:t>southern pygmy perch</w:t>
            </w:r>
          </w:p>
        </w:tc>
        <w:tc>
          <w:tcPr>
            <w:tcW w:w="3827" w:type="dxa"/>
            <w:tcBorders>
              <w:top w:val="nil"/>
              <w:left w:val="nil"/>
              <w:bottom w:val="nil"/>
              <w:right w:val="nil"/>
            </w:tcBorders>
          </w:tcPr>
          <w:p w:rsidR="003014CA" w:rsidRPr="000C1C46" w:rsidRDefault="003014CA" w:rsidP="00BF10FA">
            <w:pPr>
              <w:spacing w:before="60" w:after="60" w:line="240" w:lineRule="auto"/>
              <w:jc w:val="left"/>
              <w:rPr>
                <w:i/>
                <w:iCs/>
                <w:color w:val="000000"/>
                <w:sz w:val="20"/>
              </w:rPr>
            </w:pPr>
            <w:r w:rsidRPr="000C1C46">
              <w:rPr>
                <w:i/>
                <w:iCs/>
                <w:color w:val="000000"/>
                <w:sz w:val="20"/>
              </w:rPr>
              <w:t>Nannoperca australis</w:t>
            </w:r>
          </w:p>
        </w:tc>
        <w:tc>
          <w:tcPr>
            <w:tcW w:w="1134" w:type="dxa"/>
            <w:tcBorders>
              <w:top w:val="nil"/>
              <w:left w:val="nil"/>
              <w:bottom w:val="nil"/>
              <w:right w:val="nil"/>
            </w:tcBorders>
            <w:vAlign w:val="center"/>
          </w:tcPr>
          <w:p w:rsidR="003014CA" w:rsidRPr="000C1C46" w:rsidRDefault="003014CA" w:rsidP="00BF10FA">
            <w:pPr>
              <w:spacing w:before="60" w:after="60" w:line="240" w:lineRule="auto"/>
              <w:jc w:val="center"/>
              <w:rPr>
                <w:iCs/>
                <w:color w:val="000000"/>
                <w:sz w:val="20"/>
              </w:rPr>
            </w:pPr>
          </w:p>
        </w:tc>
        <w:tc>
          <w:tcPr>
            <w:tcW w:w="1418" w:type="dxa"/>
            <w:tcBorders>
              <w:top w:val="nil"/>
              <w:left w:val="nil"/>
              <w:bottom w:val="nil"/>
              <w:right w:val="nil"/>
            </w:tcBorders>
          </w:tcPr>
          <w:p w:rsidR="003014CA" w:rsidRPr="000C1C46" w:rsidRDefault="003014CA" w:rsidP="00BF10FA">
            <w:pPr>
              <w:spacing w:before="60" w:after="60" w:line="240" w:lineRule="auto"/>
              <w:jc w:val="center"/>
              <w:rPr>
                <w:iCs/>
                <w:color w:val="000000"/>
                <w:sz w:val="20"/>
              </w:rPr>
            </w:pPr>
          </w:p>
        </w:tc>
      </w:tr>
      <w:tr w:rsidR="003014CA" w:rsidTr="00BF10FA">
        <w:tc>
          <w:tcPr>
            <w:tcW w:w="3227" w:type="dxa"/>
            <w:tcBorders>
              <w:top w:val="nil"/>
              <w:left w:val="nil"/>
              <w:bottom w:val="nil"/>
              <w:right w:val="nil"/>
            </w:tcBorders>
            <w:vAlign w:val="center"/>
          </w:tcPr>
          <w:p w:rsidR="003014CA" w:rsidRPr="000C1C46" w:rsidRDefault="003014CA" w:rsidP="00BF10FA">
            <w:pPr>
              <w:spacing w:before="60" w:after="60" w:line="240" w:lineRule="auto"/>
              <w:rPr>
                <w:color w:val="000000"/>
                <w:sz w:val="20"/>
              </w:rPr>
            </w:pPr>
            <w:r w:rsidRPr="000C1C46">
              <w:rPr>
                <w:color w:val="000000"/>
                <w:sz w:val="20"/>
              </w:rPr>
              <w:t>trout cod</w:t>
            </w:r>
            <w:r w:rsidRPr="00736A30">
              <w:rPr>
                <w:color w:val="000000"/>
                <w:sz w:val="20"/>
                <w:vertAlign w:val="superscript"/>
              </w:rPr>
              <w:t>5</w:t>
            </w:r>
          </w:p>
        </w:tc>
        <w:tc>
          <w:tcPr>
            <w:tcW w:w="3827" w:type="dxa"/>
            <w:tcBorders>
              <w:top w:val="nil"/>
              <w:left w:val="nil"/>
              <w:bottom w:val="nil"/>
              <w:right w:val="nil"/>
            </w:tcBorders>
          </w:tcPr>
          <w:p w:rsidR="003014CA" w:rsidRPr="000C1C46" w:rsidRDefault="003014CA" w:rsidP="00BF10FA">
            <w:pPr>
              <w:spacing w:before="60" w:after="60" w:line="240" w:lineRule="auto"/>
              <w:jc w:val="left"/>
              <w:rPr>
                <w:i/>
                <w:iCs/>
                <w:color w:val="000000"/>
                <w:sz w:val="20"/>
              </w:rPr>
            </w:pPr>
            <w:r w:rsidRPr="000C1C46">
              <w:rPr>
                <w:i/>
                <w:iCs/>
                <w:color w:val="000000"/>
                <w:sz w:val="20"/>
              </w:rPr>
              <w:t>Maccullochella macquariensis</w:t>
            </w:r>
          </w:p>
        </w:tc>
        <w:tc>
          <w:tcPr>
            <w:tcW w:w="1134" w:type="dxa"/>
            <w:tcBorders>
              <w:top w:val="nil"/>
              <w:left w:val="nil"/>
              <w:bottom w:val="nil"/>
              <w:right w:val="nil"/>
            </w:tcBorders>
            <w:vAlign w:val="center"/>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c>
          <w:tcPr>
            <w:tcW w:w="1418" w:type="dxa"/>
            <w:tcBorders>
              <w:top w:val="nil"/>
              <w:left w:val="nil"/>
              <w:bottom w:val="nil"/>
              <w:right w:val="nil"/>
            </w:tcBorders>
          </w:tcPr>
          <w:p w:rsidR="003014CA" w:rsidRPr="000C1C46" w:rsidRDefault="003014CA" w:rsidP="00BF10FA">
            <w:pPr>
              <w:spacing w:before="60" w:after="60" w:line="240" w:lineRule="auto"/>
              <w:jc w:val="center"/>
              <w:rPr>
                <w:iCs/>
                <w:color w:val="000000"/>
                <w:sz w:val="20"/>
              </w:rPr>
            </w:pPr>
            <w:r>
              <w:rPr>
                <w:iCs/>
                <w:color w:val="000000"/>
                <w:sz w:val="20"/>
              </w:rPr>
              <w:t>-</w:t>
            </w:r>
          </w:p>
        </w:tc>
      </w:tr>
      <w:tr w:rsidR="003014CA" w:rsidTr="00BF10FA">
        <w:tc>
          <w:tcPr>
            <w:tcW w:w="3227" w:type="dxa"/>
            <w:tcBorders>
              <w:top w:val="nil"/>
              <w:left w:val="nil"/>
              <w:bottom w:val="nil"/>
              <w:right w:val="nil"/>
            </w:tcBorders>
            <w:vAlign w:val="center"/>
          </w:tcPr>
          <w:p w:rsidR="003014CA" w:rsidRPr="000C1C46" w:rsidRDefault="003014CA" w:rsidP="00BF10FA">
            <w:pPr>
              <w:spacing w:before="60" w:after="60" w:line="240" w:lineRule="auto"/>
              <w:rPr>
                <w:color w:val="000000"/>
                <w:sz w:val="20"/>
              </w:rPr>
            </w:pPr>
            <w:r w:rsidRPr="000C1C46">
              <w:rPr>
                <w:color w:val="000000"/>
                <w:sz w:val="20"/>
              </w:rPr>
              <w:t>unspecked hardyhead</w:t>
            </w:r>
          </w:p>
        </w:tc>
        <w:tc>
          <w:tcPr>
            <w:tcW w:w="3827" w:type="dxa"/>
            <w:tcBorders>
              <w:top w:val="nil"/>
              <w:left w:val="nil"/>
              <w:bottom w:val="nil"/>
              <w:right w:val="nil"/>
            </w:tcBorders>
          </w:tcPr>
          <w:p w:rsidR="003014CA" w:rsidRPr="000C1C46" w:rsidRDefault="003014CA" w:rsidP="00BF10FA">
            <w:pPr>
              <w:spacing w:before="60" w:after="60" w:line="240" w:lineRule="auto"/>
              <w:jc w:val="left"/>
              <w:rPr>
                <w:i/>
                <w:iCs/>
                <w:color w:val="000000"/>
                <w:sz w:val="20"/>
              </w:rPr>
            </w:pPr>
            <w:r w:rsidRPr="000C1C46">
              <w:rPr>
                <w:i/>
                <w:iCs/>
                <w:color w:val="000000"/>
                <w:sz w:val="20"/>
              </w:rPr>
              <w:t>Craterocephalus stercusmuscarum fulvus</w:t>
            </w:r>
          </w:p>
        </w:tc>
        <w:tc>
          <w:tcPr>
            <w:tcW w:w="1134" w:type="dxa"/>
            <w:tcBorders>
              <w:top w:val="nil"/>
              <w:left w:val="nil"/>
              <w:bottom w:val="nil"/>
              <w:right w:val="nil"/>
            </w:tcBorders>
            <w:vAlign w:val="center"/>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c>
          <w:tcPr>
            <w:tcW w:w="1418" w:type="dxa"/>
            <w:tcBorders>
              <w:top w:val="nil"/>
              <w:left w:val="nil"/>
              <w:bottom w:val="nil"/>
              <w:right w:val="nil"/>
            </w:tcBorders>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r>
      <w:tr w:rsidR="003014CA" w:rsidTr="00BF10FA">
        <w:tc>
          <w:tcPr>
            <w:tcW w:w="3227" w:type="dxa"/>
            <w:tcBorders>
              <w:top w:val="nil"/>
              <w:left w:val="nil"/>
              <w:bottom w:val="nil"/>
              <w:right w:val="nil"/>
            </w:tcBorders>
            <w:vAlign w:val="center"/>
          </w:tcPr>
          <w:p w:rsidR="003014CA" w:rsidRPr="000C1C46" w:rsidRDefault="003014CA" w:rsidP="00BF10FA">
            <w:pPr>
              <w:spacing w:after="0" w:line="240" w:lineRule="auto"/>
              <w:rPr>
                <w:color w:val="000000"/>
                <w:sz w:val="20"/>
              </w:rPr>
            </w:pPr>
          </w:p>
        </w:tc>
        <w:tc>
          <w:tcPr>
            <w:tcW w:w="3827" w:type="dxa"/>
            <w:tcBorders>
              <w:top w:val="nil"/>
              <w:left w:val="nil"/>
              <w:bottom w:val="nil"/>
              <w:right w:val="nil"/>
            </w:tcBorders>
          </w:tcPr>
          <w:p w:rsidR="003014CA" w:rsidRPr="000C1C46" w:rsidRDefault="003014CA" w:rsidP="00BF10FA">
            <w:pPr>
              <w:spacing w:after="0" w:line="240" w:lineRule="auto"/>
              <w:jc w:val="left"/>
              <w:rPr>
                <w:i/>
                <w:iCs/>
                <w:color w:val="000000"/>
                <w:sz w:val="20"/>
              </w:rPr>
            </w:pPr>
          </w:p>
        </w:tc>
        <w:tc>
          <w:tcPr>
            <w:tcW w:w="1134" w:type="dxa"/>
            <w:tcBorders>
              <w:top w:val="nil"/>
              <w:left w:val="nil"/>
              <w:bottom w:val="nil"/>
              <w:right w:val="nil"/>
            </w:tcBorders>
            <w:vAlign w:val="center"/>
          </w:tcPr>
          <w:p w:rsidR="003014CA" w:rsidRPr="000C1C46" w:rsidRDefault="003014CA" w:rsidP="00BF10FA">
            <w:pPr>
              <w:spacing w:after="0" w:line="240" w:lineRule="auto"/>
              <w:jc w:val="center"/>
              <w:rPr>
                <w:iCs/>
                <w:color w:val="000000"/>
                <w:sz w:val="20"/>
              </w:rPr>
            </w:pPr>
          </w:p>
        </w:tc>
        <w:tc>
          <w:tcPr>
            <w:tcW w:w="1418" w:type="dxa"/>
            <w:tcBorders>
              <w:top w:val="nil"/>
              <w:left w:val="nil"/>
              <w:bottom w:val="nil"/>
              <w:right w:val="nil"/>
            </w:tcBorders>
          </w:tcPr>
          <w:p w:rsidR="003014CA" w:rsidRDefault="003014CA" w:rsidP="00BF10FA">
            <w:pPr>
              <w:spacing w:after="0" w:line="240" w:lineRule="auto"/>
              <w:jc w:val="center"/>
              <w:rPr>
                <w:iCs/>
                <w:color w:val="000000"/>
                <w:sz w:val="20"/>
              </w:rPr>
            </w:pPr>
          </w:p>
        </w:tc>
      </w:tr>
      <w:tr w:rsidR="003014CA" w:rsidTr="00BF10FA">
        <w:tc>
          <w:tcPr>
            <w:tcW w:w="3227" w:type="dxa"/>
            <w:tcBorders>
              <w:top w:val="nil"/>
              <w:left w:val="nil"/>
              <w:bottom w:val="nil"/>
              <w:right w:val="nil"/>
            </w:tcBorders>
            <w:vAlign w:val="center"/>
          </w:tcPr>
          <w:p w:rsidR="003014CA" w:rsidRPr="00B76110" w:rsidRDefault="003014CA" w:rsidP="00BF10FA">
            <w:pPr>
              <w:numPr>
                <w:ilvl w:val="0"/>
                <w:numId w:val="44"/>
              </w:numPr>
              <w:spacing w:before="60" w:after="60" w:line="240" w:lineRule="auto"/>
              <w:rPr>
                <w:b/>
                <w:color w:val="000000"/>
                <w:sz w:val="20"/>
              </w:rPr>
            </w:pPr>
            <w:r>
              <w:rPr>
                <w:b/>
                <w:color w:val="000000"/>
                <w:sz w:val="20"/>
              </w:rPr>
              <w:t xml:space="preserve">Known </w:t>
            </w:r>
            <w:r w:rsidRPr="00B76110">
              <w:rPr>
                <w:b/>
                <w:color w:val="000000"/>
                <w:sz w:val="20"/>
              </w:rPr>
              <w:t>Alien species</w:t>
            </w:r>
          </w:p>
        </w:tc>
        <w:tc>
          <w:tcPr>
            <w:tcW w:w="3827" w:type="dxa"/>
            <w:tcBorders>
              <w:top w:val="nil"/>
              <w:left w:val="nil"/>
              <w:bottom w:val="nil"/>
              <w:right w:val="nil"/>
            </w:tcBorders>
          </w:tcPr>
          <w:p w:rsidR="003014CA" w:rsidRPr="000C1C46" w:rsidRDefault="003014CA" w:rsidP="00BF10FA">
            <w:pPr>
              <w:spacing w:before="60" w:after="60" w:line="240" w:lineRule="auto"/>
              <w:jc w:val="left"/>
              <w:rPr>
                <w:i/>
                <w:iCs/>
                <w:color w:val="000000"/>
                <w:sz w:val="20"/>
              </w:rPr>
            </w:pPr>
          </w:p>
        </w:tc>
        <w:tc>
          <w:tcPr>
            <w:tcW w:w="1134" w:type="dxa"/>
            <w:tcBorders>
              <w:top w:val="nil"/>
              <w:left w:val="nil"/>
              <w:bottom w:val="nil"/>
              <w:right w:val="nil"/>
            </w:tcBorders>
            <w:vAlign w:val="center"/>
          </w:tcPr>
          <w:p w:rsidR="003014CA" w:rsidRPr="000C1C46" w:rsidRDefault="003014CA" w:rsidP="00BF10FA">
            <w:pPr>
              <w:spacing w:before="60" w:after="60" w:line="240" w:lineRule="auto"/>
              <w:jc w:val="center"/>
              <w:rPr>
                <w:iCs/>
                <w:color w:val="000000"/>
                <w:sz w:val="20"/>
              </w:rPr>
            </w:pPr>
          </w:p>
        </w:tc>
        <w:tc>
          <w:tcPr>
            <w:tcW w:w="1418" w:type="dxa"/>
            <w:tcBorders>
              <w:top w:val="nil"/>
              <w:left w:val="nil"/>
              <w:bottom w:val="nil"/>
              <w:right w:val="nil"/>
            </w:tcBorders>
          </w:tcPr>
          <w:p w:rsidR="003014CA" w:rsidRDefault="003014CA" w:rsidP="00BF10FA">
            <w:pPr>
              <w:spacing w:before="60" w:after="60" w:line="240" w:lineRule="auto"/>
              <w:jc w:val="center"/>
              <w:rPr>
                <w:iCs/>
                <w:color w:val="000000"/>
                <w:sz w:val="20"/>
              </w:rPr>
            </w:pPr>
          </w:p>
        </w:tc>
      </w:tr>
      <w:tr w:rsidR="003014CA" w:rsidTr="00BF10FA">
        <w:tc>
          <w:tcPr>
            <w:tcW w:w="3227" w:type="dxa"/>
            <w:tcBorders>
              <w:top w:val="nil"/>
              <w:left w:val="nil"/>
              <w:bottom w:val="nil"/>
              <w:right w:val="nil"/>
            </w:tcBorders>
            <w:vAlign w:val="center"/>
          </w:tcPr>
          <w:p w:rsidR="003014CA" w:rsidRPr="000C1C46" w:rsidRDefault="003014CA" w:rsidP="00BF10FA">
            <w:pPr>
              <w:spacing w:before="60" w:after="60" w:line="240" w:lineRule="auto"/>
              <w:rPr>
                <w:color w:val="000000"/>
                <w:sz w:val="20"/>
              </w:rPr>
            </w:pPr>
            <w:r>
              <w:rPr>
                <w:color w:val="000000"/>
                <w:sz w:val="20"/>
              </w:rPr>
              <w:t>common carp</w:t>
            </w:r>
          </w:p>
        </w:tc>
        <w:tc>
          <w:tcPr>
            <w:tcW w:w="3827" w:type="dxa"/>
            <w:tcBorders>
              <w:top w:val="nil"/>
              <w:left w:val="nil"/>
              <w:bottom w:val="nil"/>
              <w:right w:val="nil"/>
            </w:tcBorders>
          </w:tcPr>
          <w:p w:rsidR="003014CA" w:rsidRPr="000C1C46" w:rsidRDefault="003014CA" w:rsidP="00BF10FA">
            <w:pPr>
              <w:spacing w:before="60" w:after="60" w:line="240" w:lineRule="auto"/>
              <w:jc w:val="left"/>
              <w:rPr>
                <w:i/>
                <w:iCs/>
                <w:color w:val="000000"/>
                <w:sz w:val="20"/>
              </w:rPr>
            </w:pPr>
            <w:r>
              <w:rPr>
                <w:i/>
                <w:iCs/>
                <w:color w:val="000000"/>
                <w:sz w:val="20"/>
              </w:rPr>
              <w:t>Cyrpinus carpio</w:t>
            </w:r>
          </w:p>
        </w:tc>
        <w:tc>
          <w:tcPr>
            <w:tcW w:w="1134" w:type="dxa"/>
            <w:tcBorders>
              <w:top w:val="nil"/>
              <w:left w:val="nil"/>
              <w:bottom w:val="nil"/>
              <w:right w:val="nil"/>
            </w:tcBorders>
            <w:vAlign w:val="center"/>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c>
          <w:tcPr>
            <w:tcW w:w="1418" w:type="dxa"/>
            <w:tcBorders>
              <w:top w:val="nil"/>
              <w:left w:val="nil"/>
              <w:bottom w:val="nil"/>
              <w:right w:val="nil"/>
            </w:tcBorders>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r>
      <w:tr w:rsidR="003014CA" w:rsidTr="00BF10FA">
        <w:tc>
          <w:tcPr>
            <w:tcW w:w="3227" w:type="dxa"/>
            <w:tcBorders>
              <w:top w:val="nil"/>
              <w:left w:val="nil"/>
              <w:bottom w:val="nil"/>
              <w:right w:val="nil"/>
            </w:tcBorders>
            <w:vAlign w:val="center"/>
          </w:tcPr>
          <w:p w:rsidR="003014CA" w:rsidRPr="000C1C46" w:rsidRDefault="003014CA" w:rsidP="00BF10FA">
            <w:pPr>
              <w:spacing w:before="60" w:after="60" w:line="240" w:lineRule="auto"/>
              <w:rPr>
                <w:color w:val="000000"/>
                <w:sz w:val="20"/>
              </w:rPr>
            </w:pPr>
            <w:r>
              <w:rPr>
                <w:color w:val="000000"/>
                <w:sz w:val="20"/>
              </w:rPr>
              <w:t>goldfish</w:t>
            </w:r>
          </w:p>
        </w:tc>
        <w:tc>
          <w:tcPr>
            <w:tcW w:w="3827" w:type="dxa"/>
            <w:tcBorders>
              <w:top w:val="nil"/>
              <w:left w:val="nil"/>
              <w:bottom w:val="nil"/>
              <w:right w:val="nil"/>
            </w:tcBorders>
          </w:tcPr>
          <w:p w:rsidR="003014CA" w:rsidRPr="000C1C46" w:rsidRDefault="003014CA" w:rsidP="00BF10FA">
            <w:pPr>
              <w:spacing w:before="60" w:after="60" w:line="240" w:lineRule="auto"/>
              <w:jc w:val="left"/>
              <w:rPr>
                <w:i/>
                <w:iCs/>
                <w:color w:val="000000"/>
                <w:sz w:val="20"/>
              </w:rPr>
            </w:pPr>
            <w:r>
              <w:rPr>
                <w:i/>
                <w:iCs/>
                <w:color w:val="000000"/>
                <w:sz w:val="20"/>
              </w:rPr>
              <w:t>Carrassius auratus</w:t>
            </w:r>
          </w:p>
        </w:tc>
        <w:tc>
          <w:tcPr>
            <w:tcW w:w="1134" w:type="dxa"/>
            <w:tcBorders>
              <w:top w:val="nil"/>
              <w:left w:val="nil"/>
              <w:bottom w:val="nil"/>
              <w:right w:val="nil"/>
            </w:tcBorders>
            <w:vAlign w:val="center"/>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c>
          <w:tcPr>
            <w:tcW w:w="1418" w:type="dxa"/>
            <w:tcBorders>
              <w:top w:val="nil"/>
              <w:left w:val="nil"/>
              <w:bottom w:val="nil"/>
              <w:right w:val="nil"/>
            </w:tcBorders>
          </w:tcPr>
          <w:p w:rsidR="003014CA" w:rsidRPr="00BF27F5" w:rsidRDefault="003014CA" w:rsidP="00BF10FA">
            <w:pPr>
              <w:spacing w:before="60" w:after="60" w:line="240" w:lineRule="auto"/>
              <w:jc w:val="center"/>
              <w:rPr>
                <w:b/>
                <w:iCs/>
                <w:color w:val="000000"/>
                <w:sz w:val="20"/>
              </w:rPr>
            </w:pPr>
          </w:p>
        </w:tc>
      </w:tr>
      <w:tr w:rsidR="003014CA" w:rsidTr="00BF10FA">
        <w:tc>
          <w:tcPr>
            <w:tcW w:w="3227" w:type="dxa"/>
            <w:tcBorders>
              <w:top w:val="nil"/>
              <w:left w:val="nil"/>
              <w:bottom w:val="nil"/>
              <w:right w:val="nil"/>
            </w:tcBorders>
            <w:vAlign w:val="center"/>
          </w:tcPr>
          <w:p w:rsidR="003014CA" w:rsidRDefault="003014CA" w:rsidP="00BF10FA">
            <w:pPr>
              <w:spacing w:before="60" w:after="60" w:line="240" w:lineRule="auto"/>
              <w:rPr>
                <w:color w:val="000000"/>
                <w:sz w:val="20"/>
              </w:rPr>
            </w:pPr>
            <w:r>
              <w:rPr>
                <w:color w:val="000000"/>
                <w:sz w:val="20"/>
              </w:rPr>
              <w:t>eastern gambusia</w:t>
            </w:r>
          </w:p>
        </w:tc>
        <w:tc>
          <w:tcPr>
            <w:tcW w:w="3827" w:type="dxa"/>
            <w:tcBorders>
              <w:top w:val="nil"/>
              <w:left w:val="nil"/>
              <w:bottom w:val="nil"/>
              <w:right w:val="nil"/>
            </w:tcBorders>
          </w:tcPr>
          <w:p w:rsidR="003014CA" w:rsidRDefault="003014CA" w:rsidP="00BF10FA">
            <w:pPr>
              <w:spacing w:before="60" w:after="60" w:line="240" w:lineRule="auto"/>
              <w:jc w:val="left"/>
              <w:rPr>
                <w:i/>
                <w:iCs/>
                <w:color w:val="000000"/>
                <w:sz w:val="20"/>
              </w:rPr>
            </w:pPr>
            <w:r>
              <w:rPr>
                <w:i/>
                <w:iCs/>
                <w:color w:val="000000"/>
                <w:sz w:val="20"/>
              </w:rPr>
              <w:t>Gambusia holbrooki</w:t>
            </w:r>
          </w:p>
        </w:tc>
        <w:tc>
          <w:tcPr>
            <w:tcW w:w="1134" w:type="dxa"/>
            <w:tcBorders>
              <w:top w:val="nil"/>
              <w:left w:val="nil"/>
              <w:bottom w:val="nil"/>
              <w:right w:val="nil"/>
            </w:tcBorders>
            <w:vAlign w:val="center"/>
          </w:tcPr>
          <w:p w:rsidR="003014CA" w:rsidRPr="00BF27F5" w:rsidRDefault="003014CA" w:rsidP="00BF10FA">
            <w:pPr>
              <w:spacing w:before="60" w:after="60" w:line="240" w:lineRule="auto"/>
              <w:jc w:val="center"/>
              <w:rPr>
                <w:b/>
                <w:iCs/>
                <w:color w:val="000000"/>
                <w:sz w:val="20"/>
              </w:rPr>
            </w:pPr>
            <w:r>
              <w:rPr>
                <w:b/>
                <w:iCs/>
                <w:color w:val="000000"/>
                <w:sz w:val="20"/>
              </w:rPr>
              <w:t>Y</w:t>
            </w:r>
          </w:p>
        </w:tc>
        <w:tc>
          <w:tcPr>
            <w:tcW w:w="1418" w:type="dxa"/>
            <w:tcBorders>
              <w:top w:val="nil"/>
              <w:left w:val="nil"/>
              <w:bottom w:val="nil"/>
              <w:right w:val="nil"/>
            </w:tcBorders>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r>
      <w:tr w:rsidR="003014CA" w:rsidTr="00BF10FA">
        <w:tc>
          <w:tcPr>
            <w:tcW w:w="3227" w:type="dxa"/>
            <w:tcBorders>
              <w:top w:val="nil"/>
              <w:left w:val="nil"/>
              <w:bottom w:val="nil"/>
              <w:right w:val="nil"/>
            </w:tcBorders>
            <w:vAlign w:val="center"/>
          </w:tcPr>
          <w:p w:rsidR="003014CA" w:rsidRDefault="003014CA" w:rsidP="00BF10FA">
            <w:pPr>
              <w:spacing w:before="60" w:after="60" w:line="240" w:lineRule="auto"/>
              <w:rPr>
                <w:color w:val="000000"/>
                <w:sz w:val="20"/>
              </w:rPr>
            </w:pPr>
            <w:r>
              <w:rPr>
                <w:color w:val="000000"/>
                <w:sz w:val="20"/>
              </w:rPr>
              <w:t>oriental weatherloach</w:t>
            </w:r>
          </w:p>
        </w:tc>
        <w:tc>
          <w:tcPr>
            <w:tcW w:w="3827" w:type="dxa"/>
            <w:tcBorders>
              <w:top w:val="nil"/>
              <w:left w:val="nil"/>
              <w:bottom w:val="nil"/>
              <w:right w:val="nil"/>
            </w:tcBorders>
          </w:tcPr>
          <w:p w:rsidR="003014CA" w:rsidRDefault="003014CA" w:rsidP="00BF10FA">
            <w:pPr>
              <w:spacing w:before="60" w:after="60" w:line="240" w:lineRule="auto"/>
              <w:jc w:val="left"/>
              <w:rPr>
                <w:i/>
                <w:iCs/>
                <w:color w:val="000000"/>
                <w:sz w:val="20"/>
              </w:rPr>
            </w:pPr>
            <w:r>
              <w:rPr>
                <w:i/>
                <w:iCs/>
                <w:color w:val="000000"/>
                <w:sz w:val="20"/>
              </w:rPr>
              <w:t>Misgurnus anguillicaudatus</w:t>
            </w:r>
          </w:p>
        </w:tc>
        <w:tc>
          <w:tcPr>
            <w:tcW w:w="1134" w:type="dxa"/>
            <w:tcBorders>
              <w:top w:val="nil"/>
              <w:left w:val="nil"/>
              <w:bottom w:val="nil"/>
              <w:right w:val="nil"/>
            </w:tcBorders>
            <w:vAlign w:val="center"/>
          </w:tcPr>
          <w:p w:rsidR="003014CA" w:rsidRPr="00BF27F5" w:rsidRDefault="003014CA" w:rsidP="00BF10FA">
            <w:pPr>
              <w:spacing w:before="60" w:after="60" w:line="240" w:lineRule="auto"/>
              <w:jc w:val="center"/>
              <w:rPr>
                <w:b/>
                <w:iCs/>
                <w:color w:val="000000"/>
                <w:sz w:val="20"/>
              </w:rPr>
            </w:pPr>
            <w:r>
              <w:rPr>
                <w:b/>
                <w:iCs/>
                <w:color w:val="000000"/>
                <w:sz w:val="20"/>
              </w:rPr>
              <w:t>Y</w:t>
            </w:r>
          </w:p>
        </w:tc>
        <w:tc>
          <w:tcPr>
            <w:tcW w:w="1418" w:type="dxa"/>
            <w:tcBorders>
              <w:top w:val="nil"/>
              <w:left w:val="nil"/>
              <w:bottom w:val="nil"/>
              <w:right w:val="nil"/>
            </w:tcBorders>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r>
      <w:tr w:rsidR="003014CA" w:rsidTr="00BF10FA">
        <w:tc>
          <w:tcPr>
            <w:tcW w:w="3227" w:type="dxa"/>
            <w:tcBorders>
              <w:top w:val="nil"/>
              <w:left w:val="nil"/>
              <w:right w:val="nil"/>
            </w:tcBorders>
            <w:vAlign w:val="center"/>
          </w:tcPr>
          <w:p w:rsidR="003014CA" w:rsidRDefault="003014CA" w:rsidP="00BF10FA">
            <w:pPr>
              <w:spacing w:before="60" w:after="60" w:line="240" w:lineRule="auto"/>
              <w:rPr>
                <w:color w:val="000000"/>
                <w:sz w:val="20"/>
              </w:rPr>
            </w:pPr>
            <w:r>
              <w:rPr>
                <w:color w:val="000000"/>
                <w:sz w:val="20"/>
              </w:rPr>
              <w:t>redfin perch</w:t>
            </w:r>
          </w:p>
        </w:tc>
        <w:tc>
          <w:tcPr>
            <w:tcW w:w="3827" w:type="dxa"/>
            <w:tcBorders>
              <w:top w:val="nil"/>
              <w:left w:val="nil"/>
              <w:right w:val="nil"/>
            </w:tcBorders>
          </w:tcPr>
          <w:p w:rsidR="003014CA" w:rsidRDefault="003014CA" w:rsidP="00BF10FA">
            <w:pPr>
              <w:spacing w:before="60" w:after="60" w:line="240" w:lineRule="auto"/>
              <w:jc w:val="left"/>
              <w:rPr>
                <w:i/>
                <w:iCs/>
                <w:color w:val="000000"/>
                <w:sz w:val="20"/>
              </w:rPr>
            </w:pPr>
            <w:r>
              <w:rPr>
                <w:i/>
                <w:iCs/>
                <w:color w:val="000000"/>
                <w:sz w:val="20"/>
              </w:rPr>
              <w:t>Perca fluviatilis</w:t>
            </w:r>
          </w:p>
        </w:tc>
        <w:tc>
          <w:tcPr>
            <w:tcW w:w="1134" w:type="dxa"/>
            <w:tcBorders>
              <w:top w:val="nil"/>
              <w:left w:val="nil"/>
              <w:right w:val="nil"/>
            </w:tcBorders>
            <w:vAlign w:val="center"/>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c>
          <w:tcPr>
            <w:tcW w:w="1418" w:type="dxa"/>
            <w:tcBorders>
              <w:top w:val="nil"/>
              <w:left w:val="nil"/>
              <w:right w:val="nil"/>
            </w:tcBorders>
          </w:tcPr>
          <w:p w:rsidR="003014CA" w:rsidRPr="00BF27F5" w:rsidRDefault="003014CA" w:rsidP="00BF10FA">
            <w:pPr>
              <w:spacing w:before="60" w:after="60" w:line="240" w:lineRule="auto"/>
              <w:jc w:val="center"/>
              <w:rPr>
                <w:b/>
                <w:iCs/>
                <w:color w:val="000000"/>
                <w:sz w:val="20"/>
              </w:rPr>
            </w:pPr>
            <w:r w:rsidRPr="00BF27F5">
              <w:rPr>
                <w:b/>
                <w:iCs/>
                <w:color w:val="000000"/>
                <w:sz w:val="20"/>
              </w:rPr>
              <w:t>Y</w:t>
            </w:r>
          </w:p>
        </w:tc>
      </w:tr>
    </w:tbl>
    <w:p w:rsidR="003014CA" w:rsidRPr="003014CA" w:rsidRDefault="003014CA" w:rsidP="003014CA">
      <w:pPr>
        <w:spacing w:after="0" w:line="160" w:lineRule="exact"/>
        <w:rPr>
          <w:sz w:val="18"/>
          <w:szCs w:val="18"/>
        </w:rPr>
      </w:pPr>
      <w:r w:rsidRPr="003014CA">
        <w:rPr>
          <w:sz w:val="18"/>
          <w:szCs w:val="18"/>
          <w:vertAlign w:val="superscript"/>
        </w:rPr>
        <w:t>1</w:t>
      </w:r>
      <w:r w:rsidRPr="003014CA">
        <w:rPr>
          <w:sz w:val="18"/>
          <w:szCs w:val="18"/>
        </w:rPr>
        <w:t>common names as per Humphries and Walker (2013)</w:t>
      </w:r>
    </w:p>
    <w:p w:rsidR="003014CA" w:rsidRPr="003014CA" w:rsidRDefault="003014CA" w:rsidP="003014CA">
      <w:pPr>
        <w:spacing w:after="0" w:line="160" w:lineRule="exact"/>
        <w:rPr>
          <w:sz w:val="18"/>
          <w:szCs w:val="18"/>
        </w:rPr>
      </w:pPr>
      <w:r w:rsidRPr="003014CA">
        <w:rPr>
          <w:sz w:val="18"/>
          <w:szCs w:val="18"/>
          <w:vertAlign w:val="superscript"/>
        </w:rPr>
        <w:t>2</w:t>
      </w:r>
      <w:r w:rsidRPr="003014CA">
        <w:rPr>
          <w:sz w:val="18"/>
          <w:szCs w:val="18"/>
        </w:rPr>
        <w:t>Based on annual adult fish surveys in the Edward-Wakool system (2010-2015)</w:t>
      </w:r>
    </w:p>
    <w:p w:rsidR="003014CA" w:rsidRPr="003014CA" w:rsidRDefault="003014CA" w:rsidP="003014CA">
      <w:pPr>
        <w:spacing w:after="0" w:line="160" w:lineRule="exact"/>
        <w:rPr>
          <w:sz w:val="18"/>
          <w:szCs w:val="18"/>
        </w:rPr>
      </w:pPr>
      <w:r w:rsidRPr="003014CA">
        <w:rPr>
          <w:sz w:val="18"/>
          <w:szCs w:val="18"/>
          <w:vertAlign w:val="superscript"/>
        </w:rPr>
        <w:t>3</w:t>
      </w:r>
      <w:r w:rsidRPr="003014CA">
        <w:rPr>
          <w:sz w:val="18"/>
          <w:szCs w:val="18"/>
        </w:rPr>
        <w:t>Based on short-term intervention monitoring surveys in the Edward-Wakool system (2012-2014)</w:t>
      </w:r>
      <w:r w:rsidR="00E71CE0">
        <w:rPr>
          <w:sz w:val="18"/>
          <w:szCs w:val="18"/>
        </w:rPr>
        <w:t xml:space="preserve"> (Watts et al. 2014a, 2014b)</w:t>
      </w:r>
    </w:p>
    <w:p w:rsidR="003014CA" w:rsidRPr="003014CA" w:rsidRDefault="003014CA" w:rsidP="003014CA">
      <w:pPr>
        <w:spacing w:after="0" w:line="160" w:lineRule="exact"/>
        <w:rPr>
          <w:sz w:val="18"/>
          <w:szCs w:val="18"/>
        </w:rPr>
      </w:pPr>
      <w:r w:rsidRPr="003014CA">
        <w:rPr>
          <w:sz w:val="18"/>
          <w:szCs w:val="18"/>
          <w:vertAlign w:val="superscript"/>
        </w:rPr>
        <w:t>4</w:t>
      </w:r>
      <w:r w:rsidRPr="003014CA">
        <w:rPr>
          <w:sz w:val="18"/>
          <w:szCs w:val="18"/>
        </w:rPr>
        <w:t xml:space="preserve"> Pre-European (PERCH) list of the expected native species present in the central Murray region of the Murray-Darling Basin.</w:t>
      </w:r>
    </w:p>
    <w:p w:rsidR="003014CA" w:rsidRPr="003014CA" w:rsidRDefault="003014CA" w:rsidP="003014CA">
      <w:pPr>
        <w:spacing w:after="0" w:line="160" w:lineRule="exact"/>
        <w:rPr>
          <w:sz w:val="18"/>
          <w:szCs w:val="18"/>
        </w:rPr>
      </w:pPr>
      <w:r w:rsidRPr="003014CA">
        <w:rPr>
          <w:sz w:val="18"/>
          <w:szCs w:val="18"/>
          <w:vertAlign w:val="superscript"/>
        </w:rPr>
        <w:t>5</w:t>
      </w:r>
      <w:r w:rsidRPr="003014CA">
        <w:rPr>
          <w:sz w:val="18"/>
          <w:szCs w:val="18"/>
        </w:rPr>
        <w:t>Found in the wider Edward-Wakool River system, but outside the project study zones.</w:t>
      </w:r>
    </w:p>
    <w:p w:rsidR="00ED6D80" w:rsidRDefault="00ED6D80">
      <w:pPr>
        <w:spacing w:after="0" w:line="240" w:lineRule="auto"/>
        <w:jc w:val="left"/>
        <w:rPr>
          <w:b/>
          <w:color w:val="4F6228" w:themeColor="accent3" w:themeShade="80"/>
          <w:szCs w:val="24"/>
        </w:rPr>
      </w:pPr>
      <w:r>
        <w:rPr>
          <w:b/>
          <w:color w:val="4F6228" w:themeColor="accent3" w:themeShade="80"/>
          <w:szCs w:val="24"/>
        </w:rPr>
        <w:br w:type="page"/>
      </w:r>
    </w:p>
    <w:p w:rsidR="003014CA" w:rsidRDefault="003014CA" w:rsidP="003014CA">
      <w:pPr>
        <w:spacing w:after="240"/>
        <w:jc w:val="left"/>
        <w:rPr>
          <w:b/>
          <w:color w:val="4F6228" w:themeColor="accent3" w:themeShade="80"/>
          <w:szCs w:val="24"/>
        </w:rPr>
      </w:pPr>
      <w:r>
        <w:rPr>
          <w:b/>
          <w:color w:val="4F6228" w:themeColor="accent3" w:themeShade="80"/>
          <w:szCs w:val="24"/>
        </w:rPr>
        <w:t>9</w:t>
      </w:r>
      <w:r w:rsidRPr="00EE11BF">
        <w:rPr>
          <w:b/>
          <w:color w:val="4F6228" w:themeColor="accent3" w:themeShade="80"/>
          <w:szCs w:val="24"/>
        </w:rPr>
        <w:t xml:space="preserve">.2 </w:t>
      </w:r>
      <w:r>
        <w:rPr>
          <w:b/>
          <w:color w:val="4F6228" w:themeColor="accent3" w:themeShade="80"/>
          <w:szCs w:val="24"/>
        </w:rPr>
        <w:t>Questions</w:t>
      </w:r>
    </w:p>
    <w:p w:rsidR="003014CA" w:rsidRDefault="003014CA" w:rsidP="003014CA">
      <w:pPr>
        <w:spacing w:after="240"/>
        <w:jc w:val="left"/>
        <w:rPr>
          <w:szCs w:val="22"/>
        </w:rPr>
      </w:pPr>
      <w:r>
        <w:rPr>
          <w:szCs w:val="22"/>
        </w:rPr>
        <w:t xml:space="preserve">Evaluation of the fish community to Commonwealth environmental watering is being undertaken in the Edward-Wakool River system to </w:t>
      </w:r>
      <w:r w:rsidRPr="0048558B">
        <w:rPr>
          <w:szCs w:val="24"/>
        </w:rPr>
        <w:t>determine long</w:t>
      </w:r>
      <w:r>
        <w:rPr>
          <w:szCs w:val="24"/>
        </w:rPr>
        <w:t>-</w:t>
      </w:r>
      <w:r w:rsidRPr="0048558B">
        <w:rPr>
          <w:szCs w:val="24"/>
        </w:rPr>
        <w:t xml:space="preserve">term trajectories in the fish community assemblage </w:t>
      </w:r>
      <w:r>
        <w:rPr>
          <w:szCs w:val="24"/>
        </w:rPr>
        <w:t xml:space="preserve">in response to Commonwealth environmental watering. Data from the Edward-Wakool system will be evaluated </w:t>
      </w:r>
      <w:r>
        <w:rPr>
          <w:szCs w:val="22"/>
        </w:rPr>
        <w:t>at the Selected Area scale (Watts et al. 2014</w:t>
      </w:r>
      <w:r w:rsidR="00583B59">
        <w:rPr>
          <w:szCs w:val="22"/>
        </w:rPr>
        <w:t>c</w:t>
      </w:r>
      <w:r>
        <w:rPr>
          <w:szCs w:val="22"/>
        </w:rPr>
        <w:t xml:space="preserve">) and contribute to Basin scale evaluation. Basin-scale evaluation involves the integration of multiple datasets from a number of different catchments (Hale et al. 2014), and this will be undertaken by the Murray-Darling Freshwater Research Centre and will be evaluated in a separate report. </w:t>
      </w:r>
    </w:p>
    <w:p w:rsidR="003014CA" w:rsidRDefault="003014CA" w:rsidP="003014CA">
      <w:pPr>
        <w:spacing w:after="240"/>
        <w:jc w:val="left"/>
        <w:rPr>
          <w:szCs w:val="22"/>
        </w:rPr>
      </w:pPr>
      <w:r>
        <w:rPr>
          <w:szCs w:val="22"/>
        </w:rPr>
        <w:t xml:space="preserve">This is the first year of a multi-year monitoring project, and as such this report will </w:t>
      </w:r>
      <w:r>
        <w:rPr>
          <w:szCs w:val="24"/>
        </w:rPr>
        <w:t xml:space="preserve">provide a benchmark which will be used </w:t>
      </w:r>
      <w:r w:rsidR="000528AA">
        <w:rPr>
          <w:szCs w:val="24"/>
        </w:rPr>
        <w:t>by</w:t>
      </w:r>
      <w:r>
        <w:rPr>
          <w:szCs w:val="24"/>
        </w:rPr>
        <w:t xml:space="preserve"> the LTIM program to determine if there is a system-wide change in the fish community assemblage structure in the Edward-Wakool system with respect to Commonwealth environmental water delivery. </w:t>
      </w:r>
      <w:r>
        <w:rPr>
          <w:szCs w:val="22"/>
        </w:rPr>
        <w:t>The following long-term Selected Area evaluation questions, as outlined in the Monitoring and Evaluation Plan for the Edward-Wakool system (Watts et al. 2014</w:t>
      </w:r>
      <w:r w:rsidR="00583B59">
        <w:rPr>
          <w:szCs w:val="22"/>
        </w:rPr>
        <w:t>c</w:t>
      </w:r>
      <w:r>
        <w:rPr>
          <w:szCs w:val="22"/>
        </w:rPr>
        <w:t>), will be assessed in 2019:</w:t>
      </w:r>
    </w:p>
    <w:p w:rsidR="003014CA" w:rsidRPr="005921DB" w:rsidRDefault="003014CA" w:rsidP="003014CA">
      <w:pPr>
        <w:spacing w:after="120"/>
        <w:jc w:val="left"/>
        <w:rPr>
          <w:szCs w:val="22"/>
        </w:rPr>
      </w:pPr>
      <w:r>
        <w:rPr>
          <w:szCs w:val="22"/>
        </w:rPr>
        <w:t xml:space="preserve">Q1: </w:t>
      </w:r>
      <w:r w:rsidRPr="005921DB">
        <w:rPr>
          <w:i/>
          <w:szCs w:val="22"/>
        </w:rPr>
        <w:t xml:space="preserve">Does Commonwealth environmental water contribute to maintain or enhance existing levels of fish recruitment in the Edward-Wakool river system? </w:t>
      </w:r>
    </w:p>
    <w:p w:rsidR="003014CA" w:rsidRPr="005921DB" w:rsidRDefault="003014CA" w:rsidP="003014CA">
      <w:pPr>
        <w:spacing w:after="120"/>
        <w:jc w:val="left"/>
        <w:rPr>
          <w:szCs w:val="22"/>
        </w:rPr>
      </w:pPr>
      <w:r>
        <w:rPr>
          <w:szCs w:val="22"/>
        </w:rPr>
        <w:t xml:space="preserve">Q2: </w:t>
      </w:r>
      <w:r w:rsidRPr="005921DB">
        <w:rPr>
          <w:i/>
          <w:szCs w:val="22"/>
        </w:rPr>
        <w:t xml:space="preserve">Does Commonwealth environmental water contribute to maintain or increase native fish diversity and abundance in the Edward-Wakool river system? </w:t>
      </w:r>
    </w:p>
    <w:p w:rsidR="003014CA" w:rsidRPr="005921DB" w:rsidRDefault="003014CA" w:rsidP="003014CA">
      <w:pPr>
        <w:spacing w:after="120"/>
        <w:jc w:val="left"/>
        <w:rPr>
          <w:szCs w:val="22"/>
        </w:rPr>
      </w:pPr>
      <w:r>
        <w:rPr>
          <w:szCs w:val="22"/>
        </w:rPr>
        <w:t xml:space="preserve">Q3: </w:t>
      </w:r>
      <w:r w:rsidRPr="005921DB">
        <w:rPr>
          <w:i/>
          <w:szCs w:val="22"/>
        </w:rPr>
        <w:t>Does Commonwealth environmental water contribute to maintain or increase native fish biomass in the Edward-Wakool river system?</w:t>
      </w:r>
    </w:p>
    <w:p w:rsidR="003014CA" w:rsidRPr="005921DB" w:rsidRDefault="003014CA" w:rsidP="003014CA">
      <w:pPr>
        <w:spacing w:after="120"/>
        <w:jc w:val="left"/>
        <w:rPr>
          <w:szCs w:val="22"/>
        </w:rPr>
      </w:pPr>
      <w:r>
        <w:rPr>
          <w:szCs w:val="22"/>
        </w:rPr>
        <w:t xml:space="preserve">Q4: </w:t>
      </w:r>
      <w:r w:rsidRPr="005921DB">
        <w:rPr>
          <w:i/>
          <w:szCs w:val="22"/>
        </w:rPr>
        <w:t>Does Commonwealth environmental water contribute to maintain or enhance fish condition in the Edward-Wakool river system?</w:t>
      </w:r>
    </w:p>
    <w:p w:rsidR="003014CA" w:rsidRDefault="003014CA" w:rsidP="003014CA">
      <w:pPr>
        <w:spacing w:after="240"/>
        <w:jc w:val="left"/>
        <w:rPr>
          <w:szCs w:val="22"/>
        </w:rPr>
      </w:pPr>
      <w:r>
        <w:rPr>
          <w:szCs w:val="22"/>
        </w:rPr>
        <w:t xml:space="preserve">Q5: </w:t>
      </w:r>
      <w:r w:rsidRPr="005921DB">
        <w:rPr>
          <w:i/>
          <w:szCs w:val="22"/>
        </w:rPr>
        <w:t>Does Commonwealth environmental water contribute to the recovery of fish communities following negative conditions within the Edward-Wakool river system?</w:t>
      </w:r>
      <w:r w:rsidRPr="005921DB">
        <w:rPr>
          <w:szCs w:val="22"/>
        </w:rPr>
        <w:t xml:space="preserve"> </w:t>
      </w:r>
    </w:p>
    <w:p w:rsidR="003014CA" w:rsidRDefault="003014CA" w:rsidP="003014CA">
      <w:pPr>
        <w:shd w:val="clear" w:color="auto" w:fill="FFFFFF"/>
        <w:spacing w:after="120"/>
        <w:ind w:left="720" w:hanging="720"/>
        <w:jc w:val="left"/>
        <w:rPr>
          <w:lang w:eastAsia="en-AU"/>
        </w:rPr>
      </w:pPr>
      <w:r>
        <w:rPr>
          <w:lang w:eastAsia="en-AU"/>
        </w:rPr>
        <w:t>Selected Area hypotheses:</w:t>
      </w:r>
    </w:p>
    <w:p w:rsidR="003014CA" w:rsidRDefault="003014CA" w:rsidP="003014CA">
      <w:pPr>
        <w:shd w:val="clear" w:color="auto" w:fill="FFFFFF"/>
        <w:spacing w:after="120"/>
        <w:ind w:left="720" w:hanging="720"/>
        <w:jc w:val="left"/>
        <w:rPr>
          <w:lang w:eastAsia="en-AU"/>
        </w:rPr>
      </w:pPr>
      <w:r>
        <w:t>H</w:t>
      </w:r>
      <w:r>
        <w:rPr>
          <w:vertAlign w:val="subscript"/>
        </w:rPr>
        <w:t>1</w:t>
      </w:r>
      <w:r w:rsidRPr="002D011D">
        <w:rPr>
          <w:vertAlign w:val="subscript"/>
        </w:rPr>
        <w:t xml:space="preserve"> </w:t>
      </w:r>
      <w:r>
        <w:rPr>
          <w:vertAlign w:val="subscript"/>
        </w:rPr>
        <w:tab/>
      </w:r>
      <w:r>
        <w:rPr>
          <w:lang w:eastAsia="en-AU"/>
        </w:rPr>
        <w:t xml:space="preserve">Commonwealth </w:t>
      </w:r>
      <w:r w:rsidRPr="00F216AE">
        <w:rPr>
          <w:lang w:eastAsia="en-AU"/>
        </w:rPr>
        <w:t xml:space="preserve">environmental water </w:t>
      </w:r>
      <w:r>
        <w:rPr>
          <w:lang w:eastAsia="en-AU"/>
        </w:rPr>
        <w:t>contributes to the maintenance of</w:t>
      </w:r>
      <w:r w:rsidRPr="00F216AE">
        <w:rPr>
          <w:lang w:eastAsia="en-AU"/>
        </w:rPr>
        <w:t xml:space="preserve"> </w:t>
      </w:r>
      <w:r>
        <w:rPr>
          <w:lang w:eastAsia="en-AU"/>
        </w:rPr>
        <w:t xml:space="preserve">native </w:t>
      </w:r>
      <w:r w:rsidRPr="00F216AE">
        <w:rPr>
          <w:lang w:eastAsia="en-AU"/>
        </w:rPr>
        <w:t xml:space="preserve">fish community structure </w:t>
      </w:r>
      <w:r>
        <w:rPr>
          <w:lang w:eastAsia="en-AU"/>
        </w:rPr>
        <w:t xml:space="preserve">(abundance and diversity) </w:t>
      </w:r>
      <w:r w:rsidRPr="00F216AE">
        <w:rPr>
          <w:lang w:eastAsia="en-AU"/>
        </w:rPr>
        <w:t>during drought through water replenishment and enhancement of water quality</w:t>
      </w:r>
      <w:r>
        <w:rPr>
          <w:lang w:eastAsia="en-AU"/>
        </w:rPr>
        <w:t>.</w:t>
      </w:r>
    </w:p>
    <w:p w:rsidR="003014CA" w:rsidRDefault="003014CA" w:rsidP="003014CA">
      <w:pPr>
        <w:shd w:val="clear" w:color="auto" w:fill="FFFFFF"/>
        <w:spacing w:after="120"/>
        <w:ind w:left="709" w:hanging="709"/>
        <w:jc w:val="left"/>
        <w:rPr>
          <w:lang w:eastAsia="en-AU"/>
        </w:rPr>
      </w:pPr>
      <w:r>
        <w:t>H</w:t>
      </w:r>
      <w:r>
        <w:rPr>
          <w:vertAlign w:val="subscript"/>
        </w:rPr>
        <w:t>2</w:t>
      </w:r>
      <w:r w:rsidRPr="002D011D">
        <w:rPr>
          <w:vertAlign w:val="subscript"/>
        </w:rPr>
        <w:t xml:space="preserve"> </w:t>
      </w:r>
      <w:r>
        <w:rPr>
          <w:vertAlign w:val="subscript"/>
        </w:rPr>
        <w:tab/>
      </w:r>
      <w:r>
        <w:rPr>
          <w:lang w:eastAsia="en-AU"/>
        </w:rPr>
        <w:t>Commonwealth environmental water contributes to maintenance of or increases in native fish biomass.</w:t>
      </w:r>
    </w:p>
    <w:p w:rsidR="003014CA" w:rsidRDefault="003014CA" w:rsidP="003014CA">
      <w:pPr>
        <w:shd w:val="clear" w:color="auto" w:fill="FFFFFF"/>
        <w:spacing w:after="120"/>
        <w:ind w:left="709" w:hanging="709"/>
        <w:jc w:val="left"/>
        <w:rPr>
          <w:lang w:eastAsia="en-AU"/>
        </w:rPr>
      </w:pPr>
      <w:r>
        <w:t>H</w:t>
      </w:r>
      <w:r w:rsidRPr="00212382">
        <w:rPr>
          <w:vertAlign w:val="subscript"/>
        </w:rPr>
        <w:t>3</w:t>
      </w:r>
      <w:r w:rsidRPr="002D011D">
        <w:rPr>
          <w:vertAlign w:val="subscript"/>
        </w:rPr>
        <w:t xml:space="preserve"> </w:t>
      </w:r>
      <w:r>
        <w:rPr>
          <w:vertAlign w:val="subscript"/>
        </w:rPr>
        <w:tab/>
      </w:r>
      <w:r>
        <w:rPr>
          <w:lang w:eastAsia="en-AU"/>
        </w:rPr>
        <w:t xml:space="preserve">Commonwealth environmental water contributes to the maintenance of or </w:t>
      </w:r>
      <w:r w:rsidRPr="00F216AE">
        <w:rPr>
          <w:lang w:eastAsia="en-AU"/>
        </w:rPr>
        <w:t>increase</w:t>
      </w:r>
      <w:r>
        <w:rPr>
          <w:lang w:eastAsia="en-AU"/>
        </w:rPr>
        <w:t>s in</w:t>
      </w:r>
      <w:r w:rsidRPr="00F216AE">
        <w:rPr>
          <w:lang w:eastAsia="en-AU"/>
        </w:rPr>
        <w:t xml:space="preserve"> </w:t>
      </w:r>
      <w:r>
        <w:rPr>
          <w:lang w:eastAsia="en-AU"/>
        </w:rPr>
        <w:t>native fish condition.</w:t>
      </w:r>
    </w:p>
    <w:p w:rsidR="003014CA" w:rsidRPr="005921DB" w:rsidRDefault="003014CA" w:rsidP="003014CA">
      <w:pPr>
        <w:spacing w:after="120"/>
        <w:ind w:left="709" w:hanging="709"/>
        <w:jc w:val="left"/>
        <w:rPr>
          <w:szCs w:val="22"/>
        </w:rPr>
      </w:pPr>
      <w:r>
        <w:t>H</w:t>
      </w:r>
      <w:r w:rsidRPr="00BB4BDE">
        <w:rPr>
          <w:vertAlign w:val="subscript"/>
        </w:rPr>
        <w:t>4</w:t>
      </w:r>
      <w:r w:rsidRPr="002D011D">
        <w:rPr>
          <w:vertAlign w:val="subscript"/>
        </w:rPr>
        <w:t xml:space="preserve"> </w:t>
      </w:r>
      <w:r>
        <w:rPr>
          <w:vertAlign w:val="subscript"/>
        </w:rPr>
        <w:tab/>
      </w:r>
      <w:r w:rsidRPr="00B37E6F">
        <w:rPr>
          <w:lang w:eastAsia="en-AU"/>
        </w:rPr>
        <w:t xml:space="preserve">Commonwealth environmental water </w:t>
      </w:r>
      <w:r>
        <w:rPr>
          <w:lang w:eastAsia="en-AU"/>
        </w:rPr>
        <w:t>contributes</w:t>
      </w:r>
      <w:r w:rsidRPr="00B37E6F">
        <w:rPr>
          <w:lang w:eastAsia="en-AU"/>
        </w:rPr>
        <w:t xml:space="preserve"> to maintain </w:t>
      </w:r>
      <w:r>
        <w:rPr>
          <w:lang w:eastAsia="en-AU"/>
        </w:rPr>
        <w:t>of or increases in</w:t>
      </w:r>
      <w:r w:rsidRPr="00B37E6F">
        <w:rPr>
          <w:lang w:eastAsia="en-AU"/>
        </w:rPr>
        <w:t xml:space="preserve"> fish recruitment in the Edward-Wakool river system?</w:t>
      </w:r>
    </w:p>
    <w:p w:rsidR="003014CA" w:rsidRPr="0034707C" w:rsidRDefault="003014CA" w:rsidP="003014CA">
      <w:pPr>
        <w:spacing w:after="240"/>
        <w:rPr>
          <w:b/>
          <w:color w:val="4F6228" w:themeColor="accent3" w:themeShade="80"/>
          <w:sz w:val="24"/>
          <w:szCs w:val="24"/>
        </w:rPr>
      </w:pPr>
      <w:r w:rsidRPr="0034707C">
        <w:rPr>
          <w:b/>
          <w:color w:val="4F6228" w:themeColor="accent3" w:themeShade="80"/>
          <w:sz w:val="24"/>
          <w:szCs w:val="24"/>
        </w:rPr>
        <w:t>9.3 Methods</w:t>
      </w:r>
    </w:p>
    <w:p w:rsidR="003014CA" w:rsidRPr="00E2359D" w:rsidRDefault="003014CA" w:rsidP="003014CA">
      <w:pPr>
        <w:spacing w:after="240"/>
        <w:jc w:val="left"/>
        <w:rPr>
          <w:szCs w:val="24"/>
        </w:rPr>
      </w:pPr>
      <w:r w:rsidRPr="00E2359D">
        <w:rPr>
          <w:szCs w:val="24"/>
        </w:rPr>
        <w:t xml:space="preserve">Fish community sampling was undertaken in May </w:t>
      </w:r>
      <w:r>
        <w:rPr>
          <w:szCs w:val="24"/>
        </w:rPr>
        <w:t>and</w:t>
      </w:r>
      <w:r w:rsidRPr="00E2359D">
        <w:rPr>
          <w:szCs w:val="24"/>
        </w:rPr>
        <w:t xml:space="preserve"> June 2015 at </w:t>
      </w:r>
      <w:r>
        <w:rPr>
          <w:szCs w:val="24"/>
        </w:rPr>
        <w:t>19</w:t>
      </w:r>
      <w:r w:rsidRPr="00E2359D">
        <w:rPr>
          <w:szCs w:val="24"/>
        </w:rPr>
        <w:t xml:space="preserve"> sites throughout the Edward-Wakool system (Figure </w:t>
      </w:r>
      <w:r w:rsidR="00294EA4">
        <w:rPr>
          <w:szCs w:val="24"/>
        </w:rPr>
        <w:t>9</w:t>
      </w:r>
      <w:r>
        <w:rPr>
          <w:szCs w:val="24"/>
        </w:rPr>
        <w:t>.</w:t>
      </w:r>
      <w:r w:rsidRPr="00E2359D">
        <w:rPr>
          <w:szCs w:val="24"/>
        </w:rPr>
        <w:t>1) using standardised Sustainable Rivers Audit (SRA) protocol (i.e. a standardised effort of electrofishing and unbaited bait traps at each site) as described in Watts et al. (2014</w:t>
      </w:r>
      <w:r w:rsidR="00583B59">
        <w:rPr>
          <w:szCs w:val="24"/>
        </w:rPr>
        <w:t>c</w:t>
      </w:r>
      <w:r w:rsidRPr="00E2359D">
        <w:rPr>
          <w:szCs w:val="24"/>
        </w:rPr>
        <w:t xml:space="preserve">). </w:t>
      </w:r>
      <w:r>
        <w:rPr>
          <w:szCs w:val="24"/>
        </w:rPr>
        <w:t xml:space="preserve">All fish captured were identified to species and enumerated, and a subset weighed (g) and total or fork length (mm) recorded. Length was used </w:t>
      </w:r>
      <w:r>
        <w:t xml:space="preserve">to distinguish new recruits for each species (Table </w:t>
      </w:r>
      <w:r w:rsidR="00294EA4">
        <w:t>9</w:t>
      </w:r>
      <w:r>
        <w:t xml:space="preserve">.2), and when a subset of fish was measured proportions of juveniles and non-juveniles were scaled to total catch by method for each species. Similarly, species- and method-specific biomass was scaled to total catch when subsampling had occurred during measurement. </w:t>
      </w:r>
    </w:p>
    <w:p w:rsidR="003014CA" w:rsidRDefault="003014CA" w:rsidP="003014CA">
      <w:pPr>
        <w:spacing w:after="240"/>
        <w:jc w:val="left"/>
      </w:pPr>
      <w:r>
        <w:rPr>
          <w:szCs w:val="24"/>
        </w:rPr>
        <w:t xml:space="preserve">To place the 2015 fish community assemblage data in the context of previous monitoring programs, analysis was undertaken using annual data collected from the same 19 in-channel sites in the preceding five years (2010 to 2014). </w:t>
      </w:r>
      <w:r>
        <w:t xml:space="preserve">To determine differences in fish communities among years, abundance and biomass data were analysed separately using one-way fixed factor Permutational Multivariate Analysis of Variance (PERMANOVA; Anderson et al., 2008). Raw data were initially fourth root transformed and the results used to produce a similarity matrix using the Bray-Curtis resemblance measure. All tests were considered significant at </w:t>
      </w:r>
      <w:r w:rsidRPr="00942113">
        <w:rPr>
          <w:i/>
        </w:rPr>
        <w:t>P</w:t>
      </w:r>
      <w:r>
        <w:t xml:space="preserve"> &lt; 0.05. Where significant differences were identified, pair-wise post-hoc contrasts were used to determine which years differed. Similarity percentage (SIMPER) tests were used to identify individual species contributions to average dissimilarities.</w:t>
      </w:r>
    </w:p>
    <w:p w:rsidR="003014CA" w:rsidRDefault="003014CA" w:rsidP="003014CA">
      <w:pPr>
        <w:spacing w:after="240"/>
        <w:jc w:val="left"/>
        <w:rPr>
          <w:szCs w:val="24"/>
        </w:rPr>
      </w:pPr>
      <w:r>
        <w:rPr>
          <w:szCs w:val="24"/>
        </w:rPr>
        <w:t>Sustainable Rivers Audit (SRA) fish community indices were calculated to quantify overall condition of the f</w:t>
      </w:r>
      <w:r w:rsidRPr="00762174">
        <w:rPr>
          <w:szCs w:val="24"/>
        </w:rPr>
        <w:t xml:space="preserve">ish community </w:t>
      </w:r>
      <w:r>
        <w:rPr>
          <w:szCs w:val="24"/>
        </w:rPr>
        <w:t>assemblage, and to place 2015 in the context of previous years. Data were first portioned into recruits and non-recruits. L</w:t>
      </w:r>
      <w:r w:rsidRPr="007963D4">
        <w:rPr>
          <w:szCs w:val="24"/>
        </w:rPr>
        <w:t xml:space="preserve">arge-bodied and generally longer </w:t>
      </w:r>
      <w:r>
        <w:rPr>
          <w:szCs w:val="24"/>
        </w:rPr>
        <w:t>lived</w:t>
      </w:r>
      <w:r w:rsidRPr="007963D4">
        <w:rPr>
          <w:szCs w:val="24"/>
        </w:rPr>
        <w:t xml:space="preserve"> species (</w:t>
      </w:r>
      <w:r>
        <w:rPr>
          <w:szCs w:val="24"/>
        </w:rPr>
        <w:t xml:space="preserve">max. age </w:t>
      </w:r>
      <w:r w:rsidRPr="007963D4">
        <w:rPr>
          <w:szCs w:val="24"/>
        </w:rPr>
        <w:t>&gt;</w:t>
      </w:r>
      <w:r>
        <w:rPr>
          <w:szCs w:val="24"/>
        </w:rPr>
        <w:t>3</w:t>
      </w:r>
      <w:r w:rsidRPr="007963D4">
        <w:rPr>
          <w:szCs w:val="24"/>
        </w:rPr>
        <w:t xml:space="preserve"> years)</w:t>
      </w:r>
      <w:r>
        <w:rPr>
          <w:szCs w:val="24"/>
        </w:rPr>
        <w:t xml:space="preserve"> were</w:t>
      </w:r>
      <w:r w:rsidRPr="007963D4">
        <w:rPr>
          <w:szCs w:val="24"/>
        </w:rPr>
        <w:t xml:space="preserve"> considered recruit</w:t>
      </w:r>
      <w:r>
        <w:rPr>
          <w:szCs w:val="24"/>
        </w:rPr>
        <w:t>s</w:t>
      </w:r>
      <w:r w:rsidRPr="007963D4">
        <w:rPr>
          <w:szCs w:val="24"/>
        </w:rPr>
        <w:t xml:space="preserve"> </w:t>
      </w:r>
      <w:r>
        <w:rPr>
          <w:szCs w:val="24"/>
        </w:rPr>
        <w:t xml:space="preserve">when </w:t>
      </w:r>
      <w:r w:rsidRPr="007963D4">
        <w:rPr>
          <w:szCs w:val="24"/>
        </w:rPr>
        <w:t xml:space="preserve">length was less than that of a one-year-old. </w:t>
      </w:r>
      <w:r>
        <w:rPr>
          <w:szCs w:val="24"/>
        </w:rPr>
        <w:t>S</w:t>
      </w:r>
      <w:r w:rsidRPr="007963D4">
        <w:rPr>
          <w:szCs w:val="24"/>
        </w:rPr>
        <w:t>mall-bodied and generally short-lived species that reach sexual maturity in less than one year</w:t>
      </w:r>
      <w:r>
        <w:rPr>
          <w:szCs w:val="24"/>
        </w:rPr>
        <w:t xml:space="preserve"> </w:t>
      </w:r>
      <w:r w:rsidRPr="007963D4">
        <w:rPr>
          <w:szCs w:val="24"/>
        </w:rPr>
        <w:t xml:space="preserve">were considered </w:t>
      </w:r>
      <w:r>
        <w:rPr>
          <w:szCs w:val="24"/>
        </w:rPr>
        <w:t xml:space="preserve">recruits when length was less than </w:t>
      </w:r>
      <w:r w:rsidRPr="007963D4">
        <w:rPr>
          <w:szCs w:val="24"/>
        </w:rPr>
        <w:t xml:space="preserve">average length at sexual maturity. </w:t>
      </w:r>
      <w:r>
        <w:rPr>
          <w:szCs w:val="24"/>
        </w:rPr>
        <w:t>R</w:t>
      </w:r>
      <w:r w:rsidRPr="007963D4">
        <w:rPr>
          <w:szCs w:val="24"/>
        </w:rPr>
        <w:t>ecruitment lengths were derived from published scientific literature or by expert opinion whe</w:t>
      </w:r>
      <w:r>
        <w:rPr>
          <w:szCs w:val="24"/>
        </w:rPr>
        <w:t>n</w:t>
      </w:r>
      <w:r w:rsidRPr="007963D4">
        <w:rPr>
          <w:szCs w:val="24"/>
        </w:rPr>
        <w:t xml:space="preserve"> </w:t>
      </w:r>
      <w:r>
        <w:rPr>
          <w:szCs w:val="24"/>
        </w:rPr>
        <w:t>literature</w:t>
      </w:r>
      <w:r w:rsidRPr="007963D4">
        <w:rPr>
          <w:szCs w:val="24"/>
        </w:rPr>
        <w:t xml:space="preserve"> was not available (Table </w:t>
      </w:r>
      <w:r w:rsidR="00294EA4">
        <w:rPr>
          <w:szCs w:val="24"/>
        </w:rPr>
        <w:t>9</w:t>
      </w:r>
      <w:r>
        <w:rPr>
          <w:szCs w:val="24"/>
        </w:rPr>
        <w:t>.2</w:t>
      </w:r>
      <w:r w:rsidRPr="007963D4">
        <w:rPr>
          <w:szCs w:val="24"/>
        </w:rPr>
        <w:t>).</w:t>
      </w:r>
      <w:r>
        <w:rPr>
          <w:szCs w:val="24"/>
        </w:rPr>
        <w:t xml:space="preserve"> </w:t>
      </w:r>
    </w:p>
    <w:p w:rsidR="003014CA" w:rsidRDefault="003014CA" w:rsidP="003014CA">
      <w:pPr>
        <w:spacing w:after="240"/>
        <w:jc w:val="left"/>
        <w:rPr>
          <w:szCs w:val="24"/>
        </w:rPr>
      </w:pPr>
      <w:r>
        <w:rPr>
          <w:szCs w:val="24"/>
        </w:rPr>
        <w:t xml:space="preserve">Eight fish metrics were calculated using the methods described by Robinson (2012). These metrics were subsequently aggregated to produce three indices (Nativeness, Expectedness and Recruitment), and to derive an overall fish community condition score. </w:t>
      </w:r>
      <w:r w:rsidRPr="009068D9">
        <w:rPr>
          <w:szCs w:val="24"/>
        </w:rPr>
        <w:t xml:space="preserve">Metric and indicator aggregation </w:t>
      </w:r>
      <w:r>
        <w:rPr>
          <w:szCs w:val="24"/>
        </w:rPr>
        <w:t>used</w:t>
      </w:r>
      <w:r w:rsidRPr="009068D9">
        <w:rPr>
          <w:szCs w:val="24"/>
        </w:rPr>
        <w:t xml:space="preserve"> Expert Rules analysis in the Fuzzy Logic toolbox of MatLab (The Mathworks Inc. USA) </w:t>
      </w:r>
      <w:r>
        <w:rPr>
          <w:szCs w:val="24"/>
        </w:rPr>
        <w:t>(</w:t>
      </w:r>
      <w:r w:rsidRPr="009068D9">
        <w:rPr>
          <w:szCs w:val="24"/>
        </w:rPr>
        <w:t>Davies et al. 2010</w:t>
      </w:r>
      <w:r>
        <w:rPr>
          <w:szCs w:val="24"/>
        </w:rPr>
        <w:t>, Carter 2012</w:t>
      </w:r>
      <w:r w:rsidRPr="009068D9">
        <w:rPr>
          <w:szCs w:val="24"/>
        </w:rPr>
        <w:t xml:space="preserve">). </w:t>
      </w:r>
      <w:r>
        <w:rPr>
          <w:szCs w:val="24"/>
        </w:rPr>
        <w:t xml:space="preserve">Note that the SRA method calculates an overall recruitment index for the entire system for each year of sampling, whereas in </w:t>
      </w:r>
      <w:r w:rsidRPr="003014CA">
        <w:rPr>
          <w:szCs w:val="24"/>
        </w:rPr>
        <w:t>section 11</w:t>
      </w:r>
      <w:r>
        <w:rPr>
          <w:szCs w:val="24"/>
        </w:rPr>
        <w:t xml:space="preserve"> we present a more detailed assessment of recruitment and </w:t>
      </w:r>
      <w:r w:rsidRPr="00763B99">
        <w:rPr>
          <w:rFonts w:eastAsia="Times New Roman" w:cs="Arial"/>
          <w:color w:val="000000"/>
        </w:rPr>
        <w:t xml:space="preserve">develop growth and recruitment indices </w:t>
      </w:r>
      <w:r>
        <w:rPr>
          <w:rFonts w:eastAsia="Times New Roman" w:cs="Arial"/>
          <w:color w:val="000000"/>
        </w:rPr>
        <w:t>to compare recruitment among hydrological zones.</w:t>
      </w:r>
    </w:p>
    <w:p w:rsidR="003014CA" w:rsidRDefault="003014CA" w:rsidP="003014CA">
      <w:pPr>
        <w:spacing w:after="120" w:line="240" w:lineRule="auto"/>
        <w:rPr>
          <w:szCs w:val="24"/>
        </w:rPr>
      </w:pPr>
      <w:r>
        <w:rPr>
          <w:noProof/>
          <w:szCs w:val="24"/>
          <w:lang w:eastAsia="en-AU"/>
        </w:rPr>
        <w:drawing>
          <wp:inline distT="0" distB="0" distL="0" distR="0">
            <wp:extent cx="5777490" cy="3800475"/>
            <wp:effectExtent l="0" t="0" r="0" b="0"/>
            <wp:docPr id="981" name="Picture 981" descr="JT_edits_EW_LTIM_Fishsamplingsites_2014_Colour_0508201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JT_edits_EW_LTIM_Fishsamplingsites_2014_Colour_05082015 (1)"/>
                    <pic:cNvPicPr>
                      <a:picLocks noChangeAspect="1" noChangeArrowheads="1"/>
                    </pic:cNvPicPr>
                  </pic:nvPicPr>
                  <pic:blipFill>
                    <a:blip r:embed="rId9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80320" cy="3802337"/>
                    </a:xfrm>
                    <a:prstGeom prst="rect">
                      <a:avLst/>
                    </a:prstGeom>
                    <a:noFill/>
                    <a:ln>
                      <a:noFill/>
                    </a:ln>
                  </pic:spPr>
                </pic:pic>
              </a:graphicData>
            </a:graphic>
          </wp:inline>
        </w:drawing>
      </w:r>
    </w:p>
    <w:p w:rsidR="003014CA" w:rsidRPr="00FB36B5" w:rsidRDefault="003014CA" w:rsidP="003014CA">
      <w:pPr>
        <w:spacing w:after="100" w:afterAutospacing="1" w:line="240" w:lineRule="auto"/>
        <w:rPr>
          <w:sz w:val="20"/>
        </w:rPr>
      </w:pPr>
      <w:r w:rsidRPr="00FB36B5">
        <w:rPr>
          <w:b/>
          <w:sz w:val="20"/>
        </w:rPr>
        <w:t xml:space="preserve">Figure </w:t>
      </w:r>
      <w:r>
        <w:rPr>
          <w:b/>
          <w:sz w:val="20"/>
        </w:rPr>
        <w:t>9</w:t>
      </w:r>
      <w:r w:rsidRPr="00FB36B5">
        <w:rPr>
          <w:b/>
          <w:sz w:val="20"/>
        </w:rPr>
        <w:t>.1.</w:t>
      </w:r>
      <w:r w:rsidRPr="00FB36B5">
        <w:rPr>
          <w:sz w:val="20"/>
        </w:rPr>
        <w:t xml:space="preserve"> Locations of fish community sampling sites in the Edward-Wakool river system</w:t>
      </w:r>
      <w:r>
        <w:rPr>
          <w:sz w:val="20"/>
        </w:rPr>
        <w:t xml:space="preserve"> 2010 to 2014</w:t>
      </w:r>
      <w:r w:rsidRPr="00FB36B5">
        <w:rPr>
          <w:sz w:val="20"/>
        </w:rPr>
        <w:t>. Note that data collected from Balpool, Fallonville and Werai Sta</w:t>
      </w:r>
      <w:r>
        <w:rPr>
          <w:sz w:val="20"/>
        </w:rPr>
        <w:t xml:space="preserve">tion sites were not used in this report </w:t>
      </w:r>
      <w:r w:rsidRPr="00FB36B5">
        <w:rPr>
          <w:sz w:val="20"/>
        </w:rPr>
        <w:t xml:space="preserve">as they were not sampled annually over </w:t>
      </w:r>
      <w:r>
        <w:rPr>
          <w:sz w:val="20"/>
        </w:rPr>
        <w:t>the entire six year period</w:t>
      </w:r>
      <w:r w:rsidRPr="00FB36B5">
        <w:rPr>
          <w:sz w:val="20"/>
        </w:rPr>
        <w:t xml:space="preserve"> (2010–2015). </w:t>
      </w:r>
    </w:p>
    <w:p w:rsidR="003014CA" w:rsidRDefault="003014CA" w:rsidP="00BA2A62">
      <w:pPr>
        <w:spacing w:after="120"/>
        <w:jc w:val="left"/>
        <w:rPr>
          <w:szCs w:val="24"/>
        </w:rPr>
      </w:pPr>
      <w:r w:rsidRPr="006D3DD5">
        <w:rPr>
          <w:szCs w:val="24"/>
        </w:rPr>
        <w:t xml:space="preserve">Expectedness represents the proportion of native species that are now found within the </w:t>
      </w:r>
      <w:r>
        <w:rPr>
          <w:szCs w:val="24"/>
        </w:rPr>
        <w:t>relevant catchment and altitudinal zone</w:t>
      </w:r>
      <w:r w:rsidRPr="006D3DD5">
        <w:rPr>
          <w:szCs w:val="24"/>
        </w:rPr>
        <w:t xml:space="preserve">, compared to </w:t>
      </w:r>
      <w:r>
        <w:rPr>
          <w:szCs w:val="24"/>
        </w:rPr>
        <w:t xml:space="preserve">a </w:t>
      </w:r>
      <w:r w:rsidRPr="006D3DD5">
        <w:rPr>
          <w:szCs w:val="24"/>
        </w:rPr>
        <w:t>historical</w:t>
      </w:r>
      <w:r>
        <w:rPr>
          <w:szCs w:val="24"/>
        </w:rPr>
        <w:t xml:space="preserve"> reference condition (Table </w:t>
      </w:r>
      <w:r w:rsidR="00294EA4">
        <w:rPr>
          <w:szCs w:val="24"/>
        </w:rPr>
        <w:t>9</w:t>
      </w:r>
      <w:r>
        <w:rPr>
          <w:szCs w:val="24"/>
        </w:rPr>
        <w:t xml:space="preserve">.3). This value </w:t>
      </w:r>
      <w:r w:rsidRPr="006D3DD5">
        <w:rPr>
          <w:szCs w:val="24"/>
        </w:rPr>
        <w:t xml:space="preserve">is derived from two input metrics; the observed native species richness over the expected species richness at each site, and the total native species richness observed within the zone over the total number of species predicted to have existed within the zone historically (Robinson 2012). Nativeness represents the proportion of native </w:t>
      </w:r>
      <w:r>
        <w:rPr>
          <w:szCs w:val="24"/>
        </w:rPr>
        <w:t>compared to</w:t>
      </w:r>
      <w:r w:rsidRPr="006D3DD5">
        <w:rPr>
          <w:szCs w:val="24"/>
        </w:rPr>
        <w:t xml:space="preserve"> alien fishes</w:t>
      </w:r>
      <w:r>
        <w:rPr>
          <w:szCs w:val="24"/>
        </w:rPr>
        <w:t xml:space="preserve">, and is derived </w:t>
      </w:r>
      <w:r w:rsidRPr="006D3DD5">
        <w:rPr>
          <w:szCs w:val="24"/>
        </w:rPr>
        <w:t xml:space="preserve">from three input metrics; proportion native biomass, proportion native abundance and proportion native species (Robinson 2012). Recruitment represents the recent reproductive activity of the native fish community within each </w:t>
      </w:r>
      <w:r>
        <w:rPr>
          <w:szCs w:val="24"/>
        </w:rPr>
        <w:t xml:space="preserve">hydrological </w:t>
      </w:r>
      <w:r w:rsidRPr="006D3DD5">
        <w:rPr>
          <w:szCs w:val="24"/>
        </w:rPr>
        <w:t>zone</w:t>
      </w:r>
      <w:r>
        <w:rPr>
          <w:szCs w:val="24"/>
        </w:rPr>
        <w:t xml:space="preserve">, and is </w:t>
      </w:r>
      <w:r w:rsidRPr="006D3DD5">
        <w:rPr>
          <w:szCs w:val="24"/>
        </w:rPr>
        <w:t>derived from three input metrics; the proportion of native species showing evidence of recruitment at a minimum of one site within a zone, the average proportion of sites within a zone at which each species captured was recruiting (corrected</w:t>
      </w:r>
      <w:r>
        <w:rPr>
          <w:szCs w:val="24"/>
        </w:rPr>
        <w:t xml:space="preserve"> for probability of capture based on the number of sites sampled; Table </w:t>
      </w:r>
      <w:r w:rsidR="00294EA4">
        <w:rPr>
          <w:szCs w:val="24"/>
        </w:rPr>
        <w:t>9</w:t>
      </w:r>
      <w:r>
        <w:rPr>
          <w:szCs w:val="24"/>
        </w:rPr>
        <w:t>.3</w:t>
      </w:r>
      <w:r w:rsidRPr="006D3DD5">
        <w:rPr>
          <w:szCs w:val="24"/>
        </w:rPr>
        <w:t xml:space="preserve">), and the average proportion of total abundance of each species that are new recruits (Robinson 2012). </w:t>
      </w:r>
      <w:r>
        <w:rPr>
          <w:szCs w:val="24"/>
        </w:rPr>
        <w:t xml:space="preserve">The three indices were subsequently aggregated to generate </w:t>
      </w:r>
      <w:r w:rsidRPr="006D3DD5">
        <w:rPr>
          <w:szCs w:val="24"/>
        </w:rPr>
        <w:t>a</w:t>
      </w:r>
      <w:r>
        <w:rPr>
          <w:szCs w:val="24"/>
        </w:rPr>
        <w:t xml:space="preserve"> weighted </w:t>
      </w:r>
      <w:r w:rsidRPr="006D3DD5">
        <w:rPr>
          <w:szCs w:val="24"/>
        </w:rPr>
        <w:t>overall Fish Condition Index (Carter 2012).</w:t>
      </w:r>
      <w:r>
        <w:rPr>
          <w:szCs w:val="24"/>
        </w:rPr>
        <w:t xml:space="preserve"> </w:t>
      </w:r>
      <w:r w:rsidR="00BA2A62">
        <w:rPr>
          <w:szCs w:val="24"/>
        </w:rPr>
        <w:t>The</w:t>
      </w:r>
      <w:r>
        <w:rPr>
          <w:szCs w:val="24"/>
        </w:rPr>
        <w:t xml:space="preserve"> </w:t>
      </w:r>
      <w:r w:rsidR="00BA2A62">
        <w:rPr>
          <w:szCs w:val="24"/>
        </w:rPr>
        <w:t xml:space="preserve">index </w:t>
      </w:r>
      <w:r>
        <w:rPr>
          <w:szCs w:val="24"/>
        </w:rPr>
        <w:t xml:space="preserve">was </w:t>
      </w:r>
      <w:r w:rsidR="00BA2A62" w:rsidRPr="006D3DD5">
        <w:rPr>
          <w:szCs w:val="24"/>
        </w:rPr>
        <w:t>divided</w:t>
      </w:r>
      <w:r w:rsidRPr="006D3DD5">
        <w:rPr>
          <w:szCs w:val="24"/>
        </w:rPr>
        <w:t xml:space="preserve"> into five equal </w:t>
      </w:r>
      <w:r>
        <w:rPr>
          <w:szCs w:val="24"/>
        </w:rPr>
        <w:t xml:space="preserve">categorical </w:t>
      </w:r>
      <w:r w:rsidRPr="006D3DD5">
        <w:rPr>
          <w:szCs w:val="24"/>
        </w:rPr>
        <w:t>bands to rate the condition of the fish community</w:t>
      </w:r>
      <w:r>
        <w:rPr>
          <w:szCs w:val="24"/>
        </w:rPr>
        <w:t xml:space="preserve"> as</w:t>
      </w:r>
      <w:r w:rsidRPr="006D3DD5">
        <w:rPr>
          <w:szCs w:val="24"/>
        </w:rPr>
        <w:t>; “Excellent” (81</w:t>
      </w:r>
      <w:r>
        <w:rPr>
          <w:szCs w:val="24"/>
        </w:rPr>
        <w:t>–</w:t>
      </w:r>
      <w:r w:rsidRPr="006D3DD5">
        <w:rPr>
          <w:szCs w:val="24"/>
        </w:rPr>
        <w:t>100), “Good” (61</w:t>
      </w:r>
      <w:r>
        <w:rPr>
          <w:szCs w:val="24"/>
        </w:rPr>
        <w:t>–</w:t>
      </w:r>
      <w:r w:rsidRPr="006D3DD5">
        <w:rPr>
          <w:szCs w:val="24"/>
        </w:rPr>
        <w:t>80), “Moderate” (41</w:t>
      </w:r>
      <w:r>
        <w:rPr>
          <w:szCs w:val="24"/>
        </w:rPr>
        <w:t>–</w:t>
      </w:r>
      <w:r w:rsidRPr="006D3DD5">
        <w:rPr>
          <w:szCs w:val="24"/>
        </w:rPr>
        <w:t>60), “Poor” (21</w:t>
      </w:r>
      <w:r>
        <w:rPr>
          <w:szCs w:val="24"/>
        </w:rPr>
        <w:t>–</w:t>
      </w:r>
      <w:r w:rsidRPr="006D3DD5">
        <w:rPr>
          <w:szCs w:val="24"/>
        </w:rPr>
        <w:t>40), or “Very Poor” (0</w:t>
      </w:r>
      <w:r>
        <w:rPr>
          <w:szCs w:val="24"/>
        </w:rPr>
        <w:t>–</w:t>
      </w:r>
      <w:r w:rsidRPr="006D3DD5">
        <w:rPr>
          <w:szCs w:val="24"/>
        </w:rPr>
        <w:t>20).</w:t>
      </w:r>
    </w:p>
    <w:p w:rsidR="003014CA" w:rsidRPr="00FB36B5" w:rsidRDefault="003014CA" w:rsidP="003014CA">
      <w:pPr>
        <w:spacing w:after="0" w:line="240" w:lineRule="auto"/>
        <w:rPr>
          <w:sz w:val="20"/>
        </w:rPr>
      </w:pPr>
      <w:r w:rsidRPr="00FB36B5">
        <w:rPr>
          <w:b/>
          <w:sz w:val="20"/>
        </w:rPr>
        <w:t xml:space="preserve">Table </w:t>
      </w:r>
      <w:r>
        <w:rPr>
          <w:b/>
          <w:sz w:val="20"/>
        </w:rPr>
        <w:t>9</w:t>
      </w:r>
      <w:r w:rsidRPr="00FB36B5">
        <w:rPr>
          <w:b/>
          <w:sz w:val="20"/>
        </w:rPr>
        <w:t>.</w:t>
      </w:r>
      <w:r>
        <w:rPr>
          <w:b/>
          <w:sz w:val="20"/>
        </w:rPr>
        <w:t>2</w:t>
      </w:r>
      <w:r w:rsidRPr="00FB36B5">
        <w:rPr>
          <w:b/>
          <w:sz w:val="20"/>
        </w:rPr>
        <w:t>.</w:t>
      </w:r>
      <w:r w:rsidRPr="00FB36B5">
        <w:rPr>
          <w:sz w:val="20"/>
        </w:rPr>
        <w:t xml:space="preserve"> Size limits used to distinguish new recruits for each species</w:t>
      </w:r>
      <w:r>
        <w:rPr>
          <w:sz w:val="20"/>
        </w:rPr>
        <w:t xml:space="preserve"> recorded in</w:t>
      </w:r>
      <w:r w:rsidRPr="00AF305F">
        <w:rPr>
          <w:sz w:val="20"/>
        </w:rPr>
        <w:t xml:space="preserve"> the Edward-Wakool system using standardised Sustainable Rivers Audit (SRA) protocol</w:t>
      </w:r>
      <w:r w:rsidRPr="00FB36B5">
        <w:rPr>
          <w:sz w:val="20"/>
        </w:rPr>
        <w:t xml:space="preserve">. Values represent the length at 1 year of age for longer-lived species or the age at sexual maturity for species that reach maturity within 1 year. </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tblPr>
      <w:tblGrid>
        <w:gridCol w:w="2835"/>
        <w:gridCol w:w="6191"/>
      </w:tblGrid>
      <w:tr w:rsidR="003014CA" w:rsidRPr="00496453" w:rsidTr="00BA2A62">
        <w:tc>
          <w:tcPr>
            <w:tcW w:w="2835" w:type="dxa"/>
            <w:tcBorders>
              <w:top w:val="single" w:sz="4" w:space="0" w:color="auto"/>
              <w:bottom w:val="single" w:sz="4" w:space="0" w:color="auto"/>
            </w:tcBorders>
            <w:shd w:val="clear" w:color="auto" w:fill="D6E3BC" w:themeFill="accent3" w:themeFillTint="66"/>
          </w:tcPr>
          <w:p w:rsidR="003014CA" w:rsidRPr="00496453" w:rsidRDefault="003014CA" w:rsidP="003014CA">
            <w:pPr>
              <w:spacing w:after="0" w:line="240" w:lineRule="auto"/>
              <w:rPr>
                <w:b/>
              </w:rPr>
            </w:pPr>
            <w:r w:rsidRPr="00496453">
              <w:rPr>
                <w:b/>
              </w:rPr>
              <w:t>Species</w:t>
            </w:r>
          </w:p>
        </w:tc>
        <w:tc>
          <w:tcPr>
            <w:tcW w:w="6191" w:type="dxa"/>
            <w:tcBorders>
              <w:top w:val="single" w:sz="4" w:space="0" w:color="auto"/>
              <w:bottom w:val="single" w:sz="4" w:space="0" w:color="auto"/>
            </w:tcBorders>
            <w:shd w:val="clear" w:color="auto" w:fill="D6E3BC" w:themeFill="accent3" w:themeFillTint="66"/>
          </w:tcPr>
          <w:p w:rsidR="003014CA" w:rsidRPr="00496453" w:rsidRDefault="003014CA" w:rsidP="003014CA">
            <w:pPr>
              <w:spacing w:after="0" w:line="240" w:lineRule="auto"/>
              <w:rPr>
                <w:b/>
              </w:rPr>
            </w:pPr>
            <w:r w:rsidRPr="00496453">
              <w:rPr>
                <w:b/>
              </w:rPr>
              <w:t>Estimated size at 1 year old or at sexual maturity (fork or total length)</w:t>
            </w:r>
          </w:p>
        </w:tc>
      </w:tr>
      <w:tr w:rsidR="003014CA" w:rsidRPr="00455DAE" w:rsidTr="00BA2A62">
        <w:trPr>
          <w:trHeight w:val="284"/>
        </w:trPr>
        <w:tc>
          <w:tcPr>
            <w:tcW w:w="2835" w:type="dxa"/>
            <w:tcBorders>
              <w:top w:val="single" w:sz="4" w:space="0" w:color="auto"/>
            </w:tcBorders>
          </w:tcPr>
          <w:p w:rsidR="003014CA" w:rsidRPr="00496453" w:rsidRDefault="003014CA" w:rsidP="003014CA">
            <w:pPr>
              <w:spacing w:after="0" w:line="240" w:lineRule="auto"/>
              <w:rPr>
                <w:b/>
                <w:i/>
              </w:rPr>
            </w:pPr>
            <w:r w:rsidRPr="00496453">
              <w:rPr>
                <w:b/>
                <w:i/>
              </w:rPr>
              <w:t>Native species</w:t>
            </w:r>
          </w:p>
        </w:tc>
        <w:tc>
          <w:tcPr>
            <w:tcW w:w="6191" w:type="dxa"/>
            <w:tcBorders>
              <w:top w:val="single" w:sz="4" w:space="0" w:color="auto"/>
            </w:tcBorders>
          </w:tcPr>
          <w:p w:rsidR="003014CA" w:rsidRPr="00496453" w:rsidRDefault="003014CA" w:rsidP="003014CA">
            <w:pPr>
              <w:spacing w:after="0" w:line="240" w:lineRule="auto"/>
            </w:pPr>
          </w:p>
        </w:tc>
      </w:tr>
      <w:tr w:rsidR="003014CA" w:rsidRPr="00455DAE" w:rsidTr="00BA2A62">
        <w:trPr>
          <w:trHeight w:val="284"/>
        </w:trPr>
        <w:tc>
          <w:tcPr>
            <w:tcW w:w="2835" w:type="dxa"/>
          </w:tcPr>
          <w:p w:rsidR="003014CA" w:rsidRPr="00496453" w:rsidRDefault="003014CA" w:rsidP="003014CA">
            <w:pPr>
              <w:spacing w:after="0" w:line="240" w:lineRule="auto"/>
            </w:pPr>
            <w:r w:rsidRPr="00496453">
              <w:t>Australian smelt</w:t>
            </w:r>
          </w:p>
        </w:tc>
        <w:tc>
          <w:tcPr>
            <w:tcW w:w="6191" w:type="dxa"/>
          </w:tcPr>
          <w:p w:rsidR="003014CA" w:rsidRPr="00496453" w:rsidRDefault="003014CA" w:rsidP="003014CA">
            <w:pPr>
              <w:spacing w:after="0" w:line="240" w:lineRule="auto"/>
            </w:pPr>
            <w:r w:rsidRPr="00496453">
              <w:t>40 mm (Pusey et al. 2004)</w:t>
            </w:r>
          </w:p>
        </w:tc>
      </w:tr>
      <w:tr w:rsidR="003014CA" w:rsidRPr="00455DAE" w:rsidTr="00BA2A62">
        <w:trPr>
          <w:trHeight w:val="284"/>
        </w:trPr>
        <w:tc>
          <w:tcPr>
            <w:tcW w:w="2835" w:type="dxa"/>
          </w:tcPr>
          <w:p w:rsidR="003014CA" w:rsidRPr="000627BB" w:rsidRDefault="003014CA" w:rsidP="003014CA">
            <w:pPr>
              <w:spacing w:after="0" w:line="240" w:lineRule="auto"/>
            </w:pPr>
            <w:r w:rsidRPr="00496453">
              <w:t>carp gudgeon</w:t>
            </w:r>
          </w:p>
        </w:tc>
        <w:tc>
          <w:tcPr>
            <w:tcW w:w="6191" w:type="dxa"/>
          </w:tcPr>
          <w:p w:rsidR="003014CA" w:rsidRPr="005C6DB1" w:rsidRDefault="003014CA" w:rsidP="003014CA">
            <w:pPr>
              <w:spacing w:after="0" w:line="240" w:lineRule="auto"/>
            </w:pPr>
            <w:r w:rsidRPr="00496453">
              <w:t>35 mm (Pusey et al. 2004)</w:t>
            </w:r>
          </w:p>
        </w:tc>
      </w:tr>
      <w:tr w:rsidR="003014CA" w:rsidRPr="00455DAE" w:rsidTr="00BA2A62">
        <w:trPr>
          <w:trHeight w:val="284"/>
        </w:trPr>
        <w:tc>
          <w:tcPr>
            <w:tcW w:w="2835" w:type="dxa"/>
          </w:tcPr>
          <w:p w:rsidR="003014CA" w:rsidRPr="000627BB" w:rsidRDefault="003014CA" w:rsidP="003014CA">
            <w:pPr>
              <w:spacing w:after="0" w:line="240" w:lineRule="auto"/>
            </w:pPr>
            <w:r w:rsidRPr="00496453">
              <w:t>flat-headed gudgeon</w:t>
            </w:r>
          </w:p>
        </w:tc>
        <w:tc>
          <w:tcPr>
            <w:tcW w:w="6191" w:type="dxa"/>
          </w:tcPr>
          <w:p w:rsidR="003014CA" w:rsidRPr="00455DAE" w:rsidRDefault="003014CA" w:rsidP="003014CA">
            <w:pPr>
              <w:spacing w:after="0" w:line="240" w:lineRule="auto"/>
              <w:rPr>
                <w:highlight w:val="red"/>
              </w:rPr>
            </w:pPr>
            <w:r w:rsidRPr="00496453">
              <w:t xml:space="preserve">58 mm (Pusey et al. </w:t>
            </w:r>
            <w:r w:rsidRPr="000627BB">
              <w:t>2004; Llewellyn 2007)</w:t>
            </w:r>
          </w:p>
        </w:tc>
      </w:tr>
      <w:tr w:rsidR="003014CA" w:rsidRPr="00455DAE" w:rsidTr="00BA2A62">
        <w:trPr>
          <w:trHeight w:val="284"/>
        </w:trPr>
        <w:tc>
          <w:tcPr>
            <w:tcW w:w="2835" w:type="dxa"/>
          </w:tcPr>
          <w:p w:rsidR="003014CA" w:rsidRPr="00496453" w:rsidRDefault="003014CA" w:rsidP="003014CA">
            <w:pPr>
              <w:spacing w:after="0" w:line="240" w:lineRule="auto"/>
            </w:pPr>
            <w:r w:rsidRPr="00496453">
              <w:t>un-specked hardyhead</w:t>
            </w:r>
          </w:p>
        </w:tc>
        <w:tc>
          <w:tcPr>
            <w:tcW w:w="6191" w:type="dxa"/>
          </w:tcPr>
          <w:p w:rsidR="003014CA" w:rsidRPr="00455DAE" w:rsidRDefault="003014CA" w:rsidP="003014CA">
            <w:pPr>
              <w:spacing w:after="0" w:line="240" w:lineRule="auto"/>
              <w:rPr>
                <w:highlight w:val="red"/>
              </w:rPr>
            </w:pPr>
            <w:r w:rsidRPr="00496453">
              <w:t>38 mm (Pusey et al. 2004)</w:t>
            </w:r>
          </w:p>
        </w:tc>
      </w:tr>
      <w:tr w:rsidR="003014CA" w:rsidRPr="00455DAE" w:rsidTr="00BA2A62">
        <w:trPr>
          <w:trHeight w:val="284"/>
        </w:trPr>
        <w:tc>
          <w:tcPr>
            <w:tcW w:w="2835" w:type="dxa"/>
          </w:tcPr>
          <w:p w:rsidR="003014CA" w:rsidRPr="00496453" w:rsidRDefault="003014CA" w:rsidP="003014CA">
            <w:pPr>
              <w:spacing w:after="0" w:line="240" w:lineRule="auto"/>
            </w:pPr>
            <w:r w:rsidRPr="00496453">
              <w:t>Murray-Darling rainbowfish</w:t>
            </w:r>
          </w:p>
        </w:tc>
        <w:tc>
          <w:tcPr>
            <w:tcW w:w="6191" w:type="dxa"/>
          </w:tcPr>
          <w:p w:rsidR="003014CA" w:rsidRPr="00455DAE" w:rsidRDefault="003014CA" w:rsidP="003014CA">
            <w:pPr>
              <w:spacing w:after="0" w:line="240" w:lineRule="auto"/>
              <w:rPr>
                <w:highlight w:val="red"/>
              </w:rPr>
            </w:pPr>
            <w:r w:rsidRPr="00496453">
              <w:t xml:space="preserve">45 mm (Pusey et al. 2004: for </w:t>
            </w:r>
            <w:r w:rsidRPr="00496453">
              <w:rPr>
                <w:i/>
              </w:rPr>
              <w:t>M. duboulayi</w:t>
            </w:r>
            <w:r w:rsidRPr="00496453">
              <w:t>)</w:t>
            </w:r>
          </w:p>
        </w:tc>
      </w:tr>
      <w:tr w:rsidR="003014CA" w:rsidRPr="00455DAE" w:rsidTr="00BA2A62">
        <w:trPr>
          <w:trHeight w:val="284"/>
        </w:trPr>
        <w:tc>
          <w:tcPr>
            <w:tcW w:w="2835" w:type="dxa"/>
          </w:tcPr>
          <w:p w:rsidR="003014CA" w:rsidRPr="00496453" w:rsidRDefault="003014CA" w:rsidP="003014CA">
            <w:pPr>
              <w:spacing w:after="0" w:line="240" w:lineRule="auto"/>
            </w:pPr>
            <w:r w:rsidRPr="000627BB">
              <w:t>bony herring</w:t>
            </w:r>
          </w:p>
        </w:tc>
        <w:tc>
          <w:tcPr>
            <w:tcW w:w="6191" w:type="dxa"/>
          </w:tcPr>
          <w:p w:rsidR="003014CA" w:rsidRPr="00455DAE" w:rsidRDefault="003014CA" w:rsidP="003014CA">
            <w:pPr>
              <w:spacing w:after="0" w:line="240" w:lineRule="auto"/>
              <w:rPr>
                <w:highlight w:val="red"/>
              </w:rPr>
            </w:pPr>
            <w:r w:rsidRPr="005C6DB1">
              <w:t>67 mm (Cadwallader 1977)</w:t>
            </w:r>
          </w:p>
        </w:tc>
      </w:tr>
      <w:tr w:rsidR="003014CA" w:rsidRPr="00455DAE" w:rsidTr="00BA2A62">
        <w:trPr>
          <w:trHeight w:val="284"/>
        </w:trPr>
        <w:tc>
          <w:tcPr>
            <w:tcW w:w="2835" w:type="dxa"/>
          </w:tcPr>
          <w:p w:rsidR="003014CA" w:rsidRPr="00496453" w:rsidRDefault="003014CA" w:rsidP="003014CA">
            <w:pPr>
              <w:spacing w:after="0" w:line="240" w:lineRule="auto"/>
            </w:pPr>
            <w:r w:rsidRPr="00496453">
              <w:t>silver perch</w:t>
            </w:r>
          </w:p>
        </w:tc>
        <w:tc>
          <w:tcPr>
            <w:tcW w:w="6191" w:type="dxa"/>
          </w:tcPr>
          <w:p w:rsidR="003014CA" w:rsidRPr="00455DAE" w:rsidRDefault="003014CA" w:rsidP="003014CA">
            <w:pPr>
              <w:spacing w:after="0" w:line="240" w:lineRule="auto"/>
              <w:rPr>
                <w:highlight w:val="red"/>
              </w:rPr>
            </w:pPr>
            <w:r w:rsidRPr="000627BB">
              <w:t>75 mm (Mallen-Cooper 1996)</w:t>
            </w:r>
          </w:p>
        </w:tc>
      </w:tr>
      <w:tr w:rsidR="003014CA" w:rsidRPr="00455DAE" w:rsidTr="00BA2A62">
        <w:trPr>
          <w:trHeight w:val="284"/>
        </w:trPr>
        <w:tc>
          <w:tcPr>
            <w:tcW w:w="2835" w:type="dxa"/>
          </w:tcPr>
          <w:p w:rsidR="003014CA" w:rsidRPr="00496453" w:rsidRDefault="003014CA" w:rsidP="003014CA">
            <w:pPr>
              <w:spacing w:after="0" w:line="240" w:lineRule="auto"/>
            </w:pPr>
            <w:r w:rsidRPr="00496453">
              <w:t>golden perch</w:t>
            </w:r>
          </w:p>
        </w:tc>
        <w:tc>
          <w:tcPr>
            <w:tcW w:w="6191" w:type="dxa"/>
          </w:tcPr>
          <w:p w:rsidR="003014CA" w:rsidRPr="00455DAE" w:rsidRDefault="003014CA" w:rsidP="003014CA">
            <w:pPr>
              <w:spacing w:after="0" w:line="240" w:lineRule="auto"/>
              <w:rPr>
                <w:highlight w:val="red"/>
              </w:rPr>
            </w:pPr>
            <w:r w:rsidRPr="000627BB">
              <w:t>75 mm (Mallen-Cooper 1996)</w:t>
            </w:r>
          </w:p>
        </w:tc>
      </w:tr>
      <w:tr w:rsidR="003014CA" w:rsidRPr="00455DAE" w:rsidTr="00BA2A62">
        <w:trPr>
          <w:trHeight w:val="284"/>
        </w:trPr>
        <w:tc>
          <w:tcPr>
            <w:tcW w:w="2835" w:type="dxa"/>
          </w:tcPr>
          <w:p w:rsidR="003014CA" w:rsidRPr="00496453" w:rsidRDefault="003014CA" w:rsidP="003014CA">
            <w:pPr>
              <w:spacing w:after="0" w:line="240" w:lineRule="auto"/>
            </w:pPr>
            <w:r w:rsidRPr="00496453">
              <w:t>trout cod</w:t>
            </w:r>
          </w:p>
        </w:tc>
        <w:tc>
          <w:tcPr>
            <w:tcW w:w="6191" w:type="dxa"/>
          </w:tcPr>
          <w:p w:rsidR="003014CA" w:rsidRPr="00455DAE" w:rsidRDefault="003014CA" w:rsidP="003014CA">
            <w:pPr>
              <w:spacing w:after="0" w:line="240" w:lineRule="auto"/>
              <w:rPr>
                <w:highlight w:val="red"/>
              </w:rPr>
            </w:pPr>
            <w:r w:rsidRPr="00685A0B">
              <w:t>150 mm</w:t>
            </w:r>
          </w:p>
        </w:tc>
      </w:tr>
      <w:tr w:rsidR="003014CA" w:rsidRPr="00455DAE" w:rsidTr="00BA2A62">
        <w:trPr>
          <w:trHeight w:val="284"/>
        </w:trPr>
        <w:tc>
          <w:tcPr>
            <w:tcW w:w="2835" w:type="dxa"/>
          </w:tcPr>
          <w:p w:rsidR="003014CA" w:rsidRPr="00496453" w:rsidRDefault="003014CA" w:rsidP="003014CA">
            <w:pPr>
              <w:spacing w:after="0" w:line="240" w:lineRule="auto"/>
            </w:pPr>
            <w:r w:rsidRPr="00496453">
              <w:t>Murray cod</w:t>
            </w:r>
          </w:p>
        </w:tc>
        <w:tc>
          <w:tcPr>
            <w:tcW w:w="6191" w:type="dxa"/>
          </w:tcPr>
          <w:p w:rsidR="003014CA" w:rsidRPr="00455DAE" w:rsidRDefault="003014CA" w:rsidP="003014CA">
            <w:pPr>
              <w:spacing w:after="0" w:line="240" w:lineRule="auto"/>
              <w:rPr>
                <w:highlight w:val="red"/>
              </w:rPr>
            </w:pPr>
            <w:r w:rsidRPr="00496453">
              <w:t xml:space="preserve">222 mm (Gavin Butler, </w:t>
            </w:r>
            <w:r w:rsidRPr="00496453">
              <w:rPr>
                <w:i/>
              </w:rPr>
              <w:t>Unpublished data</w:t>
            </w:r>
            <w:r w:rsidRPr="00496453">
              <w:t>)</w:t>
            </w:r>
          </w:p>
        </w:tc>
      </w:tr>
      <w:tr w:rsidR="003014CA" w:rsidRPr="00455DAE" w:rsidTr="00BA2A62">
        <w:trPr>
          <w:trHeight w:val="284"/>
        </w:trPr>
        <w:tc>
          <w:tcPr>
            <w:tcW w:w="2835" w:type="dxa"/>
          </w:tcPr>
          <w:p w:rsidR="003014CA" w:rsidRPr="00496453" w:rsidRDefault="003014CA" w:rsidP="003014CA">
            <w:pPr>
              <w:spacing w:after="0" w:line="240" w:lineRule="auto"/>
              <w:rPr>
                <w:b/>
                <w:i/>
              </w:rPr>
            </w:pPr>
            <w:r w:rsidRPr="00496453">
              <w:rPr>
                <w:b/>
                <w:i/>
              </w:rPr>
              <w:t>Alien species</w:t>
            </w:r>
          </w:p>
        </w:tc>
        <w:tc>
          <w:tcPr>
            <w:tcW w:w="6191" w:type="dxa"/>
          </w:tcPr>
          <w:p w:rsidR="003014CA" w:rsidRPr="00455DAE" w:rsidRDefault="003014CA" w:rsidP="003014CA">
            <w:pPr>
              <w:spacing w:after="0" w:line="240" w:lineRule="auto"/>
              <w:rPr>
                <w:highlight w:val="red"/>
              </w:rPr>
            </w:pPr>
          </w:p>
        </w:tc>
      </w:tr>
      <w:tr w:rsidR="003014CA" w:rsidRPr="00455DAE" w:rsidTr="00BA2A62">
        <w:trPr>
          <w:trHeight w:val="284"/>
        </w:trPr>
        <w:tc>
          <w:tcPr>
            <w:tcW w:w="2835" w:type="dxa"/>
          </w:tcPr>
          <w:p w:rsidR="003014CA" w:rsidRPr="00496453" w:rsidRDefault="003014CA" w:rsidP="003014CA">
            <w:pPr>
              <w:spacing w:after="0" w:line="240" w:lineRule="auto"/>
            </w:pPr>
            <w:r w:rsidRPr="00496453">
              <w:t>eastern gambusia</w:t>
            </w:r>
          </w:p>
        </w:tc>
        <w:tc>
          <w:tcPr>
            <w:tcW w:w="6191" w:type="dxa"/>
          </w:tcPr>
          <w:p w:rsidR="003014CA" w:rsidRPr="000627BB" w:rsidRDefault="003014CA" w:rsidP="003014CA">
            <w:pPr>
              <w:spacing w:after="0" w:line="240" w:lineRule="auto"/>
            </w:pPr>
            <w:r w:rsidRPr="000627BB">
              <w:t>20 mm (McDowall 1996)</w:t>
            </w:r>
          </w:p>
        </w:tc>
      </w:tr>
      <w:tr w:rsidR="003014CA" w:rsidRPr="00455DAE" w:rsidTr="00BA2A62">
        <w:trPr>
          <w:trHeight w:val="284"/>
        </w:trPr>
        <w:tc>
          <w:tcPr>
            <w:tcW w:w="2835" w:type="dxa"/>
          </w:tcPr>
          <w:p w:rsidR="003014CA" w:rsidRPr="00496453" w:rsidRDefault="003014CA" w:rsidP="003014CA">
            <w:pPr>
              <w:spacing w:after="0" w:line="240" w:lineRule="auto"/>
            </w:pPr>
            <w:r w:rsidRPr="00496453">
              <w:t>oriental weatherloach</w:t>
            </w:r>
          </w:p>
        </w:tc>
        <w:tc>
          <w:tcPr>
            <w:tcW w:w="6191" w:type="dxa"/>
          </w:tcPr>
          <w:p w:rsidR="003014CA" w:rsidRPr="00455DAE" w:rsidRDefault="003014CA" w:rsidP="003014CA">
            <w:pPr>
              <w:spacing w:after="0" w:line="240" w:lineRule="auto"/>
              <w:rPr>
                <w:highlight w:val="red"/>
              </w:rPr>
            </w:pPr>
            <w:r w:rsidRPr="005C6DB1">
              <w:t>76 mm (Wang et al. 2009)</w:t>
            </w:r>
          </w:p>
        </w:tc>
      </w:tr>
      <w:tr w:rsidR="003014CA" w:rsidRPr="00455DAE" w:rsidTr="00BA2A62">
        <w:trPr>
          <w:trHeight w:val="284"/>
        </w:trPr>
        <w:tc>
          <w:tcPr>
            <w:tcW w:w="2835" w:type="dxa"/>
          </w:tcPr>
          <w:p w:rsidR="003014CA" w:rsidRPr="00496453" w:rsidRDefault="003014CA" w:rsidP="003014CA">
            <w:pPr>
              <w:spacing w:after="0" w:line="240" w:lineRule="auto"/>
            </w:pPr>
            <w:r w:rsidRPr="00496453">
              <w:t>redfin perch</w:t>
            </w:r>
          </w:p>
        </w:tc>
        <w:tc>
          <w:tcPr>
            <w:tcW w:w="6191" w:type="dxa"/>
          </w:tcPr>
          <w:p w:rsidR="003014CA" w:rsidRPr="00455DAE" w:rsidRDefault="003014CA" w:rsidP="003014CA">
            <w:pPr>
              <w:spacing w:after="0" w:line="240" w:lineRule="auto"/>
              <w:rPr>
                <w:highlight w:val="red"/>
              </w:rPr>
            </w:pPr>
            <w:r w:rsidRPr="000627BB">
              <w:t>60 mm (maximum reported by Heibo &amp; Magnhagen 2005)</w:t>
            </w:r>
          </w:p>
        </w:tc>
      </w:tr>
      <w:tr w:rsidR="003014CA" w:rsidRPr="00455DAE" w:rsidTr="00BA2A62">
        <w:trPr>
          <w:trHeight w:val="342"/>
        </w:trPr>
        <w:tc>
          <w:tcPr>
            <w:tcW w:w="2835" w:type="dxa"/>
          </w:tcPr>
          <w:p w:rsidR="003014CA" w:rsidRPr="00496453" w:rsidRDefault="003014CA" w:rsidP="003014CA">
            <w:pPr>
              <w:spacing w:after="0" w:line="240" w:lineRule="auto"/>
            </w:pPr>
            <w:r w:rsidRPr="00496453">
              <w:t>common carp</w:t>
            </w:r>
          </w:p>
        </w:tc>
        <w:tc>
          <w:tcPr>
            <w:tcW w:w="6191" w:type="dxa"/>
          </w:tcPr>
          <w:p w:rsidR="003014CA" w:rsidRPr="00455DAE" w:rsidRDefault="003014CA" w:rsidP="003014CA">
            <w:pPr>
              <w:spacing w:after="0" w:line="240" w:lineRule="auto"/>
              <w:rPr>
                <w:highlight w:val="red"/>
              </w:rPr>
            </w:pPr>
            <w:r w:rsidRPr="000627BB">
              <w:t>155 mm (Vilizzi and Walker 1999)</w:t>
            </w:r>
          </w:p>
        </w:tc>
      </w:tr>
      <w:tr w:rsidR="003014CA" w:rsidTr="00BA2A62">
        <w:trPr>
          <w:trHeight w:val="284"/>
        </w:trPr>
        <w:tc>
          <w:tcPr>
            <w:tcW w:w="2835" w:type="dxa"/>
          </w:tcPr>
          <w:p w:rsidR="003014CA" w:rsidRPr="00496453" w:rsidRDefault="003014CA" w:rsidP="003014CA">
            <w:pPr>
              <w:spacing w:after="0" w:line="240" w:lineRule="auto"/>
            </w:pPr>
            <w:r w:rsidRPr="00496453">
              <w:t>goldfish</w:t>
            </w:r>
          </w:p>
        </w:tc>
        <w:tc>
          <w:tcPr>
            <w:tcW w:w="6191" w:type="dxa"/>
          </w:tcPr>
          <w:p w:rsidR="003014CA" w:rsidRDefault="003014CA" w:rsidP="003014CA">
            <w:pPr>
              <w:spacing w:after="0" w:line="240" w:lineRule="auto"/>
            </w:pPr>
            <w:r w:rsidRPr="000627BB">
              <w:t>127 mm (Lorenzoni et al. 2007)</w:t>
            </w:r>
          </w:p>
        </w:tc>
      </w:tr>
    </w:tbl>
    <w:p w:rsidR="0034707C" w:rsidRDefault="0034707C" w:rsidP="003014CA">
      <w:pPr>
        <w:spacing w:after="240"/>
        <w:rPr>
          <w:b/>
          <w:color w:val="4F6228" w:themeColor="accent3" w:themeShade="80"/>
          <w:sz w:val="24"/>
          <w:szCs w:val="24"/>
        </w:rPr>
      </w:pPr>
    </w:p>
    <w:p w:rsidR="003014CA" w:rsidRPr="00EE11BF" w:rsidRDefault="003014CA" w:rsidP="003014CA">
      <w:pPr>
        <w:spacing w:after="240"/>
        <w:rPr>
          <w:b/>
          <w:color w:val="4F6228" w:themeColor="accent3" w:themeShade="80"/>
          <w:sz w:val="24"/>
          <w:szCs w:val="24"/>
        </w:rPr>
      </w:pPr>
      <w:r>
        <w:rPr>
          <w:b/>
          <w:color w:val="4F6228" w:themeColor="accent3" w:themeShade="80"/>
          <w:sz w:val="24"/>
          <w:szCs w:val="24"/>
        </w:rPr>
        <w:t>11.4</w:t>
      </w:r>
      <w:r w:rsidRPr="00EE11BF">
        <w:rPr>
          <w:b/>
          <w:color w:val="4F6228" w:themeColor="accent3" w:themeShade="80"/>
          <w:sz w:val="24"/>
          <w:szCs w:val="24"/>
        </w:rPr>
        <w:t xml:space="preserve"> Results</w:t>
      </w:r>
    </w:p>
    <w:p w:rsidR="003014CA" w:rsidRPr="000B5BA6" w:rsidRDefault="003014CA" w:rsidP="003014CA">
      <w:pPr>
        <w:spacing w:after="240"/>
        <w:rPr>
          <w:i/>
        </w:rPr>
      </w:pPr>
      <w:r w:rsidRPr="000B5BA6">
        <w:rPr>
          <w:i/>
        </w:rPr>
        <w:t>2015 sampling</w:t>
      </w:r>
    </w:p>
    <w:p w:rsidR="003014CA" w:rsidRDefault="003014CA" w:rsidP="003014CA">
      <w:pPr>
        <w:spacing w:after="240"/>
        <w:jc w:val="left"/>
      </w:pPr>
      <w:r>
        <w:t xml:space="preserve">A total of 1,109 fish comprising ten native and three alien species were captured </w:t>
      </w:r>
      <w:r w:rsidRPr="00E2359D">
        <w:rPr>
          <w:szCs w:val="24"/>
        </w:rPr>
        <w:t xml:space="preserve">using </w:t>
      </w:r>
      <w:r>
        <w:rPr>
          <w:szCs w:val="24"/>
        </w:rPr>
        <w:t xml:space="preserve">the </w:t>
      </w:r>
      <w:r w:rsidRPr="00E2359D">
        <w:rPr>
          <w:szCs w:val="24"/>
        </w:rPr>
        <w:t xml:space="preserve">standardised Sustainable Rivers Audit (SRA) protocol </w:t>
      </w:r>
      <w:r>
        <w:t xml:space="preserve">across 19 in-channel sampling sites in 2015. This included three species listed as threatened (trout cod </w:t>
      </w:r>
      <w:r>
        <w:rPr>
          <w:szCs w:val="24"/>
        </w:rPr>
        <w:t>(</w:t>
      </w:r>
      <w:r w:rsidRPr="0035750D">
        <w:rPr>
          <w:i/>
          <w:szCs w:val="24"/>
        </w:rPr>
        <w:t>Maccullochella macquariensis</w:t>
      </w:r>
      <w:r>
        <w:rPr>
          <w:szCs w:val="24"/>
        </w:rPr>
        <w:t>)</w:t>
      </w:r>
      <w:r>
        <w:t xml:space="preserve"> (endangered; Fisheries Management Act, EPBC Act), silver perch (vulnerable; Fisheries Management Act, critically endangered; EPBC Act), and Murray cod (vulnerable; EPBC Act)). </w:t>
      </w:r>
    </w:p>
    <w:p w:rsidR="003014CA" w:rsidRDefault="003014CA" w:rsidP="003014CA">
      <w:pPr>
        <w:spacing w:after="240"/>
        <w:jc w:val="left"/>
      </w:pPr>
      <w:r>
        <w:t xml:space="preserve">In order, </w:t>
      </w:r>
      <w:r w:rsidRPr="00A620DD">
        <w:t xml:space="preserve">Australian smelt </w:t>
      </w:r>
      <w:r>
        <w:rPr>
          <w:szCs w:val="24"/>
        </w:rPr>
        <w:t>(</w:t>
      </w:r>
      <w:r w:rsidRPr="0035750D">
        <w:rPr>
          <w:i/>
          <w:szCs w:val="24"/>
        </w:rPr>
        <w:t>Retropinna semoni</w:t>
      </w:r>
      <w:r>
        <w:rPr>
          <w:szCs w:val="24"/>
        </w:rPr>
        <w:t xml:space="preserve">), </w:t>
      </w:r>
      <w:r w:rsidRPr="00A620DD">
        <w:t xml:space="preserve">common carp </w:t>
      </w:r>
      <w:r>
        <w:t>(</w:t>
      </w:r>
      <w:r w:rsidRPr="00465E6E">
        <w:rPr>
          <w:i/>
        </w:rPr>
        <w:t>Cyprinus carpio</w:t>
      </w:r>
      <w:r>
        <w:t>), b</w:t>
      </w:r>
      <w:r w:rsidRPr="00A620DD">
        <w:t>ony herring</w:t>
      </w:r>
      <w:r>
        <w:t xml:space="preserve"> (</w:t>
      </w:r>
      <w:r w:rsidRPr="0035750D">
        <w:rPr>
          <w:i/>
          <w:szCs w:val="24"/>
        </w:rPr>
        <w:t>Nematolosa erebi</w:t>
      </w:r>
      <w:r>
        <w:rPr>
          <w:i/>
          <w:szCs w:val="24"/>
        </w:rPr>
        <w:t>)</w:t>
      </w:r>
      <w:r w:rsidRPr="00A620DD">
        <w:t>,</w:t>
      </w:r>
      <w:r>
        <w:t xml:space="preserve"> Murray-Darling rainbowfish </w:t>
      </w:r>
      <w:r w:rsidRPr="00A620DD">
        <w:t>and carp gudgeon were the most abundant species</w:t>
      </w:r>
      <w:r>
        <w:t>, respectively</w:t>
      </w:r>
      <w:r w:rsidRPr="00A620DD">
        <w:t xml:space="preserve"> (Figure </w:t>
      </w:r>
      <w:r>
        <w:t>9.2</w:t>
      </w:r>
      <w:r w:rsidRPr="00A620DD">
        <w:t xml:space="preserve">). </w:t>
      </w:r>
      <w:r>
        <w:t>One trout cod was captured at Four Posts on the Edward River, four silver perch were captured across three sites (Erinundra, Homeleigh and Merran Downs) and five flat-headed gudgeon (</w:t>
      </w:r>
      <w:r w:rsidRPr="00266367">
        <w:rPr>
          <w:i/>
        </w:rPr>
        <w:t>Philypnodon grandiceps</w:t>
      </w:r>
      <w:r>
        <w:t xml:space="preserve">) were captured across three sites (Elimdale, Wakool Reserve, </w:t>
      </w:r>
      <w:proofErr w:type="gramStart"/>
      <w:r>
        <w:t>Yallakool</w:t>
      </w:r>
      <w:proofErr w:type="gramEnd"/>
      <w:r>
        <w:t>/Back C</w:t>
      </w:r>
      <w:r w:rsidR="00583B59">
        <w:t>ree</w:t>
      </w:r>
      <w:r>
        <w:t>k Junction). Recruits were detected in three native longer-lived species (bony herring (</w:t>
      </w:r>
      <w:r w:rsidRPr="00204A8F">
        <w:rPr>
          <w:i/>
        </w:rPr>
        <w:t>n</w:t>
      </w:r>
      <w:r>
        <w:t>=7 of 13 sites captured), Murray cod (</w:t>
      </w:r>
      <w:r w:rsidRPr="00204A8F">
        <w:rPr>
          <w:i/>
        </w:rPr>
        <w:t>n</w:t>
      </w:r>
      <w:r>
        <w:t>= 9 of 16 sites captured) and silver perch (</w:t>
      </w:r>
      <w:r w:rsidRPr="00204A8F">
        <w:rPr>
          <w:i/>
        </w:rPr>
        <w:t>n</w:t>
      </w:r>
      <w:r>
        <w:t xml:space="preserve">=1 of 3 sites captured); Figure </w:t>
      </w:r>
      <w:r w:rsidR="00294EA4">
        <w:t>9</w:t>
      </w:r>
      <w:r>
        <w:t>.2), and four native short-lived species (Australian smelt (</w:t>
      </w:r>
      <w:r w:rsidRPr="00204A8F">
        <w:rPr>
          <w:i/>
        </w:rPr>
        <w:t>n</w:t>
      </w:r>
      <w:r>
        <w:t>=8 of 19 sites captured), carp gudgeon (</w:t>
      </w:r>
      <w:r w:rsidRPr="00204A8F">
        <w:rPr>
          <w:i/>
        </w:rPr>
        <w:t>n</w:t>
      </w:r>
      <w:r w:rsidR="000A4F7E">
        <w:t xml:space="preserve">= 11 of 13 sites captured), </w:t>
      </w:r>
      <w:r>
        <w:t>Murray-Darling rainbowfish (</w:t>
      </w:r>
      <w:r w:rsidRPr="00204A8F">
        <w:rPr>
          <w:i/>
        </w:rPr>
        <w:t>n</w:t>
      </w:r>
      <w:r>
        <w:t>=9 of 9 sites captured) and un-specked hardyhead (</w:t>
      </w:r>
      <w:r w:rsidRPr="00204A8F">
        <w:rPr>
          <w:i/>
        </w:rPr>
        <w:t>n</w:t>
      </w:r>
      <w:r>
        <w:t xml:space="preserve">=4 of 5 sites captured); Figure </w:t>
      </w:r>
      <w:r w:rsidR="00294EA4">
        <w:t>9</w:t>
      </w:r>
      <w:r>
        <w:t>.2). Few alien species recruits were captured (common carp (</w:t>
      </w:r>
      <w:r w:rsidRPr="00204A8F">
        <w:rPr>
          <w:i/>
        </w:rPr>
        <w:t>n</w:t>
      </w:r>
      <w:r>
        <w:t>=3 of 19 sites captured), goldfish (</w:t>
      </w:r>
      <w:r w:rsidRPr="00266367">
        <w:rPr>
          <w:i/>
        </w:rPr>
        <w:t>Caras</w:t>
      </w:r>
      <w:r>
        <w:rPr>
          <w:i/>
        </w:rPr>
        <w:t>s</w:t>
      </w:r>
      <w:r w:rsidRPr="00266367">
        <w:rPr>
          <w:i/>
        </w:rPr>
        <w:t>ius auratus</w:t>
      </w:r>
      <w:r>
        <w:t>) (</w:t>
      </w:r>
      <w:r w:rsidRPr="00204A8F">
        <w:rPr>
          <w:i/>
        </w:rPr>
        <w:t>n</w:t>
      </w:r>
      <w:r>
        <w:t>= 4 of 9 sites captured) and eastern gambusia (</w:t>
      </w:r>
      <w:r w:rsidRPr="00266367">
        <w:rPr>
          <w:i/>
        </w:rPr>
        <w:t>Gambusia holbrooki</w:t>
      </w:r>
      <w:r>
        <w:t>) (</w:t>
      </w:r>
      <w:r w:rsidRPr="00204A8F">
        <w:rPr>
          <w:i/>
        </w:rPr>
        <w:t>n</w:t>
      </w:r>
      <w:r>
        <w:t xml:space="preserve">=1 of 1 site captured); Figure </w:t>
      </w:r>
      <w:r w:rsidR="00294EA4">
        <w:t>9.</w:t>
      </w:r>
      <w:r>
        <w:t xml:space="preserve">2). </w:t>
      </w:r>
    </w:p>
    <w:p w:rsidR="003014CA" w:rsidRDefault="003014CA" w:rsidP="003014CA">
      <w:pPr>
        <w:spacing w:after="240"/>
        <w:jc w:val="left"/>
      </w:pPr>
      <w:r>
        <w:t>In order, c</w:t>
      </w:r>
      <w:r w:rsidRPr="00BD51C9">
        <w:rPr>
          <w:szCs w:val="24"/>
        </w:rPr>
        <w:t xml:space="preserve">ommon carp, Murray cod, golden perch and goldfish contributed the greatest overall biomass in 2015, with an average </w:t>
      </w:r>
      <w:r>
        <w:rPr>
          <w:szCs w:val="24"/>
        </w:rPr>
        <w:t xml:space="preserve">(± SE) </w:t>
      </w:r>
      <w:r w:rsidRPr="00BD51C9">
        <w:rPr>
          <w:szCs w:val="24"/>
        </w:rPr>
        <w:t>biomass per site of 11</w:t>
      </w:r>
      <w:r>
        <w:rPr>
          <w:szCs w:val="24"/>
        </w:rPr>
        <w:t>,</w:t>
      </w:r>
      <w:r w:rsidRPr="00BD51C9">
        <w:rPr>
          <w:szCs w:val="24"/>
        </w:rPr>
        <w:t>019 ± 1</w:t>
      </w:r>
      <w:r>
        <w:rPr>
          <w:szCs w:val="24"/>
        </w:rPr>
        <w:t>,</w:t>
      </w:r>
      <w:r w:rsidRPr="00BD51C9">
        <w:rPr>
          <w:szCs w:val="24"/>
        </w:rPr>
        <w:t>622 g, 3</w:t>
      </w:r>
      <w:r>
        <w:rPr>
          <w:szCs w:val="24"/>
        </w:rPr>
        <w:t>,</w:t>
      </w:r>
      <w:r w:rsidRPr="00BD51C9">
        <w:rPr>
          <w:szCs w:val="24"/>
        </w:rPr>
        <w:t>963 ± 1</w:t>
      </w:r>
      <w:r>
        <w:rPr>
          <w:szCs w:val="24"/>
        </w:rPr>
        <w:t>,</w:t>
      </w:r>
      <w:r w:rsidRPr="00BD51C9">
        <w:rPr>
          <w:szCs w:val="24"/>
        </w:rPr>
        <w:t>176 g, 3</w:t>
      </w:r>
      <w:r>
        <w:rPr>
          <w:szCs w:val="24"/>
        </w:rPr>
        <w:t>,</w:t>
      </w:r>
      <w:r w:rsidRPr="00BD51C9">
        <w:rPr>
          <w:szCs w:val="24"/>
        </w:rPr>
        <w:t>020 ± 427 g and 259 ± 125 g, respectively</w:t>
      </w:r>
      <w:r>
        <w:rPr>
          <w:szCs w:val="24"/>
        </w:rPr>
        <w:t xml:space="preserve"> (Figure </w:t>
      </w:r>
      <w:r w:rsidR="00294EA4">
        <w:rPr>
          <w:szCs w:val="24"/>
        </w:rPr>
        <w:t>9</w:t>
      </w:r>
      <w:r>
        <w:rPr>
          <w:szCs w:val="24"/>
        </w:rPr>
        <w:t>.3)</w:t>
      </w:r>
      <w:r w:rsidRPr="00BD51C9">
        <w:rPr>
          <w:szCs w:val="24"/>
        </w:rPr>
        <w:t>.</w:t>
      </w:r>
    </w:p>
    <w:p w:rsidR="003014CA" w:rsidRDefault="003014CA" w:rsidP="003014CA">
      <w:pPr>
        <w:spacing w:after="0" w:line="240" w:lineRule="auto"/>
        <w:jc w:val="left"/>
        <w:rPr>
          <w:b/>
          <w:sz w:val="20"/>
        </w:rPr>
      </w:pPr>
      <w:r>
        <w:rPr>
          <w:b/>
          <w:sz w:val="20"/>
        </w:rPr>
        <w:br w:type="page"/>
      </w:r>
    </w:p>
    <w:p w:rsidR="003014CA" w:rsidRPr="00FB36B5" w:rsidRDefault="003014CA" w:rsidP="003014CA">
      <w:pPr>
        <w:spacing w:after="120" w:line="240" w:lineRule="auto"/>
        <w:rPr>
          <w:sz w:val="20"/>
        </w:rPr>
      </w:pPr>
      <w:r w:rsidRPr="00FB36B5">
        <w:rPr>
          <w:b/>
          <w:sz w:val="20"/>
        </w:rPr>
        <w:t xml:space="preserve">Table </w:t>
      </w:r>
      <w:r>
        <w:rPr>
          <w:b/>
          <w:sz w:val="20"/>
        </w:rPr>
        <w:t>9.3</w:t>
      </w:r>
      <w:r w:rsidRPr="00FB36B5">
        <w:rPr>
          <w:b/>
          <w:sz w:val="20"/>
        </w:rPr>
        <w:t xml:space="preserve">. </w:t>
      </w:r>
      <w:r w:rsidRPr="00AF305F">
        <w:rPr>
          <w:sz w:val="20"/>
        </w:rPr>
        <w:t>List of</w:t>
      </w:r>
      <w:r>
        <w:rPr>
          <w:b/>
          <w:sz w:val="20"/>
        </w:rPr>
        <w:t xml:space="preserve"> </w:t>
      </w:r>
      <w:r w:rsidRPr="00FB36B5">
        <w:rPr>
          <w:sz w:val="20"/>
        </w:rPr>
        <w:t xml:space="preserve">Pre-European (PERCH) expected native species present in the central Murray region of the Murray-Darling Basin. </w:t>
      </w:r>
      <w:r>
        <w:rPr>
          <w:sz w:val="20"/>
        </w:rPr>
        <w:t xml:space="preserve">Table shows rarity scores and presence/absence of these species based on </w:t>
      </w:r>
      <w:r w:rsidRPr="00AF305F">
        <w:rPr>
          <w:sz w:val="20"/>
        </w:rPr>
        <w:t>Fish community sampling undertaken at 19 sites throughout the Edward-Wakool system using standardised Sustainable Rivers Audit (SRA) protocol.</w:t>
      </w:r>
      <w:r>
        <w:rPr>
          <w:sz w:val="20"/>
        </w:rPr>
        <w:t xml:space="preserve"> </w:t>
      </w:r>
      <w:r w:rsidRPr="00FB36B5">
        <w:rPr>
          <w:sz w:val="20"/>
        </w:rPr>
        <w:t xml:space="preserve">Rarity scores of 0.10, 0.45 and 0.85 correspond to rare or cryptic, locally abundant and common and abundant species, respectively, and are based on expert opinion of the probability of detection at a single site. </w:t>
      </w:r>
    </w:p>
    <w:tbl>
      <w:tblPr>
        <w:tblStyle w:val="TableGrid"/>
        <w:tblW w:w="9351" w:type="dxa"/>
        <w:tblLayout w:type="fixed"/>
        <w:tblLook w:val="04A0"/>
      </w:tblPr>
      <w:tblGrid>
        <w:gridCol w:w="3440"/>
        <w:gridCol w:w="1015"/>
        <w:gridCol w:w="816"/>
        <w:gridCol w:w="816"/>
        <w:gridCol w:w="816"/>
        <w:gridCol w:w="816"/>
        <w:gridCol w:w="816"/>
        <w:gridCol w:w="816"/>
      </w:tblGrid>
      <w:tr w:rsidR="003014CA" w:rsidTr="00BF10FA">
        <w:tc>
          <w:tcPr>
            <w:tcW w:w="3440" w:type="dxa"/>
            <w:vMerge w:val="restart"/>
            <w:tcBorders>
              <w:left w:val="nil"/>
              <w:bottom w:val="nil"/>
              <w:right w:val="nil"/>
            </w:tcBorders>
            <w:shd w:val="clear" w:color="auto" w:fill="D6E3BC" w:themeFill="accent3" w:themeFillTint="66"/>
          </w:tcPr>
          <w:p w:rsidR="003014CA" w:rsidRPr="007F01A0" w:rsidRDefault="003014CA" w:rsidP="00BF10FA">
            <w:pPr>
              <w:spacing w:after="240" w:line="240" w:lineRule="auto"/>
              <w:rPr>
                <w:b/>
                <w:szCs w:val="24"/>
              </w:rPr>
            </w:pPr>
            <w:r w:rsidRPr="007F01A0">
              <w:rPr>
                <w:b/>
                <w:szCs w:val="24"/>
              </w:rPr>
              <w:t>Common name</w:t>
            </w:r>
          </w:p>
        </w:tc>
        <w:tc>
          <w:tcPr>
            <w:tcW w:w="1015" w:type="dxa"/>
            <w:vMerge w:val="restart"/>
            <w:tcBorders>
              <w:left w:val="nil"/>
              <w:bottom w:val="nil"/>
              <w:right w:val="nil"/>
            </w:tcBorders>
            <w:shd w:val="clear" w:color="auto" w:fill="D6E3BC" w:themeFill="accent3" w:themeFillTint="66"/>
          </w:tcPr>
          <w:p w:rsidR="003014CA" w:rsidRPr="007F01A0" w:rsidRDefault="003014CA" w:rsidP="00BF10FA">
            <w:pPr>
              <w:spacing w:after="240" w:line="240" w:lineRule="auto"/>
              <w:jc w:val="center"/>
              <w:rPr>
                <w:b/>
                <w:szCs w:val="24"/>
              </w:rPr>
            </w:pPr>
            <w:r w:rsidRPr="007F01A0">
              <w:rPr>
                <w:b/>
                <w:szCs w:val="24"/>
              </w:rPr>
              <w:t>Rarity score</w:t>
            </w:r>
          </w:p>
        </w:tc>
        <w:tc>
          <w:tcPr>
            <w:tcW w:w="4896" w:type="dxa"/>
            <w:gridSpan w:val="6"/>
            <w:tcBorders>
              <w:left w:val="nil"/>
              <w:bottom w:val="nil"/>
              <w:right w:val="nil"/>
            </w:tcBorders>
            <w:shd w:val="clear" w:color="auto" w:fill="D6E3BC" w:themeFill="accent3" w:themeFillTint="66"/>
          </w:tcPr>
          <w:p w:rsidR="003014CA" w:rsidRPr="007F01A0" w:rsidRDefault="00583B59" w:rsidP="00583B59">
            <w:pPr>
              <w:spacing w:after="240" w:line="240" w:lineRule="auto"/>
              <w:jc w:val="center"/>
              <w:rPr>
                <w:b/>
                <w:szCs w:val="24"/>
              </w:rPr>
            </w:pPr>
            <w:r>
              <w:rPr>
                <w:b/>
                <w:szCs w:val="24"/>
              </w:rPr>
              <w:t>Presence/absence native fish species during annual fish community survey at 19 sites</w:t>
            </w:r>
          </w:p>
        </w:tc>
      </w:tr>
      <w:tr w:rsidR="003014CA" w:rsidTr="00BF10FA">
        <w:tc>
          <w:tcPr>
            <w:tcW w:w="3440" w:type="dxa"/>
            <w:vMerge/>
            <w:tcBorders>
              <w:top w:val="nil"/>
              <w:left w:val="nil"/>
              <w:bottom w:val="single" w:sz="4" w:space="0" w:color="auto"/>
              <w:right w:val="nil"/>
            </w:tcBorders>
            <w:shd w:val="clear" w:color="auto" w:fill="D6E3BC" w:themeFill="accent3" w:themeFillTint="66"/>
          </w:tcPr>
          <w:p w:rsidR="003014CA" w:rsidRDefault="003014CA" w:rsidP="00BF10FA">
            <w:pPr>
              <w:spacing w:after="240" w:line="240" w:lineRule="auto"/>
              <w:rPr>
                <w:szCs w:val="24"/>
              </w:rPr>
            </w:pPr>
          </w:p>
        </w:tc>
        <w:tc>
          <w:tcPr>
            <w:tcW w:w="1015" w:type="dxa"/>
            <w:vMerge/>
            <w:tcBorders>
              <w:top w:val="nil"/>
              <w:left w:val="nil"/>
              <w:bottom w:val="single" w:sz="4" w:space="0" w:color="auto"/>
              <w:right w:val="nil"/>
            </w:tcBorders>
            <w:shd w:val="clear" w:color="auto" w:fill="D6E3BC" w:themeFill="accent3" w:themeFillTint="66"/>
          </w:tcPr>
          <w:p w:rsidR="003014CA" w:rsidRDefault="003014CA" w:rsidP="00BF10FA">
            <w:pPr>
              <w:spacing w:after="240" w:line="240" w:lineRule="auto"/>
              <w:jc w:val="center"/>
              <w:rPr>
                <w:szCs w:val="24"/>
              </w:rPr>
            </w:pPr>
          </w:p>
        </w:tc>
        <w:tc>
          <w:tcPr>
            <w:tcW w:w="816" w:type="dxa"/>
            <w:tcBorders>
              <w:top w:val="nil"/>
              <w:left w:val="nil"/>
              <w:bottom w:val="single" w:sz="4" w:space="0" w:color="auto"/>
              <w:right w:val="nil"/>
            </w:tcBorders>
            <w:shd w:val="clear" w:color="auto" w:fill="D6E3BC" w:themeFill="accent3" w:themeFillTint="66"/>
          </w:tcPr>
          <w:p w:rsidR="003014CA" w:rsidRPr="007F01A0" w:rsidRDefault="003014CA" w:rsidP="00BF10FA">
            <w:pPr>
              <w:spacing w:after="240" w:line="240" w:lineRule="auto"/>
              <w:jc w:val="center"/>
              <w:rPr>
                <w:b/>
                <w:szCs w:val="24"/>
              </w:rPr>
            </w:pPr>
            <w:r w:rsidRPr="007F01A0">
              <w:rPr>
                <w:b/>
                <w:szCs w:val="24"/>
              </w:rPr>
              <w:t>2010</w:t>
            </w:r>
          </w:p>
        </w:tc>
        <w:tc>
          <w:tcPr>
            <w:tcW w:w="816" w:type="dxa"/>
            <w:tcBorders>
              <w:top w:val="nil"/>
              <w:left w:val="nil"/>
              <w:bottom w:val="single" w:sz="4" w:space="0" w:color="auto"/>
              <w:right w:val="nil"/>
            </w:tcBorders>
            <w:shd w:val="clear" w:color="auto" w:fill="D6E3BC" w:themeFill="accent3" w:themeFillTint="66"/>
          </w:tcPr>
          <w:p w:rsidR="003014CA" w:rsidRPr="007F01A0" w:rsidRDefault="003014CA" w:rsidP="00BF10FA">
            <w:pPr>
              <w:spacing w:after="240" w:line="240" w:lineRule="auto"/>
              <w:jc w:val="center"/>
              <w:rPr>
                <w:b/>
                <w:szCs w:val="24"/>
              </w:rPr>
            </w:pPr>
            <w:r w:rsidRPr="007F01A0">
              <w:rPr>
                <w:b/>
                <w:szCs w:val="24"/>
              </w:rPr>
              <w:t>2011</w:t>
            </w:r>
          </w:p>
        </w:tc>
        <w:tc>
          <w:tcPr>
            <w:tcW w:w="816" w:type="dxa"/>
            <w:tcBorders>
              <w:top w:val="nil"/>
              <w:left w:val="nil"/>
              <w:bottom w:val="single" w:sz="4" w:space="0" w:color="auto"/>
              <w:right w:val="nil"/>
            </w:tcBorders>
            <w:shd w:val="clear" w:color="auto" w:fill="D6E3BC" w:themeFill="accent3" w:themeFillTint="66"/>
          </w:tcPr>
          <w:p w:rsidR="003014CA" w:rsidRPr="007F01A0" w:rsidRDefault="003014CA" w:rsidP="00BF10FA">
            <w:pPr>
              <w:spacing w:after="240" w:line="240" w:lineRule="auto"/>
              <w:jc w:val="center"/>
              <w:rPr>
                <w:b/>
                <w:szCs w:val="24"/>
              </w:rPr>
            </w:pPr>
            <w:r w:rsidRPr="007F01A0">
              <w:rPr>
                <w:b/>
                <w:szCs w:val="24"/>
              </w:rPr>
              <w:t>2012</w:t>
            </w:r>
          </w:p>
        </w:tc>
        <w:tc>
          <w:tcPr>
            <w:tcW w:w="816" w:type="dxa"/>
            <w:tcBorders>
              <w:top w:val="nil"/>
              <w:left w:val="nil"/>
              <w:bottom w:val="single" w:sz="4" w:space="0" w:color="auto"/>
              <w:right w:val="nil"/>
            </w:tcBorders>
            <w:shd w:val="clear" w:color="auto" w:fill="D6E3BC" w:themeFill="accent3" w:themeFillTint="66"/>
          </w:tcPr>
          <w:p w:rsidR="003014CA" w:rsidRPr="007F01A0" w:rsidRDefault="003014CA" w:rsidP="00BF10FA">
            <w:pPr>
              <w:spacing w:after="240" w:line="240" w:lineRule="auto"/>
              <w:jc w:val="center"/>
              <w:rPr>
                <w:b/>
                <w:szCs w:val="24"/>
              </w:rPr>
            </w:pPr>
            <w:r w:rsidRPr="007F01A0">
              <w:rPr>
                <w:b/>
                <w:szCs w:val="24"/>
              </w:rPr>
              <w:t>2013</w:t>
            </w:r>
          </w:p>
        </w:tc>
        <w:tc>
          <w:tcPr>
            <w:tcW w:w="816" w:type="dxa"/>
            <w:tcBorders>
              <w:top w:val="nil"/>
              <w:left w:val="nil"/>
              <w:bottom w:val="single" w:sz="4" w:space="0" w:color="auto"/>
              <w:right w:val="nil"/>
            </w:tcBorders>
            <w:shd w:val="clear" w:color="auto" w:fill="D6E3BC" w:themeFill="accent3" w:themeFillTint="66"/>
          </w:tcPr>
          <w:p w:rsidR="003014CA" w:rsidRPr="007F01A0" w:rsidRDefault="003014CA" w:rsidP="00BF10FA">
            <w:pPr>
              <w:spacing w:after="240" w:line="240" w:lineRule="auto"/>
              <w:jc w:val="center"/>
              <w:rPr>
                <w:b/>
                <w:szCs w:val="24"/>
              </w:rPr>
            </w:pPr>
            <w:r w:rsidRPr="007F01A0">
              <w:rPr>
                <w:b/>
                <w:szCs w:val="24"/>
              </w:rPr>
              <w:t>2014</w:t>
            </w:r>
          </w:p>
        </w:tc>
        <w:tc>
          <w:tcPr>
            <w:tcW w:w="816" w:type="dxa"/>
            <w:tcBorders>
              <w:top w:val="nil"/>
              <w:left w:val="nil"/>
              <w:bottom w:val="single" w:sz="4" w:space="0" w:color="auto"/>
              <w:right w:val="nil"/>
            </w:tcBorders>
            <w:shd w:val="clear" w:color="auto" w:fill="D6E3BC" w:themeFill="accent3" w:themeFillTint="66"/>
          </w:tcPr>
          <w:p w:rsidR="003014CA" w:rsidRPr="007F01A0" w:rsidRDefault="003014CA" w:rsidP="00BF10FA">
            <w:pPr>
              <w:spacing w:after="240" w:line="240" w:lineRule="auto"/>
              <w:jc w:val="center"/>
              <w:rPr>
                <w:b/>
                <w:szCs w:val="24"/>
              </w:rPr>
            </w:pPr>
            <w:r w:rsidRPr="007F01A0">
              <w:rPr>
                <w:b/>
                <w:szCs w:val="24"/>
              </w:rPr>
              <w:t>2015</w:t>
            </w:r>
          </w:p>
        </w:tc>
      </w:tr>
      <w:tr w:rsidR="003014CA" w:rsidTr="00BF10FA">
        <w:tc>
          <w:tcPr>
            <w:tcW w:w="3440" w:type="dxa"/>
            <w:tcBorders>
              <w:left w:val="nil"/>
              <w:bottom w:val="nil"/>
              <w:right w:val="nil"/>
            </w:tcBorders>
            <w:vAlign w:val="center"/>
          </w:tcPr>
          <w:p w:rsidR="003014CA" w:rsidRPr="00465E6E" w:rsidRDefault="003014CA" w:rsidP="003014CA">
            <w:pPr>
              <w:spacing w:after="120" w:line="240" w:lineRule="auto"/>
              <w:rPr>
                <w:color w:val="000000"/>
                <w:szCs w:val="24"/>
              </w:rPr>
            </w:pPr>
            <w:r w:rsidRPr="00465E6E">
              <w:rPr>
                <w:color w:val="000000"/>
                <w:szCs w:val="24"/>
              </w:rPr>
              <w:t>Australian smelt</w:t>
            </w:r>
          </w:p>
        </w:tc>
        <w:tc>
          <w:tcPr>
            <w:tcW w:w="1015" w:type="dxa"/>
            <w:tcBorders>
              <w:left w:val="nil"/>
              <w:bottom w:val="nil"/>
              <w:right w:val="nil"/>
            </w:tcBorders>
            <w:vAlign w:val="center"/>
          </w:tcPr>
          <w:p w:rsidR="003014CA" w:rsidRPr="00465E6E" w:rsidRDefault="003014CA" w:rsidP="003014CA">
            <w:pPr>
              <w:spacing w:after="120" w:line="240" w:lineRule="auto"/>
              <w:jc w:val="center"/>
              <w:rPr>
                <w:iCs/>
                <w:color w:val="000000"/>
                <w:szCs w:val="24"/>
              </w:rPr>
            </w:pPr>
            <w:r w:rsidRPr="00465E6E">
              <w:rPr>
                <w:iCs/>
                <w:color w:val="000000"/>
                <w:szCs w:val="24"/>
              </w:rPr>
              <w:t>0.85</w:t>
            </w:r>
          </w:p>
        </w:tc>
        <w:tc>
          <w:tcPr>
            <w:tcW w:w="816" w:type="dxa"/>
            <w:tcBorders>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left w:val="nil"/>
              <w:bottom w:val="nil"/>
              <w:right w:val="nil"/>
            </w:tcBorders>
          </w:tcPr>
          <w:p w:rsidR="003014CA" w:rsidRPr="00465E6E" w:rsidRDefault="003014CA" w:rsidP="003014CA">
            <w:pPr>
              <w:spacing w:after="120" w:line="240" w:lineRule="auto"/>
              <w:jc w:val="center"/>
              <w:rPr>
                <w:color w:val="000000"/>
                <w:szCs w:val="24"/>
              </w:rPr>
            </w:pPr>
            <w:r w:rsidRPr="00465E6E">
              <w:rPr>
                <w:color w:val="000000"/>
                <w:szCs w:val="24"/>
              </w:rPr>
              <w:t>Y</w:t>
            </w:r>
          </w:p>
        </w:tc>
      </w:tr>
      <w:tr w:rsidR="003014CA" w:rsidTr="00BF10FA">
        <w:tc>
          <w:tcPr>
            <w:tcW w:w="3440" w:type="dxa"/>
            <w:tcBorders>
              <w:top w:val="nil"/>
              <w:left w:val="nil"/>
              <w:bottom w:val="nil"/>
              <w:right w:val="nil"/>
            </w:tcBorders>
            <w:vAlign w:val="center"/>
          </w:tcPr>
          <w:p w:rsidR="003014CA" w:rsidRPr="00465E6E" w:rsidRDefault="003014CA" w:rsidP="003014CA">
            <w:pPr>
              <w:spacing w:after="120" w:line="240" w:lineRule="auto"/>
              <w:rPr>
                <w:color w:val="000000"/>
                <w:szCs w:val="24"/>
              </w:rPr>
            </w:pPr>
            <w:r w:rsidRPr="00465E6E">
              <w:rPr>
                <w:color w:val="000000"/>
                <w:szCs w:val="24"/>
              </w:rPr>
              <w:t>bony herring</w:t>
            </w:r>
          </w:p>
        </w:tc>
        <w:tc>
          <w:tcPr>
            <w:tcW w:w="1015" w:type="dxa"/>
            <w:tcBorders>
              <w:top w:val="nil"/>
              <w:left w:val="nil"/>
              <w:bottom w:val="nil"/>
              <w:right w:val="nil"/>
            </w:tcBorders>
            <w:vAlign w:val="center"/>
          </w:tcPr>
          <w:p w:rsidR="003014CA" w:rsidRPr="00465E6E" w:rsidRDefault="003014CA" w:rsidP="003014CA">
            <w:pPr>
              <w:spacing w:after="120" w:line="240" w:lineRule="auto"/>
              <w:jc w:val="center"/>
              <w:rPr>
                <w:iCs/>
                <w:color w:val="000000"/>
                <w:szCs w:val="24"/>
              </w:rPr>
            </w:pPr>
            <w:r w:rsidRPr="00465E6E">
              <w:rPr>
                <w:iCs/>
                <w:color w:val="000000"/>
                <w:szCs w:val="24"/>
              </w:rPr>
              <w:t>0.45</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tcPr>
          <w:p w:rsidR="003014CA" w:rsidRPr="00465E6E" w:rsidRDefault="003014CA" w:rsidP="003014CA">
            <w:pPr>
              <w:spacing w:after="120" w:line="240" w:lineRule="auto"/>
              <w:jc w:val="center"/>
              <w:rPr>
                <w:color w:val="000000"/>
                <w:szCs w:val="24"/>
              </w:rPr>
            </w:pPr>
            <w:r w:rsidRPr="00465E6E">
              <w:rPr>
                <w:color w:val="000000"/>
                <w:szCs w:val="24"/>
              </w:rPr>
              <w:t>Y</w:t>
            </w:r>
          </w:p>
        </w:tc>
      </w:tr>
      <w:tr w:rsidR="003014CA" w:rsidTr="00BF10FA">
        <w:tc>
          <w:tcPr>
            <w:tcW w:w="3440" w:type="dxa"/>
            <w:tcBorders>
              <w:top w:val="nil"/>
              <w:left w:val="nil"/>
              <w:bottom w:val="nil"/>
              <w:right w:val="nil"/>
            </w:tcBorders>
            <w:vAlign w:val="center"/>
          </w:tcPr>
          <w:p w:rsidR="003014CA" w:rsidRPr="00465E6E" w:rsidRDefault="003014CA" w:rsidP="003014CA">
            <w:pPr>
              <w:spacing w:after="120" w:line="240" w:lineRule="auto"/>
              <w:rPr>
                <w:color w:val="000000"/>
                <w:szCs w:val="24"/>
              </w:rPr>
            </w:pPr>
            <w:r w:rsidRPr="00465E6E">
              <w:rPr>
                <w:color w:val="000000"/>
                <w:szCs w:val="24"/>
              </w:rPr>
              <w:t>carp gudgeon</w:t>
            </w:r>
          </w:p>
        </w:tc>
        <w:tc>
          <w:tcPr>
            <w:tcW w:w="1015" w:type="dxa"/>
            <w:tcBorders>
              <w:top w:val="nil"/>
              <w:left w:val="nil"/>
              <w:bottom w:val="nil"/>
              <w:right w:val="nil"/>
            </w:tcBorders>
            <w:vAlign w:val="center"/>
          </w:tcPr>
          <w:p w:rsidR="003014CA" w:rsidRPr="00465E6E" w:rsidRDefault="003014CA" w:rsidP="003014CA">
            <w:pPr>
              <w:spacing w:after="120" w:line="240" w:lineRule="auto"/>
              <w:jc w:val="center"/>
              <w:rPr>
                <w:iCs/>
                <w:color w:val="000000"/>
                <w:szCs w:val="24"/>
              </w:rPr>
            </w:pPr>
            <w:r w:rsidRPr="00465E6E">
              <w:rPr>
                <w:iCs/>
                <w:color w:val="000000"/>
                <w:szCs w:val="24"/>
              </w:rPr>
              <w:t>0.85</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tcPr>
          <w:p w:rsidR="003014CA" w:rsidRPr="00465E6E" w:rsidRDefault="003014CA" w:rsidP="003014CA">
            <w:pPr>
              <w:spacing w:after="120" w:line="240" w:lineRule="auto"/>
              <w:jc w:val="center"/>
              <w:rPr>
                <w:color w:val="000000"/>
                <w:szCs w:val="24"/>
              </w:rPr>
            </w:pPr>
            <w:r w:rsidRPr="00465E6E">
              <w:rPr>
                <w:color w:val="000000"/>
                <w:szCs w:val="24"/>
              </w:rPr>
              <w:t>Y</w:t>
            </w:r>
          </w:p>
        </w:tc>
      </w:tr>
      <w:tr w:rsidR="003014CA" w:rsidTr="00BF10FA">
        <w:tc>
          <w:tcPr>
            <w:tcW w:w="3440" w:type="dxa"/>
            <w:tcBorders>
              <w:top w:val="nil"/>
              <w:left w:val="nil"/>
              <w:bottom w:val="nil"/>
              <w:right w:val="nil"/>
            </w:tcBorders>
            <w:vAlign w:val="center"/>
          </w:tcPr>
          <w:p w:rsidR="003014CA" w:rsidRPr="00465E6E" w:rsidRDefault="003014CA" w:rsidP="003014CA">
            <w:pPr>
              <w:spacing w:after="120" w:line="240" w:lineRule="auto"/>
              <w:rPr>
                <w:color w:val="000000"/>
                <w:szCs w:val="24"/>
              </w:rPr>
            </w:pPr>
            <w:r w:rsidRPr="00465E6E">
              <w:rPr>
                <w:color w:val="000000"/>
                <w:szCs w:val="24"/>
              </w:rPr>
              <w:t>dwarf flat-headed gudgeon</w:t>
            </w:r>
          </w:p>
        </w:tc>
        <w:tc>
          <w:tcPr>
            <w:tcW w:w="1015" w:type="dxa"/>
            <w:tcBorders>
              <w:top w:val="nil"/>
              <w:left w:val="nil"/>
              <w:bottom w:val="nil"/>
              <w:right w:val="nil"/>
            </w:tcBorders>
            <w:vAlign w:val="center"/>
          </w:tcPr>
          <w:p w:rsidR="003014CA" w:rsidRPr="00465E6E" w:rsidRDefault="003014CA" w:rsidP="003014CA">
            <w:pPr>
              <w:spacing w:after="120" w:line="240" w:lineRule="auto"/>
              <w:jc w:val="center"/>
              <w:rPr>
                <w:iCs/>
                <w:color w:val="000000"/>
                <w:szCs w:val="24"/>
              </w:rPr>
            </w:pPr>
            <w:r w:rsidRPr="00465E6E">
              <w:rPr>
                <w:iCs/>
                <w:color w:val="000000"/>
                <w:szCs w:val="24"/>
              </w:rPr>
              <w:t>0.10</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tcPr>
          <w:p w:rsidR="003014CA" w:rsidRPr="00465E6E" w:rsidRDefault="003014CA" w:rsidP="003014CA">
            <w:pPr>
              <w:spacing w:after="120" w:line="240" w:lineRule="auto"/>
              <w:jc w:val="center"/>
              <w:rPr>
                <w:color w:val="000000"/>
                <w:szCs w:val="24"/>
              </w:rPr>
            </w:pPr>
            <w:r w:rsidRPr="00465E6E">
              <w:rPr>
                <w:color w:val="000000"/>
                <w:szCs w:val="24"/>
              </w:rPr>
              <w:t>N</w:t>
            </w:r>
          </w:p>
        </w:tc>
      </w:tr>
      <w:tr w:rsidR="003014CA" w:rsidTr="00BF10FA">
        <w:tc>
          <w:tcPr>
            <w:tcW w:w="3440" w:type="dxa"/>
            <w:tcBorders>
              <w:top w:val="nil"/>
              <w:left w:val="nil"/>
              <w:bottom w:val="nil"/>
              <w:right w:val="nil"/>
            </w:tcBorders>
            <w:vAlign w:val="center"/>
          </w:tcPr>
          <w:p w:rsidR="003014CA" w:rsidRPr="00465E6E" w:rsidRDefault="003014CA" w:rsidP="003014CA">
            <w:pPr>
              <w:spacing w:after="120" w:line="240" w:lineRule="auto"/>
              <w:rPr>
                <w:color w:val="000000"/>
                <w:szCs w:val="24"/>
              </w:rPr>
            </w:pPr>
            <w:r w:rsidRPr="00465E6E">
              <w:rPr>
                <w:color w:val="000000"/>
                <w:szCs w:val="24"/>
              </w:rPr>
              <w:t>flat-headed galaxias</w:t>
            </w:r>
          </w:p>
        </w:tc>
        <w:tc>
          <w:tcPr>
            <w:tcW w:w="1015" w:type="dxa"/>
            <w:tcBorders>
              <w:top w:val="nil"/>
              <w:left w:val="nil"/>
              <w:bottom w:val="nil"/>
              <w:right w:val="nil"/>
            </w:tcBorders>
            <w:vAlign w:val="center"/>
          </w:tcPr>
          <w:p w:rsidR="003014CA" w:rsidRPr="00465E6E" w:rsidRDefault="003014CA" w:rsidP="003014CA">
            <w:pPr>
              <w:spacing w:after="120" w:line="240" w:lineRule="auto"/>
              <w:jc w:val="center"/>
              <w:rPr>
                <w:iCs/>
                <w:color w:val="000000"/>
                <w:szCs w:val="24"/>
              </w:rPr>
            </w:pPr>
            <w:r w:rsidRPr="00465E6E">
              <w:rPr>
                <w:iCs/>
                <w:color w:val="000000"/>
                <w:szCs w:val="24"/>
              </w:rPr>
              <w:t>0.45</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tcPr>
          <w:p w:rsidR="003014CA" w:rsidRPr="00465E6E" w:rsidRDefault="003014CA" w:rsidP="003014CA">
            <w:pPr>
              <w:spacing w:after="120" w:line="240" w:lineRule="auto"/>
              <w:jc w:val="center"/>
              <w:rPr>
                <w:color w:val="000000"/>
                <w:szCs w:val="24"/>
              </w:rPr>
            </w:pPr>
            <w:r w:rsidRPr="00465E6E">
              <w:rPr>
                <w:color w:val="000000"/>
                <w:szCs w:val="24"/>
              </w:rPr>
              <w:t>N</w:t>
            </w:r>
          </w:p>
        </w:tc>
      </w:tr>
      <w:tr w:rsidR="003014CA" w:rsidTr="00BF10FA">
        <w:tc>
          <w:tcPr>
            <w:tcW w:w="3440" w:type="dxa"/>
            <w:tcBorders>
              <w:top w:val="nil"/>
              <w:left w:val="nil"/>
              <w:bottom w:val="nil"/>
              <w:right w:val="nil"/>
            </w:tcBorders>
            <w:vAlign w:val="center"/>
          </w:tcPr>
          <w:p w:rsidR="003014CA" w:rsidRPr="00465E6E" w:rsidRDefault="003014CA" w:rsidP="003014CA">
            <w:pPr>
              <w:spacing w:after="120" w:line="240" w:lineRule="auto"/>
              <w:rPr>
                <w:color w:val="000000"/>
                <w:szCs w:val="24"/>
              </w:rPr>
            </w:pPr>
            <w:r w:rsidRPr="00465E6E">
              <w:rPr>
                <w:color w:val="000000"/>
                <w:szCs w:val="24"/>
              </w:rPr>
              <w:t>flat-headed gudgeon</w:t>
            </w:r>
          </w:p>
        </w:tc>
        <w:tc>
          <w:tcPr>
            <w:tcW w:w="1015" w:type="dxa"/>
            <w:tcBorders>
              <w:top w:val="nil"/>
              <w:left w:val="nil"/>
              <w:bottom w:val="nil"/>
              <w:right w:val="nil"/>
            </w:tcBorders>
            <w:vAlign w:val="center"/>
          </w:tcPr>
          <w:p w:rsidR="003014CA" w:rsidRPr="00465E6E" w:rsidRDefault="003014CA" w:rsidP="003014CA">
            <w:pPr>
              <w:spacing w:after="120" w:line="240" w:lineRule="auto"/>
              <w:jc w:val="center"/>
              <w:rPr>
                <w:iCs/>
                <w:color w:val="000000"/>
                <w:szCs w:val="24"/>
              </w:rPr>
            </w:pPr>
            <w:r w:rsidRPr="00465E6E">
              <w:rPr>
                <w:iCs/>
                <w:color w:val="000000"/>
                <w:szCs w:val="24"/>
              </w:rPr>
              <w:t>0.45</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tcPr>
          <w:p w:rsidR="003014CA" w:rsidRPr="00465E6E" w:rsidRDefault="003014CA" w:rsidP="003014CA">
            <w:pPr>
              <w:spacing w:after="120" w:line="240" w:lineRule="auto"/>
              <w:jc w:val="center"/>
              <w:rPr>
                <w:color w:val="000000"/>
                <w:szCs w:val="24"/>
              </w:rPr>
            </w:pPr>
            <w:r w:rsidRPr="00465E6E">
              <w:rPr>
                <w:color w:val="000000"/>
                <w:szCs w:val="24"/>
              </w:rPr>
              <w:t>Y</w:t>
            </w:r>
          </w:p>
        </w:tc>
      </w:tr>
      <w:tr w:rsidR="003014CA" w:rsidTr="00BF10FA">
        <w:tc>
          <w:tcPr>
            <w:tcW w:w="3440" w:type="dxa"/>
            <w:tcBorders>
              <w:top w:val="nil"/>
              <w:left w:val="nil"/>
              <w:bottom w:val="nil"/>
              <w:right w:val="nil"/>
            </w:tcBorders>
            <w:vAlign w:val="center"/>
          </w:tcPr>
          <w:p w:rsidR="003014CA" w:rsidRPr="00465E6E" w:rsidRDefault="003014CA" w:rsidP="003014CA">
            <w:pPr>
              <w:spacing w:after="120" w:line="240" w:lineRule="auto"/>
              <w:rPr>
                <w:color w:val="000000"/>
                <w:szCs w:val="24"/>
              </w:rPr>
            </w:pPr>
            <w:r w:rsidRPr="00465E6E">
              <w:rPr>
                <w:color w:val="000000"/>
                <w:szCs w:val="24"/>
              </w:rPr>
              <w:t>freshwater catfish</w:t>
            </w:r>
          </w:p>
        </w:tc>
        <w:tc>
          <w:tcPr>
            <w:tcW w:w="1015" w:type="dxa"/>
            <w:tcBorders>
              <w:top w:val="nil"/>
              <w:left w:val="nil"/>
              <w:bottom w:val="nil"/>
              <w:right w:val="nil"/>
            </w:tcBorders>
            <w:vAlign w:val="center"/>
          </w:tcPr>
          <w:p w:rsidR="003014CA" w:rsidRPr="00465E6E" w:rsidRDefault="003014CA" w:rsidP="003014CA">
            <w:pPr>
              <w:spacing w:after="120" w:line="240" w:lineRule="auto"/>
              <w:jc w:val="center"/>
              <w:rPr>
                <w:iCs/>
                <w:color w:val="000000"/>
                <w:szCs w:val="24"/>
              </w:rPr>
            </w:pPr>
            <w:r w:rsidRPr="00465E6E">
              <w:rPr>
                <w:iCs/>
                <w:color w:val="000000"/>
                <w:szCs w:val="24"/>
              </w:rPr>
              <w:t>0.45</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tcPr>
          <w:p w:rsidR="003014CA" w:rsidRPr="00465E6E" w:rsidRDefault="003014CA" w:rsidP="003014CA">
            <w:pPr>
              <w:spacing w:after="120" w:line="240" w:lineRule="auto"/>
              <w:jc w:val="center"/>
              <w:rPr>
                <w:color w:val="000000"/>
                <w:szCs w:val="24"/>
              </w:rPr>
            </w:pPr>
            <w:r w:rsidRPr="00465E6E">
              <w:rPr>
                <w:color w:val="000000"/>
                <w:szCs w:val="24"/>
              </w:rPr>
              <w:t>N</w:t>
            </w:r>
          </w:p>
        </w:tc>
      </w:tr>
      <w:tr w:rsidR="003014CA" w:rsidTr="00BF10FA">
        <w:tc>
          <w:tcPr>
            <w:tcW w:w="3440" w:type="dxa"/>
            <w:tcBorders>
              <w:top w:val="nil"/>
              <w:left w:val="nil"/>
              <w:bottom w:val="nil"/>
              <w:right w:val="nil"/>
            </w:tcBorders>
            <w:vAlign w:val="center"/>
          </w:tcPr>
          <w:p w:rsidR="003014CA" w:rsidRPr="00465E6E" w:rsidRDefault="003014CA" w:rsidP="003014CA">
            <w:pPr>
              <w:spacing w:after="120" w:line="240" w:lineRule="auto"/>
              <w:rPr>
                <w:color w:val="000000"/>
                <w:szCs w:val="24"/>
              </w:rPr>
            </w:pPr>
            <w:r w:rsidRPr="00465E6E">
              <w:rPr>
                <w:color w:val="000000"/>
                <w:szCs w:val="24"/>
              </w:rPr>
              <w:t>golden perch</w:t>
            </w:r>
          </w:p>
        </w:tc>
        <w:tc>
          <w:tcPr>
            <w:tcW w:w="1015" w:type="dxa"/>
            <w:tcBorders>
              <w:top w:val="nil"/>
              <w:left w:val="nil"/>
              <w:bottom w:val="nil"/>
              <w:right w:val="nil"/>
            </w:tcBorders>
            <w:vAlign w:val="center"/>
          </w:tcPr>
          <w:p w:rsidR="003014CA" w:rsidRPr="00465E6E" w:rsidRDefault="003014CA" w:rsidP="003014CA">
            <w:pPr>
              <w:spacing w:after="120" w:line="240" w:lineRule="auto"/>
              <w:jc w:val="center"/>
              <w:rPr>
                <w:iCs/>
                <w:color w:val="000000"/>
                <w:szCs w:val="24"/>
              </w:rPr>
            </w:pPr>
            <w:r w:rsidRPr="00465E6E">
              <w:rPr>
                <w:iCs/>
                <w:color w:val="000000"/>
                <w:szCs w:val="24"/>
              </w:rPr>
              <w:t>0.85</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tcPr>
          <w:p w:rsidR="003014CA" w:rsidRPr="00465E6E" w:rsidRDefault="003014CA" w:rsidP="003014CA">
            <w:pPr>
              <w:spacing w:after="120" w:line="240" w:lineRule="auto"/>
              <w:jc w:val="center"/>
              <w:rPr>
                <w:color w:val="000000"/>
                <w:szCs w:val="24"/>
              </w:rPr>
            </w:pPr>
            <w:r w:rsidRPr="00465E6E">
              <w:rPr>
                <w:color w:val="000000"/>
                <w:szCs w:val="24"/>
              </w:rPr>
              <w:t>Y</w:t>
            </w:r>
          </w:p>
        </w:tc>
      </w:tr>
      <w:tr w:rsidR="003014CA" w:rsidTr="00BF10FA">
        <w:tc>
          <w:tcPr>
            <w:tcW w:w="3440" w:type="dxa"/>
            <w:tcBorders>
              <w:top w:val="nil"/>
              <w:left w:val="nil"/>
              <w:bottom w:val="nil"/>
              <w:right w:val="nil"/>
            </w:tcBorders>
            <w:vAlign w:val="center"/>
          </w:tcPr>
          <w:p w:rsidR="003014CA" w:rsidRPr="00465E6E" w:rsidRDefault="003014CA" w:rsidP="003014CA">
            <w:pPr>
              <w:spacing w:after="120" w:line="240" w:lineRule="auto"/>
              <w:rPr>
                <w:color w:val="000000"/>
                <w:szCs w:val="24"/>
              </w:rPr>
            </w:pPr>
            <w:r w:rsidRPr="00465E6E">
              <w:rPr>
                <w:color w:val="000000"/>
                <w:szCs w:val="24"/>
              </w:rPr>
              <w:t>Macquarie perch</w:t>
            </w:r>
          </w:p>
        </w:tc>
        <w:tc>
          <w:tcPr>
            <w:tcW w:w="1015" w:type="dxa"/>
            <w:tcBorders>
              <w:top w:val="nil"/>
              <w:left w:val="nil"/>
              <w:bottom w:val="nil"/>
              <w:right w:val="nil"/>
            </w:tcBorders>
            <w:vAlign w:val="center"/>
          </w:tcPr>
          <w:p w:rsidR="003014CA" w:rsidRPr="00465E6E" w:rsidRDefault="003014CA" w:rsidP="003014CA">
            <w:pPr>
              <w:spacing w:after="120" w:line="240" w:lineRule="auto"/>
              <w:jc w:val="center"/>
              <w:rPr>
                <w:iCs/>
                <w:color w:val="000000"/>
                <w:szCs w:val="24"/>
              </w:rPr>
            </w:pPr>
            <w:r w:rsidRPr="00465E6E">
              <w:rPr>
                <w:iCs/>
                <w:color w:val="000000"/>
                <w:szCs w:val="24"/>
              </w:rPr>
              <w:t>0.10</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tcPr>
          <w:p w:rsidR="003014CA" w:rsidRPr="00465E6E" w:rsidRDefault="003014CA" w:rsidP="003014CA">
            <w:pPr>
              <w:spacing w:after="120" w:line="240" w:lineRule="auto"/>
              <w:jc w:val="center"/>
              <w:rPr>
                <w:color w:val="000000"/>
                <w:szCs w:val="24"/>
              </w:rPr>
            </w:pPr>
            <w:r w:rsidRPr="00465E6E">
              <w:rPr>
                <w:color w:val="000000"/>
                <w:szCs w:val="24"/>
              </w:rPr>
              <w:t>N</w:t>
            </w:r>
          </w:p>
        </w:tc>
      </w:tr>
      <w:tr w:rsidR="003014CA" w:rsidTr="00BF10FA">
        <w:tc>
          <w:tcPr>
            <w:tcW w:w="3440" w:type="dxa"/>
            <w:tcBorders>
              <w:top w:val="nil"/>
              <w:left w:val="nil"/>
              <w:bottom w:val="nil"/>
              <w:right w:val="nil"/>
            </w:tcBorders>
            <w:vAlign w:val="center"/>
          </w:tcPr>
          <w:p w:rsidR="003014CA" w:rsidRPr="00465E6E" w:rsidRDefault="003014CA" w:rsidP="003014CA">
            <w:pPr>
              <w:spacing w:after="120" w:line="240" w:lineRule="auto"/>
              <w:rPr>
                <w:color w:val="000000"/>
                <w:szCs w:val="24"/>
              </w:rPr>
            </w:pPr>
            <w:r w:rsidRPr="00465E6E">
              <w:rPr>
                <w:color w:val="000000"/>
                <w:szCs w:val="24"/>
              </w:rPr>
              <w:t>mountain galaxias</w:t>
            </w:r>
          </w:p>
        </w:tc>
        <w:tc>
          <w:tcPr>
            <w:tcW w:w="1015" w:type="dxa"/>
            <w:tcBorders>
              <w:top w:val="nil"/>
              <w:left w:val="nil"/>
              <w:bottom w:val="nil"/>
              <w:right w:val="nil"/>
            </w:tcBorders>
            <w:vAlign w:val="center"/>
          </w:tcPr>
          <w:p w:rsidR="003014CA" w:rsidRPr="00465E6E" w:rsidRDefault="003014CA" w:rsidP="003014CA">
            <w:pPr>
              <w:spacing w:after="120" w:line="240" w:lineRule="auto"/>
              <w:jc w:val="center"/>
              <w:rPr>
                <w:iCs/>
                <w:color w:val="000000"/>
                <w:szCs w:val="24"/>
              </w:rPr>
            </w:pPr>
            <w:r w:rsidRPr="00465E6E">
              <w:rPr>
                <w:iCs/>
                <w:color w:val="000000"/>
                <w:szCs w:val="24"/>
              </w:rPr>
              <w:t>0.10</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tcPr>
          <w:p w:rsidR="003014CA" w:rsidRPr="00465E6E" w:rsidRDefault="003014CA" w:rsidP="003014CA">
            <w:pPr>
              <w:spacing w:after="120" w:line="240" w:lineRule="auto"/>
              <w:jc w:val="center"/>
              <w:rPr>
                <w:color w:val="000000"/>
                <w:szCs w:val="24"/>
              </w:rPr>
            </w:pPr>
            <w:r w:rsidRPr="00465E6E">
              <w:rPr>
                <w:color w:val="000000"/>
                <w:szCs w:val="24"/>
              </w:rPr>
              <w:t>N</w:t>
            </w:r>
          </w:p>
        </w:tc>
      </w:tr>
      <w:tr w:rsidR="003014CA" w:rsidTr="00BF10FA">
        <w:tc>
          <w:tcPr>
            <w:tcW w:w="3440" w:type="dxa"/>
            <w:tcBorders>
              <w:top w:val="nil"/>
              <w:left w:val="nil"/>
              <w:bottom w:val="nil"/>
              <w:right w:val="nil"/>
            </w:tcBorders>
            <w:vAlign w:val="center"/>
          </w:tcPr>
          <w:p w:rsidR="003014CA" w:rsidRPr="00465E6E" w:rsidRDefault="003014CA" w:rsidP="003014CA">
            <w:pPr>
              <w:spacing w:after="120" w:line="240" w:lineRule="auto"/>
              <w:rPr>
                <w:color w:val="000000"/>
                <w:szCs w:val="24"/>
              </w:rPr>
            </w:pPr>
            <w:r w:rsidRPr="00465E6E">
              <w:rPr>
                <w:color w:val="000000"/>
                <w:szCs w:val="24"/>
              </w:rPr>
              <w:t>Murray cod</w:t>
            </w:r>
          </w:p>
        </w:tc>
        <w:tc>
          <w:tcPr>
            <w:tcW w:w="1015" w:type="dxa"/>
            <w:tcBorders>
              <w:top w:val="nil"/>
              <w:left w:val="nil"/>
              <w:bottom w:val="nil"/>
              <w:right w:val="nil"/>
            </w:tcBorders>
            <w:vAlign w:val="center"/>
          </w:tcPr>
          <w:p w:rsidR="003014CA" w:rsidRPr="00465E6E" w:rsidRDefault="003014CA" w:rsidP="003014CA">
            <w:pPr>
              <w:spacing w:after="120" w:line="240" w:lineRule="auto"/>
              <w:jc w:val="center"/>
              <w:rPr>
                <w:iCs/>
                <w:color w:val="000000"/>
                <w:szCs w:val="24"/>
              </w:rPr>
            </w:pPr>
            <w:r w:rsidRPr="00465E6E">
              <w:rPr>
                <w:iCs/>
                <w:color w:val="000000"/>
                <w:szCs w:val="24"/>
              </w:rPr>
              <w:t>0.85</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tcPr>
          <w:p w:rsidR="003014CA" w:rsidRPr="00465E6E" w:rsidRDefault="003014CA" w:rsidP="003014CA">
            <w:pPr>
              <w:spacing w:after="120" w:line="240" w:lineRule="auto"/>
              <w:jc w:val="center"/>
              <w:rPr>
                <w:color w:val="000000"/>
                <w:szCs w:val="24"/>
              </w:rPr>
            </w:pPr>
            <w:r w:rsidRPr="00465E6E">
              <w:rPr>
                <w:color w:val="000000"/>
                <w:szCs w:val="24"/>
              </w:rPr>
              <w:t>Y</w:t>
            </w:r>
          </w:p>
        </w:tc>
      </w:tr>
      <w:tr w:rsidR="003014CA" w:rsidTr="00BF10FA">
        <w:tc>
          <w:tcPr>
            <w:tcW w:w="3440" w:type="dxa"/>
            <w:tcBorders>
              <w:top w:val="nil"/>
              <w:left w:val="nil"/>
              <w:bottom w:val="nil"/>
              <w:right w:val="nil"/>
            </w:tcBorders>
            <w:vAlign w:val="center"/>
          </w:tcPr>
          <w:p w:rsidR="003014CA" w:rsidRPr="00465E6E" w:rsidRDefault="003014CA" w:rsidP="003014CA">
            <w:pPr>
              <w:spacing w:after="120" w:line="240" w:lineRule="auto"/>
              <w:rPr>
                <w:color w:val="000000"/>
                <w:szCs w:val="24"/>
              </w:rPr>
            </w:pPr>
            <w:r w:rsidRPr="00465E6E">
              <w:rPr>
                <w:color w:val="000000"/>
                <w:szCs w:val="24"/>
              </w:rPr>
              <w:t>Murray hardyhead</w:t>
            </w:r>
          </w:p>
        </w:tc>
        <w:tc>
          <w:tcPr>
            <w:tcW w:w="1015" w:type="dxa"/>
            <w:tcBorders>
              <w:top w:val="nil"/>
              <w:left w:val="nil"/>
              <w:bottom w:val="nil"/>
              <w:right w:val="nil"/>
            </w:tcBorders>
            <w:vAlign w:val="center"/>
          </w:tcPr>
          <w:p w:rsidR="003014CA" w:rsidRPr="00465E6E" w:rsidRDefault="003014CA" w:rsidP="003014CA">
            <w:pPr>
              <w:spacing w:after="120" w:line="240" w:lineRule="auto"/>
              <w:jc w:val="center"/>
              <w:rPr>
                <w:iCs/>
                <w:color w:val="000000"/>
                <w:szCs w:val="24"/>
              </w:rPr>
            </w:pPr>
            <w:r w:rsidRPr="00465E6E">
              <w:rPr>
                <w:iCs/>
                <w:color w:val="000000"/>
                <w:szCs w:val="24"/>
              </w:rPr>
              <w:t>0.45</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tcPr>
          <w:p w:rsidR="003014CA" w:rsidRPr="00465E6E" w:rsidRDefault="003014CA" w:rsidP="003014CA">
            <w:pPr>
              <w:spacing w:after="120" w:line="240" w:lineRule="auto"/>
              <w:jc w:val="center"/>
              <w:rPr>
                <w:color w:val="000000"/>
                <w:szCs w:val="24"/>
              </w:rPr>
            </w:pPr>
            <w:r w:rsidRPr="00465E6E">
              <w:rPr>
                <w:color w:val="000000"/>
                <w:szCs w:val="24"/>
              </w:rPr>
              <w:t>N</w:t>
            </w:r>
          </w:p>
        </w:tc>
      </w:tr>
      <w:tr w:rsidR="003014CA" w:rsidTr="00BF10FA">
        <w:tc>
          <w:tcPr>
            <w:tcW w:w="3440" w:type="dxa"/>
            <w:tcBorders>
              <w:top w:val="nil"/>
              <w:left w:val="nil"/>
              <w:bottom w:val="nil"/>
              <w:right w:val="nil"/>
            </w:tcBorders>
            <w:vAlign w:val="center"/>
          </w:tcPr>
          <w:p w:rsidR="003014CA" w:rsidRPr="00465E6E" w:rsidRDefault="003014CA" w:rsidP="003014CA">
            <w:pPr>
              <w:spacing w:after="120" w:line="240" w:lineRule="auto"/>
              <w:rPr>
                <w:color w:val="000000"/>
                <w:szCs w:val="24"/>
              </w:rPr>
            </w:pPr>
            <w:r w:rsidRPr="00465E6E">
              <w:rPr>
                <w:color w:val="000000"/>
                <w:szCs w:val="24"/>
              </w:rPr>
              <w:t>Murray-Darling rainbowfish</w:t>
            </w:r>
          </w:p>
        </w:tc>
        <w:tc>
          <w:tcPr>
            <w:tcW w:w="1015" w:type="dxa"/>
            <w:tcBorders>
              <w:top w:val="nil"/>
              <w:left w:val="nil"/>
              <w:bottom w:val="nil"/>
              <w:right w:val="nil"/>
            </w:tcBorders>
            <w:vAlign w:val="center"/>
          </w:tcPr>
          <w:p w:rsidR="003014CA" w:rsidRPr="00465E6E" w:rsidRDefault="003014CA" w:rsidP="003014CA">
            <w:pPr>
              <w:spacing w:after="120" w:line="240" w:lineRule="auto"/>
              <w:jc w:val="center"/>
              <w:rPr>
                <w:iCs/>
                <w:color w:val="000000"/>
                <w:szCs w:val="24"/>
              </w:rPr>
            </w:pPr>
            <w:r w:rsidRPr="00465E6E">
              <w:rPr>
                <w:iCs/>
                <w:color w:val="000000"/>
                <w:szCs w:val="24"/>
              </w:rPr>
              <w:t>0.45</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tcPr>
          <w:p w:rsidR="003014CA" w:rsidRPr="00465E6E" w:rsidRDefault="003014CA" w:rsidP="003014CA">
            <w:pPr>
              <w:spacing w:after="120" w:line="240" w:lineRule="auto"/>
              <w:jc w:val="center"/>
              <w:rPr>
                <w:color w:val="000000"/>
                <w:szCs w:val="24"/>
              </w:rPr>
            </w:pPr>
            <w:r w:rsidRPr="00465E6E">
              <w:rPr>
                <w:color w:val="000000"/>
                <w:szCs w:val="24"/>
              </w:rPr>
              <w:t>Y</w:t>
            </w:r>
          </w:p>
        </w:tc>
      </w:tr>
      <w:tr w:rsidR="003014CA" w:rsidTr="00BF10FA">
        <w:tc>
          <w:tcPr>
            <w:tcW w:w="3440" w:type="dxa"/>
            <w:tcBorders>
              <w:top w:val="nil"/>
              <w:left w:val="nil"/>
              <w:bottom w:val="nil"/>
              <w:right w:val="nil"/>
            </w:tcBorders>
            <w:vAlign w:val="center"/>
          </w:tcPr>
          <w:p w:rsidR="003014CA" w:rsidRPr="00465E6E" w:rsidRDefault="003014CA" w:rsidP="003014CA">
            <w:pPr>
              <w:spacing w:after="120" w:line="240" w:lineRule="auto"/>
              <w:rPr>
                <w:color w:val="000000"/>
                <w:szCs w:val="24"/>
              </w:rPr>
            </w:pPr>
            <w:r w:rsidRPr="00465E6E">
              <w:rPr>
                <w:color w:val="000000"/>
                <w:szCs w:val="24"/>
              </w:rPr>
              <w:t>olive perchlet</w:t>
            </w:r>
          </w:p>
        </w:tc>
        <w:tc>
          <w:tcPr>
            <w:tcW w:w="1015" w:type="dxa"/>
            <w:tcBorders>
              <w:top w:val="nil"/>
              <w:left w:val="nil"/>
              <w:bottom w:val="nil"/>
              <w:right w:val="nil"/>
            </w:tcBorders>
            <w:vAlign w:val="center"/>
          </w:tcPr>
          <w:p w:rsidR="003014CA" w:rsidRPr="00465E6E" w:rsidRDefault="003014CA" w:rsidP="003014CA">
            <w:pPr>
              <w:spacing w:after="120" w:line="240" w:lineRule="auto"/>
              <w:jc w:val="center"/>
              <w:rPr>
                <w:iCs/>
                <w:color w:val="000000"/>
                <w:szCs w:val="24"/>
              </w:rPr>
            </w:pPr>
            <w:r w:rsidRPr="00465E6E">
              <w:rPr>
                <w:iCs/>
                <w:color w:val="000000"/>
                <w:szCs w:val="24"/>
              </w:rPr>
              <w:t>0.45</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tcPr>
          <w:p w:rsidR="003014CA" w:rsidRPr="00465E6E" w:rsidRDefault="003014CA" w:rsidP="003014CA">
            <w:pPr>
              <w:spacing w:after="120" w:line="240" w:lineRule="auto"/>
              <w:jc w:val="center"/>
              <w:rPr>
                <w:color w:val="000000"/>
                <w:szCs w:val="24"/>
              </w:rPr>
            </w:pPr>
            <w:r w:rsidRPr="00465E6E">
              <w:rPr>
                <w:color w:val="000000"/>
                <w:szCs w:val="24"/>
              </w:rPr>
              <w:t>N</w:t>
            </w:r>
          </w:p>
        </w:tc>
      </w:tr>
      <w:tr w:rsidR="003014CA" w:rsidTr="00BF10FA">
        <w:tc>
          <w:tcPr>
            <w:tcW w:w="3440" w:type="dxa"/>
            <w:tcBorders>
              <w:top w:val="nil"/>
              <w:left w:val="nil"/>
              <w:bottom w:val="nil"/>
              <w:right w:val="nil"/>
            </w:tcBorders>
            <w:vAlign w:val="center"/>
          </w:tcPr>
          <w:p w:rsidR="003014CA" w:rsidRPr="00465E6E" w:rsidRDefault="003014CA" w:rsidP="003014CA">
            <w:pPr>
              <w:spacing w:after="120" w:line="240" w:lineRule="auto"/>
              <w:rPr>
                <w:color w:val="000000"/>
                <w:szCs w:val="24"/>
              </w:rPr>
            </w:pPr>
            <w:r w:rsidRPr="00465E6E">
              <w:rPr>
                <w:color w:val="000000"/>
                <w:szCs w:val="24"/>
              </w:rPr>
              <w:t>river blackfish</w:t>
            </w:r>
          </w:p>
        </w:tc>
        <w:tc>
          <w:tcPr>
            <w:tcW w:w="1015" w:type="dxa"/>
            <w:tcBorders>
              <w:top w:val="nil"/>
              <w:left w:val="nil"/>
              <w:bottom w:val="nil"/>
              <w:right w:val="nil"/>
            </w:tcBorders>
            <w:vAlign w:val="center"/>
          </w:tcPr>
          <w:p w:rsidR="003014CA" w:rsidRPr="00465E6E" w:rsidRDefault="003014CA" w:rsidP="003014CA">
            <w:pPr>
              <w:spacing w:after="120" w:line="240" w:lineRule="auto"/>
              <w:jc w:val="center"/>
              <w:rPr>
                <w:iCs/>
                <w:color w:val="000000"/>
                <w:szCs w:val="24"/>
              </w:rPr>
            </w:pPr>
            <w:r w:rsidRPr="00465E6E">
              <w:rPr>
                <w:iCs/>
                <w:color w:val="000000"/>
                <w:szCs w:val="24"/>
              </w:rPr>
              <w:t>0.45</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tcPr>
          <w:p w:rsidR="003014CA" w:rsidRPr="00465E6E" w:rsidRDefault="003014CA" w:rsidP="003014CA">
            <w:pPr>
              <w:spacing w:after="120" w:line="240" w:lineRule="auto"/>
              <w:jc w:val="center"/>
              <w:rPr>
                <w:color w:val="000000"/>
                <w:szCs w:val="24"/>
              </w:rPr>
            </w:pPr>
            <w:r w:rsidRPr="00465E6E">
              <w:rPr>
                <w:color w:val="000000"/>
                <w:szCs w:val="24"/>
              </w:rPr>
              <w:t>N</w:t>
            </w:r>
          </w:p>
        </w:tc>
      </w:tr>
      <w:tr w:rsidR="003014CA" w:rsidTr="00BF10FA">
        <w:tc>
          <w:tcPr>
            <w:tcW w:w="3440" w:type="dxa"/>
            <w:tcBorders>
              <w:top w:val="nil"/>
              <w:left w:val="nil"/>
              <w:bottom w:val="nil"/>
              <w:right w:val="nil"/>
            </w:tcBorders>
            <w:vAlign w:val="center"/>
          </w:tcPr>
          <w:p w:rsidR="003014CA" w:rsidRPr="00465E6E" w:rsidRDefault="003014CA" w:rsidP="003014CA">
            <w:pPr>
              <w:spacing w:after="120" w:line="240" w:lineRule="auto"/>
              <w:rPr>
                <w:color w:val="000000"/>
                <w:szCs w:val="24"/>
              </w:rPr>
            </w:pPr>
            <w:r w:rsidRPr="00465E6E">
              <w:rPr>
                <w:color w:val="000000"/>
                <w:szCs w:val="24"/>
              </w:rPr>
              <w:t>shortheaded lamprey</w:t>
            </w:r>
          </w:p>
        </w:tc>
        <w:tc>
          <w:tcPr>
            <w:tcW w:w="1015" w:type="dxa"/>
            <w:tcBorders>
              <w:top w:val="nil"/>
              <w:left w:val="nil"/>
              <w:bottom w:val="nil"/>
              <w:right w:val="nil"/>
            </w:tcBorders>
            <w:vAlign w:val="center"/>
          </w:tcPr>
          <w:p w:rsidR="003014CA" w:rsidRPr="00465E6E" w:rsidRDefault="003014CA" w:rsidP="003014CA">
            <w:pPr>
              <w:spacing w:after="120" w:line="240" w:lineRule="auto"/>
              <w:jc w:val="center"/>
              <w:rPr>
                <w:iCs/>
                <w:color w:val="000000"/>
                <w:szCs w:val="24"/>
              </w:rPr>
            </w:pPr>
            <w:r w:rsidRPr="00465E6E">
              <w:rPr>
                <w:iCs/>
                <w:color w:val="000000"/>
                <w:szCs w:val="24"/>
              </w:rPr>
              <w:t>0.10</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tcPr>
          <w:p w:rsidR="003014CA" w:rsidRPr="00465E6E" w:rsidRDefault="003014CA" w:rsidP="003014CA">
            <w:pPr>
              <w:spacing w:after="120" w:line="240" w:lineRule="auto"/>
              <w:jc w:val="center"/>
              <w:rPr>
                <w:color w:val="000000"/>
                <w:szCs w:val="24"/>
              </w:rPr>
            </w:pPr>
            <w:r w:rsidRPr="00465E6E">
              <w:rPr>
                <w:color w:val="000000"/>
                <w:szCs w:val="24"/>
              </w:rPr>
              <w:t>N</w:t>
            </w:r>
          </w:p>
        </w:tc>
      </w:tr>
      <w:tr w:rsidR="003014CA" w:rsidTr="00BF10FA">
        <w:tc>
          <w:tcPr>
            <w:tcW w:w="3440" w:type="dxa"/>
            <w:tcBorders>
              <w:top w:val="nil"/>
              <w:left w:val="nil"/>
              <w:bottom w:val="nil"/>
              <w:right w:val="nil"/>
            </w:tcBorders>
            <w:vAlign w:val="center"/>
          </w:tcPr>
          <w:p w:rsidR="003014CA" w:rsidRPr="00465E6E" w:rsidRDefault="003014CA" w:rsidP="003014CA">
            <w:pPr>
              <w:spacing w:after="120" w:line="240" w:lineRule="auto"/>
              <w:rPr>
                <w:color w:val="000000"/>
                <w:szCs w:val="24"/>
              </w:rPr>
            </w:pPr>
            <w:r w:rsidRPr="00465E6E">
              <w:rPr>
                <w:color w:val="000000"/>
                <w:szCs w:val="24"/>
              </w:rPr>
              <w:t>silver perch</w:t>
            </w:r>
          </w:p>
        </w:tc>
        <w:tc>
          <w:tcPr>
            <w:tcW w:w="1015" w:type="dxa"/>
            <w:tcBorders>
              <w:top w:val="nil"/>
              <w:left w:val="nil"/>
              <w:bottom w:val="nil"/>
              <w:right w:val="nil"/>
            </w:tcBorders>
            <w:vAlign w:val="center"/>
          </w:tcPr>
          <w:p w:rsidR="003014CA" w:rsidRPr="00465E6E" w:rsidRDefault="003014CA" w:rsidP="003014CA">
            <w:pPr>
              <w:spacing w:after="120" w:line="240" w:lineRule="auto"/>
              <w:jc w:val="center"/>
              <w:rPr>
                <w:iCs/>
                <w:color w:val="000000"/>
                <w:szCs w:val="24"/>
              </w:rPr>
            </w:pPr>
            <w:r w:rsidRPr="00465E6E">
              <w:rPr>
                <w:iCs/>
                <w:color w:val="000000"/>
                <w:szCs w:val="24"/>
              </w:rPr>
              <w:t>0.85</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tcPr>
          <w:p w:rsidR="003014CA" w:rsidRPr="00465E6E" w:rsidRDefault="003014CA" w:rsidP="003014CA">
            <w:pPr>
              <w:spacing w:after="120" w:line="240" w:lineRule="auto"/>
              <w:jc w:val="center"/>
              <w:rPr>
                <w:color w:val="000000"/>
                <w:szCs w:val="24"/>
              </w:rPr>
            </w:pPr>
            <w:r w:rsidRPr="00465E6E">
              <w:rPr>
                <w:color w:val="000000"/>
                <w:szCs w:val="24"/>
              </w:rPr>
              <w:t>Y</w:t>
            </w:r>
          </w:p>
        </w:tc>
      </w:tr>
      <w:tr w:rsidR="003014CA" w:rsidTr="00BF10FA">
        <w:tc>
          <w:tcPr>
            <w:tcW w:w="3440" w:type="dxa"/>
            <w:tcBorders>
              <w:top w:val="nil"/>
              <w:left w:val="nil"/>
              <w:bottom w:val="nil"/>
              <w:right w:val="nil"/>
            </w:tcBorders>
            <w:vAlign w:val="center"/>
          </w:tcPr>
          <w:p w:rsidR="003014CA" w:rsidRPr="00465E6E" w:rsidRDefault="003014CA" w:rsidP="003014CA">
            <w:pPr>
              <w:spacing w:after="120" w:line="240" w:lineRule="auto"/>
              <w:rPr>
                <w:color w:val="000000"/>
                <w:szCs w:val="24"/>
              </w:rPr>
            </w:pPr>
            <w:r w:rsidRPr="00465E6E">
              <w:rPr>
                <w:color w:val="000000"/>
                <w:szCs w:val="24"/>
              </w:rPr>
              <w:t>southern purple spotted gudgeon</w:t>
            </w:r>
          </w:p>
        </w:tc>
        <w:tc>
          <w:tcPr>
            <w:tcW w:w="1015" w:type="dxa"/>
            <w:tcBorders>
              <w:top w:val="nil"/>
              <w:left w:val="nil"/>
              <w:bottom w:val="nil"/>
              <w:right w:val="nil"/>
            </w:tcBorders>
            <w:vAlign w:val="center"/>
          </w:tcPr>
          <w:p w:rsidR="003014CA" w:rsidRPr="00465E6E" w:rsidRDefault="003014CA" w:rsidP="003014CA">
            <w:pPr>
              <w:spacing w:after="120" w:line="240" w:lineRule="auto"/>
              <w:jc w:val="center"/>
              <w:rPr>
                <w:iCs/>
                <w:color w:val="000000"/>
                <w:szCs w:val="24"/>
              </w:rPr>
            </w:pPr>
            <w:r w:rsidRPr="00465E6E">
              <w:rPr>
                <w:iCs/>
                <w:color w:val="000000"/>
                <w:szCs w:val="24"/>
              </w:rPr>
              <w:t>0.45</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tcPr>
          <w:p w:rsidR="003014CA" w:rsidRPr="00465E6E" w:rsidRDefault="003014CA" w:rsidP="003014CA">
            <w:pPr>
              <w:spacing w:after="120" w:line="240" w:lineRule="auto"/>
              <w:jc w:val="center"/>
              <w:rPr>
                <w:color w:val="000000"/>
                <w:szCs w:val="24"/>
              </w:rPr>
            </w:pPr>
            <w:r w:rsidRPr="00465E6E">
              <w:rPr>
                <w:color w:val="000000"/>
                <w:szCs w:val="24"/>
              </w:rPr>
              <w:t>N</w:t>
            </w:r>
          </w:p>
        </w:tc>
      </w:tr>
      <w:tr w:rsidR="003014CA" w:rsidTr="00BF10FA">
        <w:tc>
          <w:tcPr>
            <w:tcW w:w="3440" w:type="dxa"/>
            <w:tcBorders>
              <w:top w:val="nil"/>
              <w:left w:val="nil"/>
              <w:bottom w:val="nil"/>
              <w:right w:val="nil"/>
            </w:tcBorders>
            <w:vAlign w:val="center"/>
          </w:tcPr>
          <w:p w:rsidR="003014CA" w:rsidRPr="00465E6E" w:rsidRDefault="003014CA" w:rsidP="003014CA">
            <w:pPr>
              <w:spacing w:after="120" w:line="240" w:lineRule="auto"/>
              <w:rPr>
                <w:color w:val="000000"/>
                <w:szCs w:val="24"/>
              </w:rPr>
            </w:pPr>
            <w:r w:rsidRPr="00465E6E">
              <w:rPr>
                <w:color w:val="000000"/>
                <w:szCs w:val="24"/>
              </w:rPr>
              <w:t>southern pygmy perch</w:t>
            </w:r>
          </w:p>
        </w:tc>
        <w:tc>
          <w:tcPr>
            <w:tcW w:w="1015" w:type="dxa"/>
            <w:tcBorders>
              <w:top w:val="nil"/>
              <w:left w:val="nil"/>
              <w:bottom w:val="nil"/>
              <w:right w:val="nil"/>
            </w:tcBorders>
            <w:vAlign w:val="center"/>
          </w:tcPr>
          <w:p w:rsidR="003014CA" w:rsidRPr="00465E6E" w:rsidRDefault="003014CA" w:rsidP="003014CA">
            <w:pPr>
              <w:spacing w:after="120" w:line="240" w:lineRule="auto"/>
              <w:jc w:val="center"/>
              <w:rPr>
                <w:iCs/>
                <w:color w:val="000000"/>
                <w:szCs w:val="24"/>
              </w:rPr>
            </w:pPr>
            <w:r w:rsidRPr="00465E6E">
              <w:rPr>
                <w:iCs/>
                <w:color w:val="000000"/>
                <w:szCs w:val="24"/>
              </w:rPr>
              <w:t>0.45</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tcPr>
          <w:p w:rsidR="003014CA" w:rsidRPr="00465E6E" w:rsidRDefault="003014CA" w:rsidP="003014CA">
            <w:pPr>
              <w:spacing w:after="120" w:line="240" w:lineRule="auto"/>
              <w:jc w:val="center"/>
              <w:rPr>
                <w:color w:val="000000"/>
                <w:szCs w:val="24"/>
              </w:rPr>
            </w:pPr>
            <w:r w:rsidRPr="00465E6E">
              <w:rPr>
                <w:color w:val="000000"/>
                <w:szCs w:val="24"/>
              </w:rPr>
              <w:t>N</w:t>
            </w:r>
          </w:p>
        </w:tc>
      </w:tr>
      <w:tr w:rsidR="003014CA" w:rsidTr="00BF10FA">
        <w:tc>
          <w:tcPr>
            <w:tcW w:w="3440" w:type="dxa"/>
            <w:tcBorders>
              <w:top w:val="nil"/>
              <w:left w:val="nil"/>
              <w:bottom w:val="nil"/>
              <w:right w:val="nil"/>
            </w:tcBorders>
            <w:vAlign w:val="center"/>
          </w:tcPr>
          <w:p w:rsidR="003014CA" w:rsidRPr="00465E6E" w:rsidRDefault="003014CA" w:rsidP="003014CA">
            <w:pPr>
              <w:spacing w:after="120" w:line="240" w:lineRule="auto"/>
              <w:rPr>
                <w:color w:val="000000"/>
                <w:szCs w:val="24"/>
              </w:rPr>
            </w:pPr>
            <w:r w:rsidRPr="00465E6E">
              <w:rPr>
                <w:color w:val="000000"/>
                <w:szCs w:val="24"/>
              </w:rPr>
              <w:t>trout cod</w:t>
            </w:r>
          </w:p>
        </w:tc>
        <w:tc>
          <w:tcPr>
            <w:tcW w:w="1015" w:type="dxa"/>
            <w:tcBorders>
              <w:top w:val="nil"/>
              <w:left w:val="nil"/>
              <w:bottom w:val="nil"/>
              <w:right w:val="nil"/>
            </w:tcBorders>
            <w:vAlign w:val="center"/>
          </w:tcPr>
          <w:p w:rsidR="003014CA" w:rsidRPr="00465E6E" w:rsidRDefault="003014CA" w:rsidP="003014CA">
            <w:pPr>
              <w:spacing w:after="120" w:line="240" w:lineRule="auto"/>
              <w:jc w:val="center"/>
              <w:rPr>
                <w:iCs/>
                <w:color w:val="000000"/>
                <w:szCs w:val="24"/>
              </w:rPr>
            </w:pPr>
            <w:r w:rsidRPr="00465E6E">
              <w:rPr>
                <w:iCs/>
                <w:color w:val="000000"/>
                <w:szCs w:val="24"/>
              </w:rPr>
              <w:t>0.10</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N</w:t>
            </w:r>
          </w:p>
        </w:tc>
        <w:tc>
          <w:tcPr>
            <w:tcW w:w="816" w:type="dxa"/>
            <w:tcBorders>
              <w:top w:val="nil"/>
              <w:left w:val="nil"/>
              <w:bottom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bottom w:val="nil"/>
              <w:right w:val="nil"/>
            </w:tcBorders>
          </w:tcPr>
          <w:p w:rsidR="003014CA" w:rsidRPr="00465E6E" w:rsidRDefault="003014CA" w:rsidP="003014CA">
            <w:pPr>
              <w:spacing w:after="120" w:line="240" w:lineRule="auto"/>
              <w:jc w:val="center"/>
              <w:rPr>
                <w:color w:val="000000"/>
                <w:szCs w:val="24"/>
              </w:rPr>
            </w:pPr>
            <w:r w:rsidRPr="00465E6E">
              <w:rPr>
                <w:color w:val="000000"/>
                <w:szCs w:val="24"/>
              </w:rPr>
              <w:t>Y</w:t>
            </w:r>
          </w:p>
        </w:tc>
      </w:tr>
      <w:tr w:rsidR="003014CA" w:rsidTr="00BF10FA">
        <w:tc>
          <w:tcPr>
            <w:tcW w:w="3440" w:type="dxa"/>
            <w:tcBorders>
              <w:top w:val="nil"/>
              <w:left w:val="nil"/>
              <w:right w:val="nil"/>
            </w:tcBorders>
            <w:vAlign w:val="center"/>
          </w:tcPr>
          <w:p w:rsidR="003014CA" w:rsidRPr="00465E6E" w:rsidRDefault="003014CA" w:rsidP="003014CA">
            <w:pPr>
              <w:spacing w:after="120" w:line="240" w:lineRule="auto"/>
              <w:rPr>
                <w:color w:val="000000"/>
                <w:szCs w:val="24"/>
              </w:rPr>
            </w:pPr>
            <w:r w:rsidRPr="00465E6E">
              <w:rPr>
                <w:color w:val="000000"/>
                <w:szCs w:val="24"/>
              </w:rPr>
              <w:t>un-specked hardyhead</w:t>
            </w:r>
          </w:p>
        </w:tc>
        <w:tc>
          <w:tcPr>
            <w:tcW w:w="1015" w:type="dxa"/>
            <w:tcBorders>
              <w:top w:val="nil"/>
              <w:left w:val="nil"/>
              <w:right w:val="nil"/>
            </w:tcBorders>
            <w:vAlign w:val="center"/>
          </w:tcPr>
          <w:p w:rsidR="003014CA" w:rsidRPr="00465E6E" w:rsidRDefault="003014CA" w:rsidP="003014CA">
            <w:pPr>
              <w:spacing w:after="120" w:line="240" w:lineRule="auto"/>
              <w:jc w:val="center"/>
              <w:rPr>
                <w:iCs/>
                <w:color w:val="000000"/>
                <w:szCs w:val="24"/>
              </w:rPr>
            </w:pPr>
            <w:r w:rsidRPr="00465E6E">
              <w:rPr>
                <w:iCs/>
                <w:color w:val="000000"/>
                <w:szCs w:val="24"/>
              </w:rPr>
              <w:t>0.45</w:t>
            </w:r>
          </w:p>
        </w:tc>
        <w:tc>
          <w:tcPr>
            <w:tcW w:w="816" w:type="dxa"/>
            <w:tcBorders>
              <w:top w:val="nil"/>
              <w:left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right w:val="nil"/>
            </w:tcBorders>
            <w:vAlign w:val="center"/>
          </w:tcPr>
          <w:p w:rsidR="003014CA" w:rsidRPr="00465E6E" w:rsidRDefault="003014CA" w:rsidP="003014CA">
            <w:pPr>
              <w:spacing w:after="120" w:line="240" w:lineRule="auto"/>
              <w:jc w:val="center"/>
              <w:rPr>
                <w:color w:val="000000"/>
                <w:szCs w:val="24"/>
              </w:rPr>
            </w:pPr>
            <w:r w:rsidRPr="00465E6E">
              <w:rPr>
                <w:color w:val="000000"/>
                <w:szCs w:val="24"/>
              </w:rPr>
              <w:t>Y</w:t>
            </w:r>
          </w:p>
        </w:tc>
        <w:tc>
          <w:tcPr>
            <w:tcW w:w="816" w:type="dxa"/>
            <w:tcBorders>
              <w:top w:val="nil"/>
              <w:left w:val="nil"/>
              <w:right w:val="nil"/>
            </w:tcBorders>
          </w:tcPr>
          <w:p w:rsidR="003014CA" w:rsidRPr="00465E6E" w:rsidRDefault="003014CA" w:rsidP="003014CA">
            <w:pPr>
              <w:spacing w:after="120" w:line="240" w:lineRule="auto"/>
              <w:jc w:val="center"/>
              <w:rPr>
                <w:color w:val="000000"/>
                <w:szCs w:val="24"/>
              </w:rPr>
            </w:pPr>
            <w:r w:rsidRPr="00465E6E">
              <w:rPr>
                <w:color w:val="000000"/>
                <w:szCs w:val="24"/>
              </w:rPr>
              <w:t>Y</w:t>
            </w:r>
          </w:p>
        </w:tc>
      </w:tr>
    </w:tbl>
    <w:p w:rsidR="003014CA" w:rsidRDefault="003014CA" w:rsidP="003014CA">
      <w:r>
        <w:rPr>
          <w:noProof/>
          <w:lang w:eastAsia="en-AU"/>
        </w:rPr>
        <w:drawing>
          <wp:inline distT="0" distB="0" distL="0" distR="0">
            <wp:extent cx="5802412" cy="7042245"/>
            <wp:effectExtent l="0" t="0" r="825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cstate="screen"/>
                    <a:srcRect/>
                    <a:stretch/>
                  </pic:blipFill>
                  <pic:spPr bwMode="auto">
                    <a:xfrm>
                      <a:off x="0" y="0"/>
                      <a:ext cx="5804152" cy="704435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014CA" w:rsidRPr="00FB36B5" w:rsidRDefault="003014CA" w:rsidP="003014CA">
      <w:pPr>
        <w:spacing w:after="240" w:line="240" w:lineRule="auto"/>
        <w:rPr>
          <w:sz w:val="20"/>
        </w:rPr>
      </w:pPr>
      <w:r w:rsidRPr="00FB36B5">
        <w:rPr>
          <w:b/>
          <w:sz w:val="20"/>
        </w:rPr>
        <w:t xml:space="preserve">Figure </w:t>
      </w:r>
      <w:r>
        <w:rPr>
          <w:b/>
          <w:sz w:val="20"/>
        </w:rPr>
        <w:t>9.</w:t>
      </w:r>
      <w:r w:rsidRPr="00FB36B5">
        <w:rPr>
          <w:b/>
          <w:sz w:val="20"/>
        </w:rPr>
        <w:t>2</w:t>
      </w:r>
      <w:r w:rsidRPr="00FB36B5">
        <w:rPr>
          <w:sz w:val="20"/>
        </w:rPr>
        <w:t>. Catch per site (mean ± SE) of fish sampled in the Edward-Wakool river system from 19 in-channel sites that were sampled in 2015. Juveniles and non-juveniles were defined based o</w:t>
      </w:r>
      <w:r>
        <w:rPr>
          <w:sz w:val="20"/>
        </w:rPr>
        <w:t>n</w:t>
      </w:r>
      <w:r w:rsidR="00294EA4">
        <w:rPr>
          <w:sz w:val="20"/>
        </w:rPr>
        <w:t xml:space="preserve"> the length cut-offs in Table 9</w:t>
      </w:r>
      <w:r>
        <w:rPr>
          <w:sz w:val="20"/>
        </w:rPr>
        <w:t>.2</w:t>
      </w:r>
      <w:r w:rsidRPr="00FB36B5">
        <w:rPr>
          <w:sz w:val="20"/>
        </w:rPr>
        <w:t>.</w:t>
      </w:r>
    </w:p>
    <w:p w:rsidR="003014CA" w:rsidRDefault="003014CA" w:rsidP="003014CA"/>
    <w:p w:rsidR="003014CA" w:rsidRDefault="003014CA" w:rsidP="003014CA">
      <w:r>
        <w:rPr>
          <w:noProof/>
          <w:lang w:eastAsia="en-AU"/>
        </w:rPr>
        <w:drawing>
          <wp:inline distT="0" distB="0" distL="0" distR="0">
            <wp:extent cx="5786493" cy="7055893"/>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cstate="screen"/>
                    <a:srcRect/>
                    <a:stretch/>
                  </pic:blipFill>
                  <pic:spPr bwMode="auto">
                    <a:xfrm>
                      <a:off x="0" y="0"/>
                      <a:ext cx="5791365" cy="70618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014CA" w:rsidRPr="00FB36B5" w:rsidRDefault="003014CA" w:rsidP="003014CA">
      <w:pPr>
        <w:spacing w:after="240" w:line="240" w:lineRule="auto"/>
        <w:rPr>
          <w:sz w:val="20"/>
        </w:rPr>
      </w:pPr>
      <w:r w:rsidRPr="00FB36B5">
        <w:rPr>
          <w:b/>
          <w:sz w:val="20"/>
        </w:rPr>
        <w:t xml:space="preserve">Figure </w:t>
      </w:r>
      <w:r>
        <w:rPr>
          <w:b/>
          <w:sz w:val="20"/>
        </w:rPr>
        <w:t>9.</w:t>
      </w:r>
      <w:r w:rsidRPr="00FB36B5">
        <w:rPr>
          <w:b/>
          <w:sz w:val="20"/>
        </w:rPr>
        <w:t>3.</w:t>
      </w:r>
      <w:r w:rsidRPr="00FB36B5">
        <w:rPr>
          <w:sz w:val="20"/>
        </w:rPr>
        <w:t xml:space="preserve"> Biomass per site (g; mean ± SE) of fish sampled in the Edward-Wakool river system from 19 in-channel sites that were sampled in 2015.</w:t>
      </w:r>
    </w:p>
    <w:p w:rsidR="003014CA" w:rsidRDefault="003014CA" w:rsidP="003014CA">
      <w:pPr>
        <w:rPr>
          <w:i/>
          <w:szCs w:val="24"/>
        </w:rPr>
      </w:pPr>
    </w:p>
    <w:p w:rsidR="00ED6D80" w:rsidRDefault="00ED6D80">
      <w:pPr>
        <w:spacing w:after="0" w:line="240" w:lineRule="auto"/>
        <w:jc w:val="left"/>
        <w:rPr>
          <w:i/>
          <w:szCs w:val="24"/>
        </w:rPr>
      </w:pPr>
      <w:r>
        <w:rPr>
          <w:i/>
          <w:szCs w:val="24"/>
        </w:rPr>
        <w:br w:type="page"/>
      </w:r>
    </w:p>
    <w:p w:rsidR="003014CA" w:rsidRPr="000B5BA6" w:rsidRDefault="003014CA" w:rsidP="003014CA">
      <w:pPr>
        <w:spacing w:after="120"/>
        <w:jc w:val="left"/>
        <w:rPr>
          <w:i/>
          <w:szCs w:val="24"/>
        </w:rPr>
      </w:pPr>
      <w:r w:rsidRPr="000B5BA6">
        <w:rPr>
          <w:i/>
          <w:szCs w:val="24"/>
        </w:rPr>
        <w:t>2010–</w:t>
      </w:r>
      <w:r>
        <w:rPr>
          <w:i/>
          <w:szCs w:val="24"/>
        </w:rPr>
        <w:t>2015 comparison</w:t>
      </w:r>
    </w:p>
    <w:p w:rsidR="003014CA" w:rsidRDefault="003014CA" w:rsidP="00294EA4">
      <w:pPr>
        <w:spacing w:after="120"/>
        <w:jc w:val="left"/>
        <w:rPr>
          <w:szCs w:val="24"/>
        </w:rPr>
      </w:pPr>
      <w:r>
        <w:rPr>
          <w:szCs w:val="24"/>
        </w:rPr>
        <w:t xml:space="preserve">The fish community assemblage differed significantly in abundance among years (2010–2015 inclusive; </w:t>
      </w:r>
      <w:r w:rsidRPr="006407CC">
        <w:rPr>
          <w:i/>
          <w:szCs w:val="24"/>
        </w:rPr>
        <w:t>Pseudo-F</w:t>
      </w:r>
      <w:r>
        <w:rPr>
          <w:i/>
          <w:szCs w:val="24"/>
          <w:vertAlign w:val="subscript"/>
        </w:rPr>
        <w:t>5</w:t>
      </w:r>
      <w:proofErr w:type="gramStart"/>
      <w:r w:rsidRPr="006407CC">
        <w:rPr>
          <w:szCs w:val="24"/>
          <w:vertAlign w:val="subscript"/>
        </w:rPr>
        <w:t>,</w:t>
      </w:r>
      <w:r>
        <w:rPr>
          <w:szCs w:val="24"/>
          <w:vertAlign w:val="subscript"/>
        </w:rPr>
        <w:t>108</w:t>
      </w:r>
      <w:proofErr w:type="gramEnd"/>
      <w:r>
        <w:rPr>
          <w:szCs w:val="24"/>
        </w:rPr>
        <w:t xml:space="preserve"> = 8.058, </w:t>
      </w:r>
      <w:r w:rsidRPr="006407CC">
        <w:rPr>
          <w:i/>
          <w:szCs w:val="24"/>
        </w:rPr>
        <w:t>P</w:t>
      </w:r>
      <w:r>
        <w:rPr>
          <w:szCs w:val="24"/>
        </w:rPr>
        <w:t xml:space="preserve"> &lt;0.001; Figure </w:t>
      </w:r>
      <w:r w:rsidR="00294EA4">
        <w:rPr>
          <w:szCs w:val="24"/>
        </w:rPr>
        <w:t>9</w:t>
      </w:r>
      <w:r>
        <w:rPr>
          <w:szCs w:val="24"/>
        </w:rPr>
        <w:t>.4), although pair-wise tests indicated that the community assemblage was not significantly different between 2014 and 2015 (</w:t>
      </w:r>
      <w:r w:rsidRPr="002B1F58">
        <w:rPr>
          <w:i/>
          <w:szCs w:val="24"/>
        </w:rPr>
        <w:t>t</w:t>
      </w:r>
      <w:r>
        <w:rPr>
          <w:szCs w:val="24"/>
        </w:rPr>
        <w:t xml:space="preserve">=1.404, </w:t>
      </w:r>
      <w:r w:rsidRPr="002B1F58">
        <w:rPr>
          <w:i/>
          <w:szCs w:val="24"/>
        </w:rPr>
        <w:t>P</w:t>
      </w:r>
      <w:r>
        <w:rPr>
          <w:szCs w:val="24"/>
        </w:rPr>
        <w:t xml:space="preserve">=0.085). </w:t>
      </w:r>
      <w:r w:rsidRPr="00FC3477">
        <w:rPr>
          <w:szCs w:val="24"/>
        </w:rPr>
        <w:t xml:space="preserve">Biomass of the community assemblage was significantly different among </w:t>
      </w:r>
      <w:r>
        <w:rPr>
          <w:szCs w:val="24"/>
        </w:rPr>
        <w:t>years</w:t>
      </w:r>
      <w:r w:rsidRPr="00FC3477">
        <w:rPr>
          <w:szCs w:val="24"/>
        </w:rPr>
        <w:t xml:space="preserve"> (</w:t>
      </w:r>
      <w:r>
        <w:rPr>
          <w:szCs w:val="24"/>
        </w:rPr>
        <w:t xml:space="preserve">2010–2015 inclusive; </w:t>
      </w:r>
      <w:r w:rsidRPr="00FC3477">
        <w:rPr>
          <w:i/>
          <w:szCs w:val="24"/>
        </w:rPr>
        <w:t>Pseudo-F</w:t>
      </w:r>
      <w:r w:rsidRPr="00C36C3A">
        <w:rPr>
          <w:i/>
          <w:szCs w:val="24"/>
          <w:vertAlign w:val="subscript"/>
        </w:rPr>
        <w:t>5</w:t>
      </w:r>
      <w:proofErr w:type="gramStart"/>
      <w:r w:rsidRPr="00FC3477">
        <w:rPr>
          <w:szCs w:val="24"/>
          <w:vertAlign w:val="subscript"/>
        </w:rPr>
        <w:t>,1</w:t>
      </w:r>
      <w:r>
        <w:rPr>
          <w:szCs w:val="24"/>
          <w:vertAlign w:val="subscript"/>
        </w:rPr>
        <w:t>0</w:t>
      </w:r>
      <w:r w:rsidRPr="00FC3477">
        <w:rPr>
          <w:szCs w:val="24"/>
          <w:vertAlign w:val="subscript"/>
        </w:rPr>
        <w:t>8</w:t>
      </w:r>
      <w:proofErr w:type="gramEnd"/>
      <w:r w:rsidRPr="00FC3477">
        <w:rPr>
          <w:szCs w:val="24"/>
        </w:rPr>
        <w:t xml:space="preserve"> = </w:t>
      </w:r>
      <w:r>
        <w:rPr>
          <w:szCs w:val="24"/>
        </w:rPr>
        <w:t>5.928</w:t>
      </w:r>
      <w:r w:rsidRPr="00FC3477">
        <w:rPr>
          <w:szCs w:val="24"/>
        </w:rPr>
        <w:t xml:space="preserve">, </w:t>
      </w:r>
      <w:r w:rsidRPr="00FC3477">
        <w:rPr>
          <w:i/>
          <w:szCs w:val="24"/>
        </w:rPr>
        <w:t>P</w:t>
      </w:r>
      <w:r w:rsidRPr="00FC3477">
        <w:rPr>
          <w:szCs w:val="24"/>
        </w:rPr>
        <w:t xml:space="preserve"> &lt; 0.001</w:t>
      </w:r>
      <w:r>
        <w:rPr>
          <w:szCs w:val="24"/>
        </w:rPr>
        <w:t xml:space="preserve">; Figure </w:t>
      </w:r>
      <w:r w:rsidR="00294EA4">
        <w:rPr>
          <w:szCs w:val="24"/>
        </w:rPr>
        <w:t>9</w:t>
      </w:r>
      <w:r>
        <w:rPr>
          <w:szCs w:val="24"/>
        </w:rPr>
        <w:t>.5</w:t>
      </w:r>
      <w:r w:rsidRPr="00FC3477">
        <w:rPr>
          <w:szCs w:val="24"/>
        </w:rPr>
        <w:t xml:space="preserve">). </w:t>
      </w:r>
      <w:r>
        <w:rPr>
          <w:szCs w:val="24"/>
        </w:rPr>
        <w:t>Pair-wise tests indicated that these differences in biomass were significant between 2014 and 2015 (</w:t>
      </w:r>
      <w:r w:rsidRPr="002B1F58">
        <w:rPr>
          <w:i/>
          <w:szCs w:val="24"/>
        </w:rPr>
        <w:t>t</w:t>
      </w:r>
      <w:r>
        <w:rPr>
          <w:szCs w:val="24"/>
        </w:rPr>
        <w:t xml:space="preserve">=1.808, </w:t>
      </w:r>
      <w:r w:rsidRPr="002B1F58">
        <w:rPr>
          <w:i/>
          <w:szCs w:val="24"/>
        </w:rPr>
        <w:t>P</w:t>
      </w:r>
      <w:r>
        <w:rPr>
          <w:szCs w:val="24"/>
        </w:rPr>
        <w:t xml:space="preserve">=0.015). </w:t>
      </w:r>
      <w:r w:rsidRPr="00FC3477">
        <w:rPr>
          <w:szCs w:val="24"/>
        </w:rPr>
        <w:t xml:space="preserve">SIMPER analysis indicated that the differences </w:t>
      </w:r>
      <w:r>
        <w:rPr>
          <w:szCs w:val="24"/>
        </w:rPr>
        <w:t>between 2014 and 2015</w:t>
      </w:r>
      <w:r w:rsidRPr="00FC3477">
        <w:rPr>
          <w:szCs w:val="24"/>
        </w:rPr>
        <w:t xml:space="preserve"> were primarily driven by variability in the biomass of </w:t>
      </w:r>
      <w:r>
        <w:rPr>
          <w:szCs w:val="24"/>
        </w:rPr>
        <w:t xml:space="preserve">golden perch, </w:t>
      </w:r>
      <w:r w:rsidRPr="00FC3477">
        <w:rPr>
          <w:szCs w:val="24"/>
        </w:rPr>
        <w:t xml:space="preserve">Murray cod, </w:t>
      </w:r>
      <w:r>
        <w:rPr>
          <w:szCs w:val="24"/>
        </w:rPr>
        <w:t>goldfish, bony herring and common carp</w:t>
      </w:r>
      <w:r w:rsidRPr="00FC3477">
        <w:rPr>
          <w:szCs w:val="24"/>
        </w:rPr>
        <w:t xml:space="preserve"> (Table </w:t>
      </w:r>
      <w:r w:rsidR="00294EA4">
        <w:rPr>
          <w:szCs w:val="24"/>
        </w:rPr>
        <w:t>9</w:t>
      </w:r>
      <w:r>
        <w:rPr>
          <w:szCs w:val="24"/>
        </w:rPr>
        <w:t>.4</w:t>
      </w:r>
      <w:r w:rsidRPr="00FC3477">
        <w:rPr>
          <w:szCs w:val="24"/>
        </w:rPr>
        <w:t>).</w:t>
      </w:r>
    </w:p>
    <w:p w:rsidR="003014CA" w:rsidRDefault="003014CA" w:rsidP="003014CA">
      <w:pPr>
        <w:spacing w:after="240"/>
        <w:jc w:val="left"/>
        <w:rPr>
          <w:szCs w:val="24"/>
        </w:rPr>
      </w:pPr>
      <w:r>
        <w:rPr>
          <w:szCs w:val="24"/>
        </w:rPr>
        <w:t xml:space="preserve">Sustainable Rivers Audit indices including Expectedness, Recruitment and Overall Condition were highest in 2010 at the commencement of the long-term sampling program. All metrics including Nativeness rated as ‘good’ with the exception of Expectedness which was ‘moderate’ (Table </w:t>
      </w:r>
      <w:r w:rsidR="00294EA4">
        <w:rPr>
          <w:szCs w:val="24"/>
        </w:rPr>
        <w:t>9</w:t>
      </w:r>
      <w:r>
        <w:rPr>
          <w:szCs w:val="24"/>
        </w:rPr>
        <w:t xml:space="preserve">.5). </w:t>
      </w:r>
      <w:r w:rsidRPr="00193E36">
        <w:rPr>
          <w:szCs w:val="24"/>
        </w:rPr>
        <w:t xml:space="preserve">There was a general trend downwards </w:t>
      </w:r>
      <w:r>
        <w:rPr>
          <w:szCs w:val="24"/>
        </w:rPr>
        <w:t xml:space="preserve">to ‘poor’ condition </w:t>
      </w:r>
      <w:r w:rsidRPr="00193E36">
        <w:rPr>
          <w:szCs w:val="24"/>
        </w:rPr>
        <w:t xml:space="preserve">in </w:t>
      </w:r>
      <w:r>
        <w:rPr>
          <w:szCs w:val="24"/>
        </w:rPr>
        <w:t xml:space="preserve">all of </w:t>
      </w:r>
      <w:r w:rsidRPr="00193E36">
        <w:rPr>
          <w:szCs w:val="24"/>
        </w:rPr>
        <w:t>these indices in 2011</w:t>
      </w:r>
      <w:r>
        <w:rPr>
          <w:szCs w:val="24"/>
        </w:rPr>
        <w:t xml:space="preserve"> </w:t>
      </w:r>
      <w:r w:rsidRPr="00193E36">
        <w:rPr>
          <w:szCs w:val="24"/>
        </w:rPr>
        <w:t xml:space="preserve">across </w:t>
      </w:r>
      <w:r>
        <w:rPr>
          <w:szCs w:val="24"/>
        </w:rPr>
        <w:t xml:space="preserve">the Edward-Wakool system, except for Expectedness which </w:t>
      </w:r>
      <w:r w:rsidR="00994F0C">
        <w:rPr>
          <w:szCs w:val="24"/>
        </w:rPr>
        <w:t>remained</w:t>
      </w:r>
      <w:r>
        <w:rPr>
          <w:szCs w:val="24"/>
        </w:rPr>
        <w:t xml:space="preserve"> ‘moderate’ (Table </w:t>
      </w:r>
      <w:r w:rsidR="00294EA4">
        <w:rPr>
          <w:szCs w:val="24"/>
        </w:rPr>
        <w:t>9</w:t>
      </w:r>
      <w:r>
        <w:rPr>
          <w:szCs w:val="24"/>
        </w:rPr>
        <w:t xml:space="preserve">.5; Figure </w:t>
      </w:r>
      <w:r w:rsidR="00294EA4">
        <w:rPr>
          <w:szCs w:val="24"/>
        </w:rPr>
        <w:t>9</w:t>
      </w:r>
      <w:r>
        <w:rPr>
          <w:szCs w:val="24"/>
        </w:rPr>
        <w:t xml:space="preserve">.6). All metrics increased in 2015 compared to 2011, and Nativeness in 2015 was the highest recorded across the six years of sampling (Table </w:t>
      </w:r>
      <w:r w:rsidR="00294EA4">
        <w:rPr>
          <w:szCs w:val="24"/>
        </w:rPr>
        <w:t>9</w:t>
      </w:r>
      <w:r>
        <w:rPr>
          <w:szCs w:val="24"/>
        </w:rPr>
        <w:t xml:space="preserve">.5). In 2015 Nativeness rated as ‘good’, Expectedness was ‘moderate’, and Recruitment and Overall Condition were ‘poor’ (Table </w:t>
      </w:r>
      <w:r w:rsidR="00294EA4">
        <w:rPr>
          <w:szCs w:val="24"/>
        </w:rPr>
        <w:t>9</w:t>
      </w:r>
      <w:r>
        <w:rPr>
          <w:szCs w:val="24"/>
        </w:rPr>
        <w:t xml:space="preserve">.5; Figure </w:t>
      </w:r>
      <w:r w:rsidR="00294EA4">
        <w:rPr>
          <w:szCs w:val="24"/>
        </w:rPr>
        <w:t>9</w:t>
      </w:r>
      <w:r>
        <w:rPr>
          <w:szCs w:val="24"/>
        </w:rPr>
        <w:t>.6).</w:t>
      </w:r>
    </w:p>
    <w:p w:rsidR="003014CA" w:rsidRPr="00FB36B5" w:rsidRDefault="003014CA" w:rsidP="003014CA">
      <w:pPr>
        <w:spacing w:after="0" w:line="240" w:lineRule="auto"/>
        <w:rPr>
          <w:sz w:val="20"/>
        </w:rPr>
      </w:pPr>
      <w:r w:rsidRPr="00FB36B5">
        <w:rPr>
          <w:b/>
          <w:sz w:val="20"/>
        </w:rPr>
        <w:t xml:space="preserve">Table </w:t>
      </w:r>
      <w:r>
        <w:rPr>
          <w:b/>
          <w:sz w:val="20"/>
        </w:rPr>
        <w:t>9.4</w:t>
      </w:r>
      <w:r w:rsidRPr="00FB36B5">
        <w:rPr>
          <w:sz w:val="20"/>
        </w:rPr>
        <w:t>. The cont</w:t>
      </w:r>
      <w:r>
        <w:rPr>
          <w:sz w:val="20"/>
        </w:rPr>
        <w:t>ribution of fish species biomas</w:t>
      </w:r>
      <w:r w:rsidRPr="00FB36B5">
        <w:rPr>
          <w:sz w:val="20"/>
        </w:rPr>
        <w:t>s to variability between 2014 and 2015 in the Edward-Wakool river system, determined through SIMPER analysis. Note only species contributing ≥10% to changes in community composition are included.</w:t>
      </w:r>
    </w:p>
    <w:tbl>
      <w:tblPr>
        <w:tblStyle w:val="TableGrid"/>
        <w:tblW w:w="7437"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tblPr>
      <w:tblGrid>
        <w:gridCol w:w="1242"/>
        <w:gridCol w:w="2787"/>
        <w:gridCol w:w="1927"/>
        <w:gridCol w:w="1481"/>
      </w:tblGrid>
      <w:tr w:rsidR="003014CA" w:rsidTr="00BF10FA">
        <w:tc>
          <w:tcPr>
            <w:tcW w:w="1242" w:type="dxa"/>
            <w:tcBorders>
              <w:top w:val="single" w:sz="4" w:space="0" w:color="auto"/>
              <w:bottom w:val="single" w:sz="4" w:space="0" w:color="auto"/>
            </w:tcBorders>
            <w:shd w:val="clear" w:color="auto" w:fill="D6E3BC" w:themeFill="accent3" w:themeFillTint="66"/>
          </w:tcPr>
          <w:p w:rsidR="003014CA" w:rsidRPr="00C91B2C" w:rsidRDefault="003014CA" w:rsidP="00BF10FA">
            <w:pPr>
              <w:spacing w:after="0" w:line="240" w:lineRule="auto"/>
              <w:rPr>
                <w:b/>
              </w:rPr>
            </w:pPr>
            <w:r w:rsidRPr="00C91B2C">
              <w:rPr>
                <w:b/>
              </w:rPr>
              <w:t>Indicator</w:t>
            </w:r>
          </w:p>
        </w:tc>
        <w:tc>
          <w:tcPr>
            <w:tcW w:w="2787" w:type="dxa"/>
            <w:tcBorders>
              <w:top w:val="single" w:sz="4" w:space="0" w:color="auto"/>
              <w:bottom w:val="single" w:sz="4" w:space="0" w:color="auto"/>
            </w:tcBorders>
            <w:shd w:val="clear" w:color="auto" w:fill="D6E3BC" w:themeFill="accent3" w:themeFillTint="66"/>
          </w:tcPr>
          <w:p w:rsidR="003014CA" w:rsidRPr="00C91B2C" w:rsidRDefault="003014CA" w:rsidP="00BF10FA">
            <w:pPr>
              <w:spacing w:after="0" w:line="240" w:lineRule="auto"/>
              <w:rPr>
                <w:b/>
              </w:rPr>
            </w:pPr>
            <w:r w:rsidRPr="00C91B2C">
              <w:rPr>
                <w:b/>
              </w:rPr>
              <w:t>Species</w:t>
            </w:r>
          </w:p>
        </w:tc>
        <w:tc>
          <w:tcPr>
            <w:tcW w:w="1927" w:type="dxa"/>
            <w:tcBorders>
              <w:top w:val="single" w:sz="4" w:space="0" w:color="auto"/>
              <w:bottom w:val="single" w:sz="4" w:space="0" w:color="auto"/>
            </w:tcBorders>
            <w:shd w:val="clear" w:color="auto" w:fill="D6E3BC" w:themeFill="accent3" w:themeFillTint="66"/>
          </w:tcPr>
          <w:p w:rsidR="003014CA" w:rsidRPr="00C91B2C" w:rsidRDefault="003014CA" w:rsidP="00BF10FA">
            <w:pPr>
              <w:spacing w:after="0" w:line="240" w:lineRule="auto"/>
              <w:jc w:val="center"/>
              <w:rPr>
                <w:b/>
              </w:rPr>
            </w:pPr>
            <w:r w:rsidRPr="00C91B2C">
              <w:rPr>
                <w:b/>
              </w:rPr>
              <w:t>Contribution</w:t>
            </w:r>
            <w:r>
              <w:rPr>
                <w:b/>
              </w:rPr>
              <w:t xml:space="preserve"> </w:t>
            </w:r>
            <w:r w:rsidRPr="00C91B2C">
              <w:rPr>
                <w:b/>
              </w:rPr>
              <w:t>to difference (%)</w:t>
            </w:r>
          </w:p>
        </w:tc>
        <w:tc>
          <w:tcPr>
            <w:tcW w:w="1481" w:type="dxa"/>
            <w:tcBorders>
              <w:top w:val="single" w:sz="4" w:space="0" w:color="auto"/>
              <w:bottom w:val="single" w:sz="4" w:space="0" w:color="auto"/>
            </w:tcBorders>
            <w:shd w:val="clear" w:color="auto" w:fill="D6E3BC" w:themeFill="accent3" w:themeFillTint="66"/>
          </w:tcPr>
          <w:p w:rsidR="003014CA" w:rsidRPr="00C91B2C" w:rsidRDefault="003014CA" w:rsidP="00BF10FA">
            <w:pPr>
              <w:spacing w:after="0" w:line="240" w:lineRule="auto"/>
              <w:rPr>
                <w:b/>
              </w:rPr>
            </w:pPr>
            <w:r>
              <w:rPr>
                <w:b/>
              </w:rPr>
              <w:t>2015 change</w:t>
            </w:r>
          </w:p>
        </w:tc>
      </w:tr>
      <w:tr w:rsidR="003014CA" w:rsidTr="00BF10FA">
        <w:tc>
          <w:tcPr>
            <w:tcW w:w="1242" w:type="dxa"/>
            <w:vAlign w:val="bottom"/>
          </w:tcPr>
          <w:p w:rsidR="003014CA" w:rsidRPr="00C91B2C" w:rsidRDefault="003014CA" w:rsidP="00BF10FA">
            <w:pPr>
              <w:spacing w:after="0" w:line="240" w:lineRule="auto"/>
              <w:rPr>
                <w:color w:val="000000"/>
              </w:rPr>
            </w:pPr>
            <w:r w:rsidRPr="00C91B2C">
              <w:rPr>
                <w:color w:val="000000"/>
              </w:rPr>
              <w:t>Biomass</w:t>
            </w:r>
          </w:p>
        </w:tc>
        <w:tc>
          <w:tcPr>
            <w:tcW w:w="2787" w:type="dxa"/>
            <w:vAlign w:val="bottom"/>
          </w:tcPr>
          <w:p w:rsidR="003014CA" w:rsidRPr="00C91B2C" w:rsidRDefault="003014CA" w:rsidP="00BF10FA">
            <w:pPr>
              <w:spacing w:after="0" w:line="240" w:lineRule="auto"/>
              <w:rPr>
                <w:color w:val="000000"/>
              </w:rPr>
            </w:pPr>
            <w:r>
              <w:rPr>
                <w:color w:val="000000"/>
              </w:rPr>
              <w:t>golden perch</w:t>
            </w:r>
          </w:p>
        </w:tc>
        <w:tc>
          <w:tcPr>
            <w:tcW w:w="1927" w:type="dxa"/>
            <w:vAlign w:val="bottom"/>
          </w:tcPr>
          <w:p w:rsidR="003014CA" w:rsidRPr="00C91B2C" w:rsidRDefault="003014CA" w:rsidP="00BF10FA">
            <w:pPr>
              <w:spacing w:after="0" w:line="240" w:lineRule="auto"/>
              <w:jc w:val="center"/>
              <w:rPr>
                <w:color w:val="000000"/>
              </w:rPr>
            </w:pPr>
            <w:r>
              <w:rPr>
                <w:color w:val="000000"/>
              </w:rPr>
              <w:t>22</w:t>
            </w:r>
          </w:p>
        </w:tc>
        <w:tc>
          <w:tcPr>
            <w:tcW w:w="1481" w:type="dxa"/>
            <w:vAlign w:val="bottom"/>
          </w:tcPr>
          <w:p w:rsidR="003014CA" w:rsidRPr="00C91B2C" w:rsidRDefault="003014CA" w:rsidP="00BF10FA">
            <w:pPr>
              <w:spacing w:after="0" w:line="240" w:lineRule="auto"/>
              <w:rPr>
                <w:color w:val="000000"/>
              </w:rPr>
            </w:pPr>
            <w:r>
              <w:rPr>
                <w:color w:val="000000"/>
              </w:rPr>
              <w:t>increase</w:t>
            </w:r>
          </w:p>
        </w:tc>
      </w:tr>
      <w:tr w:rsidR="003014CA" w:rsidTr="00BF10FA">
        <w:tc>
          <w:tcPr>
            <w:tcW w:w="1242" w:type="dxa"/>
            <w:vAlign w:val="bottom"/>
          </w:tcPr>
          <w:p w:rsidR="003014CA" w:rsidRPr="00C91B2C" w:rsidRDefault="003014CA" w:rsidP="00BF10FA">
            <w:pPr>
              <w:spacing w:after="0" w:line="240" w:lineRule="auto"/>
              <w:rPr>
                <w:color w:val="000000"/>
              </w:rPr>
            </w:pPr>
          </w:p>
        </w:tc>
        <w:tc>
          <w:tcPr>
            <w:tcW w:w="2787" w:type="dxa"/>
            <w:vAlign w:val="bottom"/>
          </w:tcPr>
          <w:p w:rsidR="003014CA" w:rsidRPr="00C91B2C" w:rsidRDefault="003014CA" w:rsidP="00BF10FA">
            <w:pPr>
              <w:spacing w:after="0" w:line="240" w:lineRule="auto"/>
              <w:rPr>
                <w:color w:val="000000"/>
              </w:rPr>
            </w:pPr>
            <w:r w:rsidRPr="00C91B2C">
              <w:rPr>
                <w:color w:val="000000"/>
              </w:rPr>
              <w:t>Murray cod</w:t>
            </w:r>
          </w:p>
        </w:tc>
        <w:tc>
          <w:tcPr>
            <w:tcW w:w="1927" w:type="dxa"/>
            <w:vAlign w:val="bottom"/>
          </w:tcPr>
          <w:p w:rsidR="003014CA" w:rsidRPr="00C91B2C" w:rsidRDefault="003014CA" w:rsidP="00BF10FA">
            <w:pPr>
              <w:spacing w:after="0" w:line="240" w:lineRule="auto"/>
              <w:jc w:val="center"/>
              <w:rPr>
                <w:color w:val="000000"/>
              </w:rPr>
            </w:pPr>
            <w:r>
              <w:rPr>
                <w:color w:val="000000"/>
              </w:rPr>
              <w:t>20</w:t>
            </w:r>
          </w:p>
        </w:tc>
        <w:tc>
          <w:tcPr>
            <w:tcW w:w="1481" w:type="dxa"/>
            <w:vAlign w:val="bottom"/>
          </w:tcPr>
          <w:p w:rsidR="003014CA" w:rsidRPr="00C91B2C" w:rsidRDefault="003014CA" w:rsidP="00BF10FA">
            <w:pPr>
              <w:spacing w:after="0" w:line="240" w:lineRule="auto"/>
              <w:rPr>
                <w:color w:val="000000"/>
              </w:rPr>
            </w:pPr>
            <w:r>
              <w:rPr>
                <w:color w:val="000000"/>
              </w:rPr>
              <w:t>decrease</w:t>
            </w:r>
          </w:p>
        </w:tc>
      </w:tr>
      <w:tr w:rsidR="003014CA" w:rsidTr="00BF10FA">
        <w:tc>
          <w:tcPr>
            <w:tcW w:w="1242" w:type="dxa"/>
            <w:vAlign w:val="bottom"/>
          </w:tcPr>
          <w:p w:rsidR="003014CA" w:rsidRPr="00C91B2C" w:rsidRDefault="003014CA" w:rsidP="00BF10FA">
            <w:pPr>
              <w:spacing w:after="0" w:line="240" w:lineRule="auto"/>
              <w:rPr>
                <w:color w:val="000000"/>
              </w:rPr>
            </w:pPr>
          </w:p>
        </w:tc>
        <w:tc>
          <w:tcPr>
            <w:tcW w:w="2787" w:type="dxa"/>
            <w:vAlign w:val="bottom"/>
          </w:tcPr>
          <w:p w:rsidR="003014CA" w:rsidRPr="00C91B2C" w:rsidRDefault="003014CA" w:rsidP="00BF10FA">
            <w:pPr>
              <w:spacing w:after="0" w:line="240" w:lineRule="auto"/>
              <w:rPr>
                <w:color w:val="000000"/>
              </w:rPr>
            </w:pPr>
            <w:r>
              <w:rPr>
                <w:color w:val="000000"/>
              </w:rPr>
              <w:t>goldfish</w:t>
            </w:r>
          </w:p>
        </w:tc>
        <w:tc>
          <w:tcPr>
            <w:tcW w:w="1927" w:type="dxa"/>
            <w:vAlign w:val="bottom"/>
          </w:tcPr>
          <w:p w:rsidR="003014CA" w:rsidRPr="00C91B2C" w:rsidRDefault="003014CA" w:rsidP="00BF10FA">
            <w:pPr>
              <w:spacing w:after="0" w:line="240" w:lineRule="auto"/>
              <w:jc w:val="center"/>
              <w:rPr>
                <w:color w:val="000000"/>
              </w:rPr>
            </w:pPr>
            <w:r>
              <w:rPr>
                <w:color w:val="000000"/>
              </w:rPr>
              <w:t>13</w:t>
            </w:r>
          </w:p>
        </w:tc>
        <w:tc>
          <w:tcPr>
            <w:tcW w:w="1481" w:type="dxa"/>
            <w:vAlign w:val="bottom"/>
          </w:tcPr>
          <w:p w:rsidR="003014CA" w:rsidRPr="00C91B2C" w:rsidRDefault="003014CA" w:rsidP="00BF10FA">
            <w:pPr>
              <w:spacing w:after="0" w:line="240" w:lineRule="auto"/>
              <w:rPr>
                <w:color w:val="000000"/>
              </w:rPr>
            </w:pPr>
            <w:r>
              <w:rPr>
                <w:color w:val="000000"/>
              </w:rPr>
              <w:t>decrease</w:t>
            </w:r>
          </w:p>
        </w:tc>
      </w:tr>
      <w:tr w:rsidR="003014CA" w:rsidTr="00BF10FA">
        <w:tc>
          <w:tcPr>
            <w:tcW w:w="1242" w:type="dxa"/>
            <w:vAlign w:val="bottom"/>
          </w:tcPr>
          <w:p w:rsidR="003014CA" w:rsidRPr="00C91B2C" w:rsidRDefault="003014CA" w:rsidP="00BF10FA">
            <w:pPr>
              <w:spacing w:after="0" w:line="240" w:lineRule="auto"/>
              <w:rPr>
                <w:color w:val="000000"/>
              </w:rPr>
            </w:pPr>
          </w:p>
        </w:tc>
        <w:tc>
          <w:tcPr>
            <w:tcW w:w="2787" w:type="dxa"/>
            <w:vAlign w:val="bottom"/>
          </w:tcPr>
          <w:p w:rsidR="003014CA" w:rsidRPr="00C91B2C" w:rsidRDefault="003014CA" w:rsidP="00BF10FA">
            <w:pPr>
              <w:spacing w:after="0" w:line="240" w:lineRule="auto"/>
              <w:rPr>
                <w:color w:val="000000"/>
              </w:rPr>
            </w:pPr>
            <w:r>
              <w:rPr>
                <w:color w:val="000000"/>
              </w:rPr>
              <w:t>bony herring</w:t>
            </w:r>
          </w:p>
        </w:tc>
        <w:tc>
          <w:tcPr>
            <w:tcW w:w="1927" w:type="dxa"/>
            <w:vAlign w:val="bottom"/>
          </w:tcPr>
          <w:p w:rsidR="003014CA" w:rsidRPr="00C91B2C" w:rsidRDefault="003014CA" w:rsidP="00BF10FA">
            <w:pPr>
              <w:spacing w:after="0" w:line="240" w:lineRule="auto"/>
              <w:jc w:val="center"/>
              <w:rPr>
                <w:color w:val="000000"/>
              </w:rPr>
            </w:pPr>
            <w:r>
              <w:rPr>
                <w:color w:val="000000"/>
              </w:rPr>
              <w:t>12</w:t>
            </w:r>
          </w:p>
        </w:tc>
        <w:tc>
          <w:tcPr>
            <w:tcW w:w="1481" w:type="dxa"/>
            <w:vAlign w:val="bottom"/>
          </w:tcPr>
          <w:p w:rsidR="003014CA" w:rsidRPr="00C91B2C" w:rsidRDefault="003014CA" w:rsidP="00BF10FA">
            <w:pPr>
              <w:spacing w:after="0" w:line="240" w:lineRule="auto"/>
              <w:rPr>
                <w:color w:val="000000"/>
              </w:rPr>
            </w:pPr>
            <w:r>
              <w:rPr>
                <w:color w:val="000000"/>
              </w:rPr>
              <w:t>decrease</w:t>
            </w:r>
          </w:p>
        </w:tc>
      </w:tr>
      <w:tr w:rsidR="003014CA" w:rsidTr="00BF10FA">
        <w:tc>
          <w:tcPr>
            <w:tcW w:w="1242" w:type="dxa"/>
            <w:vAlign w:val="bottom"/>
          </w:tcPr>
          <w:p w:rsidR="003014CA" w:rsidRPr="00C91B2C" w:rsidRDefault="003014CA" w:rsidP="00BF10FA">
            <w:pPr>
              <w:spacing w:after="0" w:line="240" w:lineRule="auto"/>
              <w:rPr>
                <w:color w:val="000000"/>
              </w:rPr>
            </w:pPr>
          </w:p>
        </w:tc>
        <w:tc>
          <w:tcPr>
            <w:tcW w:w="2787" w:type="dxa"/>
            <w:vAlign w:val="bottom"/>
          </w:tcPr>
          <w:p w:rsidR="003014CA" w:rsidRPr="00C91B2C" w:rsidRDefault="003014CA" w:rsidP="00BF10FA">
            <w:pPr>
              <w:spacing w:after="0" w:line="240" w:lineRule="auto"/>
              <w:rPr>
                <w:color w:val="000000"/>
              </w:rPr>
            </w:pPr>
            <w:r w:rsidRPr="00C91B2C">
              <w:rPr>
                <w:color w:val="000000"/>
              </w:rPr>
              <w:t>common carp</w:t>
            </w:r>
          </w:p>
        </w:tc>
        <w:tc>
          <w:tcPr>
            <w:tcW w:w="1927" w:type="dxa"/>
            <w:vAlign w:val="bottom"/>
          </w:tcPr>
          <w:p w:rsidR="003014CA" w:rsidRPr="00C91B2C" w:rsidRDefault="003014CA" w:rsidP="00BF10FA">
            <w:pPr>
              <w:spacing w:after="0" w:line="240" w:lineRule="auto"/>
              <w:jc w:val="center"/>
              <w:rPr>
                <w:color w:val="000000"/>
              </w:rPr>
            </w:pPr>
            <w:r>
              <w:rPr>
                <w:color w:val="000000"/>
              </w:rPr>
              <w:t>11</w:t>
            </w:r>
          </w:p>
        </w:tc>
        <w:tc>
          <w:tcPr>
            <w:tcW w:w="1481" w:type="dxa"/>
            <w:vAlign w:val="bottom"/>
          </w:tcPr>
          <w:p w:rsidR="003014CA" w:rsidRPr="00C91B2C" w:rsidRDefault="003014CA" w:rsidP="00BF10FA">
            <w:pPr>
              <w:spacing w:after="0" w:line="240" w:lineRule="auto"/>
              <w:rPr>
                <w:color w:val="000000"/>
              </w:rPr>
            </w:pPr>
            <w:r>
              <w:rPr>
                <w:color w:val="000000"/>
              </w:rPr>
              <w:t>increase</w:t>
            </w:r>
          </w:p>
        </w:tc>
      </w:tr>
    </w:tbl>
    <w:p w:rsidR="003014CA" w:rsidRDefault="003014CA" w:rsidP="003014CA">
      <w:pPr>
        <w:spacing w:after="120" w:line="240" w:lineRule="auto"/>
        <w:rPr>
          <w:b/>
          <w:sz w:val="20"/>
        </w:rPr>
      </w:pPr>
    </w:p>
    <w:p w:rsidR="003014CA" w:rsidRPr="00FB36B5" w:rsidRDefault="003014CA" w:rsidP="003014CA">
      <w:pPr>
        <w:spacing w:after="0" w:line="240" w:lineRule="auto"/>
        <w:rPr>
          <w:sz w:val="20"/>
        </w:rPr>
      </w:pPr>
      <w:r w:rsidRPr="00FB36B5">
        <w:rPr>
          <w:b/>
          <w:sz w:val="20"/>
        </w:rPr>
        <w:t xml:space="preserve">Table </w:t>
      </w:r>
      <w:r>
        <w:rPr>
          <w:b/>
          <w:sz w:val="20"/>
        </w:rPr>
        <w:t>9</w:t>
      </w:r>
      <w:r w:rsidRPr="00FB36B5">
        <w:rPr>
          <w:b/>
          <w:sz w:val="20"/>
        </w:rPr>
        <w:t>.</w:t>
      </w:r>
      <w:r>
        <w:rPr>
          <w:b/>
          <w:sz w:val="20"/>
        </w:rPr>
        <w:t>5</w:t>
      </w:r>
      <w:r w:rsidRPr="00FB36B5">
        <w:rPr>
          <w:sz w:val="20"/>
        </w:rPr>
        <w:t xml:space="preserve">. </w:t>
      </w:r>
      <w:r>
        <w:rPr>
          <w:sz w:val="20"/>
        </w:rPr>
        <w:t>Sustainable Rivers Audit</w:t>
      </w:r>
      <w:r w:rsidRPr="00FB36B5">
        <w:rPr>
          <w:sz w:val="20"/>
        </w:rPr>
        <w:t xml:space="preserve"> indices, </w:t>
      </w:r>
      <w:r>
        <w:rPr>
          <w:sz w:val="20"/>
        </w:rPr>
        <w:t>reported by sampling year</w:t>
      </w:r>
      <w:r w:rsidRPr="00FB36B5">
        <w:rPr>
          <w:sz w:val="20"/>
        </w:rPr>
        <w:t>, in the Edward-Wakool river system. Note that only data collected from the same 19 in-channel sites each were used in the calculation of these metrics.</w:t>
      </w:r>
    </w:p>
    <w:tbl>
      <w:tblPr>
        <w:tblStyle w:val="TableGrid"/>
        <w:tblW w:w="0" w:type="auto"/>
        <w:tblLook w:val="04A0"/>
      </w:tblPr>
      <w:tblGrid>
        <w:gridCol w:w="1848"/>
        <w:gridCol w:w="1390"/>
        <w:gridCol w:w="1643"/>
        <w:gridCol w:w="1523"/>
        <w:gridCol w:w="259"/>
        <w:gridCol w:w="2268"/>
      </w:tblGrid>
      <w:tr w:rsidR="003014CA" w:rsidTr="00BA2A62">
        <w:tc>
          <w:tcPr>
            <w:tcW w:w="1848" w:type="dxa"/>
            <w:tcBorders>
              <w:left w:val="nil"/>
              <w:bottom w:val="nil"/>
              <w:right w:val="nil"/>
            </w:tcBorders>
            <w:shd w:val="clear" w:color="auto" w:fill="D6E3BC" w:themeFill="accent3" w:themeFillTint="66"/>
          </w:tcPr>
          <w:p w:rsidR="003014CA" w:rsidRPr="00466821" w:rsidRDefault="003014CA" w:rsidP="00BF10FA">
            <w:pPr>
              <w:spacing w:after="0" w:line="240" w:lineRule="auto"/>
              <w:jc w:val="center"/>
              <w:rPr>
                <w:b/>
                <w:szCs w:val="24"/>
              </w:rPr>
            </w:pPr>
          </w:p>
        </w:tc>
        <w:tc>
          <w:tcPr>
            <w:tcW w:w="7083" w:type="dxa"/>
            <w:gridSpan w:val="5"/>
            <w:tcBorders>
              <w:left w:val="nil"/>
              <w:bottom w:val="single" w:sz="4" w:space="0" w:color="auto"/>
              <w:right w:val="nil"/>
            </w:tcBorders>
            <w:shd w:val="clear" w:color="auto" w:fill="D6E3BC" w:themeFill="accent3" w:themeFillTint="66"/>
          </w:tcPr>
          <w:p w:rsidR="003014CA" w:rsidRPr="00466821" w:rsidRDefault="003014CA" w:rsidP="00BF10FA">
            <w:pPr>
              <w:spacing w:after="0" w:line="240" w:lineRule="auto"/>
              <w:jc w:val="center"/>
              <w:rPr>
                <w:b/>
                <w:szCs w:val="24"/>
              </w:rPr>
            </w:pPr>
            <w:r w:rsidRPr="00466821">
              <w:rPr>
                <w:b/>
                <w:szCs w:val="24"/>
              </w:rPr>
              <w:t>Sustainable Rivers Audit (SRA) Indicator</w:t>
            </w:r>
          </w:p>
        </w:tc>
      </w:tr>
      <w:tr w:rsidR="003014CA" w:rsidTr="00BA2A62">
        <w:tc>
          <w:tcPr>
            <w:tcW w:w="1848" w:type="dxa"/>
            <w:tcBorders>
              <w:top w:val="nil"/>
              <w:left w:val="nil"/>
              <w:bottom w:val="single" w:sz="4" w:space="0" w:color="auto"/>
              <w:right w:val="nil"/>
            </w:tcBorders>
            <w:shd w:val="clear" w:color="auto" w:fill="D6E3BC" w:themeFill="accent3" w:themeFillTint="66"/>
          </w:tcPr>
          <w:p w:rsidR="003014CA" w:rsidRPr="00466821" w:rsidRDefault="003014CA" w:rsidP="00BF10FA">
            <w:pPr>
              <w:spacing w:after="0" w:line="240" w:lineRule="auto"/>
              <w:jc w:val="left"/>
              <w:rPr>
                <w:b/>
                <w:szCs w:val="24"/>
              </w:rPr>
            </w:pPr>
            <w:r w:rsidRPr="00466821">
              <w:rPr>
                <w:b/>
                <w:szCs w:val="24"/>
              </w:rPr>
              <w:t>Sampling year</w:t>
            </w:r>
          </w:p>
        </w:tc>
        <w:tc>
          <w:tcPr>
            <w:tcW w:w="1390" w:type="dxa"/>
            <w:tcBorders>
              <w:left w:val="nil"/>
              <w:bottom w:val="single" w:sz="4" w:space="0" w:color="auto"/>
              <w:right w:val="nil"/>
            </w:tcBorders>
            <w:shd w:val="clear" w:color="auto" w:fill="D6E3BC" w:themeFill="accent3" w:themeFillTint="66"/>
          </w:tcPr>
          <w:p w:rsidR="003014CA" w:rsidRPr="00466821" w:rsidRDefault="003014CA" w:rsidP="00BF10FA">
            <w:pPr>
              <w:spacing w:after="0" w:line="240" w:lineRule="auto"/>
              <w:jc w:val="center"/>
              <w:rPr>
                <w:b/>
                <w:szCs w:val="24"/>
              </w:rPr>
            </w:pPr>
            <w:r w:rsidRPr="00466821">
              <w:rPr>
                <w:b/>
                <w:szCs w:val="24"/>
              </w:rPr>
              <w:t>Nativeness</w:t>
            </w:r>
          </w:p>
        </w:tc>
        <w:tc>
          <w:tcPr>
            <w:tcW w:w="1643" w:type="dxa"/>
            <w:tcBorders>
              <w:left w:val="nil"/>
              <w:bottom w:val="single" w:sz="4" w:space="0" w:color="auto"/>
              <w:right w:val="nil"/>
            </w:tcBorders>
            <w:shd w:val="clear" w:color="auto" w:fill="D6E3BC" w:themeFill="accent3" w:themeFillTint="66"/>
          </w:tcPr>
          <w:p w:rsidR="003014CA" w:rsidRPr="00466821" w:rsidRDefault="003014CA" w:rsidP="00BF10FA">
            <w:pPr>
              <w:spacing w:after="0" w:line="240" w:lineRule="auto"/>
              <w:jc w:val="center"/>
              <w:rPr>
                <w:b/>
                <w:szCs w:val="24"/>
              </w:rPr>
            </w:pPr>
            <w:r w:rsidRPr="00466821">
              <w:rPr>
                <w:b/>
                <w:szCs w:val="24"/>
              </w:rPr>
              <w:t>Expectedness</w:t>
            </w:r>
          </w:p>
        </w:tc>
        <w:tc>
          <w:tcPr>
            <w:tcW w:w="1523" w:type="dxa"/>
            <w:tcBorders>
              <w:left w:val="nil"/>
              <w:bottom w:val="single" w:sz="4" w:space="0" w:color="auto"/>
              <w:right w:val="nil"/>
            </w:tcBorders>
            <w:shd w:val="clear" w:color="auto" w:fill="D6E3BC" w:themeFill="accent3" w:themeFillTint="66"/>
          </w:tcPr>
          <w:p w:rsidR="003014CA" w:rsidRPr="00466821" w:rsidRDefault="003014CA" w:rsidP="00BF10FA">
            <w:pPr>
              <w:spacing w:after="0" w:line="240" w:lineRule="auto"/>
              <w:jc w:val="center"/>
              <w:rPr>
                <w:b/>
                <w:szCs w:val="24"/>
              </w:rPr>
            </w:pPr>
            <w:r w:rsidRPr="00466821">
              <w:rPr>
                <w:b/>
                <w:szCs w:val="24"/>
              </w:rPr>
              <w:t>Recruitment</w:t>
            </w:r>
          </w:p>
        </w:tc>
        <w:tc>
          <w:tcPr>
            <w:tcW w:w="2527" w:type="dxa"/>
            <w:gridSpan w:val="2"/>
            <w:tcBorders>
              <w:left w:val="nil"/>
              <w:bottom w:val="single" w:sz="4" w:space="0" w:color="auto"/>
              <w:right w:val="nil"/>
            </w:tcBorders>
            <w:shd w:val="clear" w:color="auto" w:fill="D6E3BC" w:themeFill="accent3" w:themeFillTint="66"/>
          </w:tcPr>
          <w:p w:rsidR="003014CA" w:rsidRPr="00466821" w:rsidRDefault="003014CA" w:rsidP="00BF10FA">
            <w:pPr>
              <w:spacing w:after="0" w:line="240" w:lineRule="auto"/>
              <w:jc w:val="center"/>
              <w:rPr>
                <w:b/>
                <w:szCs w:val="24"/>
              </w:rPr>
            </w:pPr>
            <w:r w:rsidRPr="00466821">
              <w:rPr>
                <w:b/>
                <w:szCs w:val="24"/>
              </w:rPr>
              <w:t>Overall condition</w:t>
            </w:r>
          </w:p>
        </w:tc>
      </w:tr>
      <w:tr w:rsidR="003014CA" w:rsidTr="00BA2A62">
        <w:tc>
          <w:tcPr>
            <w:tcW w:w="1848" w:type="dxa"/>
            <w:tcBorders>
              <w:left w:val="nil"/>
              <w:bottom w:val="nil"/>
              <w:right w:val="nil"/>
            </w:tcBorders>
          </w:tcPr>
          <w:p w:rsidR="003014CA" w:rsidRDefault="003014CA" w:rsidP="00BF10FA">
            <w:pPr>
              <w:spacing w:after="0" w:line="240" w:lineRule="auto"/>
              <w:jc w:val="left"/>
              <w:rPr>
                <w:szCs w:val="24"/>
              </w:rPr>
            </w:pPr>
            <w:r>
              <w:rPr>
                <w:szCs w:val="24"/>
              </w:rPr>
              <w:t>2010</w:t>
            </w:r>
          </w:p>
        </w:tc>
        <w:tc>
          <w:tcPr>
            <w:tcW w:w="1390" w:type="dxa"/>
            <w:tcBorders>
              <w:left w:val="nil"/>
              <w:bottom w:val="nil"/>
              <w:right w:val="nil"/>
            </w:tcBorders>
            <w:vAlign w:val="bottom"/>
          </w:tcPr>
          <w:p w:rsidR="003014CA" w:rsidRPr="00FB4E0D" w:rsidRDefault="003014CA" w:rsidP="00BF10FA">
            <w:pPr>
              <w:spacing w:after="0" w:line="240" w:lineRule="auto"/>
              <w:jc w:val="center"/>
              <w:rPr>
                <w:color w:val="000000"/>
                <w:szCs w:val="24"/>
              </w:rPr>
            </w:pPr>
            <w:r w:rsidRPr="00FB4E0D">
              <w:rPr>
                <w:color w:val="000000"/>
                <w:szCs w:val="24"/>
              </w:rPr>
              <w:t>73.6</w:t>
            </w:r>
            <w:r>
              <w:rPr>
                <w:color w:val="000000"/>
                <w:szCs w:val="24"/>
              </w:rPr>
              <w:t xml:space="preserve"> ± 3.9</w:t>
            </w:r>
          </w:p>
        </w:tc>
        <w:tc>
          <w:tcPr>
            <w:tcW w:w="1643" w:type="dxa"/>
            <w:tcBorders>
              <w:left w:val="nil"/>
              <w:bottom w:val="nil"/>
              <w:right w:val="nil"/>
            </w:tcBorders>
            <w:vAlign w:val="bottom"/>
          </w:tcPr>
          <w:p w:rsidR="003014CA" w:rsidRPr="00FB4E0D" w:rsidRDefault="003014CA" w:rsidP="00BF10FA">
            <w:pPr>
              <w:spacing w:after="0" w:line="240" w:lineRule="auto"/>
              <w:jc w:val="center"/>
              <w:rPr>
                <w:color w:val="000000"/>
                <w:szCs w:val="24"/>
              </w:rPr>
            </w:pPr>
            <w:r w:rsidRPr="00FB4E0D">
              <w:rPr>
                <w:color w:val="000000"/>
                <w:szCs w:val="24"/>
              </w:rPr>
              <w:t>55.3</w:t>
            </w:r>
            <w:r>
              <w:rPr>
                <w:color w:val="000000"/>
                <w:szCs w:val="24"/>
              </w:rPr>
              <w:t xml:space="preserve"> ± 1.9</w:t>
            </w:r>
          </w:p>
        </w:tc>
        <w:tc>
          <w:tcPr>
            <w:tcW w:w="1782" w:type="dxa"/>
            <w:gridSpan w:val="2"/>
            <w:tcBorders>
              <w:left w:val="nil"/>
              <w:bottom w:val="nil"/>
              <w:right w:val="nil"/>
            </w:tcBorders>
            <w:vAlign w:val="bottom"/>
          </w:tcPr>
          <w:p w:rsidR="003014CA" w:rsidRPr="00FB4E0D" w:rsidRDefault="003014CA" w:rsidP="00BF10FA">
            <w:pPr>
              <w:spacing w:after="0" w:line="240" w:lineRule="auto"/>
              <w:jc w:val="center"/>
              <w:rPr>
                <w:color w:val="000000"/>
                <w:szCs w:val="24"/>
              </w:rPr>
            </w:pPr>
            <w:r w:rsidRPr="00FB4E0D">
              <w:rPr>
                <w:color w:val="000000"/>
                <w:szCs w:val="24"/>
              </w:rPr>
              <w:t>70.9</w:t>
            </w:r>
          </w:p>
        </w:tc>
        <w:tc>
          <w:tcPr>
            <w:tcW w:w="2268" w:type="dxa"/>
            <w:tcBorders>
              <w:left w:val="nil"/>
              <w:bottom w:val="nil"/>
              <w:right w:val="nil"/>
            </w:tcBorders>
            <w:vAlign w:val="bottom"/>
          </w:tcPr>
          <w:p w:rsidR="003014CA" w:rsidRPr="00FB4E0D" w:rsidRDefault="003014CA" w:rsidP="00BA2A62">
            <w:pPr>
              <w:spacing w:after="0" w:line="240" w:lineRule="auto"/>
              <w:jc w:val="left"/>
              <w:rPr>
                <w:color w:val="000000"/>
                <w:szCs w:val="24"/>
              </w:rPr>
            </w:pPr>
            <w:r w:rsidRPr="00FB4E0D">
              <w:rPr>
                <w:color w:val="000000"/>
                <w:szCs w:val="24"/>
              </w:rPr>
              <w:t>62.7</w:t>
            </w:r>
            <w:r>
              <w:rPr>
                <w:color w:val="000000"/>
                <w:szCs w:val="24"/>
              </w:rPr>
              <w:t xml:space="preserve"> ± 2.7</w:t>
            </w:r>
            <w:r w:rsidR="00BA2A62">
              <w:rPr>
                <w:color w:val="000000"/>
                <w:szCs w:val="24"/>
              </w:rPr>
              <w:t xml:space="preserve"> (good)</w:t>
            </w:r>
          </w:p>
        </w:tc>
      </w:tr>
      <w:tr w:rsidR="003014CA" w:rsidTr="00BA2A62">
        <w:tc>
          <w:tcPr>
            <w:tcW w:w="1848" w:type="dxa"/>
            <w:tcBorders>
              <w:top w:val="nil"/>
              <w:left w:val="nil"/>
              <w:bottom w:val="nil"/>
              <w:right w:val="nil"/>
            </w:tcBorders>
          </w:tcPr>
          <w:p w:rsidR="003014CA" w:rsidRDefault="003014CA" w:rsidP="00BF10FA">
            <w:pPr>
              <w:spacing w:after="0" w:line="240" w:lineRule="auto"/>
              <w:jc w:val="left"/>
              <w:rPr>
                <w:szCs w:val="24"/>
              </w:rPr>
            </w:pPr>
            <w:r>
              <w:rPr>
                <w:szCs w:val="24"/>
              </w:rPr>
              <w:t>2011</w:t>
            </w:r>
          </w:p>
        </w:tc>
        <w:tc>
          <w:tcPr>
            <w:tcW w:w="1390" w:type="dxa"/>
            <w:tcBorders>
              <w:top w:val="nil"/>
              <w:left w:val="nil"/>
              <w:bottom w:val="nil"/>
              <w:right w:val="nil"/>
            </w:tcBorders>
            <w:vAlign w:val="bottom"/>
          </w:tcPr>
          <w:p w:rsidR="003014CA" w:rsidRPr="00FB4E0D" w:rsidRDefault="003014CA" w:rsidP="00BF10FA">
            <w:pPr>
              <w:spacing w:after="0" w:line="240" w:lineRule="auto"/>
              <w:jc w:val="center"/>
              <w:rPr>
                <w:color w:val="000000"/>
                <w:szCs w:val="24"/>
              </w:rPr>
            </w:pPr>
            <w:r w:rsidRPr="00FB4E0D">
              <w:rPr>
                <w:color w:val="000000"/>
                <w:szCs w:val="24"/>
              </w:rPr>
              <w:t>38.7</w:t>
            </w:r>
            <w:r>
              <w:rPr>
                <w:color w:val="000000"/>
                <w:szCs w:val="24"/>
              </w:rPr>
              <w:t xml:space="preserve"> ± 4.0</w:t>
            </w:r>
          </w:p>
        </w:tc>
        <w:tc>
          <w:tcPr>
            <w:tcW w:w="1643" w:type="dxa"/>
            <w:tcBorders>
              <w:top w:val="nil"/>
              <w:left w:val="nil"/>
              <w:bottom w:val="nil"/>
              <w:right w:val="nil"/>
            </w:tcBorders>
            <w:vAlign w:val="bottom"/>
          </w:tcPr>
          <w:p w:rsidR="003014CA" w:rsidRPr="00FB4E0D" w:rsidRDefault="003014CA" w:rsidP="00BF10FA">
            <w:pPr>
              <w:spacing w:after="0" w:line="240" w:lineRule="auto"/>
              <w:jc w:val="center"/>
              <w:rPr>
                <w:color w:val="000000"/>
                <w:szCs w:val="24"/>
              </w:rPr>
            </w:pPr>
            <w:r w:rsidRPr="00FB4E0D">
              <w:rPr>
                <w:color w:val="000000"/>
                <w:szCs w:val="24"/>
              </w:rPr>
              <w:t>42.5</w:t>
            </w:r>
            <w:r>
              <w:rPr>
                <w:color w:val="000000"/>
                <w:szCs w:val="24"/>
              </w:rPr>
              <w:t xml:space="preserve"> ± 3.1</w:t>
            </w:r>
          </w:p>
        </w:tc>
        <w:tc>
          <w:tcPr>
            <w:tcW w:w="1782" w:type="dxa"/>
            <w:gridSpan w:val="2"/>
            <w:tcBorders>
              <w:top w:val="nil"/>
              <w:left w:val="nil"/>
              <w:bottom w:val="nil"/>
              <w:right w:val="nil"/>
            </w:tcBorders>
            <w:vAlign w:val="bottom"/>
          </w:tcPr>
          <w:p w:rsidR="003014CA" w:rsidRPr="00FB4E0D" w:rsidRDefault="003014CA" w:rsidP="00BF10FA">
            <w:pPr>
              <w:spacing w:after="0" w:line="240" w:lineRule="auto"/>
              <w:jc w:val="center"/>
              <w:rPr>
                <w:color w:val="000000"/>
                <w:szCs w:val="24"/>
              </w:rPr>
            </w:pPr>
            <w:r w:rsidRPr="00FB4E0D">
              <w:rPr>
                <w:color w:val="000000"/>
                <w:szCs w:val="24"/>
              </w:rPr>
              <w:t>27.2</w:t>
            </w:r>
          </w:p>
        </w:tc>
        <w:tc>
          <w:tcPr>
            <w:tcW w:w="2268" w:type="dxa"/>
            <w:tcBorders>
              <w:top w:val="nil"/>
              <w:left w:val="nil"/>
              <w:bottom w:val="nil"/>
              <w:right w:val="nil"/>
            </w:tcBorders>
            <w:vAlign w:val="bottom"/>
          </w:tcPr>
          <w:p w:rsidR="003014CA" w:rsidRPr="00FB4E0D" w:rsidRDefault="003014CA" w:rsidP="00BA2A62">
            <w:pPr>
              <w:spacing w:after="0" w:line="240" w:lineRule="auto"/>
              <w:jc w:val="left"/>
              <w:rPr>
                <w:color w:val="000000"/>
                <w:szCs w:val="24"/>
              </w:rPr>
            </w:pPr>
            <w:r w:rsidRPr="00FB4E0D">
              <w:rPr>
                <w:color w:val="000000"/>
                <w:szCs w:val="24"/>
              </w:rPr>
              <w:t>22.8</w:t>
            </w:r>
            <w:r>
              <w:rPr>
                <w:color w:val="000000"/>
                <w:szCs w:val="24"/>
              </w:rPr>
              <w:t xml:space="preserve"> ± 1.9</w:t>
            </w:r>
            <w:r w:rsidR="00BA2A62">
              <w:rPr>
                <w:color w:val="000000"/>
                <w:szCs w:val="24"/>
              </w:rPr>
              <w:t xml:space="preserve"> (poor)</w:t>
            </w:r>
          </w:p>
        </w:tc>
      </w:tr>
      <w:tr w:rsidR="003014CA" w:rsidTr="00BA2A62">
        <w:tc>
          <w:tcPr>
            <w:tcW w:w="1848" w:type="dxa"/>
            <w:tcBorders>
              <w:top w:val="nil"/>
              <w:left w:val="nil"/>
              <w:bottom w:val="nil"/>
              <w:right w:val="nil"/>
            </w:tcBorders>
          </w:tcPr>
          <w:p w:rsidR="003014CA" w:rsidRDefault="003014CA" w:rsidP="00BF10FA">
            <w:pPr>
              <w:spacing w:after="0" w:line="240" w:lineRule="auto"/>
              <w:jc w:val="left"/>
              <w:rPr>
                <w:szCs w:val="24"/>
              </w:rPr>
            </w:pPr>
            <w:r>
              <w:rPr>
                <w:szCs w:val="24"/>
              </w:rPr>
              <w:t>2012</w:t>
            </w:r>
          </w:p>
        </w:tc>
        <w:tc>
          <w:tcPr>
            <w:tcW w:w="1390" w:type="dxa"/>
            <w:tcBorders>
              <w:top w:val="nil"/>
              <w:left w:val="nil"/>
              <w:bottom w:val="nil"/>
              <w:right w:val="nil"/>
            </w:tcBorders>
            <w:vAlign w:val="bottom"/>
          </w:tcPr>
          <w:p w:rsidR="003014CA" w:rsidRPr="00FB4E0D" w:rsidRDefault="003014CA" w:rsidP="00BF10FA">
            <w:pPr>
              <w:spacing w:after="0" w:line="240" w:lineRule="auto"/>
              <w:jc w:val="center"/>
              <w:rPr>
                <w:color w:val="000000"/>
                <w:szCs w:val="24"/>
              </w:rPr>
            </w:pPr>
            <w:r w:rsidRPr="00FB4E0D">
              <w:rPr>
                <w:color w:val="000000"/>
                <w:szCs w:val="24"/>
              </w:rPr>
              <w:t>46.1</w:t>
            </w:r>
            <w:r>
              <w:rPr>
                <w:color w:val="000000"/>
                <w:szCs w:val="24"/>
              </w:rPr>
              <w:t xml:space="preserve"> ± 3.9</w:t>
            </w:r>
          </w:p>
        </w:tc>
        <w:tc>
          <w:tcPr>
            <w:tcW w:w="1643" w:type="dxa"/>
            <w:tcBorders>
              <w:top w:val="nil"/>
              <w:left w:val="nil"/>
              <w:bottom w:val="nil"/>
              <w:right w:val="nil"/>
            </w:tcBorders>
            <w:vAlign w:val="bottom"/>
          </w:tcPr>
          <w:p w:rsidR="003014CA" w:rsidRPr="00FB4E0D" w:rsidRDefault="003014CA" w:rsidP="00BF10FA">
            <w:pPr>
              <w:spacing w:after="0" w:line="240" w:lineRule="auto"/>
              <w:jc w:val="center"/>
              <w:rPr>
                <w:color w:val="000000"/>
                <w:szCs w:val="24"/>
              </w:rPr>
            </w:pPr>
            <w:r w:rsidRPr="00FB4E0D">
              <w:rPr>
                <w:color w:val="000000"/>
                <w:szCs w:val="24"/>
              </w:rPr>
              <w:t>37.7</w:t>
            </w:r>
            <w:r>
              <w:rPr>
                <w:color w:val="000000"/>
                <w:szCs w:val="24"/>
              </w:rPr>
              <w:t xml:space="preserve"> ± 2.3</w:t>
            </w:r>
          </w:p>
        </w:tc>
        <w:tc>
          <w:tcPr>
            <w:tcW w:w="1782" w:type="dxa"/>
            <w:gridSpan w:val="2"/>
            <w:tcBorders>
              <w:top w:val="nil"/>
              <w:left w:val="nil"/>
              <w:bottom w:val="nil"/>
              <w:right w:val="nil"/>
            </w:tcBorders>
            <w:vAlign w:val="bottom"/>
          </w:tcPr>
          <w:p w:rsidR="003014CA" w:rsidRPr="00FB4E0D" w:rsidRDefault="003014CA" w:rsidP="00BF10FA">
            <w:pPr>
              <w:spacing w:after="0" w:line="240" w:lineRule="auto"/>
              <w:jc w:val="center"/>
              <w:rPr>
                <w:color w:val="000000"/>
                <w:szCs w:val="24"/>
              </w:rPr>
            </w:pPr>
            <w:r w:rsidRPr="00FB4E0D">
              <w:rPr>
                <w:color w:val="000000"/>
                <w:szCs w:val="24"/>
              </w:rPr>
              <w:t>38.0</w:t>
            </w:r>
          </w:p>
        </w:tc>
        <w:tc>
          <w:tcPr>
            <w:tcW w:w="2268" w:type="dxa"/>
            <w:tcBorders>
              <w:top w:val="nil"/>
              <w:left w:val="nil"/>
              <w:bottom w:val="nil"/>
              <w:right w:val="nil"/>
            </w:tcBorders>
            <w:vAlign w:val="bottom"/>
          </w:tcPr>
          <w:p w:rsidR="003014CA" w:rsidRPr="00FB4E0D" w:rsidRDefault="003014CA" w:rsidP="00BA2A62">
            <w:pPr>
              <w:spacing w:after="0" w:line="240" w:lineRule="auto"/>
              <w:jc w:val="left"/>
              <w:rPr>
                <w:color w:val="000000"/>
                <w:szCs w:val="24"/>
              </w:rPr>
            </w:pPr>
            <w:r w:rsidRPr="00FB4E0D">
              <w:rPr>
                <w:color w:val="000000"/>
                <w:szCs w:val="24"/>
              </w:rPr>
              <w:t>28.5</w:t>
            </w:r>
            <w:r>
              <w:rPr>
                <w:color w:val="000000"/>
                <w:szCs w:val="24"/>
              </w:rPr>
              <w:t xml:space="preserve"> ± 1.9</w:t>
            </w:r>
            <w:r w:rsidR="00BA2A62">
              <w:rPr>
                <w:color w:val="000000"/>
                <w:szCs w:val="24"/>
              </w:rPr>
              <w:t xml:space="preserve"> (poor)</w:t>
            </w:r>
          </w:p>
        </w:tc>
      </w:tr>
      <w:tr w:rsidR="003014CA" w:rsidTr="00BA2A62">
        <w:tc>
          <w:tcPr>
            <w:tcW w:w="1848" w:type="dxa"/>
            <w:tcBorders>
              <w:top w:val="nil"/>
              <w:left w:val="nil"/>
              <w:bottom w:val="nil"/>
              <w:right w:val="nil"/>
            </w:tcBorders>
          </w:tcPr>
          <w:p w:rsidR="003014CA" w:rsidRDefault="003014CA" w:rsidP="00BF10FA">
            <w:pPr>
              <w:spacing w:after="0" w:line="240" w:lineRule="auto"/>
              <w:jc w:val="left"/>
              <w:rPr>
                <w:szCs w:val="24"/>
              </w:rPr>
            </w:pPr>
            <w:r>
              <w:rPr>
                <w:szCs w:val="24"/>
              </w:rPr>
              <w:t>2013</w:t>
            </w:r>
          </w:p>
        </w:tc>
        <w:tc>
          <w:tcPr>
            <w:tcW w:w="1390" w:type="dxa"/>
            <w:tcBorders>
              <w:top w:val="nil"/>
              <w:left w:val="nil"/>
              <w:bottom w:val="nil"/>
              <w:right w:val="nil"/>
            </w:tcBorders>
            <w:vAlign w:val="bottom"/>
          </w:tcPr>
          <w:p w:rsidR="003014CA" w:rsidRPr="00FB4E0D" w:rsidRDefault="003014CA" w:rsidP="00BF10FA">
            <w:pPr>
              <w:spacing w:after="0" w:line="240" w:lineRule="auto"/>
              <w:jc w:val="center"/>
              <w:rPr>
                <w:color w:val="000000"/>
                <w:szCs w:val="24"/>
              </w:rPr>
            </w:pPr>
            <w:r w:rsidRPr="00FB4E0D">
              <w:rPr>
                <w:color w:val="000000"/>
                <w:szCs w:val="24"/>
              </w:rPr>
              <w:t>53.1</w:t>
            </w:r>
            <w:r>
              <w:rPr>
                <w:color w:val="000000"/>
                <w:szCs w:val="24"/>
              </w:rPr>
              <w:t xml:space="preserve"> ± 5.4</w:t>
            </w:r>
          </w:p>
        </w:tc>
        <w:tc>
          <w:tcPr>
            <w:tcW w:w="1643" w:type="dxa"/>
            <w:tcBorders>
              <w:top w:val="nil"/>
              <w:left w:val="nil"/>
              <w:bottom w:val="nil"/>
              <w:right w:val="nil"/>
            </w:tcBorders>
            <w:vAlign w:val="bottom"/>
          </w:tcPr>
          <w:p w:rsidR="003014CA" w:rsidRPr="00FB4E0D" w:rsidRDefault="003014CA" w:rsidP="00BF10FA">
            <w:pPr>
              <w:spacing w:after="0" w:line="240" w:lineRule="auto"/>
              <w:jc w:val="center"/>
              <w:rPr>
                <w:color w:val="000000"/>
                <w:szCs w:val="24"/>
              </w:rPr>
            </w:pPr>
            <w:r w:rsidRPr="00FB4E0D">
              <w:rPr>
                <w:color w:val="000000"/>
                <w:szCs w:val="24"/>
              </w:rPr>
              <w:t>32.3</w:t>
            </w:r>
            <w:r>
              <w:rPr>
                <w:color w:val="000000"/>
                <w:szCs w:val="24"/>
              </w:rPr>
              <w:t xml:space="preserve"> ± 2.8</w:t>
            </w:r>
          </w:p>
        </w:tc>
        <w:tc>
          <w:tcPr>
            <w:tcW w:w="1782" w:type="dxa"/>
            <w:gridSpan w:val="2"/>
            <w:tcBorders>
              <w:top w:val="nil"/>
              <w:left w:val="nil"/>
              <w:bottom w:val="nil"/>
              <w:right w:val="nil"/>
            </w:tcBorders>
            <w:vAlign w:val="bottom"/>
          </w:tcPr>
          <w:p w:rsidR="003014CA" w:rsidRPr="00FB4E0D" w:rsidRDefault="003014CA" w:rsidP="00BF10FA">
            <w:pPr>
              <w:spacing w:after="0" w:line="240" w:lineRule="auto"/>
              <w:jc w:val="center"/>
              <w:rPr>
                <w:color w:val="000000"/>
                <w:szCs w:val="24"/>
              </w:rPr>
            </w:pPr>
            <w:r w:rsidRPr="00FB4E0D">
              <w:rPr>
                <w:color w:val="000000"/>
                <w:szCs w:val="24"/>
              </w:rPr>
              <w:t>28.3</w:t>
            </w:r>
          </w:p>
        </w:tc>
        <w:tc>
          <w:tcPr>
            <w:tcW w:w="2268" w:type="dxa"/>
            <w:tcBorders>
              <w:top w:val="nil"/>
              <w:left w:val="nil"/>
              <w:bottom w:val="nil"/>
              <w:right w:val="nil"/>
            </w:tcBorders>
            <w:vAlign w:val="bottom"/>
          </w:tcPr>
          <w:p w:rsidR="003014CA" w:rsidRPr="00FB4E0D" w:rsidRDefault="003014CA" w:rsidP="00BA2A62">
            <w:pPr>
              <w:spacing w:after="0" w:line="240" w:lineRule="auto"/>
              <w:jc w:val="left"/>
              <w:rPr>
                <w:color w:val="000000"/>
                <w:szCs w:val="24"/>
              </w:rPr>
            </w:pPr>
            <w:r w:rsidRPr="00FB4E0D">
              <w:rPr>
                <w:color w:val="000000"/>
                <w:szCs w:val="24"/>
              </w:rPr>
              <w:t>21.5</w:t>
            </w:r>
            <w:r>
              <w:rPr>
                <w:color w:val="000000"/>
                <w:szCs w:val="24"/>
              </w:rPr>
              <w:t xml:space="preserve"> ± 2.1</w:t>
            </w:r>
            <w:r w:rsidR="00BA2A62">
              <w:rPr>
                <w:color w:val="000000"/>
                <w:szCs w:val="24"/>
              </w:rPr>
              <w:t xml:space="preserve"> (poor)</w:t>
            </w:r>
          </w:p>
        </w:tc>
      </w:tr>
      <w:tr w:rsidR="003014CA" w:rsidTr="00BA2A62">
        <w:tc>
          <w:tcPr>
            <w:tcW w:w="1848" w:type="dxa"/>
            <w:tcBorders>
              <w:top w:val="nil"/>
              <w:left w:val="nil"/>
              <w:bottom w:val="nil"/>
              <w:right w:val="nil"/>
            </w:tcBorders>
          </w:tcPr>
          <w:p w:rsidR="003014CA" w:rsidRDefault="003014CA" w:rsidP="00BF10FA">
            <w:pPr>
              <w:spacing w:after="0" w:line="240" w:lineRule="auto"/>
              <w:jc w:val="left"/>
              <w:rPr>
                <w:szCs w:val="24"/>
              </w:rPr>
            </w:pPr>
            <w:r>
              <w:rPr>
                <w:szCs w:val="24"/>
              </w:rPr>
              <w:t>2014</w:t>
            </w:r>
          </w:p>
        </w:tc>
        <w:tc>
          <w:tcPr>
            <w:tcW w:w="1390" w:type="dxa"/>
            <w:tcBorders>
              <w:top w:val="nil"/>
              <w:left w:val="nil"/>
              <w:bottom w:val="nil"/>
              <w:right w:val="nil"/>
            </w:tcBorders>
            <w:vAlign w:val="bottom"/>
          </w:tcPr>
          <w:p w:rsidR="003014CA" w:rsidRPr="00FB4E0D" w:rsidRDefault="003014CA" w:rsidP="00BF10FA">
            <w:pPr>
              <w:spacing w:after="0" w:line="240" w:lineRule="auto"/>
              <w:jc w:val="center"/>
              <w:rPr>
                <w:color w:val="000000"/>
                <w:szCs w:val="24"/>
              </w:rPr>
            </w:pPr>
            <w:r w:rsidRPr="00FB4E0D">
              <w:rPr>
                <w:color w:val="000000"/>
                <w:szCs w:val="24"/>
              </w:rPr>
              <w:t>66.5</w:t>
            </w:r>
            <w:r>
              <w:rPr>
                <w:color w:val="000000"/>
                <w:szCs w:val="24"/>
              </w:rPr>
              <w:t xml:space="preserve"> ± 3.3</w:t>
            </w:r>
          </w:p>
        </w:tc>
        <w:tc>
          <w:tcPr>
            <w:tcW w:w="1643" w:type="dxa"/>
            <w:tcBorders>
              <w:top w:val="nil"/>
              <w:left w:val="nil"/>
              <w:bottom w:val="nil"/>
              <w:right w:val="nil"/>
            </w:tcBorders>
            <w:vAlign w:val="bottom"/>
          </w:tcPr>
          <w:p w:rsidR="003014CA" w:rsidRPr="00FB4E0D" w:rsidRDefault="003014CA" w:rsidP="00BF10FA">
            <w:pPr>
              <w:spacing w:after="0" w:line="240" w:lineRule="auto"/>
              <w:jc w:val="center"/>
              <w:rPr>
                <w:color w:val="000000"/>
                <w:szCs w:val="24"/>
              </w:rPr>
            </w:pPr>
            <w:r w:rsidRPr="00FB4E0D">
              <w:rPr>
                <w:color w:val="000000"/>
                <w:szCs w:val="24"/>
              </w:rPr>
              <w:t>49.6</w:t>
            </w:r>
            <w:r>
              <w:rPr>
                <w:color w:val="000000"/>
                <w:szCs w:val="24"/>
              </w:rPr>
              <w:t xml:space="preserve"> ± 2.3</w:t>
            </w:r>
          </w:p>
        </w:tc>
        <w:tc>
          <w:tcPr>
            <w:tcW w:w="1782" w:type="dxa"/>
            <w:gridSpan w:val="2"/>
            <w:tcBorders>
              <w:top w:val="nil"/>
              <w:left w:val="nil"/>
              <w:bottom w:val="nil"/>
              <w:right w:val="nil"/>
            </w:tcBorders>
            <w:vAlign w:val="bottom"/>
          </w:tcPr>
          <w:p w:rsidR="003014CA" w:rsidRPr="00FB4E0D" w:rsidRDefault="003014CA" w:rsidP="00BF10FA">
            <w:pPr>
              <w:spacing w:after="0" w:line="240" w:lineRule="auto"/>
              <w:jc w:val="center"/>
              <w:rPr>
                <w:color w:val="000000"/>
                <w:szCs w:val="24"/>
              </w:rPr>
            </w:pPr>
            <w:r w:rsidRPr="00FB4E0D">
              <w:rPr>
                <w:color w:val="000000"/>
                <w:szCs w:val="24"/>
              </w:rPr>
              <w:t>42.4</w:t>
            </w:r>
          </w:p>
        </w:tc>
        <w:tc>
          <w:tcPr>
            <w:tcW w:w="2268" w:type="dxa"/>
            <w:tcBorders>
              <w:top w:val="nil"/>
              <w:left w:val="nil"/>
              <w:bottom w:val="nil"/>
              <w:right w:val="nil"/>
            </w:tcBorders>
            <w:vAlign w:val="bottom"/>
          </w:tcPr>
          <w:p w:rsidR="003014CA" w:rsidRPr="00FB4E0D" w:rsidRDefault="003014CA" w:rsidP="00BA2A62">
            <w:pPr>
              <w:spacing w:after="0" w:line="240" w:lineRule="auto"/>
              <w:jc w:val="left"/>
              <w:rPr>
                <w:color w:val="000000"/>
                <w:szCs w:val="24"/>
              </w:rPr>
            </w:pPr>
            <w:r w:rsidRPr="00FB4E0D">
              <w:rPr>
                <w:color w:val="000000"/>
                <w:szCs w:val="24"/>
              </w:rPr>
              <w:t>40.4</w:t>
            </w:r>
            <w:r>
              <w:rPr>
                <w:color w:val="000000"/>
                <w:szCs w:val="24"/>
              </w:rPr>
              <w:t xml:space="preserve"> ± 1.8</w:t>
            </w:r>
            <w:r w:rsidR="00BA2A62">
              <w:rPr>
                <w:color w:val="000000"/>
                <w:szCs w:val="24"/>
              </w:rPr>
              <w:t xml:space="preserve"> (moderate)</w:t>
            </w:r>
          </w:p>
        </w:tc>
      </w:tr>
      <w:tr w:rsidR="003014CA" w:rsidTr="00BA2A62">
        <w:tc>
          <w:tcPr>
            <w:tcW w:w="1848" w:type="dxa"/>
            <w:tcBorders>
              <w:top w:val="nil"/>
              <w:left w:val="nil"/>
              <w:right w:val="nil"/>
            </w:tcBorders>
          </w:tcPr>
          <w:p w:rsidR="003014CA" w:rsidRDefault="003014CA" w:rsidP="00BF10FA">
            <w:pPr>
              <w:spacing w:after="0" w:line="240" w:lineRule="auto"/>
              <w:jc w:val="left"/>
              <w:rPr>
                <w:szCs w:val="24"/>
              </w:rPr>
            </w:pPr>
            <w:r>
              <w:rPr>
                <w:szCs w:val="24"/>
              </w:rPr>
              <w:t>2015</w:t>
            </w:r>
          </w:p>
        </w:tc>
        <w:tc>
          <w:tcPr>
            <w:tcW w:w="1390" w:type="dxa"/>
            <w:tcBorders>
              <w:top w:val="nil"/>
              <w:left w:val="nil"/>
              <w:right w:val="nil"/>
            </w:tcBorders>
            <w:vAlign w:val="bottom"/>
          </w:tcPr>
          <w:p w:rsidR="003014CA" w:rsidRPr="00FB4E0D" w:rsidRDefault="003014CA" w:rsidP="00BF10FA">
            <w:pPr>
              <w:spacing w:after="0" w:line="240" w:lineRule="auto"/>
              <w:jc w:val="center"/>
              <w:rPr>
                <w:color w:val="000000"/>
                <w:szCs w:val="24"/>
              </w:rPr>
            </w:pPr>
            <w:r w:rsidRPr="00FB4E0D">
              <w:rPr>
                <w:color w:val="000000"/>
                <w:szCs w:val="24"/>
              </w:rPr>
              <w:t>73.7</w:t>
            </w:r>
            <w:r>
              <w:rPr>
                <w:color w:val="000000"/>
                <w:szCs w:val="24"/>
              </w:rPr>
              <w:t xml:space="preserve"> ± 2.4</w:t>
            </w:r>
          </w:p>
        </w:tc>
        <w:tc>
          <w:tcPr>
            <w:tcW w:w="1643" w:type="dxa"/>
            <w:tcBorders>
              <w:top w:val="nil"/>
              <w:left w:val="nil"/>
              <w:right w:val="nil"/>
            </w:tcBorders>
            <w:vAlign w:val="bottom"/>
          </w:tcPr>
          <w:p w:rsidR="003014CA" w:rsidRPr="00FB4E0D" w:rsidRDefault="003014CA" w:rsidP="00BF10FA">
            <w:pPr>
              <w:spacing w:after="0" w:line="240" w:lineRule="auto"/>
              <w:jc w:val="center"/>
              <w:rPr>
                <w:color w:val="000000"/>
                <w:szCs w:val="24"/>
              </w:rPr>
            </w:pPr>
            <w:r w:rsidRPr="00FB4E0D">
              <w:rPr>
                <w:color w:val="000000"/>
                <w:szCs w:val="24"/>
              </w:rPr>
              <w:t>51.5</w:t>
            </w:r>
            <w:r>
              <w:rPr>
                <w:color w:val="000000"/>
                <w:szCs w:val="24"/>
              </w:rPr>
              <w:t xml:space="preserve"> ± 2.0</w:t>
            </w:r>
          </w:p>
        </w:tc>
        <w:tc>
          <w:tcPr>
            <w:tcW w:w="1782" w:type="dxa"/>
            <w:gridSpan w:val="2"/>
            <w:tcBorders>
              <w:top w:val="nil"/>
              <w:left w:val="nil"/>
              <w:right w:val="nil"/>
            </w:tcBorders>
            <w:vAlign w:val="bottom"/>
          </w:tcPr>
          <w:p w:rsidR="003014CA" w:rsidRPr="00FB4E0D" w:rsidRDefault="003014CA" w:rsidP="00BF10FA">
            <w:pPr>
              <w:spacing w:after="0" w:line="240" w:lineRule="auto"/>
              <w:jc w:val="center"/>
              <w:rPr>
                <w:color w:val="000000"/>
                <w:szCs w:val="24"/>
              </w:rPr>
            </w:pPr>
            <w:r w:rsidRPr="00FB4E0D">
              <w:rPr>
                <w:color w:val="000000"/>
                <w:szCs w:val="24"/>
              </w:rPr>
              <w:t>37.1</w:t>
            </w:r>
          </w:p>
        </w:tc>
        <w:tc>
          <w:tcPr>
            <w:tcW w:w="2268" w:type="dxa"/>
            <w:tcBorders>
              <w:top w:val="nil"/>
              <w:left w:val="nil"/>
              <w:right w:val="nil"/>
            </w:tcBorders>
            <w:vAlign w:val="bottom"/>
          </w:tcPr>
          <w:p w:rsidR="003014CA" w:rsidRPr="00FB4E0D" w:rsidRDefault="003014CA" w:rsidP="00BA2A62">
            <w:pPr>
              <w:spacing w:after="0" w:line="240" w:lineRule="auto"/>
              <w:jc w:val="left"/>
              <w:rPr>
                <w:color w:val="000000"/>
                <w:szCs w:val="24"/>
              </w:rPr>
            </w:pPr>
            <w:r w:rsidRPr="00FB4E0D">
              <w:rPr>
                <w:color w:val="000000"/>
                <w:szCs w:val="24"/>
              </w:rPr>
              <w:t>39.9</w:t>
            </w:r>
            <w:r>
              <w:rPr>
                <w:color w:val="000000"/>
                <w:szCs w:val="24"/>
              </w:rPr>
              <w:t xml:space="preserve"> ± 1.2</w:t>
            </w:r>
            <w:r w:rsidR="00BA2A62">
              <w:rPr>
                <w:color w:val="000000"/>
                <w:szCs w:val="24"/>
              </w:rPr>
              <w:t xml:space="preserve"> (poor)</w:t>
            </w:r>
          </w:p>
        </w:tc>
      </w:tr>
    </w:tbl>
    <w:p w:rsidR="003014CA" w:rsidRDefault="003014CA" w:rsidP="003014CA">
      <w:pPr>
        <w:rPr>
          <w:szCs w:val="24"/>
        </w:rPr>
      </w:pPr>
      <w:r>
        <w:rPr>
          <w:noProof/>
          <w:lang w:eastAsia="en-AU"/>
        </w:rPr>
        <w:drawing>
          <wp:inline distT="0" distB="0" distL="0" distR="0">
            <wp:extent cx="5742432" cy="70487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cstate="screen"/>
                    <a:srcRect/>
                    <a:stretch/>
                  </pic:blipFill>
                  <pic:spPr bwMode="auto">
                    <a:xfrm>
                      <a:off x="0" y="0"/>
                      <a:ext cx="5765912" cy="707760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014CA" w:rsidRPr="00FB36B5" w:rsidRDefault="003014CA" w:rsidP="003014CA">
      <w:pPr>
        <w:spacing w:after="240" w:line="240" w:lineRule="auto"/>
        <w:rPr>
          <w:sz w:val="20"/>
        </w:rPr>
      </w:pPr>
      <w:r w:rsidRPr="00FB36B5">
        <w:rPr>
          <w:b/>
          <w:sz w:val="20"/>
        </w:rPr>
        <w:t xml:space="preserve">Figure </w:t>
      </w:r>
      <w:r w:rsidR="00294EA4">
        <w:rPr>
          <w:b/>
          <w:sz w:val="20"/>
        </w:rPr>
        <w:t>9</w:t>
      </w:r>
      <w:r>
        <w:rPr>
          <w:b/>
          <w:sz w:val="20"/>
        </w:rPr>
        <w:t>.</w:t>
      </w:r>
      <w:r w:rsidRPr="00FB36B5">
        <w:rPr>
          <w:b/>
          <w:sz w:val="20"/>
        </w:rPr>
        <w:t>4</w:t>
      </w:r>
      <w:r w:rsidRPr="00FB36B5">
        <w:rPr>
          <w:sz w:val="20"/>
        </w:rPr>
        <w:t xml:space="preserve">. Average (±SE) catch per unit effort (CPUE) per site of fish sampled in the Edward-Wakool river system from 19 in-channel sites that were sampled once each year from 2010–2015. </w:t>
      </w:r>
    </w:p>
    <w:p w:rsidR="003014CA" w:rsidRDefault="003014CA" w:rsidP="003014CA">
      <w:pPr>
        <w:rPr>
          <w:szCs w:val="24"/>
        </w:rPr>
      </w:pPr>
      <w:r>
        <w:rPr>
          <w:noProof/>
          <w:lang w:eastAsia="en-AU"/>
        </w:rPr>
        <w:drawing>
          <wp:inline distT="0" distB="0" distL="0" distR="0">
            <wp:extent cx="5723874" cy="702990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cstate="screen"/>
                    <a:srcRect/>
                    <a:stretch/>
                  </pic:blipFill>
                  <pic:spPr bwMode="auto">
                    <a:xfrm>
                      <a:off x="0" y="0"/>
                      <a:ext cx="5730605" cy="70381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014CA" w:rsidRPr="00685A0B" w:rsidRDefault="003014CA" w:rsidP="003014CA">
      <w:pPr>
        <w:spacing w:after="240" w:line="240" w:lineRule="auto"/>
        <w:rPr>
          <w:sz w:val="20"/>
        </w:rPr>
      </w:pPr>
      <w:r w:rsidRPr="00685A0B">
        <w:rPr>
          <w:b/>
          <w:sz w:val="20"/>
        </w:rPr>
        <w:t xml:space="preserve">Figure </w:t>
      </w:r>
      <w:r w:rsidR="00294EA4">
        <w:rPr>
          <w:b/>
          <w:sz w:val="20"/>
        </w:rPr>
        <w:t>9</w:t>
      </w:r>
      <w:r w:rsidRPr="00685A0B">
        <w:rPr>
          <w:b/>
          <w:sz w:val="20"/>
        </w:rPr>
        <w:t>.5</w:t>
      </w:r>
      <w:r w:rsidRPr="00685A0B">
        <w:rPr>
          <w:sz w:val="20"/>
        </w:rPr>
        <w:t xml:space="preserve">. Average (±SE) biomass (g) per site of fish sampled in the Edward-Wakool river system from 19 in-channel sites that were sampled once each year from 2010–2015. </w:t>
      </w:r>
    </w:p>
    <w:p w:rsidR="003014CA" w:rsidRDefault="003014CA" w:rsidP="003014CA">
      <w:pPr>
        <w:rPr>
          <w:szCs w:val="24"/>
        </w:rPr>
      </w:pPr>
    </w:p>
    <w:p w:rsidR="003014CA" w:rsidRDefault="003014CA" w:rsidP="003014CA">
      <w:pPr>
        <w:rPr>
          <w:szCs w:val="24"/>
        </w:rPr>
      </w:pPr>
      <w:r>
        <w:rPr>
          <w:noProof/>
          <w:lang w:eastAsia="en-AU"/>
        </w:rPr>
        <w:drawing>
          <wp:inline distT="0" distB="0" distL="0" distR="0">
            <wp:extent cx="5722012" cy="7212067"/>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cstate="screen"/>
                    <a:srcRect/>
                    <a:stretch/>
                  </pic:blipFill>
                  <pic:spPr bwMode="auto">
                    <a:xfrm>
                      <a:off x="0" y="0"/>
                      <a:ext cx="5728863" cy="72207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014CA" w:rsidRPr="00685A0B" w:rsidRDefault="003014CA" w:rsidP="003014CA">
      <w:pPr>
        <w:spacing w:after="120" w:line="240" w:lineRule="auto"/>
        <w:contextualSpacing/>
        <w:rPr>
          <w:sz w:val="20"/>
        </w:rPr>
      </w:pPr>
      <w:r w:rsidRPr="00685A0B">
        <w:rPr>
          <w:b/>
          <w:sz w:val="20"/>
        </w:rPr>
        <w:t xml:space="preserve">Figure </w:t>
      </w:r>
      <w:r w:rsidR="00294EA4">
        <w:rPr>
          <w:b/>
          <w:sz w:val="20"/>
        </w:rPr>
        <w:t>9</w:t>
      </w:r>
      <w:r w:rsidRPr="00685A0B">
        <w:rPr>
          <w:b/>
          <w:sz w:val="20"/>
        </w:rPr>
        <w:t>.6.</w:t>
      </w:r>
      <w:r w:rsidRPr="00685A0B">
        <w:rPr>
          <w:sz w:val="20"/>
        </w:rPr>
        <w:t xml:space="preserve"> Sustaina</w:t>
      </w:r>
      <w:r w:rsidR="00994F0C">
        <w:rPr>
          <w:sz w:val="20"/>
        </w:rPr>
        <w:t xml:space="preserve">ble Rivers Audit (SRA) indices from 2010 to 2015 </w:t>
      </w:r>
      <w:r w:rsidRPr="00685A0B">
        <w:rPr>
          <w:sz w:val="20"/>
        </w:rPr>
        <w:t>in the Edward-Wakool river system</w:t>
      </w:r>
      <w:r w:rsidR="00994F0C">
        <w:rPr>
          <w:sz w:val="20"/>
        </w:rPr>
        <w:t xml:space="preserve"> based on surveys undertaken at 19 in-channel sites</w:t>
      </w:r>
      <w:r w:rsidRPr="00685A0B">
        <w:rPr>
          <w:sz w:val="20"/>
        </w:rPr>
        <w:t xml:space="preserve">. </w:t>
      </w:r>
    </w:p>
    <w:p w:rsidR="003014CA" w:rsidRDefault="003014CA" w:rsidP="003014CA">
      <w:pPr>
        <w:rPr>
          <w:b/>
          <w:szCs w:val="24"/>
        </w:rPr>
      </w:pPr>
    </w:p>
    <w:p w:rsidR="00ED6D80" w:rsidRDefault="00ED6D80">
      <w:pPr>
        <w:spacing w:after="0" w:line="240" w:lineRule="auto"/>
        <w:jc w:val="left"/>
        <w:rPr>
          <w:b/>
          <w:color w:val="4F6228" w:themeColor="accent3" w:themeShade="80"/>
          <w:sz w:val="24"/>
          <w:szCs w:val="24"/>
        </w:rPr>
      </w:pPr>
      <w:r>
        <w:rPr>
          <w:b/>
          <w:color w:val="4F6228" w:themeColor="accent3" w:themeShade="80"/>
          <w:sz w:val="24"/>
          <w:szCs w:val="24"/>
        </w:rPr>
        <w:br w:type="page"/>
      </w:r>
    </w:p>
    <w:p w:rsidR="003014CA" w:rsidRPr="00685A0B" w:rsidRDefault="00294EA4" w:rsidP="003014CA">
      <w:pPr>
        <w:spacing w:after="240"/>
        <w:rPr>
          <w:b/>
          <w:color w:val="4F6228" w:themeColor="accent3" w:themeShade="80"/>
          <w:sz w:val="24"/>
          <w:szCs w:val="24"/>
        </w:rPr>
      </w:pPr>
      <w:r>
        <w:rPr>
          <w:b/>
          <w:color w:val="4F6228" w:themeColor="accent3" w:themeShade="80"/>
          <w:sz w:val="24"/>
          <w:szCs w:val="24"/>
        </w:rPr>
        <w:t>9</w:t>
      </w:r>
      <w:r w:rsidR="003014CA">
        <w:rPr>
          <w:b/>
          <w:color w:val="4F6228" w:themeColor="accent3" w:themeShade="80"/>
          <w:sz w:val="24"/>
          <w:szCs w:val="24"/>
        </w:rPr>
        <w:t>.5</w:t>
      </w:r>
      <w:r w:rsidR="003014CA" w:rsidRPr="00685A0B">
        <w:rPr>
          <w:b/>
          <w:color w:val="4F6228" w:themeColor="accent3" w:themeShade="80"/>
          <w:sz w:val="24"/>
          <w:szCs w:val="24"/>
        </w:rPr>
        <w:t xml:space="preserve"> Discussion</w:t>
      </w:r>
    </w:p>
    <w:p w:rsidR="003014CA" w:rsidRDefault="003014CA" w:rsidP="00BA2A62">
      <w:pPr>
        <w:spacing w:after="240"/>
        <w:jc w:val="left"/>
        <w:rPr>
          <w:szCs w:val="24"/>
        </w:rPr>
      </w:pPr>
      <w:r>
        <w:rPr>
          <w:szCs w:val="24"/>
        </w:rPr>
        <w:t xml:space="preserve">The current study provides a benchmark with which to compare changes in the fish community assemblage composition across the Edward-Wakool system over the next five years under the LTIM program. Previous monitoring consisting of annual surveys dating back to 2010 provided context for the current study. Sustainable Rivers Audit indicators were calculated from each annual survey from 2010–2015, demonstrating a transition in Overall Fish Condition from ‘good’ to ‘poor’ between 2010 and 2015. Across a broader geographic scale, the SRA Report 1 conducted from 2004–2007, scored the Overall Fish Condition of the upper zone of the Central Murray Valley (of which the Edward-Wakool system is a part) as ‘moderate’ (Davies et al. 2008). Sampled again from 2008–2010 the SRA Report 2 scored the same zone as ‘very poor’ (Davies et al. 2012). While these results are not directly transferable to the findings of the current study given the narrower spatial scale of interest here, the data indicate that the fish communities of the system and region have been dynamic over the past ten years. </w:t>
      </w:r>
    </w:p>
    <w:p w:rsidR="003014CA" w:rsidRDefault="003014CA" w:rsidP="00BA2A62">
      <w:pPr>
        <w:spacing w:after="240"/>
        <w:jc w:val="left"/>
        <w:rPr>
          <w:szCs w:val="24"/>
        </w:rPr>
      </w:pPr>
      <w:r w:rsidRPr="00506ABD">
        <w:rPr>
          <w:szCs w:val="24"/>
        </w:rPr>
        <w:t>T</w:t>
      </w:r>
      <w:r>
        <w:rPr>
          <w:szCs w:val="24"/>
        </w:rPr>
        <w:t>here is a general trend towards improvement of the native fish community in the Edward-Wakool system back toward 2010 levels. The composition of the fish community has undergone significant changes over recent years as a result of major hydrological events, including severe drought and widespread flooding, as well as hypoxic blackwater events. The responses of fish to these events have been species and location-specific. In 2010, following long-term drought, small-bodied generalist native species such as carp gudgeon, Murray-Darling rainbowfish and un-specked hardyhead were numerically dominant within the Edward-Wakool system. Widespread flooding throughout the southern Murray-Darling Basin (MDB) in 2010-11 resulted in substantial inundation of off-channel habitats and an increase in the abundance of alien species, particularly common carp and goldfish. Concurrently, populations of native fish within some locations of the Edward-Wakool system, as well as other locations within the southern MDB, suffered as a result of hypoxic blackwater events (</w:t>
      </w:r>
      <w:r w:rsidRPr="00C774D4">
        <w:t>King et al. 2012; Whitworth et al. 2012; McCarthy et al. 2014</w:t>
      </w:r>
      <w:r w:rsidRPr="00AE6915">
        <w:t>).</w:t>
      </w:r>
      <w:r>
        <w:rPr>
          <w:szCs w:val="24"/>
        </w:rPr>
        <w:t xml:space="preserve"> </w:t>
      </w:r>
    </w:p>
    <w:p w:rsidR="003014CA" w:rsidRDefault="003014CA" w:rsidP="00BA2A62">
      <w:pPr>
        <w:spacing w:after="240"/>
        <w:jc w:val="left"/>
        <w:rPr>
          <w:szCs w:val="24"/>
        </w:rPr>
      </w:pPr>
      <w:r>
        <w:rPr>
          <w:szCs w:val="24"/>
        </w:rPr>
        <w:t>Some locations in the Edward-Wakool system appear to be recovering from the effects of blackwater and associated fish kills. Presumably this is a result of active re-colonisation as has been demonstrated following fish kills in other systems (e.g. Lyon and O’Connor 2008). It is not possible to determine to what extent Commonwealth environmental watering has contributed to this re-colonisation because it is a system-wide response and not isolated to the areas receiving environmental water. Native fish in the Edward-Wakool system have previously demonstrated movement responses to increased discharge (</w:t>
      </w:r>
      <w:r w:rsidRPr="00E96A3F">
        <w:rPr>
          <w:i/>
          <w:szCs w:val="24"/>
        </w:rPr>
        <w:t>see</w:t>
      </w:r>
      <w:r>
        <w:rPr>
          <w:szCs w:val="24"/>
        </w:rPr>
        <w:t xml:space="preserve"> </w:t>
      </w:r>
      <w:proofErr w:type="gramStart"/>
      <w:r>
        <w:rPr>
          <w:szCs w:val="24"/>
        </w:rPr>
        <w:t>Watts</w:t>
      </w:r>
      <w:proofErr w:type="gramEnd"/>
      <w:r>
        <w:rPr>
          <w:szCs w:val="24"/>
        </w:rPr>
        <w:t xml:space="preserve"> et al. 2014a, b) and Commonwealth environmental water can be actively used to facilitate this re-colonisation by increasing lateral and longitudinal connectivity among habitats. Additional remediation of the native fish community has been undertaken at some locations throughout the Edward-Wakool system via stocking of Murray cod and golden perch. A recent evaluation of these efforts indicates that recovery of these species is </w:t>
      </w:r>
      <w:r w:rsidRPr="00C774D4">
        <w:rPr>
          <w:szCs w:val="24"/>
        </w:rPr>
        <w:t>occurring (Thiem et al. 2015).</w:t>
      </w:r>
      <w:r>
        <w:rPr>
          <w:szCs w:val="24"/>
        </w:rPr>
        <w:t xml:space="preserve"> </w:t>
      </w:r>
      <w:r w:rsidR="00327D5A">
        <w:rPr>
          <w:szCs w:val="24"/>
        </w:rPr>
        <w:t>However</w:t>
      </w:r>
      <w:r>
        <w:rPr>
          <w:szCs w:val="24"/>
        </w:rPr>
        <w:t>, stocking does not appear to be facilitating the recovery in these locations and is outweighed by natural spawning and recruitment in the case of Murray cod, and potentially immigration of both species from elsewhere within or outside of the Edward-Wakool system (Thiem et al. 2015).</w:t>
      </w:r>
    </w:p>
    <w:p w:rsidR="003014CA" w:rsidRDefault="003014CA" w:rsidP="00BA2A62">
      <w:pPr>
        <w:spacing w:after="240"/>
        <w:jc w:val="left"/>
        <w:rPr>
          <w:szCs w:val="24"/>
        </w:rPr>
      </w:pPr>
      <w:r>
        <w:rPr>
          <w:szCs w:val="24"/>
        </w:rPr>
        <w:t>The general trends apparent in this current study are largely in agreement with the findings of Bice et al. (2014), and align with existing knowledge of the life-history requirements of the fish found within the system (</w:t>
      </w:r>
      <w:r w:rsidRPr="00C774D4">
        <w:rPr>
          <w:szCs w:val="24"/>
        </w:rPr>
        <w:t>Baumgartner et al. 2014</w:t>
      </w:r>
      <w:r>
        <w:rPr>
          <w:szCs w:val="24"/>
        </w:rPr>
        <w:t xml:space="preserve">). Bice et al. (2014) identified a decrease in the abundance of small-bodied generalist species during a shift from drought to post-flood conditions in the River Murray River, and an increase in the abundance of alien species (particularly common carp) post-flooding. However, it is worthwhile noting that a complete absence of floodplain specialist species within the Edward-Wakool system is apparent following six years of intensive sampling, and this is likely due to localised extinction following long-term disconnection of off-channel habitats. Subsequently, it is important to recognise that any future watering of these off-channel habitats is undertaken with realistic expectations that floodplain species may not return immediately, if at all. Future off-channel watering strategies should support long-term watering plans that will enable conservation stocking or translocation, and the subsequent re-establishment of resident populations of off-channel specialists. </w:t>
      </w:r>
    </w:p>
    <w:p w:rsidR="003014CA" w:rsidRDefault="003014CA" w:rsidP="00BA2A62">
      <w:pPr>
        <w:spacing w:after="240"/>
        <w:jc w:val="left"/>
        <w:rPr>
          <w:szCs w:val="24"/>
        </w:rPr>
      </w:pPr>
      <w:r>
        <w:rPr>
          <w:szCs w:val="24"/>
        </w:rPr>
        <w:t xml:space="preserve">A number of large-bodied native species were captured in the current study, although only Murray cod and golden perch were commonly encountered. The presence of Murray cod juveniles at &gt; 50% of sampling sites is consistent with data collected in 2015 larval sampling </w:t>
      </w:r>
      <w:r w:rsidR="00327D5A">
        <w:rPr>
          <w:szCs w:val="24"/>
        </w:rPr>
        <w:t xml:space="preserve">(this report , section 10) </w:t>
      </w:r>
      <w:r>
        <w:rPr>
          <w:szCs w:val="24"/>
        </w:rPr>
        <w:t>and recruitment (this report</w:t>
      </w:r>
      <w:r w:rsidR="00327D5A">
        <w:rPr>
          <w:szCs w:val="24"/>
        </w:rPr>
        <w:t>, section 11</w:t>
      </w:r>
      <w:r>
        <w:rPr>
          <w:szCs w:val="24"/>
        </w:rPr>
        <w:t xml:space="preserve">), as well as previous monitoring reports (Watts et al. 2014a, </w:t>
      </w:r>
      <w:r w:rsidR="00327D5A">
        <w:rPr>
          <w:szCs w:val="24"/>
        </w:rPr>
        <w:t>2014</w:t>
      </w:r>
      <w:r>
        <w:rPr>
          <w:szCs w:val="24"/>
        </w:rPr>
        <w:t>b; Thiem et al. 2015). It appears that spawning is occurring annually for this species, at least in the focal zones monitored for larvae, and that survival and growth of larvae is occurring throughout the Edward-Wakool system (Thiem et al. 2015). While both golden and silver perch represent excellent candidate species for monitoring the delivery of environmental water given they are both considered flow-cued spawners (</w:t>
      </w:r>
      <w:r w:rsidRPr="00C76B35">
        <w:rPr>
          <w:i/>
          <w:szCs w:val="24"/>
        </w:rPr>
        <w:t>see</w:t>
      </w:r>
      <w:r>
        <w:rPr>
          <w:szCs w:val="24"/>
        </w:rPr>
        <w:t xml:space="preserve"> Baumgartner et al. 2014), no evidence collected to date has indicated that spawning has occurred within the Edward-Wakool system (Watts et al. 2014a, </w:t>
      </w:r>
      <w:r w:rsidR="00327D5A">
        <w:rPr>
          <w:szCs w:val="24"/>
        </w:rPr>
        <w:t>2014</w:t>
      </w:r>
      <w:r>
        <w:rPr>
          <w:szCs w:val="24"/>
        </w:rPr>
        <w:t>b; this report</w:t>
      </w:r>
      <w:r w:rsidR="00327D5A">
        <w:rPr>
          <w:szCs w:val="24"/>
        </w:rPr>
        <w:t>, section 10</w:t>
      </w:r>
      <w:r>
        <w:rPr>
          <w:szCs w:val="24"/>
        </w:rPr>
        <w:t xml:space="preserve">). Regardless, the Edward-Wakool system at the very least provides necessary habitat that supports juveniles and adults of both species as they have been captured in this system in recent years (Watts et al. 2014a, </w:t>
      </w:r>
      <w:r w:rsidR="00327D5A">
        <w:rPr>
          <w:szCs w:val="24"/>
        </w:rPr>
        <w:t>2014</w:t>
      </w:r>
      <w:r>
        <w:rPr>
          <w:szCs w:val="24"/>
        </w:rPr>
        <w:t xml:space="preserve">b). Recent evidence suggests that golden perch (and likely silver perch) life-history operates over substantial spatial scales across the southern connected MDB (Zampatti et al. 2014), and the inter-connectedness of Edward-Wakool golden and silver perch will be addressed under this project (fish movement) and other concurrent collaborations. </w:t>
      </w:r>
    </w:p>
    <w:p w:rsidR="003014CA" w:rsidRPr="00EE11BF" w:rsidRDefault="00294EA4" w:rsidP="003014CA">
      <w:pPr>
        <w:spacing w:after="240"/>
        <w:rPr>
          <w:b/>
          <w:color w:val="4F6228" w:themeColor="accent3" w:themeShade="80"/>
          <w:sz w:val="24"/>
          <w:szCs w:val="24"/>
        </w:rPr>
      </w:pPr>
      <w:r>
        <w:rPr>
          <w:b/>
          <w:color w:val="4F6228" w:themeColor="accent3" w:themeShade="80"/>
          <w:sz w:val="24"/>
          <w:szCs w:val="24"/>
        </w:rPr>
        <w:t>9</w:t>
      </w:r>
      <w:r w:rsidR="003014CA">
        <w:rPr>
          <w:b/>
          <w:color w:val="4F6228" w:themeColor="accent3" w:themeShade="80"/>
          <w:sz w:val="24"/>
          <w:szCs w:val="24"/>
        </w:rPr>
        <w:t>.6</w:t>
      </w:r>
      <w:r w:rsidR="003014CA" w:rsidRPr="00EE11BF">
        <w:rPr>
          <w:b/>
          <w:color w:val="4F6228" w:themeColor="accent3" w:themeShade="80"/>
          <w:sz w:val="24"/>
          <w:szCs w:val="24"/>
        </w:rPr>
        <w:t xml:space="preserve"> References</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 xml:space="preserve">Anderson, M.J., Gorley, </w:t>
      </w:r>
      <w:r w:rsidR="000A4F7E">
        <w:rPr>
          <w:rFonts w:asciiTheme="minorHAnsi" w:hAnsiTheme="minorHAnsi"/>
          <w:szCs w:val="22"/>
        </w:rPr>
        <w:t xml:space="preserve">R.N., and Clarke, K.R. (2008). </w:t>
      </w:r>
      <w:r w:rsidRPr="00685A0B">
        <w:rPr>
          <w:rFonts w:asciiTheme="minorHAnsi" w:hAnsiTheme="minorHAnsi"/>
          <w:szCs w:val="22"/>
        </w:rPr>
        <w:t xml:space="preserve">'PERMANOVA + for PRIMER: Guide to Software and Statistical Methods.' (PRIMER-E: Plymouth.) </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Baumgartner, L. J., Conallin, J., Wooden, I., Campbell, B., Gee, R., Robinson, W. A., &amp; Mallen</w:t>
      </w:r>
      <w:r w:rsidRPr="00685A0B">
        <w:rPr>
          <w:rFonts w:asciiTheme="minorHAnsi" w:hAnsiTheme="minorHAnsi" w:cs="Cambria Math"/>
          <w:szCs w:val="22"/>
        </w:rPr>
        <w:t>‐</w:t>
      </w:r>
      <w:r w:rsidRPr="00685A0B">
        <w:rPr>
          <w:rFonts w:asciiTheme="minorHAnsi" w:hAnsiTheme="minorHAnsi"/>
          <w:szCs w:val="22"/>
        </w:rPr>
        <w:t>Cooper, M. (2014). Using flow guilds of freshwater fish in an adaptive management framework to simplify environmental flow delivery for semi</w:t>
      </w:r>
      <w:r w:rsidRPr="00685A0B">
        <w:rPr>
          <w:rFonts w:asciiTheme="minorHAnsi" w:hAnsiTheme="minorHAnsi" w:cs="Cambria Math"/>
          <w:szCs w:val="22"/>
        </w:rPr>
        <w:t>‐</w:t>
      </w:r>
      <w:r w:rsidRPr="00685A0B">
        <w:rPr>
          <w:rFonts w:asciiTheme="minorHAnsi" w:hAnsiTheme="minorHAnsi"/>
          <w:szCs w:val="22"/>
        </w:rPr>
        <w:t>arid riverine systems. Fish and Fisheries, 15, 410–427.</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Bice, C. M., Gehrig, S. L., Zampatti, B. P., Nicol, J. M., Wilson, P., Leigh, S. L., &amp; Marsland, K. (2014). Flow-induced alterations to fish assemblages, habitat and fish–habitat associations in a regulated lowland river. Hydrobiologia, 722(1), 205-222.</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Bunn, S. E., &amp; Arthington, A. H. (2002). Basic principles and ecological consequences of altered flow regimes for aquatic biodiversity. Environmental management, 30(4), 492-507.</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Cadwallader, P.L. (1977). J.O. Langtry's 1949-50 Murray River Investigations. Victorian Fisheries and Wildlife Paper No. 13.</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Carter S. (2012). Sustainable Rivers Audit 2: Metric Processing System. Report prepared by Environmental Dynamics for the Murray Darling Basin Authority, Canberra.</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Davies P.E., Harris J.H., Hillman T.J. and Walker K.F. (2008). SRA Report 1: A Report on the Ecological Health of Rivers in the Murray–Darling Basin, 2004–2007. Independent Sustainable Rivers Audit Group for the Murray–Darling Basin Ministerial Council. MDBC Publication No. 16/08: Canberra.</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Davies P.E., Harris J.H., Hillman T.J. and Walker K.F. (2010). The Sustainable Rivers Audit: assessing river ecosystem health in the Murray-Darling Basin, Australia. Marine and Freshwater Research, 61, 764–777.</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Davies P.E, Stewardson M.J, Hillman T.J, Roberts J.R, and Thoms M.C. (2012). Sustainable Rivers Audit 2: The ecological health of rivers in the Murray–Darling Basin at the end of the Millennium Drought (2008–2010). Murray–Darling Basin Authority, Canberra.</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Gilligan, D., Vey, A., &amp; Asmus, M. (2009). Identifying drought refuges in the Wakool system and assessing status of fish populations and water quality before, during and after the provision of environmental, stock and domestic flows. NSW Department of Primary Industries-Fisheries Final Report Series, (110).</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Heibo, E., &amp; Magnhagen, C. (2005). Variation in age and size at maturity in perch (</w:t>
      </w:r>
      <w:r w:rsidRPr="00685A0B">
        <w:rPr>
          <w:rFonts w:asciiTheme="minorHAnsi" w:hAnsiTheme="minorHAnsi"/>
          <w:i/>
          <w:szCs w:val="22"/>
        </w:rPr>
        <w:t>Perca fluviatilis</w:t>
      </w:r>
      <w:r w:rsidRPr="00685A0B">
        <w:rPr>
          <w:rFonts w:asciiTheme="minorHAnsi" w:hAnsiTheme="minorHAnsi"/>
          <w:szCs w:val="22"/>
        </w:rPr>
        <w:t xml:space="preserve"> L.), compared across lakes with different predation risk. Ecology of freshwater fish, 14(4), 344–351.</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Humphries, P., King, A. J., &amp; Koehn, J. D. (1999). Fish, flows and flood plains: links between freshwater fishes and their environment in the Murray-Darling River system, Australia. Environmental Biology of Fishes, 56(1-2), 129-151.</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Humphries, P., Serafini, L. G., &amp; King, A. J. (2002). River regulation and fish larvae: variation through space and time. Freshwater Biology, 47(7), 1307-1331.</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King, A. J., Humphries, P., &amp; Lake, P. S. (2003). Fish recruitment on floodplains: the roles of patterns of flooding and life history characteristics. Canadian Journal of Fisheries and Aquatic Sciences, 60(7), 773-786.</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King, A.J., Tonkin, Z., &amp; Lieshcke, J. (2012). Short-term effects of a prolonged blackwater event on aquatic fauna in the Murray River, Australia: considerations for future events. Marine and Freshwater Research, 63: 576–586.</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 xml:space="preserve">Llewellyn, L. (2007). Spawning and development of the Flat-headed Gudgeon </w:t>
      </w:r>
      <w:r w:rsidRPr="00685A0B">
        <w:rPr>
          <w:rFonts w:asciiTheme="minorHAnsi" w:hAnsiTheme="minorHAnsi"/>
          <w:i/>
          <w:szCs w:val="22"/>
        </w:rPr>
        <w:t>Philypnodon grandiceps</w:t>
      </w:r>
      <w:r w:rsidRPr="00685A0B">
        <w:rPr>
          <w:rFonts w:asciiTheme="minorHAnsi" w:hAnsiTheme="minorHAnsi"/>
          <w:szCs w:val="22"/>
        </w:rPr>
        <w:t xml:space="preserve"> (Krefft, 1864) (Teleostei: Eleotridae). Australian Zoologist, 34(1), 1–21.</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 xml:space="preserve">Lorenzoni, M., Corboli, M., Ghetti, L., Pedicillo, G., &amp; Carosi, A. (2007). Growth and reproduction of the goldfish </w:t>
      </w:r>
      <w:r w:rsidRPr="00685A0B">
        <w:rPr>
          <w:rFonts w:asciiTheme="minorHAnsi" w:hAnsiTheme="minorHAnsi"/>
          <w:i/>
          <w:szCs w:val="22"/>
        </w:rPr>
        <w:t>Carassius auratus</w:t>
      </w:r>
      <w:r w:rsidRPr="00685A0B">
        <w:rPr>
          <w:rFonts w:asciiTheme="minorHAnsi" w:hAnsiTheme="minorHAnsi"/>
          <w:szCs w:val="22"/>
        </w:rPr>
        <w:t>: a case study from Italy. In Biological invaders in inland waters: Profiles, distribution, and threats (pp. 259-273). Springer, Netherlands.</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Lyon, J. P., &amp; O'Connor, J. P. (2008). Smoke on the water: Can riverine fish populations recover following a catastrophic fire</w:t>
      </w:r>
      <w:r w:rsidRPr="00685A0B">
        <w:rPr>
          <w:rFonts w:asciiTheme="minorHAnsi" w:hAnsiTheme="minorHAnsi" w:cs="Cambria Math"/>
          <w:szCs w:val="22"/>
        </w:rPr>
        <w:t>‐</w:t>
      </w:r>
      <w:r w:rsidRPr="00685A0B">
        <w:rPr>
          <w:rFonts w:asciiTheme="minorHAnsi" w:hAnsiTheme="minorHAnsi"/>
          <w:szCs w:val="22"/>
        </w:rPr>
        <w:t>related sediment slug? Austral Ecology, 33(6), 794-806.</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Lyon, J., Stuart, I., Ramsey, D., &amp; O'Mahony, J. (2010). The effect of water level on lateral movements of fish between river and off-channel habitats and implications for management. Marine and Freshwater Research, 61(3), 271-278.</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Mallen-Cooper M. (1996) Fishways and Freshwater Fish Migration in South-Eastern Australia. University of Technology, Sydney 429 pp.</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McCarthy, B., Zukowski, S., Whiterod, N., Vilizzi, L., Beesley, L., &amp; King, A. (2014). Hypoxic blackwater event severely impacts Murray crayfish (</w:t>
      </w:r>
      <w:r w:rsidRPr="00685A0B">
        <w:rPr>
          <w:rFonts w:asciiTheme="minorHAnsi" w:hAnsiTheme="minorHAnsi"/>
          <w:i/>
          <w:szCs w:val="22"/>
        </w:rPr>
        <w:t>Euastacus armatus</w:t>
      </w:r>
      <w:r w:rsidRPr="00685A0B">
        <w:rPr>
          <w:rFonts w:asciiTheme="minorHAnsi" w:hAnsiTheme="minorHAnsi"/>
          <w:szCs w:val="22"/>
        </w:rPr>
        <w:t>) populations in the Murray River, Australia. Austral Ecology, 39: 491–500.</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 xml:space="preserve">McDowall, R.M. (1996). Family Poecilidae: livebearers. </w:t>
      </w:r>
      <w:r w:rsidRPr="00685A0B">
        <w:rPr>
          <w:rFonts w:asciiTheme="minorHAnsi" w:hAnsiTheme="minorHAnsi"/>
          <w:i/>
          <w:szCs w:val="22"/>
        </w:rPr>
        <w:t>In</w:t>
      </w:r>
      <w:r w:rsidRPr="00685A0B">
        <w:rPr>
          <w:rFonts w:asciiTheme="minorHAnsi" w:hAnsiTheme="minorHAnsi"/>
          <w:szCs w:val="22"/>
        </w:rPr>
        <w:t xml:space="preserve"> RM McDowall (</w:t>
      </w:r>
      <w:proofErr w:type="gramStart"/>
      <w:r w:rsidRPr="00685A0B">
        <w:rPr>
          <w:rFonts w:asciiTheme="minorHAnsi" w:hAnsiTheme="minorHAnsi"/>
          <w:szCs w:val="22"/>
        </w:rPr>
        <w:t>ed</w:t>
      </w:r>
      <w:proofErr w:type="gramEnd"/>
      <w:r w:rsidRPr="00685A0B">
        <w:rPr>
          <w:rFonts w:asciiTheme="minorHAnsi" w:hAnsiTheme="minorHAnsi"/>
          <w:szCs w:val="22"/>
        </w:rPr>
        <w:t>), Freshwater Fishes of South-Eastern Australia. Reed Books, Sydney. Pp 116–122.</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Pusey, B., Kennard, M., &amp; Arthington, A. (2004). Freshwater fishes of north-eastern Australia. CSIRO publishing.</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Robinson W. (2012). Calculating statistics, metrics, sub-indicators and the SRA Fish theme index. A Sustainable Rivers Audit Technical Report. Murray-Darl</w:t>
      </w:r>
      <w:r w:rsidR="000A4F7E">
        <w:rPr>
          <w:rFonts w:asciiTheme="minorHAnsi" w:hAnsiTheme="minorHAnsi"/>
          <w:szCs w:val="22"/>
        </w:rPr>
        <w:t>ing Basin Authority, Canberra.</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Thiem, J., Rehwinkel, R., Smith, C., and Wooden, I. (2015). An assessment of the contribution of stocking to golden perch and Murray cod recovery in hypoxic blackwater affected areas of the Edward-Wakool river system. Report to Murray Local Land Services. 31p.</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Thoms, M. C., &amp; Sheldon, F. (2000). Lowland rivers: an Australian introduction. Regulated Rivers: Research &amp; Management, 16(5), 375-383.</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 xml:space="preserve">Vilizzi, L., &amp; Walker, K. F. (1999). Age and growth of the common carp, </w:t>
      </w:r>
      <w:r w:rsidRPr="00685A0B">
        <w:rPr>
          <w:rFonts w:asciiTheme="minorHAnsi" w:hAnsiTheme="minorHAnsi"/>
          <w:i/>
          <w:szCs w:val="22"/>
        </w:rPr>
        <w:t>Cyprinus carpio</w:t>
      </w:r>
      <w:r w:rsidRPr="00685A0B">
        <w:rPr>
          <w:rFonts w:asciiTheme="minorHAnsi" w:hAnsiTheme="minorHAnsi"/>
          <w:szCs w:val="22"/>
        </w:rPr>
        <w:t>, in the River Murray, Australia: validation, consistency of age interpretation, and growth models. Environmental Biology of Fishes, 54(1), 77–106.</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 xml:space="preserve">Wang, K., Ling, O., Li, Q, Cheng, F. and Xu H. (2009). Primary study on the age and growth of </w:t>
      </w:r>
      <w:r w:rsidRPr="00685A0B">
        <w:rPr>
          <w:rFonts w:asciiTheme="minorHAnsi" w:hAnsiTheme="minorHAnsi"/>
          <w:i/>
          <w:szCs w:val="22"/>
        </w:rPr>
        <w:t>Misgurnus anguillicaudatus</w:t>
      </w:r>
      <w:r w:rsidRPr="00685A0B">
        <w:rPr>
          <w:rFonts w:asciiTheme="minorHAnsi" w:hAnsiTheme="minorHAnsi"/>
          <w:szCs w:val="22"/>
        </w:rPr>
        <w:t xml:space="preserve"> and </w:t>
      </w:r>
      <w:r w:rsidRPr="00685A0B">
        <w:rPr>
          <w:rFonts w:asciiTheme="minorHAnsi" w:hAnsiTheme="minorHAnsi"/>
          <w:i/>
          <w:szCs w:val="22"/>
        </w:rPr>
        <w:t>Paramisgurnus dabryanus</w:t>
      </w:r>
      <w:r w:rsidRPr="00685A0B">
        <w:rPr>
          <w:rFonts w:asciiTheme="minorHAnsi" w:hAnsiTheme="minorHAnsi"/>
          <w:szCs w:val="22"/>
        </w:rPr>
        <w:t xml:space="preserve"> in the area of Suzhou. Journal of Shanghai Ocean University (English abstract accessed on 10 Aug 2015 at: </w:t>
      </w:r>
      <w:hyperlink r:id="rId100" w:history="1">
        <w:r w:rsidRPr="00685A0B">
          <w:rPr>
            <w:rStyle w:val="Hyperlink"/>
            <w:rFonts w:asciiTheme="minorHAnsi" w:hAnsiTheme="minorHAnsi"/>
            <w:szCs w:val="22"/>
          </w:rPr>
          <w:t>http://en.cnki.com.cn/Article_en/CJFDTotal-SSDB200905007.htm</w:t>
        </w:r>
      </w:hyperlink>
      <w:r w:rsidRPr="00685A0B">
        <w:rPr>
          <w:rFonts w:asciiTheme="minorHAnsi" w:hAnsiTheme="minorHAnsi"/>
          <w:szCs w:val="22"/>
        </w:rPr>
        <w:t>)</w:t>
      </w:r>
    </w:p>
    <w:p w:rsidR="003014CA" w:rsidRPr="00685A0B" w:rsidRDefault="003014CA" w:rsidP="00591004">
      <w:pPr>
        <w:pStyle w:val="References"/>
        <w:spacing w:after="120" w:line="240" w:lineRule="auto"/>
        <w:ind w:left="567" w:hanging="567"/>
        <w:jc w:val="left"/>
        <w:rPr>
          <w:rFonts w:asciiTheme="minorHAnsi" w:hAnsiTheme="minorHAnsi"/>
          <w:szCs w:val="22"/>
        </w:rPr>
      </w:pPr>
      <w:r w:rsidRPr="00685A0B">
        <w:rPr>
          <w:rFonts w:asciiTheme="minorHAnsi" w:hAnsiTheme="minorHAnsi"/>
          <w:szCs w:val="22"/>
        </w:rPr>
        <w:t>Watts, R.J., McCasker, N., Baumgartner, L., Bowen, P., Burns, A., Conallin, A., Dyer, J.G., Grace, M., Healy, S., Howitt, J.A., Kopf, R.K., Wassens, S., Watkins, S. &amp; Wooden, I. (2014a). Monitoring the ecosystem responses to Commonwealth environmental water delivered to the Edward-Wakool river system, 2012-13. Final Report Prepared for Commonwealth Environmental Water. Institute for Land, Water and Society, Charles Sturt University.</w:t>
      </w:r>
    </w:p>
    <w:p w:rsidR="003014CA" w:rsidRDefault="003014CA" w:rsidP="00591004">
      <w:pPr>
        <w:pStyle w:val="References"/>
        <w:spacing w:after="120" w:line="240" w:lineRule="auto"/>
        <w:ind w:left="567" w:hanging="567"/>
        <w:jc w:val="left"/>
        <w:rPr>
          <w:rFonts w:asciiTheme="minorHAnsi" w:hAnsiTheme="minorHAnsi"/>
          <w:szCs w:val="22"/>
        </w:rPr>
      </w:pPr>
      <w:r w:rsidRPr="00685A0B">
        <w:rPr>
          <w:rFonts w:asciiTheme="minorHAnsi" w:hAnsiTheme="minorHAnsi"/>
          <w:szCs w:val="22"/>
        </w:rPr>
        <w:t>Watts, R.J., McCasker, N., Thiem, J., Howitt, J.A., Grace, M., Healy, S., Kopf, R.K., Dyer, J.G. Conallin, A., Wooden, I., Baumgartner, L. &amp; Bowen, P. (2014b). Monitoring the ecosystem responses to Commonwealth environmental water delivered to the Edward-Wakool river system, 2013-14. Final Report Prepared for Commonwealth Environmental Water. Institute for Land, Water and Society, Charles Sturt University.</w:t>
      </w:r>
    </w:p>
    <w:p w:rsidR="00583B59" w:rsidRPr="00583B59" w:rsidRDefault="00583B59" w:rsidP="00583B59">
      <w:pPr>
        <w:pStyle w:val="References"/>
        <w:spacing w:after="120" w:line="240" w:lineRule="auto"/>
        <w:ind w:left="567" w:hanging="567"/>
        <w:jc w:val="left"/>
        <w:rPr>
          <w:rFonts w:asciiTheme="minorHAnsi" w:hAnsiTheme="minorHAnsi"/>
          <w:szCs w:val="22"/>
        </w:rPr>
      </w:pPr>
      <w:r w:rsidRPr="00583B59">
        <w:rPr>
          <w:rFonts w:asciiTheme="minorHAnsi" w:hAnsiTheme="minorHAnsi"/>
          <w:szCs w:val="22"/>
        </w:rPr>
        <w:t>Watts, R.J., McCasker, N., Baumgartner, L., Bond, N., Bowen, P., Conallin, A., Grace, M., Healy, S., Howitt, J.A., Kopf, R.K., Scott, N., Thiem, J., Wooden I. (2014</w:t>
      </w:r>
      <w:r>
        <w:rPr>
          <w:rFonts w:asciiTheme="minorHAnsi" w:hAnsiTheme="minorHAnsi"/>
          <w:szCs w:val="22"/>
        </w:rPr>
        <w:t>c</w:t>
      </w:r>
      <w:r w:rsidRPr="00583B59">
        <w:rPr>
          <w:rFonts w:asciiTheme="minorHAnsi" w:hAnsiTheme="minorHAnsi"/>
          <w:szCs w:val="22"/>
        </w:rPr>
        <w:t>)</w:t>
      </w:r>
      <w:r w:rsidR="00936F87">
        <w:rPr>
          <w:rFonts w:asciiTheme="minorHAnsi" w:hAnsiTheme="minorHAnsi"/>
          <w:szCs w:val="22"/>
        </w:rPr>
        <w:t>.</w:t>
      </w:r>
      <w:r w:rsidRPr="00583B59">
        <w:rPr>
          <w:rFonts w:asciiTheme="minorHAnsi" w:hAnsiTheme="minorHAnsi"/>
          <w:szCs w:val="22"/>
        </w:rPr>
        <w:t xml:space="preserve"> Monitoring and Evaluation Plan for the Edward-Wakool Selected Area, Commonwealth of Australia 2014</w:t>
      </w:r>
    </w:p>
    <w:p w:rsidR="003014CA" w:rsidRPr="00685A0B" w:rsidRDefault="003014CA" w:rsidP="00591004">
      <w:pPr>
        <w:spacing w:after="120" w:line="240" w:lineRule="auto"/>
        <w:ind w:left="567" w:hanging="567"/>
        <w:jc w:val="left"/>
        <w:rPr>
          <w:rFonts w:asciiTheme="minorHAnsi" w:hAnsiTheme="minorHAnsi"/>
          <w:szCs w:val="22"/>
        </w:rPr>
      </w:pPr>
      <w:r w:rsidRPr="00685A0B">
        <w:rPr>
          <w:rFonts w:asciiTheme="minorHAnsi" w:hAnsiTheme="minorHAnsi"/>
          <w:szCs w:val="22"/>
        </w:rPr>
        <w:t>Whitworth, K.L., Baldwin, D.S., &amp; Kerr, J.L. (2012). Drought, floods and water quality: drivers of a severe hypoxic blackwater event in a major river system (the southern Murray–Darling Basin, Australia). Journal of Hydrology, 450: 190–198.</w:t>
      </w:r>
    </w:p>
    <w:p w:rsidR="008A7C75" w:rsidRPr="0009147C" w:rsidRDefault="003014CA" w:rsidP="00591004">
      <w:pPr>
        <w:spacing w:after="120" w:line="240" w:lineRule="auto"/>
        <w:ind w:left="567" w:hanging="567"/>
        <w:jc w:val="left"/>
        <w:rPr>
          <w:b/>
          <w:iCs/>
          <w:sz w:val="24"/>
          <w:szCs w:val="26"/>
        </w:rPr>
      </w:pPr>
      <w:r w:rsidRPr="00685A0B">
        <w:rPr>
          <w:rFonts w:asciiTheme="minorHAnsi" w:hAnsiTheme="minorHAnsi"/>
          <w:szCs w:val="22"/>
        </w:rPr>
        <w:t>Zampatti, B. P., Wilson, P. J., Baumgartner, L., Koster, W., Livore, J., Thiem, J., Tonkin, Z., &amp; Ye, Q. (2014). Reproduction and recruitment of golden perch (</w:t>
      </w:r>
      <w:r w:rsidRPr="00685A0B">
        <w:rPr>
          <w:rFonts w:asciiTheme="minorHAnsi" w:hAnsiTheme="minorHAnsi"/>
          <w:i/>
          <w:szCs w:val="22"/>
        </w:rPr>
        <w:t>Macquaria ambigua ambigua</w:t>
      </w:r>
      <w:r w:rsidRPr="00685A0B">
        <w:rPr>
          <w:rFonts w:asciiTheme="minorHAnsi" w:hAnsiTheme="minorHAnsi"/>
          <w:szCs w:val="22"/>
        </w:rPr>
        <w:t>) in the southern Murray-Darling Basin in 2013/14: an exploration of river-scale response, connectivity and population dynamics. Draft report to the Murray-Darling Basin Authority</w:t>
      </w:r>
      <w:r>
        <w:rPr>
          <w:szCs w:val="24"/>
        </w:rPr>
        <w:t>.</w:t>
      </w:r>
      <w:r w:rsidR="000C2A6F" w:rsidRPr="0009147C">
        <w:br w:type="page"/>
      </w:r>
      <w:bookmarkStart w:id="64" w:name="_Toc362347837"/>
      <w:bookmarkEnd w:id="60"/>
      <w:bookmarkEnd w:id="61"/>
    </w:p>
    <w:p w:rsidR="00956B4B" w:rsidRPr="0009147C" w:rsidRDefault="00BB4120" w:rsidP="00ED6D80">
      <w:pPr>
        <w:pStyle w:val="MurrumH1"/>
      </w:pPr>
      <w:bookmarkStart w:id="65" w:name="_Toc450199555"/>
      <w:r w:rsidRPr="0009147C">
        <w:t>F</w:t>
      </w:r>
      <w:r w:rsidR="00956B4B" w:rsidRPr="0009147C">
        <w:t>ish spawning</w:t>
      </w:r>
      <w:r w:rsidRPr="0009147C">
        <w:t xml:space="preserve"> and reproduction responses to C</w:t>
      </w:r>
      <w:r w:rsidR="00956B4B" w:rsidRPr="0009147C">
        <w:t>ommonwealth environmental watering</w:t>
      </w:r>
      <w:bookmarkEnd w:id="65"/>
    </w:p>
    <w:p w:rsidR="008A7C75" w:rsidRDefault="00F671D2" w:rsidP="008A7C75">
      <w:r>
        <w:rPr>
          <w:noProof/>
          <w:lang w:eastAsia="en-AU"/>
        </w:rPr>
        <w:pict>
          <v:shape id="Text Box 839" o:spid="_x0000_s1400" type="#_x0000_t202" style="position:absolute;left:0;text-align:left;margin-left:1625.8pt;margin-top:8.05pt;width:449.25pt;height:597.75pt;z-index:251714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" fillcolor="#d6e3bc [1302]">
            <v:textbox>
              <w:txbxContent>
                <w:p w:rsidR="0097684C" w:rsidRPr="00984CDE" w:rsidRDefault="0097684C" w:rsidP="000B78D1">
                  <w:pPr>
                    <w:shd w:val="clear" w:color="auto" w:fill="D6E3BC" w:themeFill="accent3" w:themeFillTint="66"/>
                    <w:spacing w:after="0" w:line="240" w:lineRule="auto"/>
                    <w:rPr>
                      <w:b/>
                      <w:sz w:val="16"/>
                      <w:szCs w:val="16"/>
                    </w:rPr>
                  </w:pPr>
                </w:p>
                <w:p w:rsidR="0097684C" w:rsidRDefault="0097684C" w:rsidP="000B78D1">
                  <w:pPr>
                    <w:pStyle w:val="Style2"/>
                    <w:shd w:val="clear" w:color="auto" w:fill="D6E3BC" w:themeFill="accent3" w:themeFillTint="66"/>
                    <w:jc w:val="center"/>
                  </w:pPr>
                  <w:r w:rsidRPr="00BB4120">
                    <w:rPr>
                      <w:noProof/>
                      <w:shd w:val="clear" w:color="auto" w:fill="C2D69B" w:themeFill="accent3" w:themeFillTint="99"/>
                      <w:lang w:eastAsia="en-AU"/>
                    </w:rPr>
                    <w:drawing>
                      <wp:inline distT="0" distB="0" distL="0" distR="0">
                        <wp:extent cx="2777878" cy="2268000"/>
                        <wp:effectExtent l="0" t="0" r="381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41" r="43877" b="5927"/>
                                <a:stretch/>
                              </pic:blipFill>
                              <pic:spPr bwMode="auto">
                                <a:xfrm>
                                  <a:off x="0" y="0"/>
                                  <a:ext cx="2777878" cy="2268000"/>
                                </a:xfrm>
                                <a:prstGeom prst="rect">
                                  <a:avLst/>
                                </a:prstGeom>
                                <a:solidFill>
                                  <a:schemeClr val="accent3">
                                    <a:lumMod val="60000"/>
                                    <a:lumOff val="40000"/>
                                  </a:schemeClr>
                                </a:solid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7684C" w:rsidRPr="00DC185B" w:rsidRDefault="0097684C" w:rsidP="000B78D1">
                  <w:pPr>
                    <w:pStyle w:val="Style2"/>
                    <w:shd w:val="clear" w:color="auto" w:fill="D6E3BC" w:themeFill="accent3" w:themeFillTint="66"/>
                  </w:pPr>
                  <w:r w:rsidRPr="00A61839">
                    <w:t>Photo: Larval</w:t>
                  </w:r>
                  <w:r w:rsidRPr="00DC185B">
                    <w:t xml:space="preserve"> fish species found in the Edward-Wakool River system (</w:t>
                  </w:r>
                  <w:r>
                    <w:t xml:space="preserve">Source: </w:t>
                  </w:r>
                  <w:r w:rsidRPr="00DC185B">
                    <w:t xml:space="preserve">Serafini and Humphries 2004). </w:t>
                  </w:r>
                </w:p>
                <w:p w:rsidR="0097684C" w:rsidRPr="00DE0598" w:rsidRDefault="0097684C" w:rsidP="000B78D1">
                  <w:pPr>
                    <w:shd w:val="clear" w:color="auto" w:fill="D6E3BC" w:themeFill="accent3" w:themeFillTint="66"/>
                    <w:spacing w:after="0"/>
                    <w:rPr>
                      <w:b/>
                    </w:rPr>
                  </w:pPr>
                  <w:r>
                    <w:rPr>
                      <w:b/>
                    </w:rPr>
                    <w:t>Summary</w:t>
                  </w:r>
                </w:p>
                <w:p w:rsidR="0097684C" w:rsidRPr="00C12FDE" w:rsidRDefault="0097684C" w:rsidP="00FE3947">
                  <w:pPr>
                    <w:pStyle w:val="NoSpacing"/>
                    <w:numPr>
                      <w:ilvl w:val="0"/>
                      <w:numId w:val="39"/>
                    </w:numPr>
                    <w:spacing w:after="120"/>
                    <w:ind w:left="357" w:hanging="357"/>
                    <w:rPr>
                      <w:kern w:val="32"/>
                      <w:szCs w:val="22"/>
                    </w:rPr>
                  </w:pPr>
                  <w:r>
                    <w:t xml:space="preserve">Fish spawning and reproduction responses to Commonwealth environmental watering were assessed by monitoring the presence and abundance of fish larvae throughout the spring and summer of 2014-15. Larval fish were sampled fortnightly from September 2014 to March 2015 using a combination of light traps and drift nets across four study zones: Yallakool Creek, Wakool River zone 2, Wakool River zone 3, and Wakool River zone 4. </w:t>
                  </w:r>
                </w:p>
                <w:p w:rsidR="0097684C" w:rsidRDefault="0097684C" w:rsidP="00FE3947">
                  <w:pPr>
                    <w:pStyle w:val="NoSpacing"/>
                    <w:numPr>
                      <w:ilvl w:val="0"/>
                      <w:numId w:val="39"/>
                    </w:numPr>
                    <w:spacing w:after="120"/>
                    <w:ind w:left="357" w:hanging="357"/>
                    <w:rPr>
                      <w:kern w:val="32"/>
                      <w:szCs w:val="22"/>
                    </w:rPr>
                  </w:pPr>
                  <w:r>
                    <w:rPr>
                      <w:kern w:val="32"/>
                      <w:szCs w:val="22"/>
                    </w:rPr>
                    <w:t xml:space="preserve">Seven of the 11 native </w:t>
                  </w:r>
                  <w:r w:rsidRPr="007E4D0D">
                    <w:rPr>
                      <w:kern w:val="32"/>
                      <w:szCs w:val="22"/>
                    </w:rPr>
                    <w:t xml:space="preserve">fish species known to </w:t>
                  </w:r>
                  <w:r>
                    <w:rPr>
                      <w:kern w:val="32"/>
                      <w:szCs w:val="22"/>
                    </w:rPr>
                    <w:t xml:space="preserve">occur in the selected area </w:t>
                  </w:r>
                  <w:r w:rsidRPr="007E4D0D">
                    <w:rPr>
                      <w:kern w:val="32"/>
                      <w:szCs w:val="22"/>
                    </w:rPr>
                    <w:t xml:space="preserve">were </w:t>
                  </w:r>
                  <w:r>
                    <w:rPr>
                      <w:kern w:val="32"/>
                      <w:szCs w:val="22"/>
                    </w:rPr>
                    <w:t>collected as larvae or early juvenile stages, indicating the successfully spawning of these species</w:t>
                  </w:r>
                  <w:r w:rsidRPr="0009147C">
                    <w:rPr>
                      <w:kern w:val="32"/>
                      <w:szCs w:val="22"/>
                    </w:rPr>
                    <w:t>.</w:t>
                  </w:r>
                  <w:r>
                    <w:rPr>
                      <w:kern w:val="32"/>
                      <w:szCs w:val="22"/>
                    </w:rPr>
                    <w:t xml:space="preserve"> In addition, a recently described species, </w:t>
                  </w:r>
                  <w:r w:rsidRPr="00C12FDE">
                    <w:rPr>
                      <w:i/>
                      <w:kern w:val="32"/>
                      <w:szCs w:val="22"/>
                    </w:rPr>
                    <w:t>Galaxias oliros</w:t>
                  </w:r>
                  <w:r>
                    <w:rPr>
                      <w:kern w:val="32"/>
                      <w:szCs w:val="22"/>
                    </w:rPr>
                    <w:t xml:space="preserve"> (obscure galaxias, Raadik 2014), was collected as a juvenile in Yallakool Creek. This is the first collection of a Galaxiid species in the region since larval fish monitoring of the system commenced in 2011.</w:t>
                  </w:r>
                </w:p>
                <w:p w:rsidR="0097684C" w:rsidRPr="00984CDE" w:rsidRDefault="0097684C" w:rsidP="00113B28">
                  <w:pPr>
                    <w:pStyle w:val="NoSpacing"/>
                    <w:numPr>
                      <w:ilvl w:val="0"/>
                      <w:numId w:val="4"/>
                    </w:numPr>
                    <w:spacing w:after="120"/>
                    <w:rPr>
                      <w:kern w:val="32"/>
                      <w:szCs w:val="22"/>
                    </w:rPr>
                  </w:pPr>
                  <w:r w:rsidRPr="00984CDE">
                    <w:rPr>
                      <w:szCs w:val="22"/>
                    </w:rPr>
                    <w:t xml:space="preserve">The </w:t>
                  </w:r>
                  <w:r w:rsidRPr="0009147C">
                    <w:t>spawning patterns of the Edward-Wakool fish community appear</w:t>
                  </w:r>
                  <w:r>
                    <w:t>ed to be independent of</w:t>
                  </w:r>
                  <w:r w:rsidRPr="0009147C">
                    <w:t xml:space="preserve"> </w:t>
                  </w:r>
                  <w:r>
                    <w:t xml:space="preserve">Commonwealth </w:t>
                  </w:r>
                  <w:r w:rsidRPr="0009147C">
                    <w:t>environmental watering actions in 20</w:t>
                  </w:r>
                  <w:r>
                    <w:t>1</w:t>
                  </w:r>
                  <w:r w:rsidRPr="0009147C">
                    <w:t xml:space="preserve">4-15. The Yallakool Creek </w:t>
                  </w:r>
                  <w:r>
                    <w:t xml:space="preserve">environmental watering action </w:t>
                  </w:r>
                  <w:r w:rsidRPr="0009147C">
                    <w:t xml:space="preserve">during the Murray cod spawning season did not result in a significantly greater number of Murray cod larvae in Yallakool Creek or the Wakool </w:t>
                  </w:r>
                  <w:r>
                    <w:t xml:space="preserve">River zones 3 and 4 when </w:t>
                  </w:r>
                  <w:r w:rsidRPr="0009147C">
                    <w:t xml:space="preserve">compared to Wakool </w:t>
                  </w:r>
                  <w:r>
                    <w:t>River zone 2</w:t>
                  </w:r>
                  <w:r w:rsidRPr="0009147C">
                    <w:t xml:space="preserve"> </w:t>
                  </w:r>
                  <w:r>
                    <w:t>(no</w:t>
                  </w:r>
                  <w:r w:rsidRPr="0009147C">
                    <w:t xml:space="preserve"> environmental water</w:t>
                  </w:r>
                  <w:r>
                    <w:t>)</w:t>
                  </w:r>
                  <w:r w:rsidRPr="0009147C">
                    <w:t xml:space="preserve">. </w:t>
                  </w:r>
                  <w:r w:rsidRPr="00984CDE">
                    <w:rPr>
                      <w:szCs w:val="22"/>
                    </w:rPr>
                    <w:t>These findings concur with results observed during monitoring of similar watering actions in 2012-13 and 2013-14 and support the body of knowledge that shows that Murray cod spawn at peak times in November and December, regardless of flow conditions.</w:t>
                  </w:r>
                </w:p>
                <w:p w:rsidR="0097684C" w:rsidRPr="0009147C" w:rsidRDefault="0097684C" w:rsidP="002B6064">
                  <w:pPr>
                    <w:pStyle w:val="NoSpacing"/>
                    <w:numPr>
                      <w:ilvl w:val="0"/>
                      <w:numId w:val="4"/>
                    </w:numPr>
                    <w:spacing w:after="120"/>
                    <w:rPr>
                      <w:kern w:val="32"/>
                      <w:szCs w:val="22"/>
                    </w:rPr>
                  </w:pPr>
                  <w:r w:rsidRPr="0009147C">
                    <w:t xml:space="preserve">The </w:t>
                  </w:r>
                  <w:r>
                    <w:t>environmental</w:t>
                  </w:r>
                  <w:r w:rsidRPr="0009147C">
                    <w:t xml:space="preserve"> watering action did not trigger a golden and silver perch spawning response in the monitored reaches, as evidenced by</w:t>
                  </w:r>
                  <w:r>
                    <w:t xml:space="preserve"> the absence of larvae or eggs, but this is not surprising as the action was not planned to target a spawning response in these species.</w:t>
                  </w:r>
                </w:p>
                <w:p w:rsidR="0097684C" w:rsidRPr="004A648F" w:rsidRDefault="0097684C" w:rsidP="008A7C75">
                  <w:pPr>
                    <w:pStyle w:val="NoSpacing"/>
                    <w:numPr>
                      <w:ilvl w:val="0"/>
                      <w:numId w:val="4"/>
                    </w:numPr>
                    <w:spacing w:after="120"/>
                    <w:rPr>
                      <w:kern w:val="32"/>
                      <w:szCs w:val="22"/>
                    </w:rPr>
                  </w:pPr>
                  <w:r w:rsidRPr="0009147C">
                    <w:rPr>
                      <w:szCs w:val="22"/>
                    </w:rPr>
                    <w:t>Environmental watering actions that target the inundation of in-channel geomorphological features, increase the area of slackwater, and help establish instream aquatic vegetation are likely</w:t>
                  </w:r>
                  <w:r>
                    <w:rPr>
                      <w:szCs w:val="22"/>
                    </w:rPr>
                    <w:t xml:space="preserve"> </w:t>
                  </w:r>
                  <w:r w:rsidRPr="0009147C">
                    <w:rPr>
                      <w:szCs w:val="22"/>
                    </w:rPr>
                    <w:t>to</w:t>
                  </w:r>
                  <w:r>
                    <w:rPr>
                      <w:szCs w:val="22"/>
                    </w:rPr>
                    <w:t xml:space="preserve"> </w:t>
                  </w:r>
                  <w:r w:rsidRPr="0009147C">
                    <w:rPr>
                      <w:szCs w:val="22"/>
                    </w:rPr>
                    <w:t>be advantageous to small bodied fish species fo</w:t>
                  </w:r>
                  <w:r>
                    <w:rPr>
                      <w:szCs w:val="22"/>
                    </w:rPr>
                    <w:t>r spawning and nursery grounds.</w:t>
                  </w:r>
                </w:p>
              </w:txbxContent>
            </v:textbox>
            <w10:wrap anchorx="margin"/>
          </v:shape>
        </w:pict>
      </w:r>
    </w:p>
    <w:p w:rsidR="008A7C75" w:rsidRDefault="008A7C75" w:rsidP="008A7C75"/>
    <w:p w:rsidR="008A7C75" w:rsidRPr="00AC6AE1" w:rsidRDefault="008A7C75" w:rsidP="008A7C75">
      <w:pPr>
        <w:sectPr w:rsidR="008A7C75" w:rsidRPr="00AC6AE1" w:rsidSect="00BB49EA">
          <w:pgSz w:w="11906" w:h="16838"/>
          <w:pgMar w:top="1440" w:right="1440" w:bottom="1440" w:left="1440" w:header="709" w:footer="709" w:gutter="0"/>
          <w:cols w:space="708"/>
          <w:docGrid w:linePitch="360"/>
        </w:sectPr>
      </w:pPr>
    </w:p>
    <w:p w:rsidR="008A7C75" w:rsidRPr="00CA726B" w:rsidRDefault="00BA2A62" w:rsidP="00F841A9">
      <w:pPr>
        <w:spacing w:after="240"/>
        <w:rPr>
          <w:b/>
          <w:color w:val="4F6228" w:themeColor="accent3" w:themeShade="80"/>
          <w:sz w:val="24"/>
          <w:szCs w:val="24"/>
        </w:rPr>
      </w:pPr>
      <w:r>
        <w:rPr>
          <w:b/>
          <w:color w:val="4F6228" w:themeColor="accent3" w:themeShade="80"/>
          <w:sz w:val="24"/>
          <w:szCs w:val="24"/>
        </w:rPr>
        <w:t>10</w:t>
      </w:r>
      <w:r w:rsidR="008E792D">
        <w:rPr>
          <w:b/>
          <w:color w:val="4F6228" w:themeColor="accent3" w:themeShade="80"/>
          <w:sz w:val="24"/>
          <w:szCs w:val="24"/>
        </w:rPr>
        <w:t xml:space="preserve"> </w:t>
      </w:r>
      <w:r w:rsidR="00CA726B" w:rsidRPr="00CA726B">
        <w:rPr>
          <w:b/>
          <w:color w:val="4F6228" w:themeColor="accent3" w:themeShade="80"/>
          <w:sz w:val="24"/>
          <w:szCs w:val="24"/>
        </w:rPr>
        <w:t xml:space="preserve">.1 </w:t>
      </w:r>
      <w:r w:rsidR="008A7C75" w:rsidRPr="00CA726B">
        <w:rPr>
          <w:b/>
          <w:color w:val="4F6228" w:themeColor="accent3" w:themeShade="80"/>
          <w:sz w:val="24"/>
          <w:szCs w:val="24"/>
        </w:rPr>
        <w:t>Background</w:t>
      </w:r>
    </w:p>
    <w:p w:rsidR="003D3DDF" w:rsidRDefault="003D3DDF" w:rsidP="00F841A9">
      <w:pPr>
        <w:pStyle w:val="NoSpacing"/>
        <w:spacing w:after="240" w:line="360" w:lineRule="auto"/>
        <w:jc w:val="left"/>
      </w:pPr>
      <w:r w:rsidRPr="00B01350">
        <w:t xml:space="preserve">The delivery of environmental water is seen as a key way of enhancing the spawning and recruitment of native fish species (Murray-Darling Basin Commission 2004). The </w:t>
      </w:r>
      <w:r>
        <w:t xml:space="preserve">environmental and </w:t>
      </w:r>
      <w:r w:rsidRPr="00B01350">
        <w:t>hydraulic conditions under which the spawning and recruitment of Murray-</w:t>
      </w:r>
      <w:r>
        <w:t>Darling fish varies across species. Humphries et al. (1999) proposed three broad groups for native fish based on their life history, and likely flow requirements for spawning and recruitment. ‘Mode 1’ fish, are characterised as long-lived, large-bodied fish species whose spawning, or magnitude of spawning is thought to be associated with flow pulses (e.g</w:t>
      </w:r>
      <w:r w:rsidR="00477CD5">
        <w:t>.</w:t>
      </w:r>
      <w:r>
        <w:t xml:space="preserve"> golden perch and silver Perch); ‘Mode 2’ fish, are characterised as long-lived, large-bodied fish species whose spawning is independent of flow conditions, but whose recruitment may benefit from flow events (e.g</w:t>
      </w:r>
      <w:r w:rsidR="00477CD5">
        <w:t>.</w:t>
      </w:r>
      <w:r>
        <w:t xml:space="preserve"> Murray cod, trout cod, river blackfish); and ‘Mode 3’ fish are short-lived, small-bodied fish that also spawn independently of flow pulses, and may well flourish under low flow conditions due to the warm temperatures and higher food resources that such environments can provide (e.g</w:t>
      </w:r>
      <w:r w:rsidR="00477CD5">
        <w:t>.</w:t>
      </w:r>
      <w:r>
        <w:t xml:space="preserve"> carp gudgeon, Australian smelt, unspecked hardyhead, flathead gudgeon, Murray river rainbowfish) (Humphries et al. 1999). </w:t>
      </w:r>
    </w:p>
    <w:p w:rsidR="003D3DDF" w:rsidRDefault="003D3DDF" w:rsidP="00F841A9">
      <w:pPr>
        <w:pStyle w:val="ListParagraph"/>
        <w:spacing w:after="240"/>
        <w:ind w:left="0"/>
        <w:jc w:val="left"/>
      </w:pPr>
      <w:r>
        <w:t xml:space="preserve">Flow-response studies of native fish spawning and recruitment that have been conducted since Humphries et al. (1999) proposed the three modes, and in particular those that have focussed on assessing both overbank and large within channel environmental flows, give support to the </w:t>
      </w:r>
      <w:r w:rsidR="00477CD5">
        <w:t xml:space="preserve">three </w:t>
      </w:r>
      <w:r>
        <w:t xml:space="preserve">life history modes, in particular confirming the importance of flow pulses for golden and silver perch spawning and </w:t>
      </w:r>
      <w:r w:rsidRPr="00434E9E">
        <w:t xml:space="preserve">recruitment (Mallen-Cooper and Stuart </w:t>
      </w:r>
      <w:r>
        <w:t>2003;</w:t>
      </w:r>
      <w:r w:rsidRPr="00434E9E">
        <w:t xml:space="preserve"> Roberts et al. </w:t>
      </w:r>
      <w:r>
        <w:t>2008;</w:t>
      </w:r>
      <w:r w:rsidRPr="00434E9E">
        <w:t xml:space="preserve"> Zampatti </w:t>
      </w:r>
      <w:r>
        <w:t>and L</w:t>
      </w:r>
      <w:r w:rsidRPr="00434E9E">
        <w:t>eigh 2013), and</w:t>
      </w:r>
      <w:r>
        <w:t xml:space="preserve"> the independence of species such as Murray cod spawning from flow conditions (</w:t>
      </w:r>
      <w:r>
        <w:rPr>
          <w:szCs w:val="22"/>
        </w:rPr>
        <w:t>Rowland 1983; Humphries 2005; Koehn and Harrington 2006; King et al. 2009, King et al. 2015</w:t>
      </w:r>
      <w:r>
        <w:t>). Less has been documented on the role of flow in the spawning and recruitment for smaller bodied species, however two of the key instream habitat features considered important for the spawning and successful recruitment of these species are the prevalence of slackwater areas (Humphries et al. 1999) and the presence of in stream aquatic vegetation (Bice et al. 2014).</w:t>
      </w:r>
    </w:p>
    <w:p w:rsidR="003D3DDF" w:rsidRDefault="003D3DDF" w:rsidP="00F841A9">
      <w:pPr>
        <w:pStyle w:val="NoSpacing"/>
        <w:spacing w:after="240" w:line="360" w:lineRule="auto"/>
        <w:jc w:val="left"/>
        <w:rPr>
          <w:szCs w:val="22"/>
        </w:rPr>
      </w:pPr>
      <w:r w:rsidRPr="00F90300">
        <w:rPr>
          <w:color w:val="000000"/>
        </w:rPr>
        <w:t xml:space="preserve">Monitoring of the abundance and diversity of larval fish was undertaken </w:t>
      </w:r>
      <w:r>
        <w:rPr>
          <w:color w:val="000000"/>
        </w:rPr>
        <w:t>from September 2014 to March 2015</w:t>
      </w:r>
      <w:r w:rsidRPr="00F90300">
        <w:rPr>
          <w:color w:val="000000"/>
        </w:rPr>
        <w:t xml:space="preserve"> to </w:t>
      </w:r>
      <w:r>
        <w:rPr>
          <w:color w:val="000000"/>
        </w:rPr>
        <w:t xml:space="preserve">evaluate the short-term spawning response of the Edward-Wakool fish assemblage to specific Commonwealth environmental watering actions, and in the long term, to provide important information on the flow-spawning ecology relationships of the Edward-Wakool fish assemblage. </w:t>
      </w:r>
    </w:p>
    <w:p w:rsidR="00ED6D80" w:rsidRDefault="00ED6D80">
      <w:pPr>
        <w:spacing w:after="0" w:line="240" w:lineRule="auto"/>
        <w:jc w:val="left"/>
        <w:rPr>
          <w:b/>
          <w:color w:val="4F6228" w:themeColor="accent3" w:themeShade="80"/>
          <w:sz w:val="24"/>
          <w:szCs w:val="24"/>
        </w:rPr>
      </w:pPr>
      <w:r>
        <w:rPr>
          <w:b/>
          <w:color w:val="4F6228" w:themeColor="accent3" w:themeShade="80"/>
          <w:sz w:val="24"/>
          <w:szCs w:val="24"/>
        </w:rPr>
        <w:br w:type="page"/>
      </w:r>
    </w:p>
    <w:p w:rsidR="00CA726B" w:rsidRPr="003D3DDF" w:rsidRDefault="005E0A51" w:rsidP="00113B28">
      <w:pPr>
        <w:spacing w:after="120"/>
        <w:jc w:val="left"/>
        <w:rPr>
          <w:b/>
          <w:color w:val="4F6228" w:themeColor="accent3" w:themeShade="80"/>
          <w:sz w:val="24"/>
          <w:szCs w:val="24"/>
        </w:rPr>
      </w:pPr>
      <w:r>
        <w:rPr>
          <w:b/>
          <w:color w:val="4F6228" w:themeColor="accent3" w:themeShade="80"/>
          <w:sz w:val="24"/>
          <w:szCs w:val="24"/>
        </w:rPr>
        <w:t>10</w:t>
      </w:r>
      <w:r w:rsidR="00CA726B" w:rsidRPr="003D3DDF">
        <w:rPr>
          <w:b/>
          <w:color w:val="4F6228" w:themeColor="accent3" w:themeShade="80"/>
          <w:sz w:val="24"/>
          <w:szCs w:val="24"/>
        </w:rPr>
        <w:t>.2 Questions</w:t>
      </w:r>
    </w:p>
    <w:p w:rsidR="003D3DDF" w:rsidRDefault="00477CD5" w:rsidP="00F841A9">
      <w:pPr>
        <w:spacing w:after="240"/>
        <w:jc w:val="left"/>
        <w:rPr>
          <w:szCs w:val="22"/>
        </w:rPr>
      </w:pPr>
      <w:r>
        <w:rPr>
          <w:szCs w:val="22"/>
        </w:rPr>
        <w:t>E</w:t>
      </w:r>
      <w:r w:rsidR="003D3DDF">
        <w:rPr>
          <w:szCs w:val="22"/>
        </w:rPr>
        <w:t xml:space="preserve">valuation of fish spawning and reproduction to Commonwealth environmental watering in the Edward-Wakool River system </w:t>
      </w:r>
      <w:r>
        <w:rPr>
          <w:szCs w:val="22"/>
        </w:rPr>
        <w:t xml:space="preserve">for the Long term Intervention Monitoring Project is being undertaken </w:t>
      </w:r>
      <w:r w:rsidR="003D3DDF">
        <w:rPr>
          <w:szCs w:val="22"/>
        </w:rPr>
        <w:t xml:space="preserve">at the </w:t>
      </w:r>
      <w:r w:rsidR="003D3DDF" w:rsidRPr="003D3DDF">
        <w:rPr>
          <w:szCs w:val="22"/>
        </w:rPr>
        <w:t>i)</w:t>
      </w:r>
      <w:r w:rsidR="003D3DDF">
        <w:rPr>
          <w:szCs w:val="22"/>
        </w:rPr>
        <w:t xml:space="preserve"> Selected Area scale (Watts et al. 2014</w:t>
      </w:r>
      <w:r w:rsidR="00113B28">
        <w:rPr>
          <w:szCs w:val="22"/>
        </w:rPr>
        <w:t>a</w:t>
      </w:r>
      <w:r w:rsidR="003D3DDF">
        <w:rPr>
          <w:szCs w:val="22"/>
        </w:rPr>
        <w:t xml:space="preserve">), and </w:t>
      </w:r>
      <w:r w:rsidR="003D3DDF" w:rsidRPr="003D3DDF">
        <w:rPr>
          <w:szCs w:val="22"/>
        </w:rPr>
        <w:t>ii)</w:t>
      </w:r>
      <w:r w:rsidR="003D3DDF">
        <w:rPr>
          <w:szCs w:val="22"/>
        </w:rPr>
        <w:t xml:space="preserve"> Basin scale (Hale et al. 2014), across short term and long term time scales. The Basin Scale evaluation involves the integration of multiple datasets from a number of different catchments, and this will be undertaken by the Murray-Darling Freshwater Research Centre and will be evaluated in a separate report. This is the first year of a multi-year monitoring project, and as such this report will evaluate only short-term response questions specific to the Edward-Wakool selected area. </w:t>
      </w:r>
    </w:p>
    <w:p w:rsidR="003D3DDF" w:rsidRDefault="003D3DDF" w:rsidP="00F841A9">
      <w:pPr>
        <w:pStyle w:val="NoSpacing"/>
        <w:spacing w:after="240" w:line="360" w:lineRule="auto"/>
        <w:jc w:val="left"/>
        <w:rPr>
          <w:szCs w:val="22"/>
        </w:rPr>
      </w:pPr>
      <w:r>
        <w:rPr>
          <w:szCs w:val="22"/>
        </w:rPr>
        <w:t xml:space="preserve">Here, we address three key questions relating to fish spawning and reproduction. The first two questions relate to the assessing the effect of 2014-15 Yallakool Creek environmental watering action in meeting objectives relevant to fish spawning and reproduction: </w:t>
      </w:r>
      <w:r w:rsidR="00076B27">
        <w:rPr>
          <w:szCs w:val="22"/>
        </w:rPr>
        <w:t>Two</w:t>
      </w:r>
      <w:r>
        <w:rPr>
          <w:szCs w:val="22"/>
        </w:rPr>
        <w:t xml:space="preserve"> of the objectives of the Yallakool Creek Environmental Watering Action (Aug 2014- Jan 2015) </w:t>
      </w:r>
      <w:r w:rsidR="00477CD5">
        <w:rPr>
          <w:szCs w:val="22"/>
        </w:rPr>
        <w:t>were</w:t>
      </w:r>
      <w:r>
        <w:rPr>
          <w:szCs w:val="22"/>
        </w:rPr>
        <w:t xml:space="preserve"> to support inundation of Murray cod nesting sites and contribute to maximising Murray cod recruitment, and to contribute to improved opportunities for t</w:t>
      </w:r>
      <w:r w:rsidR="00477CD5">
        <w:rPr>
          <w:szCs w:val="22"/>
        </w:rPr>
        <w:t>he reproduction of native fish.</w:t>
      </w:r>
    </w:p>
    <w:p w:rsidR="003D3DDF" w:rsidRDefault="00076B27" w:rsidP="00A443EB">
      <w:pPr>
        <w:pStyle w:val="ListParagraph"/>
        <w:spacing w:after="0"/>
        <w:ind w:left="0"/>
        <w:jc w:val="left"/>
        <w:rPr>
          <w:i/>
          <w:szCs w:val="22"/>
        </w:rPr>
      </w:pPr>
      <w:r>
        <w:rPr>
          <w:szCs w:val="22"/>
        </w:rPr>
        <w:t xml:space="preserve">Q1: </w:t>
      </w:r>
      <w:r w:rsidR="003D3DDF" w:rsidRPr="00076B27">
        <w:rPr>
          <w:i/>
          <w:szCs w:val="22"/>
        </w:rPr>
        <w:t xml:space="preserve">Did the delivery of the sustained flow in Yallakool Creek during the Murray cod spawning period result in significantly more fish larvae compared to </w:t>
      </w:r>
      <w:r w:rsidR="00D84EA6">
        <w:rPr>
          <w:i/>
          <w:szCs w:val="22"/>
        </w:rPr>
        <w:t>zones</w:t>
      </w:r>
      <w:r w:rsidR="003D3DDF" w:rsidRPr="00076B27">
        <w:rPr>
          <w:i/>
          <w:szCs w:val="22"/>
        </w:rPr>
        <w:t xml:space="preserve"> that did not receive environmental water? </w:t>
      </w:r>
    </w:p>
    <w:p w:rsidR="003D3DDF" w:rsidRPr="003A2DD6" w:rsidRDefault="00076B27" w:rsidP="00F841A9">
      <w:pPr>
        <w:spacing w:after="240"/>
        <w:jc w:val="left"/>
        <w:rPr>
          <w:szCs w:val="22"/>
        </w:rPr>
      </w:pPr>
      <w:r>
        <w:rPr>
          <w:szCs w:val="22"/>
        </w:rPr>
        <w:t xml:space="preserve">This question addresses the </w:t>
      </w:r>
      <w:r w:rsidRPr="00076B27">
        <w:rPr>
          <w:szCs w:val="22"/>
        </w:rPr>
        <w:t>2014-15 watering ob</w:t>
      </w:r>
      <w:r>
        <w:rPr>
          <w:szCs w:val="22"/>
        </w:rPr>
        <w:t xml:space="preserve">jective </w:t>
      </w:r>
      <w:r w:rsidRPr="00076B27">
        <w:rPr>
          <w:szCs w:val="22"/>
        </w:rPr>
        <w:t>to support inundat</w:t>
      </w:r>
      <w:r>
        <w:rPr>
          <w:szCs w:val="22"/>
        </w:rPr>
        <w:t xml:space="preserve">ion of Murray cod nesting sites. </w:t>
      </w:r>
      <w:r w:rsidR="003D3DDF">
        <w:rPr>
          <w:szCs w:val="22"/>
        </w:rPr>
        <w:t>Based on the knowledge that Murray cod spawn independently of flow conditions, w</w:t>
      </w:r>
      <w:r w:rsidR="003D3DDF" w:rsidRPr="003458B9">
        <w:rPr>
          <w:szCs w:val="22"/>
        </w:rPr>
        <w:t>e hypothesise that</w:t>
      </w:r>
      <w:r w:rsidR="003D3DDF">
        <w:rPr>
          <w:szCs w:val="22"/>
        </w:rPr>
        <w:t xml:space="preserve"> Yallakool Creek environmental watering action will not result in a significantly greater number of Murray cod larvae compared with other </w:t>
      </w:r>
      <w:r w:rsidR="00D84EA6">
        <w:rPr>
          <w:szCs w:val="22"/>
        </w:rPr>
        <w:t>zones.</w:t>
      </w:r>
    </w:p>
    <w:p w:rsidR="003D3DDF" w:rsidRPr="00076B27" w:rsidRDefault="00076B27" w:rsidP="00A443EB">
      <w:pPr>
        <w:tabs>
          <w:tab w:val="left" w:pos="426"/>
        </w:tabs>
        <w:spacing w:after="0"/>
        <w:jc w:val="left"/>
        <w:rPr>
          <w:szCs w:val="22"/>
        </w:rPr>
      </w:pPr>
      <w:r>
        <w:rPr>
          <w:szCs w:val="22"/>
        </w:rPr>
        <w:t xml:space="preserve">Q2: </w:t>
      </w:r>
      <w:r w:rsidR="003D3DDF" w:rsidRPr="00076B27">
        <w:rPr>
          <w:i/>
          <w:szCs w:val="22"/>
        </w:rPr>
        <w:t>What</w:t>
      </w:r>
      <w:r w:rsidR="00A443EB">
        <w:rPr>
          <w:i/>
          <w:szCs w:val="22"/>
        </w:rPr>
        <w:t xml:space="preserve"> is the effect of Commonwealth envir</w:t>
      </w:r>
      <w:r w:rsidR="00D84EA6">
        <w:rPr>
          <w:i/>
          <w:szCs w:val="22"/>
        </w:rPr>
        <w:t>onmental w</w:t>
      </w:r>
      <w:r w:rsidR="003D3DDF" w:rsidRPr="00076B27">
        <w:rPr>
          <w:i/>
          <w:szCs w:val="22"/>
        </w:rPr>
        <w:t>ater on the spawning of small-bodied opportunistic species?</w:t>
      </w:r>
    </w:p>
    <w:p w:rsidR="003D3DDF" w:rsidRPr="003A2DD6" w:rsidRDefault="00076B27" w:rsidP="00F841A9">
      <w:pPr>
        <w:tabs>
          <w:tab w:val="left" w:pos="426"/>
        </w:tabs>
        <w:spacing w:after="240"/>
        <w:jc w:val="left"/>
      </w:pPr>
      <w:r>
        <w:t xml:space="preserve">This question addresses the </w:t>
      </w:r>
      <w:r w:rsidRPr="00076B27">
        <w:rPr>
          <w:szCs w:val="22"/>
        </w:rPr>
        <w:t>2014-2015</w:t>
      </w:r>
      <w:r>
        <w:rPr>
          <w:szCs w:val="22"/>
        </w:rPr>
        <w:t xml:space="preserve"> watering objective</w:t>
      </w:r>
      <w:r w:rsidRPr="00076B27">
        <w:rPr>
          <w:szCs w:val="22"/>
        </w:rPr>
        <w:t xml:space="preserve"> to contribute to improved opportunities for the reproduction of native fish.</w:t>
      </w:r>
      <w:r>
        <w:rPr>
          <w:szCs w:val="22"/>
        </w:rPr>
        <w:t xml:space="preserve"> </w:t>
      </w:r>
      <w:r w:rsidR="003D3DDF">
        <w:t>W</w:t>
      </w:r>
      <w:r w:rsidR="003D3DDF" w:rsidRPr="00B01350">
        <w:t>e hypothesize that environmen</w:t>
      </w:r>
      <w:r w:rsidR="003D3DDF">
        <w:t xml:space="preserve">tal watering actions that </w:t>
      </w:r>
      <w:r w:rsidR="003D3DDF" w:rsidRPr="00B01350">
        <w:t xml:space="preserve">increase </w:t>
      </w:r>
      <w:r w:rsidR="003D3DDF">
        <w:t xml:space="preserve">in-stream aquatic vegetation and the area of slackwaters associated with the main channel </w:t>
      </w:r>
      <w:r w:rsidR="003D3DDF" w:rsidRPr="00B01350">
        <w:t>will increase the spawning</w:t>
      </w:r>
      <w:r w:rsidR="003D3DDF">
        <w:t xml:space="preserve"> </w:t>
      </w:r>
      <w:r w:rsidR="003D3DDF" w:rsidRPr="00B01350">
        <w:t xml:space="preserve">and </w:t>
      </w:r>
      <w:r w:rsidR="003D3DDF">
        <w:t xml:space="preserve">successive </w:t>
      </w:r>
      <w:r w:rsidR="003D3DDF" w:rsidRPr="00B01350">
        <w:t>recruitment</w:t>
      </w:r>
      <w:r w:rsidR="003D3DDF">
        <w:t xml:space="preserve"> of opportunistic species.</w:t>
      </w:r>
    </w:p>
    <w:p w:rsidR="003D3DDF" w:rsidRPr="00076B27" w:rsidRDefault="00076B27" w:rsidP="00A443EB">
      <w:pPr>
        <w:tabs>
          <w:tab w:val="left" w:pos="426"/>
        </w:tabs>
        <w:spacing w:after="0"/>
        <w:jc w:val="left"/>
        <w:rPr>
          <w:szCs w:val="22"/>
        </w:rPr>
      </w:pPr>
      <w:r>
        <w:rPr>
          <w:szCs w:val="22"/>
        </w:rPr>
        <w:t xml:space="preserve">Q3: </w:t>
      </w:r>
      <w:r w:rsidR="003D3DDF" w:rsidRPr="00076B27">
        <w:rPr>
          <w:i/>
          <w:szCs w:val="22"/>
        </w:rPr>
        <w:t>What</w:t>
      </w:r>
      <w:r w:rsidR="00A443EB">
        <w:rPr>
          <w:i/>
          <w:szCs w:val="22"/>
        </w:rPr>
        <w:t xml:space="preserve"> is the effect of Commonwealth environmental w</w:t>
      </w:r>
      <w:r w:rsidR="003D3DDF" w:rsidRPr="00076B27">
        <w:rPr>
          <w:i/>
          <w:szCs w:val="22"/>
        </w:rPr>
        <w:t>ater on the spawning of flow-dependent spawners?</w:t>
      </w:r>
    </w:p>
    <w:p w:rsidR="003D3DDF" w:rsidRPr="00E87C3B" w:rsidRDefault="00A11665" w:rsidP="00F841A9">
      <w:pPr>
        <w:tabs>
          <w:tab w:val="left" w:pos="426"/>
        </w:tabs>
        <w:spacing w:after="240"/>
        <w:jc w:val="left"/>
      </w:pPr>
      <w:r>
        <w:rPr>
          <w:szCs w:val="22"/>
        </w:rPr>
        <w:t xml:space="preserve">While there were no in-channel environmental watering actions in 2014-15 that targeted the spawning of flow-dependent spawners, such as golden perch and silver perch, we report on this question relating to flow-dependent spawners, as proposed in the Edward-Wakool M&amp;E plan (Watts et al. 2014), in order to contribute to the understand the flow-spawning relationships for these species. </w:t>
      </w:r>
      <w:r w:rsidR="003D3DDF">
        <w:t xml:space="preserve">We hypothesise that there will be no golden perch or silver perch spawning in response to the </w:t>
      </w:r>
      <w:r w:rsidR="00D84EA6">
        <w:t xml:space="preserve">2014-15 </w:t>
      </w:r>
      <w:r w:rsidR="003D3DDF">
        <w:t xml:space="preserve">Yallakool </w:t>
      </w:r>
      <w:r w:rsidR="00076B27">
        <w:t xml:space="preserve">Creek </w:t>
      </w:r>
      <w:r w:rsidR="003D3DDF">
        <w:t xml:space="preserve">environmental watering action. </w:t>
      </w:r>
    </w:p>
    <w:p w:rsidR="008A7C75" w:rsidRPr="00CA726B" w:rsidRDefault="005E0A51" w:rsidP="00113B28">
      <w:pPr>
        <w:spacing w:after="120"/>
        <w:jc w:val="left"/>
        <w:rPr>
          <w:b/>
          <w:color w:val="4F6228" w:themeColor="accent3" w:themeShade="80"/>
          <w:sz w:val="24"/>
          <w:szCs w:val="24"/>
        </w:rPr>
      </w:pPr>
      <w:r>
        <w:rPr>
          <w:b/>
          <w:color w:val="4F6228" w:themeColor="accent3" w:themeShade="80"/>
          <w:sz w:val="24"/>
          <w:szCs w:val="24"/>
        </w:rPr>
        <w:t>10</w:t>
      </w:r>
      <w:r w:rsidR="00CA726B" w:rsidRPr="00CA726B">
        <w:rPr>
          <w:b/>
          <w:color w:val="4F6228" w:themeColor="accent3" w:themeShade="80"/>
          <w:sz w:val="24"/>
          <w:szCs w:val="24"/>
        </w:rPr>
        <w:t xml:space="preserve">.3 </w:t>
      </w:r>
      <w:r w:rsidR="008A7C75" w:rsidRPr="00CA726B">
        <w:rPr>
          <w:b/>
          <w:color w:val="4F6228" w:themeColor="accent3" w:themeShade="80"/>
          <w:sz w:val="24"/>
          <w:szCs w:val="24"/>
        </w:rPr>
        <w:t>Methods</w:t>
      </w:r>
    </w:p>
    <w:p w:rsidR="00E01C68" w:rsidRDefault="00E01C68" w:rsidP="00F841A9">
      <w:pPr>
        <w:spacing w:after="240"/>
        <w:jc w:val="left"/>
      </w:pPr>
      <w:r>
        <w:t>Modified quatrefoil light traps were used to sample larval fish, and were deployed every fortnight commencing the week of 17 September 2014 to 2 March 2015 (n=13 sampl</w:t>
      </w:r>
      <w:r w:rsidR="009F4D23">
        <w:t>ing trips) in Yallakool Creek (zone 1), Upper Wakool River (z</w:t>
      </w:r>
      <w:r>
        <w:t>one 2), Mid Wakool River (</w:t>
      </w:r>
      <w:r w:rsidR="009F4D23">
        <w:t>z</w:t>
      </w:r>
      <w:r>
        <w:t>one 3), and Mid Wa</w:t>
      </w:r>
      <w:r w:rsidR="009F4D23">
        <w:t>kool River (z</w:t>
      </w:r>
      <w:r>
        <w:t xml:space="preserve">one 4). Three light traps were deployed overnight at five sites in each of the four zones. </w:t>
      </w:r>
      <w:r>
        <w:rPr>
          <w:rFonts w:cs="AdvPSPAL-R"/>
        </w:rPr>
        <w:t xml:space="preserve">Light traps were made from clear perspex (the details of which can be found in Humphries et al. 2002), had an entrance width of 5 mm between each of the four capture cylinders, and were wrapped in nylon mesh </w:t>
      </w:r>
      <w:r w:rsidR="000A4F7E">
        <w:rPr>
          <w:rFonts w:cs="AdvPSPAL-R"/>
        </w:rPr>
        <w:t xml:space="preserve">(3mm knot-to-knot) to prohibit </w:t>
      </w:r>
      <w:r>
        <w:rPr>
          <w:rFonts w:cs="AdvPSPAL-R"/>
        </w:rPr>
        <w:t xml:space="preserve">larger fish from entering the traps (Vilizzi et al. 2008). Light traps were set at dusk and retrieved the following morning. Each light trap was ‘baited’ with a </w:t>
      </w:r>
      <w:r w:rsidRPr="00070CA9">
        <w:rPr>
          <w:rFonts w:cs="AdvPSPAL-R"/>
        </w:rPr>
        <w:t>yellow Cyalume</w:t>
      </w:r>
      <w:r>
        <w:rPr>
          <w:rFonts w:cs="AdvPSSym"/>
        </w:rPr>
        <w:sym w:font="Symbol" w:char="F0E2"/>
      </w:r>
      <w:r w:rsidRPr="00070CA9">
        <w:rPr>
          <w:rFonts w:cs="AdvPSSym"/>
        </w:rPr>
        <w:t xml:space="preserve"> </w:t>
      </w:r>
      <w:r w:rsidRPr="00070CA9">
        <w:rPr>
          <w:rFonts w:cs="AdvPSPAL-R"/>
        </w:rPr>
        <w:t>12 h light stick</w:t>
      </w:r>
      <w:r>
        <w:t xml:space="preserve">. Upon retrieval, light traps were rinsed down and samples preserved individually in 90% ethanol, where they were then returned to the laboratory for processing. </w:t>
      </w:r>
    </w:p>
    <w:p w:rsidR="00E01C68" w:rsidRDefault="00E01C68" w:rsidP="00F841A9">
      <w:pPr>
        <w:spacing w:after="240"/>
        <w:jc w:val="left"/>
        <w:rPr>
          <w:rFonts w:cs="AdvPSPAL-R"/>
        </w:rPr>
      </w:pPr>
      <w:r>
        <w:t xml:space="preserve">Drift nets were also used to sampling larvae, but over a shorter time, to detect any spawning responses by flow-dependent spawning species during Commonwealth environmental water delivery. Drift nets were deployed weekly over five weeks, with sampling occurring from 10 November to 10 December 2014. Here, three drift nets were deployed overnight at one site at each of the four study zones. </w:t>
      </w:r>
      <w:r w:rsidRPr="00F36F95">
        <w:rPr>
          <w:rFonts w:cs="AdvPSPAL-R"/>
        </w:rPr>
        <w:t>Drift nets</w:t>
      </w:r>
      <w:r>
        <w:rPr>
          <w:rFonts w:cs="AdvPSPAL-R"/>
        </w:rPr>
        <w:t xml:space="preserve"> were constructed from 500 </w:t>
      </w:r>
      <w:r w:rsidRPr="0037751E">
        <w:rPr>
          <w:rFonts w:cs="AdvPSPAL-R"/>
          <w:i/>
        </w:rPr>
        <w:t>μ</w:t>
      </w:r>
      <w:r>
        <w:rPr>
          <w:rFonts w:cs="AdvPSPAL-R"/>
        </w:rPr>
        <w:t>m mesh, and had opening diameter of 50 cm which tapered over 1.5 m to an end of 9 cm, to which a reducing bottle was fitted. The volume of water filtered by the nets was calculated using Oceanic® flow meters positioned at the mouth of each drift net. This allowed larval abundance to be expressed as a unit of density: number of individuals per m</w:t>
      </w:r>
      <w:r w:rsidRPr="00070CA9">
        <w:rPr>
          <w:rFonts w:cs="AdvPSPAL-R"/>
          <w:vertAlign w:val="superscript"/>
        </w:rPr>
        <w:t>3</w:t>
      </w:r>
      <w:r>
        <w:rPr>
          <w:rFonts w:cs="AdvPSPAL-R"/>
        </w:rPr>
        <w:t>. Volume sampled by the net wa</w:t>
      </w:r>
      <w:r w:rsidRPr="00794D34">
        <w:rPr>
          <w:rFonts w:cs="AdvPSPAL-R"/>
        </w:rPr>
        <w:t xml:space="preserve">s estimated </w:t>
      </w:r>
      <w:proofErr w:type="gramStart"/>
      <w:r w:rsidRPr="00794D34">
        <w:rPr>
          <w:rFonts w:cs="AdvPSPAL-R"/>
        </w:rPr>
        <w:t xml:space="preserve">as </w:t>
      </w:r>
      <m:oMath>
        <w:proofErr w:type="gramEnd"/>
        <m:r>
          <w:rPr>
            <w:rFonts w:ascii="Cambria Math" w:hAnsi="Cambria Math" w:cs="AdvPSPAL-R"/>
          </w:rPr>
          <m:t>π</m:t>
        </m:r>
        <m:sSup>
          <m:sSupPr>
            <m:ctrlPr>
              <w:rPr>
                <w:rFonts w:ascii="Cambria Math" w:hAnsi="Cambria Math" w:cs="AdvPSPAL-R"/>
                <w:i/>
              </w:rPr>
            </m:ctrlPr>
          </m:sSupPr>
          <m:e>
            <m:r>
              <w:rPr>
                <w:rFonts w:ascii="Cambria Math" w:hAnsi="Cambria Math" w:cs="AdvPSPAL-R"/>
              </w:rPr>
              <m:t>r</m:t>
            </m:r>
          </m:e>
          <m:sup>
            <m:r>
              <w:rPr>
                <w:rFonts w:ascii="Cambria Math" w:hAnsi="Cambria Math" w:cs="AdvPSPAL-R"/>
              </w:rPr>
              <m:t>2</m:t>
            </m:r>
          </m:sup>
        </m:sSup>
        <m:r>
          <w:rPr>
            <w:rFonts w:ascii="Cambria Math" w:hAnsi="Cambria Math" w:cs="AdvPSPAL-R"/>
          </w:rPr>
          <m:t>∙v ∙t</m:t>
        </m:r>
      </m:oMath>
      <w:r w:rsidRPr="00794D34">
        <w:rPr>
          <w:rFonts w:cs="AdvPSPAL-R"/>
        </w:rPr>
        <w:t xml:space="preserve">, where </w:t>
      </w:r>
      <w:r w:rsidRPr="00794D34">
        <w:rPr>
          <w:rFonts w:cs="AdvPSPAL-R"/>
          <w:i/>
        </w:rPr>
        <w:t>r</w:t>
      </w:r>
      <w:r w:rsidRPr="00794D34">
        <w:rPr>
          <w:rFonts w:cs="AdvPSPAL-R"/>
        </w:rPr>
        <w:t xml:space="preserve"> is radius in metres, </w:t>
      </w:r>
      <w:r w:rsidRPr="00794D34">
        <w:rPr>
          <w:rFonts w:cs="AdvPSPAL-R"/>
          <w:i/>
        </w:rPr>
        <w:t>v</w:t>
      </w:r>
      <w:r w:rsidRPr="00794D34">
        <w:rPr>
          <w:rFonts w:cs="AdvPSPAL-R"/>
        </w:rPr>
        <w:t xml:space="preserve"> is mean velocity in m</w:t>
      </w:r>
      <w:r>
        <w:rPr>
          <w:rFonts w:cs="AdvPSPAL-R"/>
        </w:rPr>
        <w:t>/</w:t>
      </w:r>
      <w:r w:rsidRPr="00794D34">
        <w:rPr>
          <w:rFonts w:cs="AdvPSPAL-R"/>
        </w:rPr>
        <w:t xml:space="preserve">s, and </w:t>
      </w:r>
      <w:r w:rsidRPr="00794D34">
        <w:rPr>
          <w:rFonts w:cs="AdvPSPAL-R"/>
          <w:i/>
        </w:rPr>
        <w:t>t</w:t>
      </w:r>
      <w:r w:rsidRPr="00794D34">
        <w:rPr>
          <w:rFonts w:cs="AdvPSPAL-R"/>
        </w:rPr>
        <w:t xml:space="preserve"> is time set in seconds.</w:t>
      </w:r>
      <w:r>
        <w:rPr>
          <w:rFonts w:cs="AdvPSPAL-R"/>
        </w:rPr>
        <w:t xml:space="preserve"> </w:t>
      </w:r>
    </w:p>
    <w:p w:rsidR="00E01C68" w:rsidRDefault="00E01C68" w:rsidP="00F841A9">
      <w:pPr>
        <w:spacing w:after="240"/>
        <w:jc w:val="left"/>
      </w:pPr>
      <w:r>
        <w:t>All eggs/larvae collected in light trap and drift net samples were identified to species according to Serafini and Humphries (2004), and enumerated. Carp gudgeon larvae were identified to genus level (</w:t>
      </w:r>
      <w:r w:rsidRPr="009137E3">
        <w:rPr>
          <w:i/>
        </w:rPr>
        <w:t>Hypseleotris</w:t>
      </w:r>
      <w:r>
        <w:t xml:space="preserve"> spp.) only. Also, </w:t>
      </w:r>
      <w:r>
        <w:rPr>
          <w:rFonts w:cs="Calibri"/>
          <w:szCs w:val="22"/>
        </w:rPr>
        <w:t>Murray cod and trout cod larvae also have similar morphological features, and cannot be easily distinguished visually. However, as no trout cod adults have been found in the study zones were larval sampling takes places, all cod larvae collected were recorded as Murray cod larvae.</w:t>
      </w:r>
      <w:r>
        <w:t xml:space="preserve"> The developmental stage of each individual was recorded as either larvae, or juvenile/adult, according to classifications of</w:t>
      </w:r>
      <w:r w:rsidR="00F841A9">
        <w:t xml:space="preserve"> Serafini and Humphries (2004).</w:t>
      </w:r>
    </w:p>
    <w:p w:rsidR="008A7C75" w:rsidRPr="00E01C68" w:rsidRDefault="008A7C75" w:rsidP="00F841A9">
      <w:pPr>
        <w:tabs>
          <w:tab w:val="left" w:pos="3817"/>
        </w:tabs>
        <w:spacing w:after="240"/>
        <w:jc w:val="left"/>
        <w:rPr>
          <w:i/>
        </w:rPr>
      </w:pPr>
      <w:r w:rsidRPr="00E01C68">
        <w:rPr>
          <w:i/>
        </w:rPr>
        <w:t>Data analysis</w:t>
      </w:r>
    </w:p>
    <w:p w:rsidR="00E01C68" w:rsidRDefault="00E01C68" w:rsidP="00A443EB">
      <w:pPr>
        <w:tabs>
          <w:tab w:val="left" w:pos="3817"/>
        </w:tabs>
        <w:spacing w:after="240"/>
        <w:jc w:val="left"/>
        <w:rPr>
          <w:szCs w:val="22"/>
        </w:rPr>
      </w:pPr>
      <w:r>
        <w:t xml:space="preserve">The spatial distribution of </w:t>
      </w:r>
      <w:r w:rsidR="00A443EB">
        <w:t>larval fish can be patchy. To take this into account</w:t>
      </w:r>
      <w:r>
        <w:t xml:space="preserve"> larvae from the three light traps at each site were pooled, to provide abu</w:t>
      </w:r>
      <w:r w:rsidR="00F841A9">
        <w:t xml:space="preserve">ndance data at the site level. The </w:t>
      </w:r>
      <w:r w:rsidR="00A443EB">
        <w:t xml:space="preserve">Monitoring and Evaluation Plan for the </w:t>
      </w:r>
      <w:r w:rsidR="00F841A9">
        <w:t xml:space="preserve">Edward-Wakool </w:t>
      </w:r>
      <w:r w:rsidR="00A443EB">
        <w:t xml:space="preserve">LTIM project </w:t>
      </w:r>
      <w:r w:rsidR="00F841A9">
        <w:t>(Watts et al. 2014</w:t>
      </w:r>
      <w:r w:rsidR="00113B28">
        <w:t>a</w:t>
      </w:r>
      <w:r w:rsidR="00F841A9">
        <w:t>) states that f</w:t>
      </w:r>
      <w:r>
        <w:t xml:space="preserve">or individual watering events, data </w:t>
      </w:r>
      <w:r w:rsidR="00F841A9">
        <w:t xml:space="preserve">would </w:t>
      </w:r>
      <w:r>
        <w:t xml:space="preserve">be analysed with a Before-After, Control-Impact design to compare changes in abundances </w:t>
      </w:r>
      <w:r w:rsidR="00A443EB">
        <w:t>of larvae</w:t>
      </w:r>
      <w:r>
        <w:t xml:space="preserve"> in zones that receive environmental water to zones that did not receive environmental water; before, during and after environmental water releases. This type of analysis works best for short term events or ‘pulse’ disturbances. In 2014-15, the protracted nature of the environmental water action in Yallakool Creek over 4 months, meant that this style of analysis was unsuitable for testing responses in fish spawning across control/impacts, because the duration of the event itself was longer than many of the seasonal windows in which spawning of </w:t>
      </w:r>
      <w:r w:rsidR="00A443EB">
        <w:t>some</w:t>
      </w:r>
      <w:r>
        <w:t xml:space="preserve"> species takes place.</w:t>
      </w:r>
      <w:r w:rsidR="00A443EB">
        <w:t xml:space="preserve"> </w:t>
      </w:r>
      <w:r w:rsidR="00A443EB">
        <w:rPr>
          <w:szCs w:val="22"/>
        </w:rPr>
        <w:t>In 2014-15</w:t>
      </w:r>
      <w:r>
        <w:rPr>
          <w:szCs w:val="22"/>
        </w:rPr>
        <w:t xml:space="preserve"> we took the approach of testing </w:t>
      </w:r>
      <w:r w:rsidRPr="00F96B81">
        <w:rPr>
          <w:szCs w:val="22"/>
        </w:rPr>
        <w:t xml:space="preserve">if the </w:t>
      </w:r>
      <w:r>
        <w:rPr>
          <w:szCs w:val="22"/>
        </w:rPr>
        <w:t xml:space="preserve">total </w:t>
      </w:r>
      <w:r w:rsidRPr="00F96B81">
        <w:rPr>
          <w:szCs w:val="22"/>
        </w:rPr>
        <w:t>produc</w:t>
      </w:r>
      <w:r w:rsidR="00A443EB">
        <w:rPr>
          <w:szCs w:val="22"/>
        </w:rPr>
        <w:t>tion of larvae (</w:t>
      </w:r>
      <w:r>
        <w:rPr>
          <w:szCs w:val="22"/>
        </w:rPr>
        <w:t xml:space="preserve">an indication of the magnitude of spawning across a season) varied </w:t>
      </w:r>
      <w:r w:rsidRPr="00F96B81">
        <w:rPr>
          <w:szCs w:val="22"/>
        </w:rPr>
        <w:t>sign</w:t>
      </w:r>
      <w:r>
        <w:rPr>
          <w:szCs w:val="22"/>
        </w:rPr>
        <w:t>ificantly between the four zones.</w:t>
      </w:r>
      <w:r w:rsidRPr="00F96B81">
        <w:rPr>
          <w:szCs w:val="22"/>
        </w:rPr>
        <w:t xml:space="preserve"> </w:t>
      </w:r>
      <w:r>
        <w:rPr>
          <w:szCs w:val="22"/>
        </w:rPr>
        <w:t>Difference in mean total a</w:t>
      </w:r>
      <w:r w:rsidRPr="00F96B81">
        <w:rPr>
          <w:szCs w:val="22"/>
        </w:rPr>
        <w:t xml:space="preserve">bundance </w:t>
      </w:r>
      <w:r>
        <w:rPr>
          <w:szCs w:val="22"/>
        </w:rPr>
        <w:t xml:space="preserve">of larvae for species </w:t>
      </w:r>
      <w:r w:rsidR="00A443EB">
        <w:rPr>
          <w:szCs w:val="22"/>
        </w:rPr>
        <w:t>(where there was sufficient data)</w:t>
      </w:r>
      <w:r w:rsidRPr="00F96B81">
        <w:rPr>
          <w:szCs w:val="22"/>
        </w:rPr>
        <w:t xml:space="preserve"> </w:t>
      </w:r>
      <w:r>
        <w:rPr>
          <w:szCs w:val="22"/>
        </w:rPr>
        <w:t xml:space="preserve">across the zones was conducted using a one way ANOVA. </w:t>
      </w:r>
      <w:r w:rsidRPr="005866A7">
        <w:rPr>
          <w:rFonts w:cs="Calibri"/>
          <w:szCs w:val="22"/>
        </w:rPr>
        <w:t>We hypothesised that the total production of fish larvae across the 2014-15 spawning se</w:t>
      </w:r>
      <w:r>
        <w:rPr>
          <w:rFonts w:cs="Calibri"/>
          <w:szCs w:val="22"/>
        </w:rPr>
        <w:t>ason would be significantly higher in the zones</w:t>
      </w:r>
      <w:r w:rsidRPr="005866A7">
        <w:rPr>
          <w:rFonts w:cs="Calibri"/>
          <w:szCs w:val="22"/>
        </w:rPr>
        <w:t xml:space="preserve"> that received </w:t>
      </w:r>
      <w:r w:rsidR="00A443EB">
        <w:rPr>
          <w:rFonts w:cs="Calibri"/>
          <w:szCs w:val="22"/>
        </w:rPr>
        <w:t xml:space="preserve">Commonwealth </w:t>
      </w:r>
      <w:r w:rsidRPr="005866A7">
        <w:rPr>
          <w:rFonts w:cs="Calibri"/>
          <w:szCs w:val="22"/>
        </w:rPr>
        <w:t>environmental water</w:t>
      </w:r>
      <w:r w:rsidR="005272F3">
        <w:rPr>
          <w:rFonts w:cs="Calibri"/>
          <w:szCs w:val="22"/>
        </w:rPr>
        <w:t xml:space="preserve"> (z</w:t>
      </w:r>
      <w:r>
        <w:rPr>
          <w:rFonts w:cs="Calibri"/>
          <w:szCs w:val="22"/>
        </w:rPr>
        <w:t>one</w:t>
      </w:r>
      <w:r w:rsidR="005272F3">
        <w:rPr>
          <w:rFonts w:cs="Calibri"/>
          <w:szCs w:val="22"/>
        </w:rPr>
        <w:t>s</w:t>
      </w:r>
      <w:r>
        <w:rPr>
          <w:rFonts w:cs="Calibri"/>
          <w:szCs w:val="22"/>
        </w:rPr>
        <w:t xml:space="preserve"> 1, 3 and 4) </w:t>
      </w:r>
      <w:r w:rsidR="005272F3">
        <w:rPr>
          <w:rFonts w:cs="Calibri"/>
          <w:szCs w:val="22"/>
        </w:rPr>
        <w:t xml:space="preserve">compared </w:t>
      </w:r>
      <w:r>
        <w:rPr>
          <w:rFonts w:cs="Calibri"/>
          <w:szCs w:val="22"/>
        </w:rPr>
        <w:t>to</w:t>
      </w:r>
      <w:r w:rsidRPr="005866A7">
        <w:rPr>
          <w:rFonts w:cs="Calibri"/>
          <w:szCs w:val="22"/>
        </w:rPr>
        <w:t xml:space="preserve"> </w:t>
      </w:r>
      <w:r w:rsidR="005272F3">
        <w:rPr>
          <w:rFonts w:cs="Calibri"/>
          <w:szCs w:val="22"/>
        </w:rPr>
        <w:t>those that did not (z</w:t>
      </w:r>
      <w:r>
        <w:rPr>
          <w:rFonts w:cs="Calibri"/>
          <w:szCs w:val="22"/>
        </w:rPr>
        <w:t>one 2). For light trap data, this analysis was restricted to the Murray cod (Q1), and the small-bodied opportunistic species, Australian smelt and carp gudgeon (Q2) as not enough larvae were sampled of other species.</w:t>
      </w:r>
      <w:r>
        <w:rPr>
          <w:szCs w:val="22"/>
        </w:rPr>
        <w:t xml:space="preserve"> Larval abundances</w:t>
      </w:r>
      <w:r w:rsidRPr="00F96B81">
        <w:rPr>
          <w:szCs w:val="22"/>
        </w:rPr>
        <w:t xml:space="preserve"> were log-transformed prior to statistical analyses when necessary to normalise data and stabilize variances. </w:t>
      </w:r>
      <w:r w:rsidR="005272F3">
        <w:rPr>
          <w:szCs w:val="22"/>
        </w:rPr>
        <w:t xml:space="preserve">Data from one sampling trip (5 to </w:t>
      </w:r>
      <w:r>
        <w:rPr>
          <w:szCs w:val="22"/>
        </w:rPr>
        <w:t>8 January 2015), was removed prior to analysis, because heavy rain prohibited access to Zone 1 and 2.</w:t>
      </w:r>
      <w:r w:rsidR="00A443EB">
        <w:rPr>
          <w:szCs w:val="22"/>
        </w:rPr>
        <w:t xml:space="preserve"> </w:t>
      </w:r>
      <w:r>
        <w:rPr>
          <w:szCs w:val="22"/>
        </w:rPr>
        <w:t>For drift net data, any eggs or larvae of golden and silver perch found were to be counted, identified and data pooled across the three drift nets at each site per trip (Q3). Catch-per-unit-effort was calculated from the total number of eggs/larvae collected at the site level, divided by the total amount of wa</w:t>
      </w:r>
      <w:r w:rsidR="00A443EB">
        <w:rPr>
          <w:szCs w:val="22"/>
        </w:rPr>
        <w:t>ter filtered by the three nets.</w:t>
      </w:r>
    </w:p>
    <w:p w:rsidR="00E01C68" w:rsidRPr="006D3D95" w:rsidRDefault="00E01C68" w:rsidP="00F841A9">
      <w:pPr>
        <w:tabs>
          <w:tab w:val="left" w:pos="3817"/>
        </w:tabs>
        <w:spacing w:after="240"/>
        <w:jc w:val="left"/>
        <w:rPr>
          <w:b/>
        </w:rPr>
      </w:pPr>
      <w:r>
        <w:rPr>
          <w:rFonts w:cs="Calibri"/>
          <w:szCs w:val="22"/>
        </w:rPr>
        <w:t>S</w:t>
      </w:r>
      <w:r w:rsidRPr="00F96B81">
        <w:rPr>
          <w:rFonts w:cs="Calibri"/>
          <w:szCs w:val="22"/>
        </w:rPr>
        <w:t>tatistical analyses were carried out using the f</w:t>
      </w:r>
      <w:r>
        <w:rPr>
          <w:rFonts w:cs="Calibri"/>
          <w:szCs w:val="22"/>
        </w:rPr>
        <w:t>reeware R and the R package MASS</w:t>
      </w:r>
      <w:r w:rsidRPr="00F96B81">
        <w:rPr>
          <w:rFonts w:cs="Calibri"/>
          <w:szCs w:val="22"/>
        </w:rPr>
        <w:t xml:space="preserve"> (R Development Core Team 2013).</w:t>
      </w:r>
      <w:r>
        <w:rPr>
          <w:rFonts w:cs="Calibri"/>
          <w:szCs w:val="22"/>
        </w:rPr>
        <w:t xml:space="preserve"> P-values of &lt;0.05 were used to determine the significance of each ANOVA test. </w:t>
      </w:r>
      <w:r w:rsidRPr="00F96B81">
        <w:rPr>
          <w:szCs w:val="22"/>
        </w:rPr>
        <w:t xml:space="preserve">When significant differences were indicated, </w:t>
      </w:r>
      <w:r w:rsidRPr="00F96B81">
        <w:rPr>
          <w:i/>
          <w:iCs/>
          <w:szCs w:val="22"/>
        </w:rPr>
        <w:t xml:space="preserve">post hoc </w:t>
      </w:r>
      <w:r w:rsidRPr="00F96B81">
        <w:rPr>
          <w:szCs w:val="22"/>
        </w:rPr>
        <w:t>pairwise comparisons were undertaken to determine differences between the Rivers.</w:t>
      </w:r>
      <w:r w:rsidRPr="005866A7">
        <w:rPr>
          <w:rFonts w:cs="Calibri"/>
          <w:szCs w:val="22"/>
        </w:rPr>
        <w:t xml:space="preserve"> </w:t>
      </w:r>
      <w:r>
        <w:rPr>
          <w:rFonts w:cs="Calibri"/>
          <w:szCs w:val="22"/>
        </w:rPr>
        <w:t>Corresponding figures were plotted using log-transformed abundances.</w:t>
      </w:r>
    </w:p>
    <w:p w:rsidR="00ED6D80" w:rsidRDefault="00ED6D80">
      <w:pPr>
        <w:spacing w:after="0" w:line="240" w:lineRule="auto"/>
        <w:jc w:val="left"/>
        <w:rPr>
          <w:b/>
          <w:color w:val="4F6228" w:themeColor="accent3" w:themeShade="80"/>
          <w:sz w:val="24"/>
          <w:szCs w:val="24"/>
        </w:rPr>
      </w:pPr>
      <w:r>
        <w:rPr>
          <w:b/>
          <w:color w:val="4F6228" w:themeColor="accent3" w:themeShade="80"/>
          <w:sz w:val="24"/>
          <w:szCs w:val="24"/>
        </w:rPr>
        <w:br w:type="page"/>
      </w:r>
    </w:p>
    <w:p w:rsidR="008A7C75" w:rsidRPr="00CA726B" w:rsidRDefault="005E0A51" w:rsidP="00F841A9">
      <w:pPr>
        <w:spacing w:after="240"/>
        <w:rPr>
          <w:b/>
          <w:color w:val="4F6228" w:themeColor="accent3" w:themeShade="80"/>
          <w:sz w:val="24"/>
          <w:szCs w:val="24"/>
        </w:rPr>
      </w:pPr>
      <w:r>
        <w:rPr>
          <w:b/>
          <w:color w:val="4F6228" w:themeColor="accent3" w:themeShade="80"/>
          <w:sz w:val="24"/>
          <w:szCs w:val="24"/>
        </w:rPr>
        <w:t>10</w:t>
      </w:r>
      <w:r w:rsidR="00CA726B" w:rsidRPr="00CA726B">
        <w:rPr>
          <w:b/>
          <w:color w:val="4F6228" w:themeColor="accent3" w:themeShade="80"/>
          <w:sz w:val="24"/>
          <w:szCs w:val="24"/>
        </w:rPr>
        <w:t xml:space="preserve">.4 </w:t>
      </w:r>
      <w:r w:rsidR="0004010B">
        <w:rPr>
          <w:b/>
          <w:color w:val="4F6228" w:themeColor="accent3" w:themeShade="80"/>
          <w:sz w:val="24"/>
          <w:szCs w:val="24"/>
        </w:rPr>
        <w:t>Results</w:t>
      </w:r>
    </w:p>
    <w:p w:rsidR="0004010B" w:rsidRDefault="0004010B" w:rsidP="00F841A9">
      <w:pPr>
        <w:spacing w:after="240"/>
        <w:jc w:val="left"/>
      </w:pPr>
      <w:r>
        <w:t>A total of 4,249 fish larvae, representing eight fish species, were collected in the 2014-15 monitoring study from light traps (</w:t>
      </w:r>
      <w:r w:rsidRPr="00C5583E">
        <w:rPr>
          <w:i/>
        </w:rPr>
        <w:t>n</w:t>
      </w:r>
      <w:r>
        <w:t>=2945) and drift nets (</w:t>
      </w:r>
      <w:r w:rsidRPr="00C5583E">
        <w:rPr>
          <w:i/>
        </w:rPr>
        <w:t>n</w:t>
      </w:r>
      <w:r>
        <w:t>=1304) combined. Across the four</w:t>
      </w:r>
      <w:r w:rsidR="009F4D23">
        <w:t xml:space="preserve"> zones, Yallakool Creek (z</w:t>
      </w:r>
      <w:r>
        <w:t>one 1) comprised 11.6% of the total light</w:t>
      </w:r>
      <w:r w:rsidR="009F4D23">
        <w:t xml:space="preserve"> trap catch, with Wakool River zone 2, z</w:t>
      </w:r>
      <w:r>
        <w:t>on</w:t>
      </w:r>
      <w:r w:rsidR="009F4D23">
        <w:t>e 3 and z</w:t>
      </w:r>
      <w:r>
        <w:t>one 4 comprising of 28</w:t>
      </w:r>
      <w:r w:rsidR="00113B28">
        <w:t>%</w:t>
      </w:r>
      <w:r>
        <w:t>, 29</w:t>
      </w:r>
      <w:r w:rsidR="00113B28">
        <w:t>%</w:t>
      </w:r>
      <w:r>
        <w:t xml:space="preserve">, and 32% of light trap catch, respectively. </w:t>
      </w:r>
    </w:p>
    <w:p w:rsidR="0004010B" w:rsidRDefault="0004010B" w:rsidP="00F841A9">
      <w:pPr>
        <w:spacing w:after="240"/>
        <w:jc w:val="left"/>
      </w:pPr>
      <w:r>
        <w:t xml:space="preserve">Seven of the </w:t>
      </w:r>
      <w:r w:rsidRPr="00E95740">
        <w:t xml:space="preserve">8 </w:t>
      </w:r>
      <w:r>
        <w:t>fish species collected as larvae were native, with small-bodied fish species making up the majority of larvae collected a</w:t>
      </w:r>
      <w:r w:rsidR="005E0A51">
        <w:t>cross the 4 study zones (Table 10</w:t>
      </w:r>
      <w:r>
        <w:t>.1). Carp gudgeon (</w:t>
      </w:r>
      <w:r w:rsidRPr="00F55A8A">
        <w:rPr>
          <w:i/>
        </w:rPr>
        <w:t>Hypseleotris</w:t>
      </w:r>
      <w:r>
        <w:t xml:space="preserve"> spp., n= 2040), were the most numerically abundant larvae caught, with Australian smelt (</w:t>
      </w:r>
      <w:r w:rsidRPr="003D2690">
        <w:rPr>
          <w:i/>
        </w:rPr>
        <w:t>Retropinna semoni</w:t>
      </w:r>
      <w:r>
        <w:t>, n= 289) and flathead gudgeon (</w:t>
      </w:r>
      <w:r w:rsidRPr="003D2690">
        <w:rPr>
          <w:i/>
        </w:rPr>
        <w:t>Philypnodon grandiceps</w:t>
      </w:r>
      <w:r>
        <w:t>, n= 69) larvae also detected widely</w:t>
      </w:r>
      <w:r w:rsidR="005E0A51">
        <w:t xml:space="preserve"> across all study zones (Table 10</w:t>
      </w:r>
      <w:r>
        <w:t>.1). Unspecked hardyhead (</w:t>
      </w:r>
      <w:r w:rsidRPr="003D2690">
        <w:rPr>
          <w:i/>
        </w:rPr>
        <w:t>Craterocephalus stercusmuscarum fulvus</w:t>
      </w:r>
      <w:r>
        <w:t>, n= 5) and Murray River rainbowfish (</w:t>
      </w:r>
      <w:r w:rsidRPr="003D2690">
        <w:rPr>
          <w:i/>
        </w:rPr>
        <w:t>Melanotaenia fluviatilis</w:t>
      </w:r>
      <w:r>
        <w:t>, n=3), were rare, but showed evidence that spawning had taken place in 2 of the four zones. Gambusia (</w:t>
      </w:r>
      <w:r w:rsidRPr="003D2690">
        <w:rPr>
          <w:i/>
        </w:rPr>
        <w:t>Gambusia holbrooki</w:t>
      </w:r>
      <w:r>
        <w:t>, n=1) was the only introdu</w:t>
      </w:r>
      <w:r w:rsidR="00A11665">
        <w:t>ced species captured as larvae.</w:t>
      </w:r>
      <w:r w:rsidR="00F841A9">
        <w:t xml:space="preserve"> </w:t>
      </w:r>
      <w:r>
        <w:t>One notable finding was the collection of a young juvenile Galaxiid (</w:t>
      </w:r>
      <w:r w:rsidRPr="00541C5A">
        <w:rPr>
          <w:i/>
        </w:rPr>
        <w:t>Galaxias oliros</w:t>
      </w:r>
      <w:r>
        <w:t>, n=1) from Yallakool Creek during the week starting 30 September 2014</w:t>
      </w:r>
      <w:r w:rsidR="007655D6">
        <w:t xml:space="preserve"> (Figure 10.1)</w:t>
      </w:r>
      <w:r>
        <w:t xml:space="preserve">. </w:t>
      </w:r>
      <w:r w:rsidRPr="00C83EE8">
        <w:t>This is the first observation of Galaxiids being found in this area since short term interventi</w:t>
      </w:r>
      <w:r w:rsidR="00F841A9">
        <w:t>on monitoring commenced in 2011-</w:t>
      </w:r>
      <w:r w:rsidRPr="00C83EE8">
        <w:t>12</w:t>
      </w:r>
      <w:r>
        <w:t>, and its presence as a juvenile may indicate that</w:t>
      </w:r>
      <w:r w:rsidRPr="00C83EE8">
        <w:t xml:space="preserve"> spawning occurred locally</w:t>
      </w:r>
      <w:r w:rsidR="00113B28">
        <w:t>.</w:t>
      </w:r>
    </w:p>
    <w:p w:rsidR="008A7C75" w:rsidRDefault="0004010B" w:rsidP="00A443EB">
      <w:pPr>
        <w:spacing w:after="240"/>
        <w:jc w:val="left"/>
      </w:pPr>
      <w:r>
        <w:t>Of the large-bodied, native fish species known to the Edward-Wakool River system, two species, Murray cod (</w:t>
      </w:r>
      <w:r w:rsidRPr="001669F8">
        <w:rPr>
          <w:i/>
        </w:rPr>
        <w:t>Maccullochella peelii</w:t>
      </w:r>
      <w:r>
        <w:t>, n=511), and river blackfish (</w:t>
      </w:r>
      <w:r w:rsidRPr="001669F8">
        <w:rPr>
          <w:i/>
        </w:rPr>
        <w:t>Gadopsis marmoratus</w:t>
      </w:r>
      <w:r>
        <w:rPr>
          <w:i/>
        </w:rPr>
        <w:t xml:space="preserve">, </w:t>
      </w:r>
      <w:r>
        <w:t>n=3) were collected as larvae. While Murray cod were collected as larvae in all four zones, river blackfish were collec</w:t>
      </w:r>
      <w:r w:rsidR="00F841A9">
        <w:t>ted only in the Upper Wakool River (z</w:t>
      </w:r>
      <w:r>
        <w:t xml:space="preserve">one 2). This is the third </w:t>
      </w:r>
      <w:r w:rsidR="00F841A9">
        <w:t>year</w:t>
      </w:r>
      <w:r>
        <w:t xml:space="preserve"> that river blackfish l</w:t>
      </w:r>
      <w:r w:rsidR="00F841A9">
        <w:t>arvae have been sampled in the u</w:t>
      </w:r>
      <w:r>
        <w:t>pper Wakool River, suggesting spawning populations of this species are localised. There were no silver perch (</w:t>
      </w:r>
      <w:r w:rsidRPr="00072F3D">
        <w:rPr>
          <w:i/>
        </w:rPr>
        <w:t>Bidyanus bidyanus</w:t>
      </w:r>
      <w:r>
        <w:t>) or golden perch (</w:t>
      </w:r>
      <w:r w:rsidRPr="00072F3D">
        <w:rPr>
          <w:i/>
        </w:rPr>
        <w:t>Macquaria ambigua</w:t>
      </w:r>
      <w:r>
        <w:t>) eggs or larvae collected from lig</w:t>
      </w:r>
      <w:r w:rsidR="005E0A51">
        <w:t>ht traps or drift nets (Tables 10.1 and 10</w:t>
      </w:r>
      <w:r>
        <w:t xml:space="preserve">.2). </w:t>
      </w:r>
    </w:p>
    <w:p w:rsidR="007655D6" w:rsidRDefault="007655D6" w:rsidP="007655D6">
      <w:pPr>
        <w:spacing w:after="0" w:line="240" w:lineRule="auto"/>
        <w:rPr>
          <w:b/>
        </w:rPr>
      </w:pPr>
      <w:r w:rsidRPr="003716C1">
        <w:rPr>
          <w:noProof/>
          <w:lang w:eastAsia="en-AU"/>
        </w:rPr>
        <w:drawing>
          <wp:inline distT="0" distB="0" distL="0" distR="0">
            <wp:extent cx="5000625" cy="1152525"/>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00625" cy="1152525"/>
                    </a:xfrm>
                    <a:prstGeom prst="rect">
                      <a:avLst/>
                    </a:prstGeom>
                    <a:noFill/>
                    <a:ln>
                      <a:noFill/>
                    </a:ln>
                  </pic:spPr>
                </pic:pic>
              </a:graphicData>
            </a:graphic>
          </wp:inline>
        </w:drawing>
      </w:r>
    </w:p>
    <w:p w:rsidR="007655D6" w:rsidRPr="007655D6" w:rsidRDefault="007655D6" w:rsidP="007655D6">
      <w:pPr>
        <w:tabs>
          <w:tab w:val="left" w:pos="8789"/>
        </w:tabs>
        <w:ind w:right="282"/>
        <w:rPr>
          <w:color w:val="000000"/>
          <w:sz w:val="18"/>
          <w:szCs w:val="18"/>
        </w:rPr>
        <w:sectPr w:rsidR="007655D6" w:rsidRPr="007655D6" w:rsidSect="00BB49EA">
          <w:pgSz w:w="11906" w:h="16838"/>
          <w:pgMar w:top="1440" w:right="1440" w:bottom="1440" w:left="1440" w:header="709" w:footer="709" w:gutter="0"/>
          <w:cols w:space="708"/>
          <w:docGrid w:linePitch="360"/>
        </w:sectPr>
      </w:pPr>
      <w:r w:rsidRPr="00634B3E">
        <w:rPr>
          <w:b/>
          <w:sz w:val="20"/>
        </w:rPr>
        <w:t>Figure 1</w:t>
      </w:r>
      <w:r>
        <w:rPr>
          <w:b/>
          <w:sz w:val="20"/>
        </w:rPr>
        <w:t>0.1</w:t>
      </w:r>
      <w:r w:rsidRPr="00634B3E">
        <w:rPr>
          <w:sz w:val="20"/>
        </w:rPr>
        <w:t>: Juvenile obscure galaxias (</w:t>
      </w:r>
      <w:r w:rsidRPr="00634B3E">
        <w:rPr>
          <w:i/>
          <w:sz w:val="20"/>
        </w:rPr>
        <w:t>Galaxias oliros</w:t>
      </w:r>
      <w:r w:rsidRPr="00634B3E">
        <w:rPr>
          <w:sz w:val="20"/>
        </w:rPr>
        <w:t xml:space="preserve">) collected from </w:t>
      </w:r>
      <w:r>
        <w:rPr>
          <w:sz w:val="20"/>
        </w:rPr>
        <w:t>Yallakool Creek</w:t>
      </w:r>
      <w:r w:rsidRPr="00634B3E">
        <w:rPr>
          <w:sz w:val="20"/>
        </w:rPr>
        <w:t xml:space="preserve"> </w:t>
      </w:r>
      <w:r w:rsidRPr="00634B3E">
        <w:rPr>
          <w:color w:val="000000"/>
          <w:sz w:val="20"/>
        </w:rPr>
        <w:t>(Photo: N. McCasker</w:t>
      </w:r>
      <w:r w:rsidRPr="00F11A8D">
        <w:rPr>
          <w:color w:val="000000"/>
          <w:sz w:val="18"/>
          <w:szCs w:val="18"/>
        </w:rPr>
        <w:t>)</w:t>
      </w:r>
    </w:p>
    <w:p w:rsidR="008A7C75" w:rsidRPr="00CA726B" w:rsidRDefault="008A7C75" w:rsidP="00034747">
      <w:pPr>
        <w:spacing w:after="120" w:line="240" w:lineRule="auto"/>
        <w:rPr>
          <w:sz w:val="20"/>
        </w:rPr>
      </w:pPr>
      <w:r w:rsidRPr="00CA726B">
        <w:rPr>
          <w:b/>
          <w:sz w:val="20"/>
        </w:rPr>
        <w:t xml:space="preserve">Table </w:t>
      </w:r>
      <w:r w:rsidR="005E0A51">
        <w:rPr>
          <w:b/>
          <w:sz w:val="20"/>
        </w:rPr>
        <w:t>10</w:t>
      </w:r>
      <w:r w:rsidR="00CA726B" w:rsidRPr="00CA726B">
        <w:rPr>
          <w:b/>
          <w:sz w:val="20"/>
        </w:rPr>
        <w:t>.</w:t>
      </w:r>
      <w:r w:rsidRPr="00CA726B">
        <w:rPr>
          <w:b/>
          <w:sz w:val="20"/>
        </w:rPr>
        <w:t xml:space="preserve">1:  </w:t>
      </w:r>
      <w:r w:rsidRPr="00CA726B">
        <w:rPr>
          <w:sz w:val="20"/>
        </w:rPr>
        <w:t xml:space="preserve">Light trap total abundance of fish larvae (L) and </w:t>
      </w:r>
      <w:r w:rsidR="00034747" w:rsidRPr="00CA726B">
        <w:rPr>
          <w:sz w:val="20"/>
        </w:rPr>
        <w:t>j</w:t>
      </w:r>
      <w:r w:rsidRPr="00CA726B">
        <w:rPr>
          <w:sz w:val="20"/>
        </w:rPr>
        <w:t>uveniles/small adults (JA) sampled in the four study zones of the Edward-Wakool River sys</w:t>
      </w:r>
      <w:r w:rsidR="00871D36">
        <w:rPr>
          <w:sz w:val="20"/>
        </w:rPr>
        <w:t>tem in Spring/Summer 2014. Grand</w:t>
      </w:r>
      <w:r w:rsidRPr="00CA726B">
        <w:rPr>
          <w:sz w:val="20"/>
        </w:rPr>
        <w:t xml:space="preserve"> totals and percent contribution provided in the far right column. </w:t>
      </w:r>
    </w:p>
    <w:p w:rsidR="008A7C75" w:rsidRDefault="008A7C75" w:rsidP="008A7C75">
      <w:r w:rsidRPr="00ED14D5">
        <w:rPr>
          <w:noProof/>
          <w:lang w:eastAsia="en-AU"/>
        </w:rPr>
        <w:drawing>
          <wp:inline distT="0" distB="0" distL="0" distR="0">
            <wp:extent cx="8230396" cy="4399005"/>
            <wp:effectExtent l="0" t="0" r="0" b="190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40242" cy="4404267"/>
                    </a:xfrm>
                    <a:prstGeom prst="rect">
                      <a:avLst/>
                    </a:prstGeom>
                    <a:noFill/>
                    <a:ln>
                      <a:noFill/>
                    </a:ln>
                  </pic:spPr>
                </pic:pic>
              </a:graphicData>
            </a:graphic>
          </wp:inline>
        </w:drawing>
      </w:r>
    </w:p>
    <w:p w:rsidR="008A7C75" w:rsidRDefault="008A7C75" w:rsidP="008A7C75">
      <w:pPr>
        <w:rPr>
          <w:b/>
        </w:rPr>
        <w:sectPr w:rsidR="008A7C75" w:rsidSect="00BB49EA">
          <w:pgSz w:w="16838" w:h="11906" w:orient="landscape"/>
          <w:pgMar w:top="1440" w:right="1440" w:bottom="1440" w:left="1440" w:header="709" w:footer="709" w:gutter="0"/>
          <w:cols w:space="708"/>
          <w:docGrid w:linePitch="360"/>
        </w:sectPr>
      </w:pPr>
    </w:p>
    <w:p w:rsidR="00064254" w:rsidRPr="00CA726B" w:rsidRDefault="008A7C75" w:rsidP="00064254">
      <w:pPr>
        <w:spacing w:after="0" w:line="240" w:lineRule="auto"/>
        <w:rPr>
          <w:sz w:val="20"/>
        </w:rPr>
      </w:pPr>
      <w:r w:rsidRPr="00CA726B">
        <w:rPr>
          <w:b/>
          <w:sz w:val="20"/>
        </w:rPr>
        <w:t xml:space="preserve">Table </w:t>
      </w:r>
      <w:r w:rsidR="005E0A51">
        <w:rPr>
          <w:b/>
          <w:sz w:val="20"/>
        </w:rPr>
        <w:t>10</w:t>
      </w:r>
      <w:r w:rsidR="00CA726B" w:rsidRPr="00CA726B">
        <w:rPr>
          <w:b/>
          <w:sz w:val="20"/>
        </w:rPr>
        <w:t>.</w:t>
      </w:r>
      <w:r w:rsidRPr="00CA726B">
        <w:rPr>
          <w:b/>
          <w:sz w:val="20"/>
        </w:rPr>
        <w:t xml:space="preserve">2:  </w:t>
      </w:r>
      <w:r w:rsidR="00A443EB" w:rsidRPr="00CA726B">
        <w:rPr>
          <w:sz w:val="20"/>
        </w:rPr>
        <w:t>Drift net abundance and CPUE of fish and crustacea larvae sampled from the</w:t>
      </w:r>
      <w:r w:rsidR="00113B28">
        <w:rPr>
          <w:sz w:val="20"/>
        </w:rPr>
        <w:t xml:space="preserve"> four study zones in the Edward</w:t>
      </w:r>
      <w:r w:rsidR="00A443EB" w:rsidRPr="00CA726B">
        <w:rPr>
          <w:sz w:val="20"/>
        </w:rPr>
        <w:t xml:space="preserve">-Wakool River system in Spring/Summer 2014.  </w:t>
      </w:r>
      <w:r w:rsidR="00A443EB" w:rsidRPr="00CA726B">
        <w:rPr>
          <w:i/>
          <w:sz w:val="20"/>
        </w:rPr>
        <w:t>n</w:t>
      </w:r>
      <w:r w:rsidR="00A443EB" w:rsidRPr="00CA726B">
        <w:rPr>
          <w:sz w:val="20"/>
        </w:rPr>
        <w:t>= total no of larvae collected, filt.vol (ML) = total volume of water sampled, CPUE= total no of larvae collected/ total volume of water sampled (ML), for each zone.</w:t>
      </w:r>
      <w:r w:rsidR="00A443EB">
        <w:rPr>
          <w:sz w:val="20"/>
        </w:rPr>
        <w:t xml:space="preserve"> Fish species listed are those known to occur in the Edward-Wakool river system. Trout cod, however, are the only species not found in the study </w:t>
      </w:r>
      <w:proofErr w:type="gramStart"/>
      <w:r w:rsidR="00A443EB">
        <w:rPr>
          <w:sz w:val="20"/>
        </w:rPr>
        <w:t>zones.</w:t>
      </w:r>
      <w:proofErr w:type="gramEnd"/>
    </w:p>
    <w:p w:rsidR="008A7C75" w:rsidRDefault="00064254" w:rsidP="00064254">
      <w:pPr>
        <w:spacing w:after="120" w:line="240" w:lineRule="auto"/>
      </w:pPr>
      <w:r>
        <w:t xml:space="preserve"> </w:t>
      </w:r>
      <w:r w:rsidRPr="00064254">
        <w:rPr>
          <w:noProof/>
          <w:lang w:eastAsia="en-AU"/>
        </w:rPr>
        <w:drawing>
          <wp:inline distT="0" distB="0" distL="0" distR="0">
            <wp:extent cx="8303741" cy="4499846"/>
            <wp:effectExtent l="0" t="0" r="254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310330" cy="4503417"/>
                    </a:xfrm>
                    <a:prstGeom prst="rect">
                      <a:avLst/>
                    </a:prstGeom>
                    <a:noFill/>
                    <a:ln>
                      <a:noFill/>
                    </a:ln>
                  </pic:spPr>
                </pic:pic>
              </a:graphicData>
            </a:graphic>
          </wp:inline>
        </w:drawing>
      </w:r>
    </w:p>
    <w:p w:rsidR="008A7C75" w:rsidRDefault="008A7C75" w:rsidP="008A7C75">
      <w:pPr>
        <w:sectPr w:rsidR="008A7C75" w:rsidSect="00BB49EA">
          <w:pgSz w:w="16838" w:h="11906" w:orient="landscape"/>
          <w:pgMar w:top="1440" w:right="1440" w:bottom="1440" w:left="1440" w:header="709" w:footer="709" w:gutter="0"/>
          <w:cols w:space="708"/>
          <w:docGrid w:linePitch="360"/>
        </w:sectPr>
      </w:pPr>
    </w:p>
    <w:p w:rsidR="008A7C75" w:rsidRPr="0039210F" w:rsidRDefault="008A7C75" w:rsidP="00775D57">
      <w:pPr>
        <w:spacing w:after="240"/>
        <w:jc w:val="left"/>
        <w:rPr>
          <w:sz w:val="24"/>
          <w:szCs w:val="24"/>
        </w:rPr>
      </w:pPr>
      <w:r w:rsidRPr="0039210F">
        <w:rPr>
          <w:i/>
          <w:sz w:val="24"/>
          <w:szCs w:val="24"/>
        </w:rPr>
        <w:t xml:space="preserve">Seasonal timing </w:t>
      </w:r>
      <w:r>
        <w:rPr>
          <w:i/>
          <w:sz w:val="24"/>
          <w:szCs w:val="24"/>
        </w:rPr>
        <w:t>of spawning</w:t>
      </w:r>
    </w:p>
    <w:p w:rsidR="00775D57" w:rsidRDefault="00775D57" w:rsidP="00775D57">
      <w:pPr>
        <w:spacing w:after="240"/>
        <w:jc w:val="left"/>
      </w:pPr>
      <w:r>
        <w:t xml:space="preserve">The seasonal timing of the appearance of larvae in the Edward-Wakool system reflected similar patterns to previous </w:t>
      </w:r>
      <w:r w:rsidR="00426C41">
        <w:t>monitoring in this system</w:t>
      </w:r>
      <w:r>
        <w:t xml:space="preserve"> (Watts et al. 2013, Watts et al. 2014</w:t>
      </w:r>
      <w:r w:rsidR="00113B28">
        <w:t>b</w:t>
      </w:r>
      <w:r>
        <w:t>)</w:t>
      </w:r>
      <w:r w:rsidRPr="00825499">
        <w:t>.</w:t>
      </w:r>
      <w:r w:rsidRPr="00825499">
        <w:rPr>
          <w:b/>
        </w:rPr>
        <w:t xml:space="preserve"> </w:t>
      </w:r>
      <w:r w:rsidRPr="00825499">
        <w:t xml:space="preserve">Australian smelt </w:t>
      </w:r>
      <w:r>
        <w:t>larvae were the first species detected as larvae in the 2014-</w:t>
      </w:r>
      <w:r w:rsidR="005E0A51">
        <w:t>2015 monitoring period (Figure 10</w:t>
      </w:r>
      <w:r w:rsidR="007655D6">
        <w:t>.2</w:t>
      </w:r>
      <w:r>
        <w:t>). Larval sampling commenced on 17 September, and the appearance of smelt larvae in this first trip suggests the species had probably commenced spawning prior to this date. Murray cod larvae were found in all four study zones between 27 October 2014 and 8 Dec 2015, with abundance peaking in mid November, showing consistent trends to the 2012-13 and 2013-14 monitor</w:t>
      </w:r>
      <w:r w:rsidR="005E0A51">
        <w:t>ing periods (Figure 10</w:t>
      </w:r>
      <w:r w:rsidR="007655D6">
        <w:t>.2</w:t>
      </w:r>
      <w:r>
        <w:t>).</w:t>
      </w:r>
      <w:r w:rsidR="00426C41">
        <w:t xml:space="preserve"> </w:t>
      </w:r>
      <w:r w:rsidRPr="00825499">
        <w:t xml:space="preserve">Carp gudgeon </w:t>
      </w:r>
      <w:r>
        <w:t>had the longest spawning period of all fish, with larvae detected for more than four months. Carp gudgeon larvae appearing first in Wakool River (zone 3) and Wakool River (zone 4) in mid October, and by mid November were present in Yallakool Creek and</w:t>
      </w:r>
      <w:r w:rsidR="005E0A51">
        <w:t xml:space="preserve"> Wakool River (zone 2) (Figure 10</w:t>
      </w:r>
      <w:r w:rsidR="007655D6">
        <w:t>.2</w:t>
      </w:r>
      <w:r>
        <w:t>). Peak abundance of larval carp gudgeon larvae occurred during December and January.</w:t>
      </w:r>
      <w:r w:rsidR="00426C41">
        <w:t xml:space="preserve"> </w:t>
      </w:r>
      <w:r>
        <w:t>Flathead gudgeon had a narrower spawning window than carp gudgeon, detected as larvae in all study zones for 3 months between October 2014 and January 2015, with the exception of a small number of larvae collected as early as 30 September in Yallako</w:t>
      </w:r>
      <w:r w:rsidR="005E0A51">
        <w:t>ol Creek (zone 1) (Figure 10</w:t>
      </w:r>
      <w:r w:rsidR="007655D6">
        <w:t>.2</w:t>
      </w:r>
      <w:r w:rsidR="00426C41">
        <w:t>).</w:t>
      </w:r>
    </w:p>
    <w:p w:rsidR="00775D57" w:rsidRDefault="00775D57" w:rsidP="00775D57">
      <w:pPr>
        <w:spacing w:after="240"/>
        <w:jc w:val="left"/>
      </w:pPr>
      <w:r>
        <w:t>The smaller numbers of larvae caught for Murray River rainbowfish, unspecked hardyhead, river blackfish and gambusia means it is not possible to generalise on t</w:t>
      </w:r>
      <w:r w:rsidR="005E0A51">
        <w:t>heir spawning patterns</w:t>
      </w:r>
      <w:r>
        <w:t>. Of note is that river blackfish were collected as larvae only from 2 sites in Wakool River (zone 2) on two sampling occasions between mid October and mid November, also consistent with previous years observations (2013-14 and 2011-12).</w:t>
      </w:r>
    </w:p>
    <w:p w:rsidR="00775D57" w:rsidRDefault="00775D57" w:rsidP="00775D57">
      <w:pPr>
        <w:spacing w:after="240"/>
        <w:rPr>
          <w:i/>
          <w:sz w:val="24"/>
          <w:szCs w:val="24"/>
        </w:rPr>
      </w:pPr>
      <w:r w:rsidRPr="0039210F">
        <w:rPr>
          <w:i/>
          <w:sz w:val="24"/>
          <w:szCs w:val="24"/>
        </w:rPr>
        <w:t xml:space="preserve">Difference in total </w:t>
      </w:r>
      <w:r>
        <w:rPr>
          <w:i/>
          <w:sz w:val="24"/>
          <w:szCs w:val="24"/>
        </w:rPr>
        <w:t>larval production across rivers</w:t>
      </w:r>
    </w:p>
    <w:p w:rsidR="00775D57" w:rsidRDefault="00775D57" w:rsidP="00775D57">
      <w:pPr>
        <w:spacing w:after="240"/>
        <w:jc w:val="left"/>
      </w:pPr>
      <w:r>
        <w:rPr>
          <w:rFonts w:cs="Calibri"/>
        </w:rPr>
        <w:t xml:space="preserve">It was </w:t>
      </w:r>
      <w:r w:rsidRPr="005866A7">
        <w:rPr>
          <w:rFonts w:cs="Calibri"/>
        </w:rPr>
        <w:t>hypothesised that the total production of fish larvae across the 2014-15 spawning se</w:t>
      </w:r>
      <w:r>
        <w:rPr>
          <w:rFonts w:cs="Calibri"/>
        </w:rPr>
        <w:t>ason would be significantly higher in the zones</w:t>
      </w:r>
      <w:r w:rsidRPr="005866A7">
        <w:rPr>
          <w:rFonts w:cs="Calibri"/>
        </w:rPr>
        <w:t xml:space="preserve"> that received environmental water</w:t>
      </w:r>
      <w:r w:rsidR="000A4F7E">
        <w:rPr>
          <w:rFonts w:cs="Calibri"/>
        </w:rPr>
        <w:t xml:space="preserve"> (zones 1, 3 </w:t>
      </w:r>
      <w:r>
        <w:rPr>
          <w:rFonts w:cs="Calibri"/>
        </w:rPr>
        <w:t>and 4)</w:t>
      </w:r>
      <w:r w:rsidRPr="005866A7">
        <w:rPr>
          <w:rFonts w:cs="Calibri"/>
        </w:rPr>
        <w:t xml:space="preserve"> compared to </w:t>
      </w:r>
      <w:r>
        <w:rPr>
          <w:rFonts w:cs="Calibri"/>
        </w:rPr>
        <w:t>the upper Wakool River (z</w:t>
      </w:r>
      <w:r w:rsidRPr="005866A7">
        <w:rPr>
          <w:rFonts w:cs="Calibri"/>
        </w:rPr>
        <w:t>one 2).</w:t>
      </w:r>
      <w:r>
        <w:rPr>
          <w:rFonts w:cs="Calibri"/>
        </w:rPr>
        <w:t xml:space="preserve"> Results of the multiple one-way ANOVAS were not able to support this hypothesis, as we found </w:t>
      </w:r>
      <w:r>
        <w:t>no significant difference in the mean total number of larval fish for the three most abundant species; Australian smelt, carp gudgeon and Murray cod across the</w:t>
      </w:r>
      <w:r w:rsidR="005E0A51">
        <w:t xml:space="preserve"> fou</w:t>
      </w:r>
      <w:r w:rsidR="007655D6">
        <w:t>r zones (Table 10.3, Figure 10.3</w:t>
      </w:r>
      <w:r>
        <w:t xml:space="preserve">). The absence of golden perch or silver perch eggs or larvae in drift nets and light traps, </w:t>
      </w:r>
      <w:r w:rsidR="00426C41">
        <w:t>suggest</w:t>
      </w:r>
      <w:r>
        <w:t xml:space="preserve"> these species did not spawn in the selected area in 2014-15, noting that it was not </w:t>
      </w:r>
      <w:r w:rsidR="00391782">
        <w:t xml:space="preserve">an </w:t>
      </w:r>
      <w:r>
        <w:t>objective of Commonwealth environmental watering action in 2014-15 to target a perch spawning response.</w:t>
      </w:r>
    </w:p>
    <w:p w:rsidR="00775D57" w:rsidRDefault="00775D57" w:rsidP="00775D57">
      <w:pPr>
        <w:spacing w:after="240"/>
        <w:jc w:val="left"/>
        <w:sectPr w:rsidR="00775D57" w:rsidSect="00116BE4">
          <w:footerReference w:type="default" r:id="rId105"/>
          <w:pgSz w:w="11906" w:h="16838"/>
          <w:pgMar w:top="1247" w:right="1134" w:bottom="1701" w:left="1701" w:header="709" w:footer="709" w:gutter="0"/>
          <w:cols w:space="708"/>
          <w:docGrid w:linePitch="360"/>
        </w:sectPr>
      </w:pPr>
    </w:p>
    <w:p w:rsidR="00775D57" w:rsidRPr="00131D87" w:rsidRDefault="00775D57" w:rsidP="00391782">
      <w:pPr>
        <w:spacing w:after="0" w:line="240" w:lineRule="auto"/>
        <w:jc w:val="left"/>
        <w:rPr>
          <w:b/>
        </w:rPr>
      </w:pPr>
      <w:r>
        <w:rPr>
          <w:b/>
          <w:noProof/>
          <w:lang w:eastAsia="en-AU"/>
        </w:rPr>
        <w:drawing>
          <wp:inline distT="0" distB="0" distL="0" distR="0">
            <wp:extent cx="9067655" cy="4968000"/>
            <wp:effectExtent l="0" t="0" r="635" b="444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9067655" cy="496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75D57" w:rsidRDefault="008A7C75" w:rsidP="00034747">
      <w:pPr>
        <w:spacing w:after="120" w:line="240" w:lineRule="auto"/>
        <w:rPr>
          <w:sz w:val="20"/>
        </w:rPr>
        <w:sectPr w:rsidR="00775D57" w:rsidSect="00775D57">
          <w:pgSz w:w="16838" w:h="11906" w:orient="landscape"/>
          <w:pgMar w:top="1701" w:right="1247" w:bottom="1134" w:left="1701" w:header="709" w:footer="709" w:gutter="0"/>
          <w:cols w:space="708"/>
          <w:docGrid w:linePitch="360"/>
        </w:sectPr>
      </w:pPr>
      <w:r w:rsidRPr="00C57CCB">
        <w:rPr>
          <w:b/>
          <w:sz w:val="20"/>
        </w:rPr>
        <w:t xml:space="preserve">Figure </w:t>
      </w:r>
      <w:r w:rsidR="005E0A51">
        <w:rPr>
          <w:b/>
          <w:sz w:val="20"/>
        </w:rPr>
        <w:t>10</w:t>
      </w:r>
      <w:r w:rsidR="00C57CCB">
        <w:rPr>
          <w:b/>
          <w:sz w:val="20"/>
        </w:rPr>
        <w:t>.</w:t>
      </w:r>
      <w:r w:rsidR="007655D6">
        <w:rPr>
          <w:b/>
          <w:sz w:val="20"/>
        </w:rPr>
        <w:t>2</w:t>
      </w:r>
      <w:r w:rsidRPr="00C57CCB">
        <w:rPr>
          <w:b/>
          <w:sz w:val="20"/>
        </w:rPr>
        <w:t xml:space="preserve">: </w:t>
      </w:r>
      <w:r w:rsidR="00775D57" w:rsidRPr="00C57CCB">
        <w:rPr>
          <w:sz w:val="20"/>
        </w:rPr>
        <w:t>Bubble plots representing relative abundance of larval fish collected in light traps from each site across the 2014-15 sampling period.</w:t>
      </w:r>
      <w:r w:rsidR="00775D57" w:rsidRPr="00C57CCB">
        <w:rPr>
          <w:i/>
          <w:sz w:val="20"/>
        </w:rPr>
        <w:t xml:space="preserve"> </w:t>
      </w:r>
      <w:r w:rsidR="00775D57" w:rsidRPr="00C57CCB">
        <w:rPr>
          <w:sz w:val="20"/>
        </w:rPr>
        <w:t>Bubble size</w:t>
      </w:r>
      <w:r w:rsidR="00775D57">
        <w:rPr>
          <w:sz w:val="20"/>
        </w:rPr>
        <w:t xml:space="preserve"> (count)</w:t>
      </w:r>
      <w:r w:rsidR="00775D57" w:rsidRPr="00C57CCB">
        <w:rPr>
          <w:sz w:val="20"/>
        </w:rPr>
        <w:t xml:space="preserve"> represents relative abundance based on maximum </w:t>
      </w:r>
      <w:r w:rsidR="00775D57">
        <w:rPr>
          <w:sz w:val="20"/>
        </w:rPr>
        <w:t xml:space="preserve">number of individuals collected. Bubble colour (flow28) represents cumulative discharge </w:t>
      </w:r>
      <w:r w:rsidR="00391782">
        <w:rPr>
          <w:sz w:val="20"/>
        </w:rPr>
        <w:t xml:space="preserve">(ML) </w:t>
      </w:r>
      <w:r w:rsidR="00775D57">
        <w:rPr>
          <w:sz w:val="20"/>
        </w:rPr>
        <w:t>over the 28 days prior to sampling</w:t>
      </w:r>
      <w:r w:rsidRPr="00C57CCB">
        <w:rPr>
          <w:sz w:val="20"/>
        </w:rPr>
        <w:t xml:space="preserve">. </w:t>
      </w:r>
    </w:p>
    <w:p w:rsidR="00775D57" w:rsidRPr="00775D57" w:rsidRDefault="005E0A51" w:rsidP="00775D57">
      <w:pPr>
        <w:spacing w:after="120" w:line="240" w:lineRule="auto"/>
        <w:rPr>
          <w:sz w:val="20"/>
        </w:rPr>
      </w:pPr>
      <w:r>
        <w:rPr>
          <w:b/>
          <w:sz w:val="20"/>
        </w:rPr>
        <w:t>Table 10</w:t>
      </w:r>
      <w:r w:rsidR="00775D57" w:rsidRPr="00775D57">
        <w:rPr>
          <w:b/>
          <w:sz w:val="20"/>
        </w:rPr>
        <w:t>.3:</w:t>
      </w:r>
      <w:r w:rsidR="00775D57" w:rsidRPr="00775D57">
        <w:rPr>
          <w:sz w:val="20"/>
        </w:rPr>
        <w:t xml:space="preserve">  Results of multiple one-way ANOVAS comparing total mean larvae abundance for i) Australian smelt, ii) carp gudgeon and iii) Murray cod, across river zones for the entire sampling period. </w:t>
      </w:r>
      <w:r w:rsidR="00775D57" w:rsidRPr="00775D57">
        <w:rPr>
          <w:i/>
          <w:sz w:val="20"/>
        </w:rPr>
        <w:t xml:space="preserve">P </w:t>
      </w:r>
      <w:r w:rsidR="00775D57" w:rsidRPr="00775D57">
        <w:rPr>
          <w:sz w:val="20"/>
        </w:rPr>
        <w:t>values &lt;0-05 indicates there was a significant differences in mean larval fish abundance across zones.</w:t>
      </w:r>
    </w:p>
    <w:tbl>
      <w:tblPr>
        <w:tblW w:w="0" w:type="auto"/>
        <w:jc w:val="center"/>
        <w:tblBorders>
          <w:top w:val="single" w:sz="4" w:space="0" w:color="auto"/>
          <w:bottom w:val="single" w:sz="4" w:space="0" w:color="auto"/>
        </w:tblBorders>
        <w:tblLook w:val="04A0"/>
      </w:tblPr>
      <w:tblGrid>
        <w:gridCol w:w="1848"/>
        <w:gridCol w:w="1848"/>
        <w:gridCol w:w="1848"/>
        <w:gridCol w:w="1849"/>
      </w:tblGrid>
      <w:tr w:rsidR="00775D57" w:rsidRPr="004B7140" w:rsidTr="00775D57">
        <w:trPr>
          <w:jc w:val="center"/>
        </w:trPr>
        <w:tc>
          <w:tcPr>
            <w:tcW w:w="1848" w:type="dxa"/>
            <w:tcBorders>
              <w:top w:val="single" w:sz="4" w:space="0" w:color="auto"/>
              <w:bottom w:val="single" w:sz="4" w:space="0" w:color="auto"/>
            </w:tcBorders>
            <w:shd w:val="clear" w:color="auto" w:fill="EAF1DD"/>
            <w:vAlign w:val="bottom"/>
          </w:tcPr>
          <w:p w:rsidR="00775D57" w:rsidRPr="004B7140" w:rsidRDefault="00775D57" w:rsidP="00775D57">
            <w:pPr>
              <w:spacing w:after="0" w:line="240" w:lineRule="auto"/>
            </w:pPr>
            <w:r w:rsidRPr="004B7140">
              <w:t>Fish species</w:t>
            </w:r>
          </w:p>
        </w:tc>
        <w:tc>
          <w:tcPr>
            <w:tcW w:w="1848" w:type="dxa"/>
            <w:tcBorders>
              <w:top w:val="single" w:sz="4" w:space="0" w:color="auto"/>
              <w:bottom w:val="single" w:sz="4" w:space="0" w:color="auto"/>
            </w:tcBorders>
            <w:shd w:val="clear" w:color="auto" w:fill="EAF1DD"/>
            <w:vAlign w:val="bottom"/>
          </w:tcPr>
          <w:p w:rsidR="00775D57" w:rsidRPr="004B7140" w:rsidRDefault="00775D57" w:rsidP="00775D57">
            <w:pPr>
              <w:spacing w:after="0" w:line="240" w:lineRule="auto"/>
              <w:jc w:val="center"/>
            </w:pPr>
            <w:r w:rsidRPr="004B7140">
              <w:t>df</w:t>
            </w:r>
          </w:p>
        </w:tc>
        <w:tc>
          <w:tcPr>
            <w:tcW w:w="1848" w:type="dxa"/>
            <w:tcBorders>
              <w:top w:val="single" w:sz="4" w:space="0" w:color="auto"/>
              <w:bottom w:val="single" w:sz="4" w:space="0" w:color="auto"/>
            </w:tcBorders>
            <w:shd w:val="clear" w:color="auto" w:fill="EAF1DD"/>
            <w:vAlign w:val="bottom"/>
          </w:tcPr>
          <w:p w:rsidR="00775D57" w:rsidRPr="004B7140" w:rsidRDefault="00775D57" w:rsidP="00775D57">
            <w:pPr>
              <w:spacing w:after="0" w:line="240" w:lineRule="auto"/>
              <w:jc w:val="center"/>
            </w:pPr>
            <w:r w:rsidRPr="004B7140">
              <w:t>F-value</w:t>
            </w:r>
          </w:p>
        </w:tc>
        <w:tc>
          <w:tcPr>
            <w:tcW w:w="1849" w:type="dxa"/>
            <w:tcBorders>
              <w:top w:val="single" w:sz="4" w:space="0" w:color="auto"/>
              <w:bottom w:val="single" w:sz="4" w:space="0" w:color="auto"/>
            </w:tcBorders>
            <w:shd w:val="clear" w:color="auto" w:fill="EAF1DD"/>
            <w:vAlign w:val="bottom"/>
          </w:tcPr>
          <w:p w:rsidR="00775D57" w:rsidRPr="004B7140" w:rsidRDefault="00775D57" w:rsidP="00775D57">
            <w:pPr>
              <w:spacing w:after="0" w:line="240" w:lineRule="auto"/>
              <w:jc w:val="center"/>
            </w:pPr>
            <w:r w:rsidRPr="004B7140">
              <w:t>p</w:t>
            </w:r>
          </w:p>
        </w:tc>
      </w:tr>
      <w:tr w:rsidR="00775D57" w:rsidRPr="004B7140" w:rsidTr="00775D57">
        <w:trPr>
          <w:jc w:val="center"/>
        </w:trPr>
        <w:tc>
          <w:tcPr>
            <w:tcW w:w="1848" w:type="dxa"/>
            <w:tcBorders>
              <w:top w:val="single" w:sz="4" w:space="0" w:color="auto"/>
              <w:bottom w:val="nil"/>
            </w:tcBorders>
            <w:vAlign w:val="center"/>
          </w:tcPr>
          <w:p w:rsidR="00775D57" w:rsidRPr="004B7140" w:rsidRDefault="00775D57" w:rsidP="00775D57">
            <w:pPr>
              <w:spacing w:after="0" w:line="240" w:lineRule="auto"/>
            </w:pPr>
            <w:r w:rsidRPr="004B7140">
              <w:t>Australian smelt</w:t>
            </w:r>
          </w:p>
        </w:tc>
        <w:tc>
          <w:tcPr>
            <w:tcW w:w="1848" w:type="dxa"/>
            <w:tcBorders>
              <w:top w:val="single" w:sz="4" w:space="0" w:color="auto"/>
              <w:bottom w:val="nil"/>
            </w:tcBorders>
            <w:vAlign w:val="center"/>
          </w:tcPr>
          <w:p w:rsidR="00775D57" w:rsidRPr="004B7140" w:rsidRDefault="00775D57" w:rsidP="00775D57">
            <w:pPr>
              <w:spacing w:after="0" w:line="240" w:lineRule="auto"/>
              <w:jc w:val="center"/>
            </w:pPr>
            <w:r w:rsidRPr="004B7140">
              <w:t>3, 16</w:t>
            </w:r>
          </w:p>
        </w:tc>
        <w:tc>
          <w:tcPr>
            <w:tcW w:w="1848" w:type="dxa"/>
            <w:tcBorders>
              <w:top w:val="single" w:sz="4" w:space="0" w:color="auto"/>
              <w:bottom w:val="nil"/>
            </w:tcBorders>
            <w:vAlign w:val="center"/>
          </w:tcPr>
          <w:p w:rsidR="00775D57" w:rsidRPr="004B7140" w:rsidRDefault="00775D57" w:rsidP="00775D57">
            <w:pPr>
              <w:pStyle w:val="HTMLPreformatted"/>
              <w:jc w:val="center"/>
              <w:rPr>
                <w:rFonts w:ascii="Calibri" w:hAnsi="Calibri"/>
                <w:color w:val="000000"/>
                <w:sz w:val="22"/>
                <w:szCs w:val="22"/>
                <w:shd w:val="clear" w:color="auto" w:fill="E1E2E5"/>
              </w:rPr>
            </w:pPr>
            <w:r w:rsidRPr="004B7140">
              <w:rPr>
                <w:rFonts w:ascii="Calibri" w:hAnsi="Calibri"/>
                <w:sz w:val="22"/>
                <w:szCs w:val="22"/>
              </w:rPr>
              <w:t>1.866</w:t>
            </w:r>
          </w:p>
        </w:tc>
        <w:tc>
          <w:tcPr>
            <w:tcW w:w="1849" w:type="dxa"/>
            <w:tcBorders>
              <w:top w:val="single" w:sz="4" w:space="0" w:color="auto"/>
              <w:bottom w:val="nil"/>
            </w:tcBorders>
            <w:vAlign w:val="center"/>
          </w:tcPr>
          <w:p w:rsidR="00775D57" w:rsidRPr="004B7140" w:rsidRDefault="00775D57" w:rsidP="00775D57">
            <w:pPr>
              <w:pStyle w:val="HTMLPreformatted"/>
              <w:jc w:val="center"/>
              <w:rPr>
                <w:rFonts w:ascii="Calibri" w:hAnsi="Calibri"/>
                <w:color w:val="000000"/>
                <w:sz w:val="22"/>
                <w:szCs w:val="22"/>
                <w:shd w:val="clear" w:color="auto" w:fill="E1E2E5"/>
              </w:rPr>
            </w:pPr>
            <w:r w:rsidRPr="004B7140">
              <w:rPr>
                <w:rFonts w:ascii="Calibri" w:hAnsi="Calibri"/>
                <w:sz w:val="22"/>
                <w:szCs w:val="22"/>
              </w:rPr>
              <w:t>0.176</w:t>
            </w:r>
          </w:p>
        </w:tc>
      </w:tr>
      <w:tr w:rsidR="00775D57" w:rsidRPr="004B7140" w:rsidTr="00775D57">
        <w:trPr>
          <w:jc w:val="center"/>
        </w:trPr>
        <w:tc>
          <w:tcPr>
            <w:tcW w:w="1848" w:type="dxa"/>
            <w:tcBorders>
              <w:top w:val="nil"/>
            </w:tcBorders>
            <w:vAlign w:val="center"/>
          </w:tcPr>
          <w:p w:rsidR="00775D57" w:rsidRPr="004B7140" w:rsidRDefault="00775D57" w:rsidP="00775D57">
            <w:pPr>
              <w:spacing w:after="0" w:line="240" w:lineRule="auto"/>
            </w:pPr>
            <w:r w:rsidRPr="004B7140">
              <w:t>Carp gudgeon</w:t>
            </w:r>
          </w:p>
        </w:tc>
        <w:tc>
          <w:tcPr>
            <w:tcW w:w="1848" w:type="dxa"/>
            <w:tcBorders>
              <w:top w:val="nil"/>
            </w:tcBorders>
            <w:vAlign w:val="center"/>
          </w:tcPr>
          <w:p w:rsidR="00775D57" w:rsidRPr="004B7140" w:rsidRDefault="00775D57" w:rsidP="00775D57">
            <w:pPr>
              <w:spacing w:after="0" w:line="240" w:lineRule="auto"/>
              <w:jc w:val="center"/>
            </w:pPr>
            <w:r w:rsidRPr="004B7140">
              <w:t>3, 16</w:t>
            </w:r>
          </w:p>
        </w:tc>
        <w:tc>
          <w:tcPr>
            <w:tcW w:w="1848" w:type="dxa"/>
            <w:tcBorders>
              <w:top w:val="nil"/>
            </w:tcBorders>
            <w:vAlign w:val="center"/>
          </w:tcPr>
          <w:p w:rsidR="00775D57" w:rsidRPr="004B7140" w:rsidRDefault="00775D57" w:rsidP="00775D57">
            <w:pPr>
              <w:pStyle w:val="HTMLPreformatted"/>
              <w:jc w:val="center"/>
              <w:rPr>
                <w:rFonts w:ascii="Calibri" w:hAnsi="Calibri"/>
                <w:color w:val="000000"/>
                <w:sz w:val="22"/>
                <w:szCs w:val="22"/>
                <w:shd w:val="clear" w:color="auto" w:fill="E1E2E5"/>
              </w:rPr>
            </w:pPr>
            <w:r w:rsidRPr="004B7140">
              <w:rPr>
                <w:rFonts w:ascii="Calibri" w:hAnsi="Calibri"/>
                <w:sz w:val="22"/>
                <w:szCs w:val="22"/>
              </w:rPr>
              <w:t>1.216</w:t>
            </w:r>
          </w:p>
        </w:tc>
        <w:tc>
          <w:tcPr>
            <w:tcW w:w="1849" w:type="dxa"/>
            <w:tcBorders>
              <w:top w:val="nil"/>
            </w:tcBorders>
            <w:vAlign w:val="center"/>
          </w:tcPr>
          <w:p w:rsidR="00775D57" w:rsidRPr="004B7140" w:rsidRDefault="00775D57" w:rsidP="00775D57">
            <w:pPr>
              <w:pStyle w:val="HTMLPreformatted"/>
              <w:jc w:val="center"/>
              <w:rPr>
                <w:rFonts w:ascii="Calibri" w:hAnsi="Calibri"/>
                <w:color w:val="000000"/>
                <w:sz w:val="22"/>
                <w:szCs w:val="22"/>
                <w:shd w:val="clear" w:color="auto" w:fill="E1E2E5"/>
              </w:rPr>
            </w:pPr>
            <w:r w:rsidRPr="004B7140">
              <w:rPr>
                <w:rFonts w:ascii="Calibri" w:hAnsi="Calibri"/>
                <w:sz w:val="22"/>
                <w:szCs w:val="22"/>
              </w:rPr>
              <w:t>0.336</w:t>
            </w:r>
          </w:p>
        </w:tc>
      </w:tr>
      <w:tr w:rsidR="00775D57" w:rsidRPr="004B7140" w:rsidTr="00775D57">
        <w:trPr>
          <w:jc w:val="center"/>
        </w:trPr>
        <w:tc>
          <w:tcPr>
            <w:tcW w:w="1848" w:type="dxa"/>
            <w:vAlign w:val="center"/>
          </w:tcPr>
          <w:p w:rsidR="00775D57" w:rsidRPr="004B7140" w:rsidRDefault="00775D57" w:rsidP="00775D57">
            <w:pPr>
              <w:spacing w:after="0" w:line="240" w:lineRule="auto"/>
            </w:pPr>
            <w:r w:rsidRPr="004B7140">
              <w:t>Murray cod</w:t>
            </w:r>
          </w:p>
        </w:tc>
        <w:tc>
          <w:tcPr>
            <w:tcW w:w="1848" w:type="dxa"/>
            <w:vAlign w:val="center"/>
          </w:tcPr>
          <w:p w:rsidR="00775D57" w:rsidRPr="004B7140" w:rsidRDefault="00775D57" w:rsidP="00775D57">
            <w:pPr>
              <w:spacing w:after="0" w:line="240" w:lineRule="auto"/>
              <w:jc w:val="center"/>
            </w:pPr>
            <w:r w:rsidRPr="004B7140">
              <w:t>3, 16</w:t>
            </w:r>
          </w:p>
        </w:tc>
        <w:tc>
          <w:tcPr>
            <w:tcW w:w="1848" w:type="dxa"/>
            <w:vAlign w:val="center"/>
          </w:tcPr>
          <w:p w:rsidR="00775D57" w:rsidRPr="004B7140" w:rsidRDefault="00775D57" w:rsidP="00775D57">
            <w:pPr>
              <w:spacing w:after="0" w:line="240" w:lineRule="auto"/>
              <w:jc w:val="center"/>
              <w:rPr>
                <w:rFonts w:eastAsia="Times New Roman" w:cs="Courier New"/>
                <w:color w:val="000000"/>
                <w:shd w:val="clear" w:color="auto" w:fill="E1E2E5"/>
                <w:lang w:eastAsia="en-AU"/>
              </w:rPr>
            </w:pPr>
            <w:r w:rsidRPr="004B7140">
              <w:t>1.022</w:t>
            </w:r>
          </w:p>
        </w:tc>
        <w:tc>
          <w:tcPr>
            <w:tcW w:w="1849" w:type="dxa"/>
            <w:vAlign w:val="center"/>
          </w:tcPr>
          <w:p w:rsidR="00775D57" w:rsidRPr="004B7140" w:rsidRDefault="00775D57" w:rsidP="00775D57">
            <w:pPr>
              <w:pStyle w:val="HTMLPreformatted"/>
              <w:jc w:val="center"/>
              <w:rPr>
                <w:rFonts w:ascii="Calibri" w:hAnsi="Calibri"/>
                <w:color w:val="000000"/>
                <w:sz w:val="22"/>
                <w:szCs w:val="22"/>
                <w:shd w:val="clear" w:color="auto" w:fill="E1E2E5"/>
              </w:rPr>
            </w:pPr>
            <w:r w:rsidRPr="004B7140">
              <w:rPr>
                <w:rFonts w:ascii="Calibri" w:hAnsi="Calibri"/>
                <w:sz w:val="22"/>
                <w:szCs w:val="22"/>
              </w:rPr>
              <w:t>0.409</w:t>
            </w:r>
          </w:p>
        </w:tc>
      </w:tr>
    </w:tbl>
    <w:p w:rsidR="00034747" w:rsidRDefault="00034747" w:rsidP="00426C41">
      <w:pPr>
        <w:spacing w:after="0"/>
      </w:pPr>
    </w:p>
    <w:p w:rsidR="00426C41" w:rsidRDefault="00426C41" w:rsidP="00426C41">
      <w:pPr>
        <w:spacing w:after="0"/>
        <w:rPr>
          <w:b/>
        </w:rPr>
      </w:pPr>
    </w:p>
    <w:p w:rsidR="008A7C75" w:rsidRPr="004223F8" w:rsidRDefault="008A7C75" w:rsidP="008A7C75">
      <w:pPr>
        <w:spacing w:after="0" w:line="240" w:lineRule="auto"/>
        <w:ind w:left="1080"/>
        <w:rPr>
          <w:b/>
        </w:rPr>
      </w:pPr>
      <w:r>
        <w:rPr>
          <w:i/>
        </w:rPr>
        <w:t xml:space="preserve">                 </w:t>
      </w:r>
      <w:proofErr w:type="gramStart"/>
      <w:r>
        <w:rPr>
          <w:i/>
        </w:rPr>
        <w:t>i)  c</w:t>
      </w:r>
      <w:r w:rsidRPr="004B7140">
        <w:rPr>
          <w:i/>
        </w:rPr>
        <w:t>arp</w:t>
      </w:r>
      <w:proofErr w:type="gramEnd"/>
      <w:r w:rsidRPr="004B7140">
        <w:rPr>
          <w:i/>
        </w:rPr>
        <w:t xml:space="preserve"> gudgeon </w:t>
      </w:r>
      <w:r w:rsidRPr="004B7140">
        <w:rPr>
          <w:i/>
        </w:rPr>
        <w:tab/>
      </w:r>
      <w:r>
        <w:rPr>
          <w:b/>
        </w:rPr>
        <w:t xml:space="preserve">                                        </w:t>
      </w:r>
      <w:r w:rsidRPr="004B7140">
        <w:rPr>
          <w:i/>
        </w:rPr>
        <w:t>ii) Australian smelt</w:t>
      </w:r>
    </w:p>
    <w:p w:rsidR="008A7C75" w:rsidRDefault="008A7C75" w:rsidP="008A7C75">
      <w:pPr>
        <w:jc w:val="center"/>
      </w:pPr>
      <w:r w:rsidRPr="004F36DA">
        <w:rPr>
          <w:noProof/>
          <w:lang w:eastAsia="en-AU"/>
        </w:rPr>
        <w:drawing>
          <wp:inline distT="0" distB="0" distL="0" distR="0">
            <wp:extent cx="2819400" cy="2771775"/>
            <wp:effectExtent l="0" t="0" r="0"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400" cy="2771775"/>
                    </a:xfrm>
                    <a:prstGeom prst="rect">
                      <a:avLst/>
                    </a:prstGeom>
                    <a:noFill/>
                    <a:ln>
                      <a:noFill/>
                    </a:ln>
                  </pic:spPr>
                </pic:pic>
              </a:graphicData>
            </a:graphic>
          </wp:inline>
        </w:drawing>
      </w:r>
      <w:r w:rsidRPr="004F36DA">
        <w:rPr>
          <w:noProof/>
          <w:lang w:eastAsia="en-AU"/>
        </w:rPr>
        <w:drawing>
          <wp:inline distT="0" distB="0" distL="0" distR="0">
            <wp:extent cx="2847975" cy="2771775"/>
            <wp:effectExtent l="0" t="0" r="9525" b="952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2771775"/>
                    </a:xfrm>
                    <a:prstGeom prst="rect">
                      <a:avLst/>
                    </a:prstGeom>
                    <a:noFill/>
                    <a:ln>
                      <a:noFill/>
                    </a:ln>
                  </pic:spPr>
                </pic:pic>
              </a:graphicData>
            </a:graphic>
          </wp:inline>
        </w:drawing>
      </w:r>
    </w:p>
    <w:p w:rsidR="008A7C75" w:rsidRPr="004B7140" w:rsidRDefault="008A7C75" w:rsidP="003A5CB0">
      <w:pPr>
        <w:numPr>
          <w:ilvl w:val="0"/>
          <w:numId w:val="17"/>
        </w:numPr>
        <w:spacing w:after="0" w:line="240" w:lineRule="auto"/>
        <w:ind w:left="1077"/>
        <w:jc w:val="center"/>
        <w:rPr>
          <w:i/>
        </w:rPr>
      </w:pPr>
      <w:r w:rsidRPr="004B7140">
        <w:rPr>
          <w:i/>
        </w:rPr>
        <w:t>Murray cod</w:t>
      </w:r>
    </w:p>
    <w:p w:rsidR="008A7C75" w:rsidRDefault="008A7C75" w:rsidP="00426C41">
      <w:pPr>
        <w:spacing w:after="0" w:line="240" w:lineRule="auto"/>
        <w:jc w:val="center"/>
      </w:pPr>
      <w:r w:rsidRPr="00942C85">
        <w:rPr>
          <w:noProof/>
          <w:lang w:eastAsia="en-AU"/>
        </w:rPr>
        <w:drawing>
          <wp:inline distT="0" distB="0" distL="0" distR="0">
            <wp:extent cx="2847975" cy="2771775"/>
            <wp:effectExtent l="0" t="0" r="9525"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2771775"/>
                    </a:xfrm>
                    <a:prstGeom prst="rect">
                      <a:avLst/>
                    </a:prstGeom>
                    <a:noFill/>
                    <a:ln>
                      <a:noFill/>
                    </a:ln>
                  </pic:spPr>
                </pic:pic>
              </a:graphicData>
            </a:graphic>
          </wp:inline>
        </w:drawing>
      </w:r>
    </w:p>
    <w:p w:rsidR="008A7C75" w:rsidRPr="00C57CCB" w:rsidRDefault="008A7C75" w:rsidP="00C57CCB">
      <w:pPr>
        <w:spacing w:after="240" w:line="240" w:lineRule="auto"/>
        <w:rPr>
          <w:sz w:val="20"/>
        </w:rPr>
      </w:pPr>
      <w:r w:rsidRPr="00C57CCB">
        <w:rPr>
          <w:b/>
          <w:sz w:val="20"/>
        </w:rPr>
        <w:t xml:space="preserve">Figure </w:t>
      </w:r>
      <w:r w:rsidR="005E0A51">
        <w:rPr>
          <w:b/>
          <w:sz w:val="20"/>
        </w:rPr>
        <w:t>10</w:t>
      </w:r>
      <w:r w:rsidR="00C57CCB" w:rsidRPr="00C57CCB">
        <w:rPr>
          <w:b/>
          <w:sz w:val="20"/>
        </w:rPr>
        <w:t>.</w:t>
      </w:r>
      <w:r w:rsidR="007655D6">
        <w:rPr>
          <w:b/>
          <w:sz w:val="20"/>
        </w:rPr>
        <w:t>3</w:t>
      </w:r>
      <w:r w:rsidRPr="00C57CCB">
        <w:rPr>
          <w:b/>
          <w:sz w:val="20"/>
        </w:rPr>
        <w:t xml:space="preserve">: </w:t>
      </w:r>
      <w:r w:rsidRPr="00C57CCB">
        <w:rPr>
          <w:sz w:val="20"/>
        </w:rPr>
        <w:t xml:space="preserve">Mean total abundance (±SE) of larval sampled in the 2014-2-15 spawning season in the Edward-Wakool Selected Area, for </w:t>
      </w:r>
      <w:r w:rsidRPr="00C57CCB">
        <w:rPr>
          <w:i/>
          <w:sz w:val="20"/>
        </w:rPr>
        <w:t>i)</w:t>
      </w:r>
      <w:r w:rsidRPr="00C57CCB">
        <w:rPr>
          <w:sz w:val="20"/>
        </w:rPr>
        <w:t xml:space="preserve"> carp gudgeon,</w:t>
      </w:r>
      <w:r w:rsidRPr="00C57CCB">
        <w:rPr>
          <w:i/>
          <w:sz w:val="20"/>
        </w:rPr>
        <w:t xml:space="preserve"> ii)</w:t>
      </w:r>
      <w:r w:rsidRPr="00C57CCB">
        <w:rPr>
          <w:sz w:val="20"/>
        </w:rPr>
        <w:t xml:space="preserve"> Australian smelt and </w:t>
      </w:r>
      <w:r w:rsidRPr="00C57CCB">
        <w:rPr>
          <w:i/>
          <w:sz w:val="20"/>
        </w:rPr>
        <w:t>iii)</w:t>
      </w:r>
      <w:r w:rsidRPr="00C57CCB">
        <w:rPr>
          <w:sz w:val="20"/>
        </w:rPr>
        <w:t xml:space="preserve"> Murray cod. Note Y-axes vary. There was no significant difference in mean larval abundance across the four study zones for any of the three fish species tested. </w:t>
      </w:r>
    </w:p>
    <w:p w:rsidR="008A7C75" w:rsidRPr="00C57CCB" w:rsidRDefault="005E0A51" w:rsidP="00426C41">
      <w:pPr>
        <w:pStyle w:val="ListParagraph"/>
        <w:spacing w:after="240"/>
        <w:ind w:left="0"/>
        <w:jc w:val="left"/>
        <w:rPr>
          <w:color w:val="4F6228" w:themeColor="accent3" w:themeShade="80"/>
          <w:sz w:val="24"/>
          <w:szCs w:val="24"/>
        </w:rPr>
      </w:pPr>
      <w:r>
        <w:rPr>
          <w:b/>
          <w:color w:val="4F6228" w:themeColor="accent3" w:themeShade="80"/>
          <w:sz w:val="24"/>
          <w:szCs w:val="24"/>
        </w:rPr>
        <w:t>10</w:t>
      </w:r>
      <w:r w:rsidR="00C57CCB" w:rsidRPr="00C57CCB">
        <w:rPr>
          <w:b/>
          <w:color w:val="4F6228" w:themeColor="accent3" w:themeShade="80"/>
          <w:sz w:val="24"/>
          <w:szCs w:val="24"/>
        </w:rPr>
        <w:t xml:space="preserve">.5 </w:t>
      </w:r>
      <w:r w:rsidR="00ED6D80">
        <w:rPr>
          <w:b/>
          <w:color w:val="4F6228" w:themeColor="accent3" w:themeShade="80"/>
          <w:sz w:val="24"/>
          <w:szCs w:val="24"/>
        </w:rPr>
        <w:t>Discussion</w:t>
      </w:r>
    </w:p>
    <w:p w:rsidR="00426C41" w:rsidRDefault="00426C41" w:rsidP="00426C41">
      <w:pPr>
        <w:spacing w:after="240"/>
        <w:jc w:val="left"/>
      </w:pPr>
      <w:r>
        <w:t>The Commonwealth e</w:t>
      </w:r>
      <w:r w:rsidRPr="00567B13">
        <w:t xml:space="preserve">nvironmental </w:t>
      </w:r>
      <w:r>
        <w:t>watering action in Yallakool Creek in 2014-15</w:t>
      </w:r>
      <w:r w:rsidRPr="00567B13">
        <w:t xml:space="preserve"> </w:t>
      </w:r>
      <w:r>
        <w:t>did not have a significant effect (either positive or negative)</w:t>
      </w:r>
      <w:r w:rsidRPr="00567B13">
        <w:t xml:space="preserve"> </w:t>
      </w:r>
      <w:r>
        <w:t>on</w:t>
      </w:r>
      <w:r w:rsidRPr="00567B13">
        <w:t xml:space="preserve"> the spawning response of </w:t>
      </w:r>
      <w:r>
        <w:t>native</w:t>
      </w:r>
      <w:r w:rsidRPr="00567B13">
        <w:t xml:space="preserve"> fish. </w:t>
      </w:r>
    </w:p>
    <w:p w:rsidR="00426C41" w:rsidRDefault="001C38E5" w:rsidP="00426C41">
      <w:pPr>
        <w:spacing w:after="240"/>
        <w:jc w:val="left"/>
      </w:pPr>
      <w:r>
        <w:t>One of the objectives of the s</w:t>
      </w:r>
      <w:r w:rsidR="0056263D">
        <w:t xml:space="preserve">ustained </w:t>
      </w:r>
      <w:r>
        <w:t>environmental</w:t>
      </w:r>
      <w:r w:rsidR="00426C41" w:rsidRPr="00C90310">
        <w:t xml:space="preserve"> flows in the </w:t>
      </w:r>
      <w:r w:rsidR="00426C41">
        <w:t xml:space="preserve">Yallakool Creek in November 2014 to </w:t>
      </w:r>
      <w:r>
        <w:t xml:space="preserve">February 2015 was </w:t>
      </w:r>
      <w:r w:rsidR="00426C41">
        <w:rPr>
          <w:szCs w:val="22"/>
        </w:rPr>
        <w:t>to support inundation of Murray cod nesting sites and contribute to maximising Murray cod recruitment.</w:t>
      </w:r>
      <w:r w:rsidR="00426C41" w:rsidRPr="00C90310">
        <w:t xml:space="preserve"> A similar water</w:t>
      </w:r>
      <w:r w:rsidR="00426C41">
        <w:t>ing</w:t>
      </w:r>
      <w:r w:rsidR="00426C41" w:rsidRPr="00C90310">
        <w:t xml:space="preserve"> a</w:t>
      </w:r>
      <w:r w:rsidR="00426C41">
        <w:t>ction was delivered in 2012-13 and 2013-14, with no sig</w:t>
      </w:r>
      <w:r w:rsidR="00426C41" w:rsidRPr="00C90310">
        <w:t>ni</w:t>
      </w:r>
      <w:r w:rsidR="00426C41">
        <w:t>fic</w:t>
      </w:r>
      <w:r w:rsidR="00426C41" w:rsidRPr="00C90310">
        <w:t xml:space="preserve">ant differences in Murray cod </w:t>
      </w:r>
      <w:r w:rsidR="0056263D">
        <w:t xml:space="preserve">abundance </w:t>
      </w:r>
      <w:r w:rsidR="00426C41" w:rsidRPr="00C90310">
        <w:t>detected betwee</w:t>
      </w:r>
      <w:r w:rsidR="00426C41">
        <w:t xml:space="preserve">n Yallakool Creek and the nearby upper </w:t>
      </w:r>
      <w:r w:rsidR="00426C41" w:rsidRPr="00C90310">
        <w:t>Wakool River, which did not receive environmental flows at th</w:t>
      </w:r>
      <w:r w:rsidR="00426C41">
        <w:t>at</w:t>
      </w:r>
      <w:r w:rsidR="00426C41" w:rsidRPr="00C90310">
        <w:t xml:space="preserve"> time</w:t>
      </w:r>
      <w:r w:rsidR="00426C41">
        <w:t xml:space="preserve"> (Watts et al. 2013, Watts et al. 2014</w:t>
      </w:r>
      <w:r w:rsidR="0056263D">
        <w:t>b</w:t>
      </w:r>
      <w:r w:rsidR="00426C41">
        <w:t>)</w:t>
      </w:r>
      <w:r w:rsidR="00426C41" w:rsidRPr="00C90310">
        <w:t xml:space="preserve">. The </w:t>
      </w:r>
      <w:r w:rsidR="00426C41">
        <w:t>results in 2014-15</w:t>
      </w:r>
      <w:r w:rsidR="00426C41" w:rsidRPr="00C90310">
        <w:t xml:space="preserve"> support the </w:t>
      </w:r>
      <w:r w:rsidR="00426C41">
        <w:t>previous results</w:t>
      </w:r>
      <w:r w:rsidR="00426C41" w:rsidRPr="00C90310">
        <w:t xml:space="preserve">, </w:t>
      </w:r>
      <w:r w:rsidR="00426C41">
        <w:t>where</w:t>
      </w:r>
      <w:r w:rsidR="00426C41" w:rsidRPr="00C90310">
        <w:t xml:space="preserve"> the number of Murray cod larvae collected in Yallakool Creek was not significantly </w:t>
      </w:r>
      <w:r w:rsidR="00426C41">
        <w:t>greater</w:t>
      </w:r>
      <w:r w:rsidR="00426C41" w:rsidRPr="00C90310">
        <w:t xml:space="preserve"> </w:t>
      </w:r>
      <w:r w:rsidR="00426C41">
        <w:t>than</w:t>
      </w:r>
      <w:r w:rsidR="00426C41" w:rsidRPr="00C90310">
        <w:t xml:space="preserve"> that </w:t>
      </w:r>
      <w:r w:rsidR="00426C41">
        <w:t>in</w:t>
      </w:r>
      <w:r w:rsidR="00426C41" w:rsidRPr="00C90310">
        <w:t xml:space="preserve"> </w:t>
      </w:r>
      <w:r w:rsidR="00426C41">
        <w:t>the Wakool River</w:t>
      </w:r>
      <w:r w:rsidR="00426C41" w:rsidRPr="00C90310">
        <w:t xml:space="preserve"> </w:t>
      </w:r>
      <w:r w:rsidR="00426C41">
        <w:t xml:space="preserve">(zone 2) </w:t>
      </w:r>
      <w:r w:rsidR="00426C41" w:rsidRPr="00C90310">
        <w:t xml:space="preserve">that did not receive environmental water. These findings support the strong body of knowledge that shows Murray Cod spawn at peak times in November-December, regardless of flow conditions (Rowland 1983; Humphries et al. 2005; Koehn and Harrington 2006; </w:t>
      </w:r>
      <w:r w:rsidR="00426C41">
        <w:t>King et al. 2009).</w:t>
      </w:r>
    </w:p>
    <w:p w:rsidR="00426C41" w:rsidRPr="008842A7" w:rsidRDefault="00426C41" w:rsidP="00426C41">
      <w:pPr>
        <w:pStyle w:val="ListParagraph"/>
        <w:spacing w:after="240"/>
        <w:ind w:left="0"/>
        <w:jc w:val="left"/>
        <w:rPr>
          <w:rFonts w:cs="Calibri"/>
        </w:rPr>
      </w:pPr>
      <w:r w:rsidRPr="00C90310">
        <w:t>Conditions t</w:t>
      </w:r>
      <w:r>
        <w:t xml:space="preserve">hat promote the number of adult </w:t>
      </w:r>
      <w:r w:rsidRPr="00C90310">
        <w:t>breeding pairs to nest in rivers</w:t>
      </w:r>
      <w:r>
        <w:t xml:space="preserve"> for equilibrium species</w:t>
      </w:r>
      <w:r w:rsidRPr="00C90310">
        <w:t>,</w:t>
      </w:r>
      <w:r>
        <w:t xml:space="preserve"> such as Murray cod and river blackfish,</w:t>
      </w:r>
      <w:r w:rsidRPr="00C90310">
        <w:t xml:space="preserve"> will likely play a large role in explaining the numbers of larvae observed across the rivers studied. </w:t>
      </w:r>
      <w:r>
        <w:t>Results from the fish movement work conducted in previous years (Watts et al. 2013, Watts et al. 2014</w:t>
      </w:r>
      <w:r w:rsidR="0056263D">
        <w:t>b</w:t>
      </w:r>
      <w:r>
        <w:t xml:space="preserve">) have shown that, despite the </w:t>
      </w:r>
      <w:r w:rsidR="0056263D">
        <w:t>delivery of environmental water</w:t>
      </w:r>
      <w:r>
        <w:t xml:space="preserve"> </w:t>
      </w:r>
      <w:r w:rsidR="0056263D">
        <w:t>to</w:t>
      </w:r>
      <w:r>
        <w:t xml:space="preserve"> Yallakool </w:t>
      </w:r>
      <w:r w:rsidR="0056263D">
        <w:t>Creek</w:t>
      </w:r>
      <w:r>
        <w:t xml:space="preserve"> in early spring, </w:t>
      </w:r>
      <w:r>
        <w:rPr>
          <w:rFonts w:cs="Calibri"/>
        </w:rPr>
        <w:t>Murray cod appeared to have exhibited</w:t>
      </w:r>
      <w:r w:rsidRPr="008842A7">
        <w:rPr>
          <w:rFonts w:cs="Calibri"/>
        </w:rPr>
        <w:t xml:space="preserve"> a preference for </w:t>
      </w:r>
      <w:r w:rsidR="0056263D">
        <w:rPr>
          <w:rFonts w:cs="Calibri"/>
        </w:rPr>
        <w:t xml:space="preserve">moving into </w:t>
      </w:r>
      <w:r w:rsidRPr="008842A7">
        <w:rPr>
          <w:rFonts w:cs="Calibri"/>
        </w:rPr>
        <w:t>the upper W</w:t>
      </w:r>
      <w:r>
        <w:rPr>
          <w:rFonts w:cs="Calibri"/>
        </w:rPr>
        <w:t>akool River</w:t>
      </w:r>
      <w:r w:rsidRPr="008842A7">
        <w:rPr>
          <w:rFonts w:cs="Calibri"/>
        </w:rPr>
        <w:t xml:space="preserve">, </w:t>
      </w:r>
      <w:r>
        <w:rPr>
          <w:rFonts w:cs="Calibri"/>
        </w:rPr>
        <w:t xml:space="preserve">suggesting </w:t>
      </w:r>
      <w:r w:rsidRPr="008842A7">
        <w:rPr>
          <w:rFonts w:cs="Calibri"/>
        </w:rPr>
        <w:t xml:space="preserve">that discharge </w:t>
      </w:r>
      <w:r>
        <w:rPr>
          <w:rFonts w:cs="Calibri"/>
        </w:rPr>
        <w:t xml:space="preserve">per se </w:t>
      </w:r>
      <w:r w:rsidRPr="008842A7">
        <w:rPr>
          <w:rFonts w:cs="Calibri"/>
        </w:rPr>
        <w:t xml:space="preserve">may not be a key determinant in nest site location for this species. Instead, </w:t>
      </w:r>
      <w:r>
        <w:rPr>
          <w:rFonts w:cs="Calibri"/>
        </w:rPr>
        <w:t xml:space="preserve">for Murray cod, </w:t>
      </w:r>
      <w:r w:rsidRPr="008842A7">
        <w:rPr>
          <w:rFonts w:cs="Calibri"/>
        </w:rPr>
        <w:t xml:space="preserve">other habitat variables such as the abundance of habitat structure </w:t>
      </w:r>
      <w:r>
        <w:rPr>
          <w:rFonts w:cs="Calibri"/>
        </w:rPr>
        <w:t>(e.g.</w:t>
      </w:r>
      <w:r w:rsidRPr="008842A7">
        <w:rPr>
          <w:rFonts w:cs="Calibri"/>
        </w:rPr>
        <w:t xml:space="preserve"> woody debris</w:t>
      </w:r>
      <w:r>
        <w:rPr>
          <w:rFonts w:cs="Calibri"/>
        </w:rPr>
        <w:t>) may be important for nest building</w:t>
      </w:r>
      <w:r w:rsidRPr="008842A7">
        <w:rPr>
          <w:rFonts w:cs="Calibri"/>
        </w:rPr>
        <w:t xml:space="preserve"> (Koehn 2009). </w:t>
      </w:r>
      <w:r>
        <w:rPr>
          <w:rFonts w:cs="Calibri"/>
        </w:rPr>
        <w:t>An environmental watering action targeting</w:t>
      </w:r>
      <w:r w:rsidRPr="008842A7">
        <w:rPr>
          <w:rFonts w:cs="Calibri"/>
        </w:rPr>
        <w:t xml:space="preserve"> the upper Wakool River would provide an opportunity to better understand the effects of river flow on </w:t>
      </w:r>
      <w:r>
        <w:rPr>
          <w:rFonts w:cs="Calibri"/>
        </w:rPr>
        <w:t>fish spawning responses</w:t>
      </w:r>
      <w:r w:rsidR="0056263D">
        <w:rPr>
          <w:rFonts w:cs="Calibri"/>
        </w:rPr>
        <w:t>.</w:t>
      </w:r>
    </w:p>
    <w:p w:rsidR="001C38E5" w:rsidRDefault="001C38E5" w:rsidP="00DD409C">
      <w:pPr>
        <w:shd w:val="clear" w:color="auto" w:fill="FFFFFF"/>
        <w:tabs>
          <w:tab w:val="left" w:pos="426"/>
        </w:tabs>
        <w:spacing w:after="240"/>
        <w:jc w:val="left"/>
      </w:pPr>
      <w:r>
        <w:rPr>
          <w:szCs w:val="22"/>
        </w:rPr>
        <w:t xml:space="preserve">One of the objectives of the 2014-15 Commonwealth environmental watering was to contribute to </w:t>
      </w:r>
      <w:r w:rsidRPr="0050051F">
        <w:t xml:space="preserve">improved opportunities for movement, condition, reproduction and recruitment of </w:t>
      </w:r>
      <w:r>
        <w:t xml:space="preserve">other </w:t>
      </w:r>
      <w:r w:rsidRPr="0050051F">
        <w:t>native fish</w:t>
      </w:r>
      <w:r>
        <w:t xml:space="preserve">. </w:t>
      </w:r>
      <w:r w:rsidR="00426C41" w:rsidRPr="00C90310">
        <w:t xml:space="preserve">Larval abundance of opportunistic species did not </w:t>
      </w:r>
      <w:r w:rsidR="00426C41">
        <w:t>appear to be significantly different in study zones receiving environmental water. Those s</w:t>
      </w:r>
      <w:r w:rsidR="00426C41" w:rsidRPr="00C90310">
        <w:t xml:space="preserve">pecies </w:t>
      </w:r>
      <w:r w:rsidR="00426C41">
        <w:t>that</w:t>
      </w:r>
      <w:r w:rsidR="00426C41" w:rsidRPr="00C90310">
        <w:t xml:space="preserve"> spawn</w:t>
      </w:r>
      <w:r w:rsidR="00426C41">
        <w:t>ed</w:t>
      </w:r>
      <w:r w:rsidR="00426C41" w:rsidRPr="00C90310">
        <w:t xml:space="preserve">, </w:t>
      </w:r>
      <w:r w:rsidR="00426C41">
        <w:t>such as</w:t>
      </w:r>
      <w:r w:rsidR="00426C41" w:rsidRPr="00C90310">
        <w:t xml:space="preserve"> carp gudgeon, Australian smelt and flathead gudgeon</w:t>
      </w:r>
      <w:r w:rsidR="00426C41">
        <w:t>,</w:t>
      </w:r>
      <w:r w:rsidR="00426C41" w:rsidRPr="00C90310">
        <w:t xml:space="preserve"> are common and widespread throughout the Murray-Darling Basin. Other spec</w:t>
      </w:r>
      <w:r w:rsidR="00426C41">
        <w:t>ies such as unspecked hardyhead</w:t>
      </w:r>
      <w:r w:rsidR="00426C41" w:rsidRPr="00C90310">
        <w:t xml:space="preserve"> and Murray rainbowfish, </w:t>
      </w:r>
      <w:r w:rsidR="00426C41">
        <w:t xml:space="preserve">spawned, but in low numbers (n&lt;10). Slackwater and slow water environments, and the presence of aquatic vegetation are considered important for the spawning and recruitment of many small bodied species (Humphries et al. 2010). For low-flow specialists, such as many of the smaller bodied native fish species, </w:t>
      </w:r>
      <w:r w:rsidR="0056263D">
        <w:t xml:space="preserve">environmental </w:t>
      </w:r>
      <w:r w:rsidR="00426C41">
        <w:t xml:space="preserve">watering actions that provide a significant increase in low flow habitats (such as inundated slackwaters, backwaters and off channel wetlands) and aquatic vegetation during the spawning months, is likely to see an increase in habitat for both larvae and adult life stages. With the positive response in aquatic vegetation to </w:t>
      </w:r>
      <w:r>
        <w:t xml:space="preserve">Commonwealth </w:t>
      </w:r>
      <w:r w:rsidR="00426C41">
        <w:t xml:space="preserve">environmental water in the Yallakool Creek (zone 1) and Wakool River </w:t>
      </w:r>
      <w:r>
        <w:t>(zones 3 and</w:t>
      </w:r>
      <w:r w:rsidR="00426C41">
        <w:t xml:space="preserve"> 4) this year</w:t>
      </w:r>
      <w:r w:rsidR="0056263D">
        <w:t xml:space="preserve"> (this report, section 8)</w:t>
      </w:r>
      <w:r w:rsidR="00426C41">
        <w:t xml:space="preserve">, it is anticipated that this will have positive effects for such species in upcoming spawning seasons. </w:t>
      </w:r>
    </w:p>
    <w:p w:rsidR="00426C41" w:rsidRDefault="00426C41" w:rsidP="00426C41">
      <w:pPr>
        <w:spacing w:after="240"/>
        <w:jc w:val="left"/>
      </w:pPr>
      <w:r>
        <w:t xml:space="preserve">The collection of a juvenile Galaxiid from the newly described species </w:t>
      </w:r>
      <w:r w:rsidRPr="005B2FC9">
        <w:rPr>
          <w:i/>
        </w:rPr>
        <w:t>Galaxias oliros</w:t>
      </w:r>
      <w:r>
        <w:t xml:space="preserve"> (commonly known as obscure Galaxias, Raadik 2014)) is of notable mention. Raadik (2014) recently revised the taxonomy of the Mountain Galaxias </w:t>
      </w:r>
      <w:r w:rsidRPr="005B2FC9">
        <w:rPr>
          <w:i/>
        </w:rPr>
        <w:t>Galaxisas olidus</w:t>
      </w:r>
      <w:r>
        <w:t xml:space="preserve">, describing 12 new species within the </w:t>
      </w:r>
      <w:r w:rsidRPr="007F1909">
        <w:rPr>
          <w:i/>
        </w:rPr>
        <w:t>G. olidus</w:t>
      </w:r>
      <w:r>
        <w:t xml:space="preserve"> complex. The name ‘</w:t>
      </w:r>
      <w:r w:rsidRPr="00E74EB8">
        <w:rPr>
          <w:i/>
        </w:rPr>
        <w:t>oliros</w:t>
      </w:r>
      <w:r>
        <w:t xml:space="preserve">’ comes from a combination of the names of </w:t>
      </w:r>
      <w:r>
        <w:rPr>
          <w:i/>
        </w:rPr>
        <w:t>G.</w:t>
      </w:r>
      <w:r w:rsidRPr="00E74EB8">
        <w:rPr>
          <w:i/>
        </w:rPr>
        <w:t xml:space="preserve"> olidus</w:t>
      </w:r>
      <w:r>
        <w:t xml:space="preserve"> and </w:t>
      </w:r>
      <w:r>
        <w:rPr>
          <w:i/>
        </w:rPr>
        <w:t xml:space="preserve">G. </w:t>
      </w:r>
      <w:r w:rsidRPr="00E74EB8">
        <w:rPr>
          <w:i/>
        </w:rPr>
        <w:t>rostratus</w:t>
      </w:r>
      <w:r>
        <w:t xml:space="preserve">, as it shares morphological characteristics with both taxa. It’s common name ‘obscure galaxias’, further reflects that despite being a widespread and common species, it has remained previously obscure due to its morphological similarity with </w:t>
      </w:r>
      <w:r w:rsidRPr="00E74EB8">
        <w:rPr>
          <w:i/>
        </w:rPr>
        <w:t>G. olidus</w:t>
      </w:r>
      <w:r>
        <w:t>. Obscure galaxias is s</w:t>
      </w:r>
      <w:r w:rsidR="007655D6">
        <w:t>mall bodied fish recorded to 13</w:t>
      </w:r>
      <w:r>
        <w:t xml:space="preserve"> cm, but commonly found at 7.5 </w:t>
      </w:r>
      <w:r w:rsidR="001C38E5">
        <w:t>to</w:t>
      </w:r>
      <w:r>
        <w:t xml:space="preserve"> 9 cm long. It is olive to grey-brown in colour, and described as having a distinct body pattern, particularly on its sides, and with a gill cover that may have a large turquoise or gold patch, and a distinctly silver or white belly (Raadik 2014). </w:t>
      </w:r>
    </w:p>
    <w:p w:rsidR="00426C41" w:rsidRDefault="00426C41" w:rsidP="00426C41">
      <w:pPr>
        <w:spacing w:after="240"/>
        <w:jc w:val="left"/>
      </w:pPr>
      <w:r>
        <w:t xml:space="preserve">The obscure galaxias occurs widely through the Murray River system and its tributaries, occupying </w:t>
      </w:r>
      <w:r w:rsidR="007655D6">
        <w:t xml:space="preserve">areas of </w:t>
      </w:r>
      <w:r>
        <w:t>low to moderate elevation from 0-600 m in lowland to foothill reaches. It can be found in a range of stream types from slow to moderately fast flowing creeks and rivers, as well as in lentic habitats such as billabongs, wetlands, and disconnected pools, and as such, is considered a hardy species, with a high tolerance to physico-chemical parameters such as turbidity and salinity (Raadik 2014)</w:t>
      </w:r>
      <w:r w:rsidR="007655D6">
        <w:t>.</w:t>
      </w:r>
      <w:r>
        <w:t xml:space="preserve"> Individuals are commonly found amongst aquatic vegetation and submerged woody debris (Raadik 2014), thought are also considered more pelagic (found in the open water) and more mobile than other species in the </w:t>
      </w:r>
      <w:r w:rsidRPr="00D441CF">
        <w:rPr>
          <w:i/>
        </w:rPr>
        <w:t>G. olidus</w:t>
      </w:r>
      <w:r>
        <w:t xml:space="preserve"> </w:t>
      </w:r>
      <w:proofErr w:type="gramStart"/>
      <w:r>
        <w:t>complex .</w:t>
      </w:r>
      <w:proofErr w:type="gramEnd"/>
      <w:r>
        <w:t xml:space="preserve"> Spawning of </w:t>
      </w:r>
      <w:r w:rsidRPr="00E14AC6">
        <w:rPr>
          <w:i/>
        </w:rPr>
        <w:t>G. oliros</w:t>
      </w:r>
      <w:r>
        <w:t xml:space="preserve"> occurs much earlier in the season </w:t>
      </w:r>
      <w:r w:rsidR="007655D6">
        <w:t>compared with the majority of Murray-Darling</w:t>
      </w:r>
      <w:r>
        <w:t xml:space="preserve"> fishes, from late May to early July (Raadik 2014), and unlike other species </w:t>
      </w:r>
      <w:r w:rsidR="007655D6">
        <w:t>in</w:t>
      </w:r>
      <w:r>
        <w:t xml:space="preserve"> the Galaxias genus, are not considered to undertake diadromous migrations. More detailed information regarding the spawning ecology and habitat and flow requirements specific for this species has not been reported, and warrants further study. Ongoing monitoring of larval fish a</w:t>
      </w:r>
      <w:r w:rsidR="001C38E5">
        <w:t>ssemblage in the Edward Wakool Selected A</w:t>
      </w:r>
      <w:r>
        <w:t>rea across the different hydrological zones will be advantageous in understanding more of this species ecological requirements, and elucidating the influence environmental watering actions may be having on the local population</w:t>
      </w:r>
      <w:r w:rsidR="007655D6">
        <w:t xml:space="preserve"> of this species</w:t>
      </w:r>
      <w:r>
        <w:t>.</w:t>
      </w:r>
    </w:p>
    <w:p w:rsidR="008A7C75" w:rsidRDefault="005E0A51" w:rsidP="001C38E5">
      <w:pPr>
        <w:spacing w:after="240" w:line="240" w:lineRule="auto"/>
        <w:rPr>
          <w:b/>
          <w:color w:val="4F6228" w:themeColor="accent3" w:themeShade="80"/>
          <w:sz w:val="24"/>
          <w:szCs w:val="24"/>
        </w:rPr>
      </w:pPr>
      <w:r>
        <w:rPr>
          <w:b/>
          <w:color w:val="4F6228" w:themeColor="accent3" w:themeShade="80"/>
          <w:sz w:val="24"/>
          <w:szCs w:val="24"/>
        </w:rPr>
        <w:t>10</w:t>
      </w:r>
      <w:r w:rsidR="00C57CCB" w:rsidRPr="00C57CCB">
        <w:rPr>
          <w:b/>
          <w:color w:val="4F6228" w:themeColor="accent3" w:themeShade="80"/>
          <w:sz w:val="24"/>
          <w:szCs w:val="24"/>
        </w:rPr>
        <w:t xml:space="preserve">.6 </w:t>
      </w:r>
      <w:r w:rsidR="008A7C75" w:rsidRPr="00C57CCB">
        <w:rPr>
          <w:b/>
          <w:color w:val="4F6228" w:themeColor="accent3" w:themeShade="80"/>
          <w:sz w:val="24"/>
          <w:szCs w:val="24"/>
        </w:rPr>
        <w:t>References</w:t>
      </w:r>
    </w:p>
    <w:p w:rsidR="001C38E5" w:rsidRDefault="001C38E5" w:rsidP="005310AA">
      <w:pPr>
        <w:spacing w:after="0" w:line="240" w:lineRule="auto"/>
        <w:ind w:left="567" w:hanging="567"/>
        <w:jc w:val="left"/>
      </w:pPr>
      <w:r>
        <w:t xml:space="preserve">Bice, C, Gehrig, S., Zampatti, B.P., Nicol, J.M, Wilson, P., Leigh, S. and Marsland, K (2014) Flow-induced alterations to fish assemblages, habitat and fish–habitat associations in a regulated lowland river. </w:t>
      </w:r>
      <w:r w:rsidRPr="008842A7">
        <w:rPr>
          <w:i/>
        </w:rPr>
        <w:t>Hydrobiologia</w:t>
      </w:r>
      <w:r>
        <w:t xml:space="preserve"> 722, 205-222.</w:t>
      </w:r>
    </w:p>
    <w:p w:rsidR="001C38E5" w:rsidRDefault="001C38E5" w:rsidP="005310AA">
      <w:pPr>
        <w:spacing w:after="0" w:line="240" w:lineRule="auto"/>
        <w:ind w:left="567" w:hanging="567"/>
        <w:jc w:val="left"/>
      </w:pPr>
      <w:r w:rsidRPr="001457D1">
        <w:t>Hale, J., Stoffels, R., Butcher, R., Shackleton, M., Brooks, S</w:t>
      </w:r>
      <w:r>
        <w:t xml:space="preserve">. and </w:t>
      </w:r>
      <w:r w:rsidRPr="001457D1">
        <w:t>Gawne, B</w:t>
      </w:r>
      <w:r>
        <w:t>. (2014</w:t>
      </w:r>
      <w:r w:rsidRPr="001457D1">
        <w:t xml:space="preserve">) </w:t>
      </w:r>
      <w:r w:rsidRPr="004579DC">
        <w:t>Commonwealth Environmental Water Office Long Term Intervention Monitoring Project – Standard Methods</w:t>
      </w:r>
      <w:r w:rsidRPr="001457D1">
        <w:t xml:space="preserve">. Final Report prepared for the Commonwealth Environmental Water Office by The Murray-Darling Freshwater Research Centre, MDFRC Publication 29.2/2014, January, </w:t>
      </w:r>
      <w:r>
        <w:t xml:space="preserve">182 </w:t>
      </w:r>
      <w:r w:rsidRPr="001457D1">
        <w:t>pp.</w:t>
      </w:r>
    </w:p>
    <w:p w:rsidR="001C38E5" w:rsidRDefault="001C38E5" w:rsidP="005310AA">
      <w:pPr>
        <w:spacing w:after="0" w:line="240" w:lineRule="auto"/>
        <w:ind w:left="567" w:hanging="567"/>
        <w:jc w:val="left"/>
        <w:rPr>
          <w:rFonts w:cs="Arial"/>
        </w:rPr>
      </w:pPr>
      <w:r w:rsidRPr="00153A77">
        <w:rPr>
          <w:rFonts w:cs="Arial"/>
        </w:rPr>
        <w:t>Humphries</w:t>
      </w:r>
      <w:r>
        <w:rPr>
          <w:rFonts w:cs="Arial"/>
        </w:rPr>
        <w:t>,</w:t>
      </w:r>
      <w:r w:rsidRPr="00153A77">
        <w:rPr>
          <w:rFonts w:cs="Arial"/>
        </w:rPr>
        <w:t xml:space="preserve"> P</w:t>
      </w:r>
      <w:r>
        <w:rPr>
          <w:rFonts w:cs="Arial"/>
        </w:rPr>
        <w:t>.</w:t>
      </w:r>
      <w:r w:rsidRPr="00153A77">
        <w:rPr>
          <w:rFonts w:cs="Arial"/>
        </w:rPr>
        <w:t>, King</w:t>
      </w:r>
      <w:r>
        <w:rPr>
          <w:rFonts w:cs="Arial"/>
        </w:rPr>
        <w:t>,</w:t>
      </w:r>
      <w:r w:rsidRPr="00153A77">
        <w:rPr>
          <w:rFonts w:cs="Arial"/>
        </w:rPr>
        <w:t xml:space="preserve"> A</w:t>
      </w:r>
      <w:r>
        <w:rPr>
          <w:rFonts w:cs="Arial"/>
        </w:rPr>
        <w:t>.</w:t>
      </w:r>
      <w:r w:rsidRPr="00153A77">
        <w:rPr>
          <w:rFonts w:cs="Arial"/>
        </w:rPr>
        <w:t>J</w:t>
      </w:r>
      <w:r>
        <w:rPr>
          <w:rFonts w:cs="Arial"/>
        </w:rPr>
        <w:t>. and</w:t>
      </w:r>
      <w:r w:rsidRPr="00153A77">
        <w:rPr>
          <w:rFonts w:cs="Arial"/>
        </w:rPr>
        <w:t xml:space="preserve"> Koehn</w:t>
      </w:r>
      <w:r>
        <w:rPr>
          <w:rFonts w:cs="Arial"/>
        </w:rPr>
        <w:t>,</w:t>
      </w:r>
      <w:r w:rsidRPr="00153A77">
        <w:rPr>
          <w:rFonts w:cs="Arial"/>
        </w:rPr>
        <w:t xml:space="preserve"> J</w:t>
      </w:r>
      <w:r>
        <w:rPr>
          <w:rFonts w:cs="Arial"/>
        </w:rPr>
        <w:t>.</w:t>
      </w:r>
      <w:r w:rsidRPr="00153A77">
        <w:rPr>
          <w:rFonts w:cs="Arial"/>
        </w:rPr>
        <w:t>D</w:t>
      </w:r>
      <w:r>
        <w:rPr>
          <w:rFonts w:cs="Arial"/>
        </w:rPr>
        <w:t>.</w:t>
      </w:r>
      <w:r w:rsidRPr="00153A77">
        <w:rPr>
          <w:rFonts w:cs="Arial"/>
        </w:rPr>
        <w:t xml:space="preserve"> (1999) Fish, flows and flood plains: Links between freshwater fishes and their environment in the Murray-Darling River system, Australia. </w:t>
      </w:r>
      <w:r w:rsidRPr="00153A77">
        <w:rPr>
          <w:rFonts w:cs="Arial"/>
          <w:i/>
        </w:rPr>
        <w:t>Environmental Biology of Fishes</w:t>
      </w:r>
      <w:r w:rsidRPr="00153A77">
        <w:rPr>
          <w:rFonts w:cs="Arial"/>
        </w:rPr>
        <w:t xml:space="preserve"> </w:t>
      </w:r>
      <w:r w:rsidRPr="00D6626E">
        <w:rPr>
          <w:rFonts w:cs="Arial"/>
        </w:rPr>
        <w:t>56</w:t>
      </w:r>
      <w:r>
        <w:rPr>
          <w:rFonts w:cs="Arial"/>
        </w:rPr>
        <w:t>,</w:t>
      </w:r>
      <w:r w:rsidRPr="00153A77">
        <w:rPr>
          <w:rFonts w:cs="Arial"/>
        </w:rPr>
        <w:t xml:space="preserve"> 129-151</w:t>
      </w:r>
      <w:r>
        <w:rPr>
          <w:rFonts w:cs="Arial"/>
        </w:rPr>
        <w:t>.</w:t>
      </w:r>
    </w:p>
    <w:p w:rsidR="001C38E5" w:rsidRDefault="001C38E5" w:rsidP="005310AA">
      <w:pPr>
        <w:spacing w:after="0" w:line="240" w:lineRule="auto"/>
        <w:ind w:left="567" w:hanging="567"/>
        <w:jc w:val="left"/>
        <w:rPr>
          <w:rFonts w:cs="Arial"/>
        </w:rPr>
      </w:pPr>
      <w:r w:rsidRPr="00153A77">
        <w:rPr>
          <w:rFonts w:cs="Arial"/>
        </w:rPr>
        <w:t>Humphries</w:t>
      </w:r>
      <w:r>
        <w:rPr>
          <w:rFonts w:cs="Arial"/>
        </w:rPr>
        <w:t xml:space="preserve">, P., </w:t>
      </w:r>
      <w:r w:rsidRPr="00153A77">
        <w:rPr>
          <w:rFonts w:cs="Arial"/>
        </w:rPr>
        <w:t>Serafini</w:t>
      </w:r>
      <w:r>
        <w:rPr>
          <w:rFonts w:cs="Arial"/>
        </w:rPr>
        <w:t>,</w:t>
      </w:r>
      <w:r w:rsidRPr="00153A77">
        <w:rPr>
          <w:rFonts w:cs="Arial"/>
        </w:rPr>
        <w:t xml:space="preserve"> L</w:t>
      </w:r>
      <w:r>
        <w:rPr>
          <w:rFonts w:cs="Arial"/>
        </w:rPr>
        <w:t>.</w:t>
      </w:r>
      <w:r w:rsidRPr="00153A77">
        <w:rPr>
          <w:rFonts w:cs="Arial"/>
        </w:rPr>
        <w:t>G</w:t>
      </w:r>
      <w:r>
        <w:rPr>
          <w:rFonts w:cs="Arial"/>
        </w:rPr>
        <w:t>. and</w:t>
      </w:r>
      <w:r w:rsidRPr="00153A77">
        <w:rPr>
          <w:rFonts w:cs="Arial"/>
        </w:rPr>
        <w:t xml:space="preserve"> King</w:t>
      </w:r>
      <w:r>
        <w:rPr>
          <w:rFonts w:cs="Arial"/>
        </w:rPr>
        <w:t>,</w:t>
      </w:r>
      <w:r w:rsidRPr="00153A77">
        <w:rPr>
          <w:rFonts w:cs="Arial"/>
        </w:rPr>
        <w:t xml:space="preserve"> A</w:t>
      </w:r>
      <w:r>
        <w:rPr>
          <w:rFonts w:cs="Arial"/>
        </w:rPr>
        <w:t>.</w:t>
      </w:r>
      <w:r w:rsidRPr="00153A77">
        <w:rPr>
          <w:rFonts w:cs="Arial"/>
        </w:rPr>
        <w:t>J</w:t>
      </w:r>
      <w:r>
        <w:rPr>
          <w:rFonts w:cs="Arial"/>
        </w:rPr>
        <w:t>. (2002).</w:t>
      </w:r>
      <w:r w:rsidRPr="00153A77">
        <w:rPr>
          <w:rFonts w:cs="Arial"/>
        </w:rPr>
        <w:t xml:space="preserve"> River regulation and fish larvae: variation through space and time.</w:t>
      </w:r>
      <w:r>
        <w:rPr>
          <w:rFonts w:cs="Arial"/>
        </w:rPr>
        <w:t xml:space="preserve"> </w:t>
      </w:r>
      <w:r w:rsidRPr="00153A77">
        <w:rPr>
          <w:rFonts w:cs="Arial"/>
          <w:i/>
        </w:rPr>
        <w:t>Freshwater Biology</w:t>
      </w:r>
      <w:r>
        <w:rPr>
          <w:rFonts w:cs="Arial"/>
        </w:rPr>
        <w:t xml:space="preserve"> </w:t>
      </w:r>
      <w:r w:rsidRPr="00D6626E">
        <w:rPr>
          <w:rFonts w:cs="Arial"/>
        </w:rPr>
        <w:t>47</w:t>
      </w:r>
      <w:r>
        <w:rPr>
          <w:rFonts w:cs="Arial"/>
        </w:rPr>
        <w:t>,</w:t>
      </w:r>
      <w:r w:rsidRPr="00153A77">
        <w:rPr>
          <w:rFonts w:cs="Arial"/>
        </w:rPr>
        <w:t xml:space="preserve"> 1307-1331</w:t>
      </w:r>
      <w:r>
        <w:rPr>
          <w:rFonts w:cs="Arial"/>
        </w:rPr>
        <w:t>.</w:t>
      </w:r>
    </w:p>
    <w:p w:rsidR="001C38E5" w:rsidRDefault="001C38E5" w:rsidP="005310AA">
      <w:pPr>
        <w:spacing w:after="0" w:line="240" w:lineRule="auto"/>
        <w:ind w:left="567" w:hanging="567"/>
        <w:jc w:val="left"/>
        <w:rPr>
          <w:rFonts w:cs="Arial"/>
        </w:rPr>
      </w:pPr>
      <w:r w:rsidRPr="00153A77">
        <w:rPr>
          <w:rFonts w:cs="Arial"/>
        </w:rPr>
        <w:t>Humphries</w:t>
      </w:r>
      <w:r>
        <w:rPr>
          <w:rFonts w:cs="Arial"/>
        </w:rPr>
        <w:t>,</w:t>
      </w:r>
      <w:r w:rsidRPr="00153A77">
        <w:rPr>
          <w:rFonts w:cs="Arial"/>
        </w:rPr>
        <w:t xml:space="preserve"> P</w:t>
      </w:r>
      <w:r>
        <w:rPr>
          <w:rFonts w:cs="Arial"/>
        </w:rPr>
        <w:t>. (2005).</w:t>
      </w:r>
      <w:r w:rsidRPr="00153A77">
        <w:rPr>
          <w:rFonts w:cs="Arial"/>
        </w:rPr>
        <w:t xml:space="preserve"> Spawning time and early life history of Murray cod, </w:t>
      </w:r>
      <w:r w:rsidRPr="00153A77">
        <w:rPr>
          <w:rFonts w:cs="Arial"/>
          <w:i/>
          <w:iCs/>
        </w:rPr>
        <w:t xml:space="preserve">Maccullochella peelii peelii </w:t>
      </w:r>
      <w:r w:rsidRPr="00153A77">
        <w:rPr>
          <w:rFonts w:cs="Arial"/>
        </w:rPr>
        <w:t xml:space="preserve">(Mitchell) in an Australian river. </w:t>
      </w:r>
      <w:r w:rsidRPr="00153A77">
        <w:rPr>
          <w:rFonts w:cs="Arial"/>
          <w:i/>
        </w:rPr>
        <w:t>Environmental Biology of Fishes</w:t>
      </w:r>
      <w:r w:rsidRPr="00153A77">
        <w:rPr>
          <w:rFonts w:cs="Arial"/>
        </w:rPr>
        <w:t xml:space="preserve"> </w:t>
      </w:r>
      <w:r w:rsidRPr="00D6626E">
        <w:rPr>
          <w:rFonts w:cs="Arial"/>
        </w:rPr>
        <w:t>72</w:t>
      </w:r>
      <w:r>
        <w:rPr>
          <w:rFonts w:cs="Arial"/>
        </w:rPr>
        <w:t>,</w:t>
      </w:r>
      <w:r w:rsidRPr="00153A77">
        <w:rPr>
          <w:rFonts w:cs="Arial"/>
        </w:rPr>
        <w:t xml:space="preserve"> 393-407</w:t>
      </w:r>
      <w:r>
        <w:rPr>
          <w:rFonts w:cs="Arial"/>
        </w:rPr>
        <w:t>.</w:t>
      </w:r>
    </w:p>
    <w:p w:rsidR="001C38E5" w:rsidRPr="00690685" w:rsidRDefault="001C38E5" w:rsidP="005310AA">
      <w:pPr>
        <w:spacing w:after="0" w:line="240" w:lineRule="auto"/>
        <w:ind w:left="567" w:hanging="567"/>
        <w:jc w:val="left"/>
        <w:rPr>
          <w:rFonts w:cs="Arial"/>
        </w:rPr>
      </w:pPr>
      <w:r>
        <w:rPr>
          <w:rFonts w:cs="Calibri"/>
        </w:rPr>
        <w:t>Humphries, P., Cook, R.A., Richardson, A.J. and Serafini, L.</w:t>
      </w:r>
      <w:r w:rsidRPr="00C77793">
        <w:rPr>
          <w:rFonts w:cs="Calibri"/>
        </w:rPr>
        <w:t>G. (2006) Creating a disturbance: manipulating slackwater</w:t>
      </w:r>
      <w:r>
        <w:rPr>
          <w:rFonts w:cs="Calibri"/>
        </w:rPr>
        <w:t xml:space="preserve">s in a lowland river. </w:t>
      </w:r>
      <w:r w:rsidRPr="00D6626E">
        <w:rPr>
          <w:rFonts w:cs="Calibri"/>
          <w:i/>
        </w:rPr>
        <w:t>River Research Applications</w:t>
      </w:r>
      <w:r w:rsidRPr="00C77793">
        <w:rPr>
          <w:rFonts w:cs="Calibri"/>
        </w:rPr>
        <w:t xml:space="preserve"> 22</w:t>
      </w:r>
      <w:r>
        <w:rPr>
          <w:rFonts w:cs="Calibri"/>
        </w:rPr>
        <w:t xml:space="preserve">, </w:t>
      </w:r>
      <w:r w:rsidRPr="00C77793">
        <w:rPr>
          <w:rFonts w:cs="Calibri"/>
        </w:rPr>
        <w:t>525–542.</w:t>
      </w:r>
    </w:p>
    <w:p w:rsidR="001C38E5" w:rsidRDefault="001C38E5" w:rsidP="005310AA">
      <w:pPr>
        <w:spacing w:after="0" w:line="240" w:lineRule="auto"/>
        <w:ind w:left="567" w:hanging="567"/>
        <w:jc w:val="left"/>
        <w:rPr>
          <w:rFonts w:cs="Arial"/>
        </w:rPr>
      </w:pPr>
      <w:r w:rsidRPr="00153A77">
        <w:rPr>
          <w:rFonts w:cs="Arial"/>
        </w:rPr>
        <w:t>King</w:t>
      </w:r>
      <w:r>
        <w:rPr>
          <w:rFonts w:cs="Arial"/>
        </w:rPr>
        <w:t>,</w:t>
      </w:r>
      <w:r w:rsidRPr="00153A77">
        <w:rPr>
          <w:rFonts w:cs="Arial"/>
        </w:rPr>
        <w:t xml:space="preserve"> A</w:t>
      </w:r>
      <w:r>
        <w:rPr>
          <w:rFonts w:cs="Arial"/>
        </w:rPr>
        <w:t>.</w:t>
      </w:r>
      <w:r w:rsidRPr="00153A77">
        <w:rPr>
          <w:rFonts w:cs="Arial"/>
        </w:rPr>
        <w:t>J</w:t>
      </w:r>
      <w:r>
        <w:rPr>
          <w:rFonts w:cs="Arial"/>
        </w:rPr>
        <w:t>.</w:t>
      </w:r>
      <w:r w:rsidRPr="00153A77">
        <w:rPr>
          <w:rFonts w:cs="Arial"/>
        </w:rPr>
        <w:t>, Tonkin</w:t>
      </w:r>
      <w:r>
        <w:rPr>
          <w:rFonts w:cs="Arial"/>
        </w:rPr>
        <w:t>, Z. and</w:t>
      </w:r>
      <w:r w:rsidRPr="00153A77">
        <w:rPr>
          <w:rFonts w:cs="Arial"/>
        </w:rPr>
        <w:t xml:space="preserve"> Mahoney</w:t>
      </w:r>
      <w:r>
        <w:rPr>
          <w:rFonts w:cs="Arial"/>
        </w:rPr>
        <w:t>,</w:t>
      </w:r>
      <w:r w:rsidRPr="00153A77">
        <w:rPr>
          <w:rFonts w:cs="Arial"/>
        </w:rPr>
        <w:t xml:space="preserve"> J</w:t>
      </w:r>
      <w:r>
        <w:rPr>
          <w:rFonts w:cs="Arial"/>
        </w:rPr>
        <w:t>. (2009</w:t>
      </w:r>
      <w:r w:rsidRPr="00153A77">
        <w:rPr>
          <w:rFonts w:cs="Arial"/>
        </w:rPr>
        <w:t xml:space="preserve">) Environmental flow enhances native fish spawning and recruitment in the Murray River, Australia. </w:t>
      </w:r>
      <w:r w:rsidRPr="00153A77">
        <w:rPr>
          <w:rFonts w:cs="Arial"/>
          <w:i/>
        </w:rPr>
        <w:t>River Research and Applications</w:t>
      </w:r>
      <w:r>
        <w:rPr>
          <w:rFonts w:cs="Arial"/>
        </w:rPr>
        <w:t xml:space="preserve"> </w:t>
      </w:r>
      <w:r w:rsidRPr="00B01A07">
        <w:rPr>
          <w:rFonts w:cs="Arial"/>
        </w:rPr>
        <w:t>25</w:t>
      </w:r>
      <w:r>
        <w:rPr>
          <w:rFonts w:cs="Arial"/>
        </w:rPr>
        <w:t>,</w:t>
      </w:r>
      <w:r w:rsidRPr="00153A77">
        <w:rPr>
          <w:rFonts w:cs="Arial"/>
        </w:rPr>
        <w:t xml:space="preserve"> 1205-1218</w:t>
      </w:r>
      <w:r>
        <w:rPr>
          <w:rFonts w:cs="Arial"/>
        </w:rPr>
        <w:t>.</w:t>
      </w:r>
    </w:p>
    <w:p w:rsidR="001C38E5" w:rsidRDefault="001C38E5" w:rsidP="005310AA">
      <w:pPr>
        <w:spacing w:after="0" w:line="240" w:lineRule="auto"/>
        <w:ind w:left="567" w:hanging="567"/>
        <w:jc w:val="left"/>
        <w:rPr>
          <w:rFonts w:asciiTheme="minorHAnsi" w:hAnsiTheme="minorHAnsi" w:cs="AdvTimes"/>
          <w:szCs w:val="22"/>
          <w:lang w:eastAsia="en-AU"/>
        </w:rPr>
      </w:pPr>
      <w:r>
        <w:rPr>
          <w:rFonts w:asciiTheme="minorHAnsi" w:hAnsiTheme="minorHAnsi" w:cs="Calibri"/>
          <w:szCs w:val="22"/>
        </w:rPr>
        <w:t xml:space="preserve">King, A., </w:t>
      </w:r>
      <w:r w:rsidRPr="00AD3746">
        <w:rPr>
          <w:rFonts w:asciiTheme="minorHAnsi" w:hAnsiTheme="minorHAnsi" w:cs="Calibri"/>
          <w:szCs w:val="22"/>
        </w:rPr>
        <w:t>Gwinnn, D.C., Tonkin, Z., Mahoney, J., Raymond, S. and Beesley, L. (2015). Using abiotic drivers of fish spawning to inform environmental flow management. Journal of Applied Ecology, early online. (</w:t>
      </w:r>
      <w:proofErr w:type="gramStart"/>
      <w:r w:rsidRPr="00AD3746">
        <w:rPr>
          <w:rFonts w:asciiTheme="minorHAnsi" w:hAnsiTheme="minorHAnsi" w:cs="AdvTimes"/>
          <w:szCs w:val="22"/>
          <w:lang w:eastAsia="en-AU"/>
        </w:rPr>
        <w:t>doi</w:t>
      </w:r>
      <w:proofErr w:type="gramEnd"/>
      <w:r w:rsidRPr="00AD3746">
        <w:rPr>
          <w:rFonts w:asciiTheme="minorHAnsi" w:hAnsiTheme="minorHAnsi" w:cs="AdvTimes"/>
          <w:szCs w:val="22"/>
          <w:lang w:eastAsia="en-AU"/>
        </w:rPr>
        <w:t>: 10.1111/1365-2664.12542)</w:t>
      </w:r>
      <w:r>
        <w:rPr>
          <w:rFonts w:asciiTheme="minorHAnsi" w:hAnsiTheme="minorHAnsi" w:cs="AdvTimes"/>
          <w:szCs w:val="22"/>
          <w:lang w:eastAsia="en-AU"/>
        </w:rPr>
        <w:t>.</w:t>
      </w:r>
    </w:p>
    <w:p w:rsidR="001C38E5" w:rsidRDefault="001C38E5" w:rsidP="005310AA">
      <w:pPr>
        <w:spacing w:after="0" w:line="240" w:lineRule="auto"/>
        <w:ind w:left="567" w:hanging="567"/>
        <w:jc w:val="left"/>
        <w:rPr>
          <w:rFonts w:asciiTheme="minorHAnsi" w:hAnsiTheme="minorHAnsi" w:cs="AdvTimes"/>
          <w:szCs w:val="22"/>
          <w:lang w:eastAsia="en-AU"/>
        </w:rPr>
      </w:pPr>
      <w:r w:rsidRPr="00547BB1">
        <w:rPr>
          <w:szCs w:val="22"/>
        </w:rPr>
        <w:t>Koehn J.D. and Harrington D.J. (2006) Conditions and timing of the spawning of Murray cod (</w:t>
      </w:r>
      <w:r w:rsidRPr="00547BB1">
        <w:rPr>
          <w:i/>
          <w:szCs w:val="22"/>
        </w:rPr>
        <w:t>Maccullochella peelii peellii</w:t>
      </w:r>
      <w:r w:rsidRPr="00547BB1">
        <w:rPr>
          <w:szCs w:val="22"/>
        </w:rPr>
        <w:t>) and the endangered trout cod (</w:t>
      </w:r>
      <w:r w:rsidRPr="00547BB1">
        <w:rPr>
          <w:i/>
          <w:szCs w:val="22"/>
        </w:rPr>
        <w:t>M. macquariensis</w:t>
      </w:r>
      <w:r w:rsidRPr="00547BB1">
        <w:rPr>
          <w:szCs w:val="22"/>
        </w:rPr>
        <w:t xml:space="preserve">) in regulated and unregulated rivers. </w:t>
      </w:r>
      <w:r w:rsidRPr="00547BB1">
        <w:rPr>
          <w:i/>
          <w:szCs w:val="22"/>
        </w:rPr>
        <w:t>Rivers Research and Applications</w:t>
      </w:r>
      <w:r w:rsidRPr="00547BB1">
        <w:rPr>
          <w:szCs w:val="22"/>
        </w:rPr>
        <w:t xml:space="preserve"> </w:t>
      </w:r>
      <w:r>
        <w:rPr>
          <w:szCs w:val="22"/>
        </w:rPr>
        <w:t>22,</w:t>
      </w:r>
      <w:r w:rsidRPr="00547BB1">
        <w:rPr>
          <w:szCs w:val="22"/>
        </w:rPr>
        <w:t xml:space="preserve"> </w:t>
      </w:r>
      <w:r>
        <w:rPr>
          <w:szCs w:val="22"/>
        </w:rPr>
        <w:t>327-343.</w:t>
      </w:r>
    </w:p>
    <w:p w:rsidR="001C38E5" w:rsidRPr="00690685" w:rsidRDefault="001C38E5" w:rsidP="005310AA">
      <w:pPr>
        <w:spacing w:after="0" w:line="240" w:lineRule="auto"/>
        <w:ind w:left="567" w:hanging="567"/>
        <w:jc w:val="left"/>
        <w:rPr>
          <w:rFonts w:asciiTheme="minorHAnsi" w:hAnsiTheme="minorHAnsi" w:cs="AdvTimes"/>
          <w:szCs w:val="22"/>
          <w:lang w:eastAsia="en-AU"/>
        </w:rPr>
      </w:pPr>
      <w:r>
        <w:rPr>
          <w:rFonts w:cs="Segoe UI"/>
          <w:lang w:eastAsia="en-AU"/>
        </w:rPr>
        <w:t xml:space="preserve">Raadik, T. (2014) Fifteen from one: a revision of the </w:t>
      </w:r>
      <w:r w:rsidRPr="007048B4">
        <w:rPr>
          <w:rFonts w:cs="Segoe UI"/>
          <w:i/>
          <w:lang w:eastAsia="en-AU"/>
        </w:rPr>
        <w:t>Galaxias olidus</w:t>
      </w:r>
      <w:r>
        <w:rPr>
          <w:rFonts w:cs="Segoe UI"/>
          <w:lang w:eastAsia="en-AU"/>
        </w:rPr>
        <w:t xml:space="preserve"> complex in south-eastern Australia recognises three previously described taxa and describes 12 new species. </w:t>
      </w:r>
      <w:r w:rsidRPr="007048B4">
        <w:rPr>
          <w:rFonts w:cs="Segoe UI"/>
          <w:i/>
          <w:lang w:eastAsia="en-AU"/>
        </w:rPr>
        <w:t>Zootaxa</w:t>
      </w:r>
      <w:r>
        <w:rPr>
          <w:rFonts w:cs="Segoe UI"/>
          <w:lang w:eastAsia="en-AU"/>
        </w:rPr>
        <w:t xml:space="preserve"> 3898, 1-198.</w:t>
      </w:r>
    </w:p>
    <w:p w:rsidR="001C38E5" w:rsidRDefault="001C38E5" w:rsidP="005310AA">
      <w:pPr>
        <w:autoSpaceDE w:val="0"/>
        <w:autoSpaceDN w:val="0"/>
        <w:adjustRightInd w:val="0"/>
        <w:spacing w:after="0" w:line="240" w:lineRule="auto"/>
        <w:ind w:left="567" w:hanging="567"/>
        <w:jc w:val="left"/>
        <w:rPr>
          <w:rFonts w:cs="Calibri"/>
          <w:color w:val="231F20"/>
          <w:lang w:eastAsia="en-AU"/>
        </w:rPr>
      </w:pPr>
      <w:r w:rsidRPr="0016014F">
        <w:rPr>
          <w:rFonts w:cs="Calibri"/>
          <w:color w:val="231F20"/>
          <w:lang w:eastAsia="en-AU"/>
        </w:rPr>
        <w:t xml:space="preserve">Serafini LG, Humphries P. </w:t>
      </w:r>
      <w:r>
        <w:rPr>
          <w:rFonts w:cs="Calibri"/>
          <w:color w:val="231F20"/>
          <w:lang w:eastAsia="en-AU"/>
        </w:rPr>
        <w:t>(2004)</w:t>
      </w:r>
      <w:r w:rsidRPr="0016014F">
        <w:rPr>
          <w:rFonts w:cs="Calibri"/>
          <w:color w:val="231F20"/>
          <w:lang w:eastAsia="en-AU"/>
        </w:rPr>
        <w:t xml:space="preserve"> </w:t>
      </w:r>
      <w:proofErr w:type="gramStart"/>
      <w:r w:rsidRPr="0016014F">
        <w:rPr>
          <w:rFonts w:cs="Calibri"/>
          <w:color w:val="231F20"/>
          <w:lang w:eastAsia="en-AU"/>
        </w:rPr>
        <w:t>A</w:t>
      </w:r>
      <w:proofErr w:type="gramEnd"/>
      <w:r w:rsidRPr="0016014F">
        <w:rPr>
          <w:rFonts w:cs="Calibri"/>
          <w:color w:val="231F20"/>
          <w:lang w:eastAsia="en-AU"/>
        </w:rPr>
        <w:t xml:space="preserve"> preliminary guide to the identification of the larvae of species of freshwater fish from the Murray-Darling Basin. CRC for Freshwater Ecology, February 2004.</w:t>
      </w:r>
    </w:p>
    <w:p w:rsidR="001C38E5" w:rsidRPr="001C38E5" w:rsidRDefault="001C38E5" w:rsidP="005310AA">
      <w:pPr>
        <w:spacing w:after="0" w:line="240" w:lineRule="auto"/>
        <w:ind w:left="567" w:hanging="567"/>
        <w:jc w:val="left"/>
        <w:rPr>
          <w:rFonts w:cs="Calibri"/>
          <w:color w:val="231F20"/>
          <w:lang w:eastAsia="en-AU"/>
        </w:rPr>
      </w:pPr>
      <w:r w:rsidRPr="001C38E5">
        <w:rPr>
          <w:rFonts w:cs="Calibri"/>
          <w:color w:val="231F20"/>
          <w:lang w:eastAsia="en-AU"/>
        </w:rPr>
        <w:t>Watts, R.J., McCasker, N., Baumgartner, L., Bond, N., Bowen, P., Conallin, A., Grace, M., Healy, S., Howitt, J.A., Kopf, R.K., Scott, N., Thiem, J., Wooden I. (2014</w:t>
      </w:r>
      <w:r w:rsidR="00113B28">
        <w:rPr>
          <w:rFonts w:cs="Calibri"/>
          <w:color w:val="231F20"/>
          <w:lang w:eastAsia="en-AU"/>
        </w:rPr>
        <w:t>a</w:t>
      </w:r>
      <w:r w:rsidRPr="001C38E5">
        <w:rPr>
          <w:rFonts w:cs="Calibri"/>
          <w:color w:val="231F20"/>
          <w:lang w:eastAsia="en-AU"/>
        </w:rPr>
        <w:t>) Monitoring and Evaluation Plan for the Edward-Wakool Selected Area, Commonwealth of Australia 2014</w:t>
      </w:r>
    </w:p>
    <w:p w:rsidR="001C38E5" w:rsidRDefault="001C38E5" w:rsidP="005310AA">
      <w:pPr>
        <w:spacing w:after="0" w:line="240" w:lineRule="auto"/>
        <w:ind w:left="567" w:hanging="567"/>
        <w:jc w:val="left"/>
        <w:rPr>
          <w:rFonts w:cs="Calibri"/>
          <w:bCs/>
        </w:rPr>
      </w:pPr>
      <w:r w:rsidRPr="00B54BD6">
        <w:rPr>
          <w:rFonts w:cs="Calibri"/>
          <w:bCs/>
        </w:rPr>
        <w:t xml:space="preserve">Watts, R.J., McCasker, N., Baumgartner, L., Bowen, P., Burns, A., Conallin, A., Dyer, J.G., Grace, M., Healy, S., Howitt, J.A., Kopf, R.K., Wassens, </w:t>
      </w:r>
      <w:r w:rsidR="006E3F93">
        <w:rPr>
          <w:rFonts w:cs="Calibri"/>
          <w:bCs/>
        </w:rPr>
        <w:t>S., Watkins, S., Wooden I. (2013)</w:t>
      </w:r>
      <w:r w:rsidRPr="00B54BD6">
        <w:rPr>
          <w:rFonts w:cs="Calibri"/>
          <w:bCs/>
        </w:rPr>
        <w:t xml:space="preserve"> Monitoring the ecosystem responses to Commonwealth environmental water delivered to the Edward-Wakool river system, 2012-13. Institute for Land, Water and Society, Charles Sturt University, Final Report. Prepared for Commonwealth Environmental Water.</w:t>
      </w:r>
      <w:r>
        <w:rPr>
          <w:rFonts w:cs="Calibri"/>
          <w:bCs/>
        </w:rPr>
        <w:t xml:space="preserve"> </w:t>
      </w:r>
    </w:p>
    <w:p w:rsidR="001C38E5" w:rsidRDefault="001C38E5" w:rsidP="005310AA">
      <w:pPr>
        <w:spacing w:after="0" w:line="240" w:lineRule="auto"/>
        <w:ind w:left="567" w:hanging="567"/>
        <w:jc w:val="left"/>
        <w:rPr>
          <w:rFonts w:cs="Calibri"/>
          <w:bCs/>
        </w:rPr>
      </w:pPr>
      <w:r w:rsidRPr="00DA23B7">
        <w:rPr>
          <w:rFonts w:cs="Calibri"/>
          <w:bCs/>
        </w:rPr>
        <w:t>Watts, R.J., McCasker, N., Thiem, J., Howitt, J.A., Grace, M. Healy, S., Kopf, R.K., Dyer, J.G., Conallin, A., Wooden I.</w:t>
      </w:r>
      <w:r w:rsidR="006E3F93">
        <w:rPr>
          <w:rFonts w:cs="Calibri"/>
          <w:bCs/>
        </w:rPr>
        <w:t>, Baumgartner L., Bowen P. (2014</w:t>
      </w:r>
      <w:r w:rsidR="00113B28">
        <w:rPr>
          <w:rFonts w:cs="Calibri"/>
          <w:bCs/>
        </w:rPr>
        <w:t>b</w:t>
      </w:r>
      <w:r w:rsidR="006E3F93">
        <w:rPr>
          <w:rFonts w:cs="Calibri"/>
          <w:bCs/>
        </w:rPr>
        <w:t>)</w:t>
      </w:r>
      <w:r w:rsidRPr="00DA23B7">
        <w:rPr>
          <w:rFonts w:cs="Calibri"/>
          <w:bCs/>
        </w:rPr>
        <w:t xml:space="preserve"> Monitoring the ecosystem responses to Commonwealth environmental water delivered to the Edward-Wakool river system, 2013-14. Institute for Land, Water and Society, Charles Sturt University, Final Report. Prepared for Commonwealth Environmental Water Office.</w:t>
      </w:r>
    </w:p>
    <w:p w:rsidR="001C38E5" w:rsidRPr="001C38E5" w:rsidRDefault="001C38E5" w:rsidP="005310AA">
      <w:pPr>
        <w:autoSpaceDE w:val="0"/>
        <w:autoSpaceDN w:val="0"/>
        <w:adjustRightInd w:val="0"/>
        <w:spacing w:after="0" w:line="240" w:lineRule="auto"/>
        <w:ind w:left="567" w:hanging="567"/>
        <w:jc w:val="left"/>
        <w:rPr>
          <w:rFonts w:cs="Calibri"/>
          <w:color w:val="231F20"/>
          <w:lang w:eastAsia="en-AU"/>
        </w:rPr>
      </w:pPr>
      <w:r>
        <w:rPr>
          <w:rFonts w:cs="Calibri"/>
          <w:color w:val="231F20"/>
          <w:lang w:eastAsia="en-AU"/>
        </w:rPr>
        <w:t xml:space="preserve">Villizzi, L., </w:t>
      </w:r>
      <w:r w:rsidRPr="00EC6248">
        <w:rPr>
          <w:rFonts w:cs="Calibri"/>
          <w:color w:val="231F20"/>
          <w:lang w:eastAsia="en-AU"/>
        </w:rPr>
        <w:t>Meredith, S., Sharpe, C. And Rehwinkel, R. (2008)</w:t>
      </w:r>
      <w:r w:rsidRPr="00EC6248">
        <w:rPr>
          <w:rFonts w:cs="Segoe UI"/>
          <w:lang w:eastAsia="en-AU"/>
        </w:rPr>
        <w:t xml:space="preserve"> Evaluating light trap efficiency by application of mesh to prevent inter-and intra-specific in situ predation on fish larvae and </w:t>
      </w:r>
      <w:r w:rsidRPr="001C38E5">
        <w:rPr>
          <w:rFonts w:cs="Calibri"/>
          <w:color w:val="231F20"/>
          <w:lang w:eastAsia="en-AU"/>
        </w:rPr>
        <w:t>juveniles. Fisheries Research 93, 146-153.</w:t>
      </w:r>
    </w:p>
    <w:p w:rsidR="00C4236B" w:rsidRDefault="00C4236B" w:rsidP="005310AA">
      <w:pPr>
        <w:pStyle w:val="MurrumH2"/>
        <w:ind w:left="709" w:right="-1" w:hanging="709"/>
        <w:rPr>
          <w:b w:val="0"/>
          <w:bCs w:val="0"/>
          <w:iCs w:val="0"/>
        </w:rPr>
      </w:pPr>
      <w:r>
        <w:br w:type="page"/>
      </w:r>
    </w:p>
    <w:p w:rsidR="00D60472" w:rsidRDefault="00AA31CC" w:rsidP="00ED6D80">
      <w:pPr>
        <w:pStyle w:val="MurrumH1"/>
      </w:pPr>
      <w:bookmarkStart w:id="66" w:name="_Toc450199556"/>
      <w:bookmarkEnd w:id="64"/>
      <w:r w:rsidRPr="00AA31CC">
        <w:t>M</w:t>
      </w:r>
      <w:r w:rsidR="00956B4B" w:rsidRPr="00AA31CC">
        <w:t>urray cod, golden perch and silver perch recru</w:t>
      </w:r>
      <w:r w:rsidRPr="00AA31CC">
        <w:t>itment and growth responses to C</w:t>
      </w:r>
      <w:r w:rsidR="00956B4B" w:rsidRPr="00AA31CC">
        <w:t>ommonwealth environmental watering</w:t>
      </w:r>
      <w:bookmarkEnd w:id="66"/>
    </w:p>
    <w:p w:rsidR="00D72F5D" w:rsidRDefault="00F671D2">
      <w:pPr>
        <w:spacing w:after="0" w:line="240" w:lineRule="auto"/>
        <w:jc w:val="left"/>
      </w:pPr>
      <w:r w:rsidRPr="00F671D2">
        <w:rPr>
          <w:b/>
          <w:noProof/>
          <w:sz w:val="28"/>
          <w:szCs w:val="28"/>
          <w:lang w:eastAsia="en-AU"/>
        </w:rPr>
      </w:r>
      <w:r w:rsidRPr="00F671D2">
        <w:rPr>
          <w:b/>
          <w:noProof/>
          <w:sz w:val="28"/>
          <w:szCs w:val="28"/>
          <w:lang w:eastAsia="en-AU"/>
        </w:rPr>
        <w:pict>
          <v:shape id="Text Box 840" o:spid="_x0000_s1415" type="#_x0000_t202" style="width:453.55pt;height:58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" fillcolor="#d6e3bc [1302]">
            <v:textbox>
              <w:txbxContent>
                <w:p w:rsidR="0097684C" w:rsidRPr="00ED6D80" w:rsidRDefault="0097684C" w:rsidP="00591004">
                  <w:pPr>
                    <w:spacing w:after="0" w:line="240" w:lineRule="auto"/>
                    <w:jc w:val="center"/>
                    <w:rPr>
                      <w:noProof/>
                      <w:sz w:val="16"/>
                      <w:szCs w:val="16"/>
                      <w:lang w:eastAsia="en-AU"/>
                    </w:rPr>
                  </w:pPr>
                </w:p>
                <w:p w:rsidR="0097684C" w:rsidRDefault="0097684C" w:rsidP="00591004">
                  <w:pPr>
                    <w:spacing w:after="0"/>
                    <w:jc w:val="center"/>
                  </w:pPr>
                  <w:r w:rsidRPr="004D7E97">
                    <w:rPr>
                      <w:noProof/>
                      <w:lang w:eastAsia="en-AU"/>
                    </w:rPr>
                    <w:drawing>
                      <wp:inline distT="0" distB="0" distL="0" distR="0">
                        <wp:extent cx="4410075" cy="1323975"/>
                        <wp:effectExtent l="0" t="0" r="9525" b="9525"/>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717" t="49294" r="29012" b="29398"/>
                                <a:stretch>
                                  <a:fillRect/>
                                </a:stretch>
                              </pic:blipFill>
                              <pic:spPr bwMode="auto">
                                <a:xfrm>
                                  <a:off x="0" y="0"/>
                                  <a:ext cx="4410075" cy="1323975"/>
                                </a:xfrm>
                                <a:prstGeom prst="rect">
                                  <a:avLst/>
                                </a:prstGeom>
                                <a:noFill/>
                                <a:ln>
                                  <a:noFill/>
                                </a:ln>
                              </pic:spPr>
                            </pic:pic>
                          </a:graphicData>
                        </a:graphic>
                      </wp:inline>
                    </w:drawing>
                  </w:r>
                </w:p>
                <w:p w:rsidR="0097684C" w:rsidRPr="00591004" w:rsidRDefault="0097684C" w:rsidP="00591004">
                  <w:pPr>
                    <w:spacing w:after="0" w:line="240" w:lineRule="auto"/>
                    <w:ind w:left="993" w:right="978"/>
                    <w:rPr>
                      <w:sz w:val="20"/>
                    </w:rPr>
                  </w:pPr>
                  <w:r w:rsidRPr="00AA31CC">
                    <w:rPr>
                      <w:sz w:val="20"/>
                    </w:rPr>
                    <w:t xml:space="preserve">Young-of-Year </w:t>
                  </w:r>
                  <w:r w:rsidRPr="00591004">
                    <w:rPr>
                      <w:sz w:val="20"/>
                    </w:rPr>
                    <w:t>Murray cod recruit estimated to be 133 days old sampled in the Wakool River zone 4 (photo: R. Kopf)</w:t>
                  </w:r>
                </w:p>
                <w:p w:rsidR="0097684C" w:rsidRDefault="0097684C" w:rsidP="00D72F5D">
                  <w:pPr>
                    <w:spacing w:after="0" w:line="240" w:lineRule="auto"/>
                    <w:rPr>
                      <w:rFonts w:cs="Arial"/>
                      <w:b/>
                    </w:rPr>
                  </w:pPr>
                </w:p>
                <w:p w:rsidR="0097684C" w:rsidRPr="0083569B" w:rsidRDefault="0097684C" w:rsidP="00D72F5D">
                  <w:pPr>
                    <w:spacing w:after="0" w:line="240" w:lineRule="auto"/>
                    <w:rPr>
                      <w:rFonts w:cs="Arial"/>
                    </w:rPr>
                  </w:pPr>
                  <w:r>
                    <w:rPr>
                      <w:rFonts w:cs="Arial"/>
                      <w:b/>
                    </w:rPr>
                    <w:t>Summary</w:t>
                  </w:r>
                </w:p>
                <w:p w:rsidR="0097684C" w:rsidRPr="0083569B" w:rsidRDefault="0097684C" w:rsidP="00D72F5D">
                  <w:pPr>
                    <w:pStyle w:val="ListParagraph"/>
                    <w:spacing w:after="0" w:line="240" w:lineRule="auto"/>
                    <w:ind w:left="0"/>
                    <w:rPr>
                      <w:rFonts w:cs="Arial"/>
                    </w:rPr>
                  </w:pPr>
                </w:p>
                <w:p w:rsidR="0097684C" w:rsidRPr="00734EAC" w:rsidRDefault="0097684C" w:rsidP="00065E84">
                  <w:pPr>
                    <w:pStyle w:val="ListParagraph"/>
                    <w:numPr>
                      <w:ilvl w:val="0"/>
                      <w:numId w:val="26"/>
                    </w:numPr>
                    <w:spacing w:after="120" w:line="240" w:lineRule="auto"/>
                    <w:ind w:left="357" w:hanging="357"/>
                    <w:jc w:val="left"/>
                    <w:rPr>
                      <w:rFonts w:cs="Arial"/>
                      <w:color w:val="000000"/>
                    </w:rPr>
                  </w:pPr>
                  <w:r w:rsidRPr="00734EAC">
                    <w:rPr>
                      <w:rFonts w:cs="Arial"/>
                      <w:color w:val="000000"/>
                    </w:rPr>
                    <w:t xml:space="preserve">The 2014-15 watering year is the first time </w:t>
                  </w:r>
                  <w:r>
                    <w:rPr>
                      <w:rFonts w:cs="Arial"/>
                      <w:color w:val="000000"/>
                    </w:rPr>
                    <w:t>that LTIM Selected A</w:t>
                  </w:r>
                  <w:r w:rsidRPr="00734EAC">
                    <w:rPr>
                      <w:rFonts w:cs="Arial"/>
                      <w:color w:val="000000"/>
                    </w:rPr>
                    <w:t>rea fish recrui</w:t>
                  </w:r>
                  <w:r>
                    <w:rPr>
                      <w:rFonts w:cs="Arial"/>
                      <w:color w:val="000000"/>
                    </w:rPr>
                    <w:t>tment monitoring</w:t>
                  </w:r>
                  <w:r w:rsidRPr="00734EAC" w:rsidDel="00A71EC1">
                    <w:rPr>
                      <w:rFonts w:cs="Arial"/>
                      <w:color w:val="000000"/>
                    </w:rPr>
                    <w:t xml:space="preserve"> </w:t>
                  </w:r>
                  <w:r w:rsidRPr="00734EAC">
                    <w:rPr>
                      <w:rFonts w:cs="Arial"/>
                      <w:color w:val="000000"/>
                    </w:rPr>
                    <w:t xml:space="preserve">has been undertaken to evaluate long-term annual changes in recruitment and growth of Murray cod, silver perch and golden perch within the Edward-Wakool system. The selected area fish </w:t>
                  </w:r>
                  <w:r w:rsidRPr="00591004">
                    <w:rPr>
                      <w:rFonts w:cs="Arial"/>
                      <w:color w:val="000000"/>
                    </w:rPr>
                    <w:t xml:space="preserve">recruitment </w:t>
                  </w:r>
                  <w:r>
                    <w:rPr>
                      <w:rFonts w:cs="Arial"/>
                      <w:color w:val="000000"/>
                    </w:rPr>
                    <w:t xml:space="preserve">monitoring </w:t>
                  </w:r>
                  <w:r w:rsidRPr="00734EAC">
                    <w:rPr>
                      <w:rFonts w:cs="Arial"/>
                      <w:color w:val="000000"/>
                    </w:rPr>
                    <w:t>enable</w:t>
                  </w:r>
                  <w:r>
                    <w:rPr>
                      <w:rFonts w:cs="Arial"/>
                      <w:color w:val="000000"/>
                    </w:rPr>
                    <w:t>s a comparison</w:t>
                  </w:r>
                  <w:r w:rsidRPr="00734EAC">
                    <w:rPr>
                      <w:rFonts w:cs="Arial"/>
                      <w:color w:val="000000"/>
                    </w:rPr>
                    <w:t xml:space="preserve"> of recruitment among different hydrological zones </w:t>
                  </w:r>
                  <w:r>
                    <w:rPr>
                      <w:rFonts w:cs="Arial"/>
                      <w:color w:val="000000"/>
                    </w:rPr>
                    <w:t>in</w:t>
                  </w:r>
                  <w:r w:rsidRPr="00734EAC">
                    <w:rPr>
                      <w:rFonts w:cs="Arial"/>
                      <w:color w:val="000000"/>
                    </w:rPr>
                    <w:t xml:space="preserve"> this system</w:t>
                  </w:r>
                  <w:r>
                    <w:rPr>
                      <w:rFonts w:cs="Arial"/>
                      <w:color w:val="000000"/>
                    </w:rPr>
                    <w:t>. This approach is different to the b</w:t>
                  </w:r>
                  <w:r w:rsidRPr="00591004">
                    <w:rPr>
                      <w:rFonts w:cs="Arial"/>
                      <w:color w:val="000000"/>
                    </w:rPr>
                    <w:t xml:space="preserve">asin-scale fish recruitment </w:t>
                  </w:r>
                  <w:r>
                    <w:rPr>
                      <w:rFonts w:cs="Arial"/>
                      <w:color w:val="000000"/>
                    </w:rPr>
                    <w:t>index</w:t>
                  </w:r>
                  <w:r w:rsidRPr="00591004">
                    <w:rPr>
                      <w:rFonts w:cs="Arial"/>
                      <w:color w:val="000000"/>
                    </w:rPr>
                    <w:t xml:space="preserve"> (see Section 9)</w:t>
                  </w:r>
                  <w:r w:rsidRPr="00734EAC">
                    <w:rPr>
                      <w:rFonts w:cs="Arial"/>
                      <w:color w:val="000000"/>
                    </w:rPr>
                    <w:t xml:space="preserve"> </w:t>
                  </w:r>
                  <w:r>
                    <w:rPr>
                      <w:rFonts w:cs="Arial"/>
                      <w:color w:val="000000"/>
                    </w:rPr>
                    <w:t xml:space="preserve">that </w:t>
                  </w:r>
                  <w:r>
                    <w:rPr>
                      <w:szCs w:val="24"/>
                    </w:rPr>
                    <w:t>calculates one overall recruitment index for the entire system</w:t>
                  </w:r>
                  <w:r w:rsidRPr="00734EAC">
                    <w:rPr>
                      <w:rFonts w:cs="Arial"/>
                      <w:color w:val="000000"/>
                    </w:rPr>
                    <w:t>. The selected area fish recruitment monitoring utilised backpack electro-fishing, standardised angling and set-lines.</w:t>
                  </w:r>
                  <w:r>
                    <w:rPr>
                      <w:rFonts w:cs="Arial"/>
                      <w:color w:val="000000"/>
                    </w:rPr>
                    <w:t xml:space="preserve"> </w:t>
                  </w:r>
                  <w:r>
                    <w:rPr>
                      <w:rFonts w:eastAsia="Times New Roman" w:cs="Arial"/>
                      <w:color w:val="000000"/>
                    </w:rPr>
                    <w:t>Given that this was the first year of monitoring, it was not possible to evaluate the</w:t>
                  </w:r>
                  <w:r w:rsidRPr="00763B99">
                    <w:rPr>
                      <w:rFonts w:eastAsia="Times New Roman" w:cs="Arial"/>
                      <w:color w:val="000000"/>
                    </w:rPr>
                    <w:t xml:space="preserve"> trajectory of change (positive, neutral, negative) in annual recruitment indices </w:t>
                  </w:r>
                  <w:r>
                    <w:rPr>
                      <w:rFonts w:eastAsia="Times New Roman" w:cs="Arial"/>
                      <w:color w:val="000000"/>
                    </w:rPr>
                    <w:t>or</w:t>
                  </w:r>
                  <w:r w:rsidRPr="00763B99">
                    <w:rPr>
                      <w:rFonts w:eastAsia="Times New Roman" w:cs="Arial"/>
                      <w:color w:val="000000"/>
                    </w:rPr>
                    <w:t xml:space="preserve"> growth</w:t>
                  </w:r>
                  <w:r>
                    <w:rPr>
                      <w:rFonts w:eastAsia="Times New Roman" w:cs="Arial"/>
                      <w:color w:val="000000"/>
                    </w:rPr>
                    <w:t xml:space="preserve"> but this will be possible in future monitoring years.</w:t>
                  </w:r>
                </w:p>
                <w:p w:rsidR="0097684C" w:rsidRPr="00065E84" w:rsidRDefault="0097684C" w:rsidP="00065E84">
                  <w:pPr>
                    <w:pStyle w:val="ListParagraph"/>
                    <w:numPr>
                      <w:ilvl w:val="0"/>
                      <w:numId w:val="26"/>
                    </w:numPr>
                    <w:spacing w:after="120" w:line="240" w:lineRule="auto"/>
                    <w:ind w:left="357" w:hanging="357"/>
                    <w:jc w:val="left"/>
                    <w:rPr>
                      <w:rFonts w:cs="Arial"/>
                    </w:rPr>
                  </w:pPr>
                  <w:r w:rsidRPr="002172A6">
                    <w:rPr>
                      <w:rFonts w:eastAsia="Times New Roman" w:cs="Arial"/>
                      <w:color w:val="000000"/>
                    </w:rPr>
                    <w:t xml:space="preserve">Four sites were sampled in each of four </w:t>
                  </w:r>
                  <w:r>
                    <w:rPr>
                      <w:rFonts w:eastAsia="Times New Roman" w:cs="Arial"/>
                      <w:color w:val="000000"/>
                    </w:rPr>
                    <w:t xml:space="preserve">hydrological zones </w:t>
                  </w:r>
                  <w:r w:rsidRPr="002172A6">
                    <w:rPr>
                      <w:rFonts w:eastAsia="Times New Roman" w:cs="Arial"/>
                      <w:color w:val="000000"/>
                    </w:rPr>
                    <w:t>in the Edward-Wakool system: Yallakool Creek</w:t>
                  </w:r>
                  <w:r>
                    <w:rPr>
                      <w:rFonts w:eastAsia="Times New Roman" w:cs="Arial"/>
                      <w:color w:val="000000"/>
                    </w:rPr>
                    <w:t xml:space="preserve"> zone 1</w:t>
                  </w:r>
                  <w:r w:rsidRPr="002172A6">
                    <w:rPr>
                      <w:rFonts w:eastAsia="Times New Roman" w:cs="Arial"/>
                      <w:color w:val="000000"/>
                    </w:rPr>
                    <w:t xml:space="preserve">, Wakool River Zone 2, Wakool River Zone3 and Wakool River Zone 4. </w:t>
                  </w:r>
                  <w:r>
                    <w:rPr>
                      <w:rFonts w:eastAsia="Times New Roman" w:cs="Arial"/>
                      <w:color w:val="000000"/>
                    </w:rPr>
                    <w:t>The sites were sampled</w:t>
                  </w:r>
                  <w:r w:rsidRPr="002172A6">
                    <w:rPr>
                      <w:rFonts w:eastAsia="Times New Roman" w:cs="Arial"/>
                      <w:color w:val="000000"/>
                    </w:rPr>
                    <w:t xml:space="preserve"> between February </w:t>
                  </w:r>
                  <w:r>
                    <w:rPr>
                      <w:rFonts w:eastAsia="Times New Roman" w:cs="Arial"/>
                      <w:color w:val="000000"/>
                    </w:rPr>
                    <w:t>and March 2015.</w:t>
                  </w:r>
                </w:p>
                <w:p w:rsidR="0097684C" w:rsidRDefault="0097684C" w:rsidP="00065E84">
                  <w:pPr>
                    <w:pStyle w:val="ListParagraph"/>
                    <w:numPr>
                      <w:ilvl w:val="0"/>
                      <w:numId w:val="26"/>
                    </w:numPr>
                    <w:spacing w:after="120" w:line="240" w:lineRule="auto"/>
                    <w:ind w:left="357" w:hanging="357"/>
                    <w:jc w:val="left"/>
                    <w:rPr>
                      <w:rFonts w:cs="Arial"/>
                    </w:rPr>
                  </w:pPr>
                  <w:r>
                    <w:rPr>
                      <w:rFonts w:cs="Arial"/>
                      <w:color w:val="000000"/>
                    </w:rPr>
                    <w:t>R</w:t>
                  </w:r>
                  <w:r w:rsidRPr="00472FB9">
                    <w:rPr>
                      <w:rFonts w:cs="Arial"/>
                      <w:color w:val="000000"/>
                    </w:rPr>
                    <w:t>ecruitment</w:t>
                  </w:r>
                  <w:r>
                    <w:rPr>
                      <w:rFonts w:cs="Arial"/>
                      <w:color w:val="000000"/>
                    </w:rPr>
                    <w:t xml:space="preserve"> </w:t>
                  </w:r>
                  <w:r w:rsidRPr="00472FB9">
                    <w:rPr>
                      <w:rFonts w:cs="Arial"/>
                      <w:color w:val="000000"/>
                    </w:rPr>
                    <w:t xml:space="preserve">of Murray cod, including young-of-year (YOY) and age-class 1 (1+) fish, </w:t>
                  </w:r>
                  <w:r>
                    <w:rPr>
                      <w:rFonts w:cs="Arial"/>
                      <w:color w:val="000000"/>
                    </w:rPr>
                    <w:t>was consistent</w:t>
                  </w:r>
                  <w:r w:rsidRPr="00472FB9">
                    <w:rPr>
                      <w:rFonts w:cs="Arial"/>
                      <w:color w:val="000000"/>
                    </w:rPr>
                    <w:t xml:space="preserve"> among all zones</w:t>
                  </w:r>
                  <w:r w:rsidRPr="009B380F">
                    <w:rPr>
                      <w:rFonts w:cs="Arial"/>
                      <w:color w:val="000000"/>
                    </w:rPr>
                    <w:t>.</w:t>
                  </w:r>
                  <w:r>
                    <w:rPr>
                      <w:rFonts w:cs="Arial"/>
                    </w:rPr>
                    <w:t xml:space="preserve"> </w:t>
                  </w:r>
                </w:p>
                <w:p w:rsidR="0097684C" w:rsidRPr="00D06857" w:rsidRDefault="0097684C" w:rsidP="00065E84">
                  <w:pPr>
                    <w:pStyle w:val="ListParagraph"/>
                    <w:numPr>
                      <w:ilvl w:val="0"/>
                      <w:numId w:val="26"/>
                    </w:numPr>
                    <w:spacing w:after="120" w:line="240" w:lineRule="auto"/>
                    <w:ind w:left="357" w:hanging="357"/>
                    <w:jc w:val="left"/>
                    <w:rPr>
                      <w:rFonts w:cs="Arial"/>
                      <w:color w:val="000000"/>
                    </w:rPr>
                  </w:pPr>
                  <w:r w:rsidRPr="00D06857">
                    <w:rPr>
                      <w:rFonts w:cs="Arial"/>
                      <w:color w:val="000000"/>
                    </w:rPr>
                    <w:t>Extremely low numbers of silver perch and golden perch recruits sampled was interpreted as low rec</w:t>
                  </w:r>
                  <w:r>
                    <w:rPr>
                      <w:rFonts w:cs="Arial"/>
                      <w:color w:val="000000"/>
                    </w:rPr>
                    <w:t>ruitment of these species in these zones, and possibly in the Edward River upstream,</w:t>
                  </w:r>
                  <w:r w:rsidRPr="00D06857">
                    <w:rPr>
                      <w:rFonts w:cs="Arial"/>
                      <w:color w:val="000000"/>
                    </w:rPr>
                    <w:t xml:space="preserve"> during 2014-15</w:t>
                  </w:r>
                  <w:r>
                    <w:rPr>
                      <w:rFonts w:cs="Arial"/>
                      <w:color w:val="000000"/>
                    </w:rPr>
                    <w:t>.</w:t>
                  </w:r>
                </w:p>
                <w:p w:rsidR="0097684C" w:rsidRPr="00CC587C" w:rsidRDefault="0097684C" w:rsidP="00065E84">
                  <w:pPr>
                    <w:pStyle w:val="ListParagraph"/>
                    <w:numPr>
                      <w:ilvl w:val="0"/>
                      <w:numId w:val="26"/>
                    </w:numPr>
                    <w:spacing w:after="120" w:line="240" w:lineRule="auto"/>
                    <w:ind w:left="357" w:hanging="357"/>
                    <w:jc w:val="left"/>
                    <w:rPr>
                      <w:rFonts w:cs="Arial"/>
                    </w:rPr>
                  </w:pPr>
                  <w:r>
                    <w:rPr>
                      <w:rFonts w:cs="Arial"/>
                      <w:color w:val="000000"/>
                    </w:rPr>
                    <w:t xml:space="preserve">A </w:t>
                  </w:r>
                  <w:r w:rsidRPr="006C065C">
                    <w:rPr>
                      <w:rFonts w:cs="Arial"/>
                      <w:color w:val="000000"/>
                    </w:rPr>
                    <w:t xml:space="preserve">high degree of </w:t>
                  </w:r>
                  <w:r>
                    <w:rPr>
                      <w:rFonts w:cs="Arial"/>
                      <w:color w:val="000000"/>
                    </w:rPr>
                    <w:t xml:space="preserve">zone-specific </w:t>
                  </w:r>
                  <w:r w:rsidRPr="006C065C">
                    <w:rPr>
                      <w:rFonts w:cs="Arial"/>
                      <w:color w:val="000000"/>
                    </w:rPr>
                    <w:t>variation in length-at-age of 1+ Murray cod recruits</w:t>
                  </w:r>
                  <w:r>
                    <w:rPr>
                      <w:rFonts w:cs="Arial"/>
                      <w:color w:val="000000"/>
                    </w:rPr>
                    <w:t xml:space="preserve"> suggests that growth of </w:t>
                  </w:r>
                  <w:r w:rsidRPr="006C065C">
                    <w:rPr>
                      <w:rFonts w:cs="Arial"/>
                      <w:color w:val="000000"/>
                    </w:rPr>
                    <w:t xml:space="preserve">this species </w:t>
                  </w:r>
                  <w:r>
                    <w:rPr>
                      <w:rFonts w:cs="Arial"/>
                      <w:color w:val="000000"/>
                    </w:rPr>
                    <w:t>is likely to be</w:t>
                  </w:r>
                  <w:r w:rsidRPr="006C065C">
                    <w:rPr>
                      <w:rFonts w:cs="Arial"/>
                      <w:color w:val="000000"/>
                    </w:rPr>
                    <w:t xml:space="preserve"> a useful indicator to evaluate </w:t>
                  </w:r>
                  <w:r>
                    <w:rPr>
                      <w:rFonts w:cs="Arial"/>
                      <w:color w:val="000000"/>
                    </w:rPr>
                    <w:t>long-term annual changes in response to environmental flows. D</w:t>
                  </w:r>
                  <w:r w:rsidRPr="00AA31CC">
                    <w:rPr>
                      <w:rFonts w:cs="Arial"/>
                      <w:color w:val="000000"/>
                    </w:rPr>
                    <w:t>ifferences in the growth</w:t>
                  </w:r>
                  <w:r>
                    <w:rPr>
                      <w:rFonts w:cs="Arial"/>
                      <w:color w:val="000000"/>
                    </w:rPr>
                    <w:t xml:space="preserve"> rates</w:t>
                  </w:r>
                  <w:r w:rsidRPr="00AA31CC">
                    <w:rPr>
                      <w:rFonts w:cs="Arial"/>
                      <w:color w:val="000000"/>
                    </w:rPr>
                    <w:t xml:space="preserve"> of Murray cod recruits among zones</w:t>
                  </w:r>
                  <w:r>
                    <w:rPr>
                      <w:rFonts w:cs="Arial"/>
                      <w:color w:val="000000"/>
                    </w:rPr>
                    <w:t xml:space="preserve"> were not related</w:t>
                  </w:r>
                  <w:r w:rsidRPr="00AA31CC">
                    <w:rPr>
                      <w:rFonts w:cs="Arial"/>
                      <w:color w:val="000000"/>
                    </w:rPr>
                    <w:t xml:space="preserve"> to Commonwealth environmental water delivery in 2014-15</w:t>
                  </w:r>
                  <w:r>
                    <w:rPr>
                      <w:rFonts w:cs="Arial"/>
                      <w:color w:val="000000"/>
                    </w:rPr>
                    <w:t>.</w:t>
                  </w:r>
                </w:p>
                <w:p w:rsidR="0097684C" w:rsidRPr="00ED6D80" w:rsidRDefault="0097684C" w:rsidP="00065E84">
                  <w:pPr>
                    <w:pStyle w:val="ListParagraph"/>
                    <w:numPr>
                      <w:ilvl w:val="0"/>
                      <w:numId w:val="26"/>
                    </w:numPr>
                    <w:spacing w:after="120" w:line="240" w:lineRule="auto"/>
                    <w:ind w:left="357" w:hanging="357"/>
                    <w:jc w:val="left"/>
                    <w:rPr>
                      <w:rFonts w:cs="Arial"/>
                    </w:rPr>
                  </w:pPr>
                  <w:r>
                    <w:rPr>
                      <w:rFonts w:cs="Arial"/>
                      <w:color w:val="000000"/>
                    </w:rPr>
                    <w:t>Analyses suggest</w:t>
                  </w:r>
                  <w:r w:rsidRPr="00E25FD4">
                    <w:rPr>
                      <w:rFonts w:cs="Arial"/>
                      <w:color w:val="000000"/>
                    </w:rPr>
                    <w:t xml:space="preserve"> that additional </w:t>
                  </w:r>
                  <w:r>
                    <w:rPr>
                      <w:rFonts w:cs="Arial"/>
                      <w:color w:val="000000"/>
                    </w:rPr>
                    <w:t xml:space="preserve">recruitment </w:t>
                  </w:r>
                  <w:r w:rsidRPr="00E25FD4">
                    <w:rPr>
                      <w:rFonts w:cs="Arial"/>
                      <w:color w:val="000000"/>
                    </w:rPr>
                    <w:t>sampling effort, increasing from 4 to 12 sites per zone</w:t>
                  </w:r>
                  <w:r>
                    <w:rPr>
                      <w:rFonts w:cs="Arial"/>
                      <w:color w:val="000000"/>
                    </w:rPr>
                    <w:t xml:space="preserve"> or visiting the 4 sites on 3 sampling occasions</w:t>
                  </w:r>
                  <w:r w:rsidRPr="00E25FD4">
                    <w:rPr>
                      <w:rFonts w:cs="Arial"/>
                      <w:color w:val="000000"/>
                    </w:rPr>
                    <w:t xml:space="preserve">, would be required in order to confidently </w:t>
                  </w:r>
                  <w:r>
                    <w:rPr>
                      <w:rFonts w:cs="Arial"/>
                      <w:color w:val="000000"/>
                    </w:rPr>
                    <w:t>assess</w:t>
                  </w:r>
                  <w:r w:rsidRPr="00E25FD4">
                    <w:rPr>
                      <w:rFonts w:cs="Arial"/>
                      <w:color w:val="000000"/>
                    </w:rPr>
                    <w:t xml:space="preserve"> </w:t>
                  </w:r>
                  <w:r>
                    <w:rPr>
                      <w:rFonts w:cs="Arial"/>
                      <w:color w:val="000000"/>
                    </w:rPr>
                    <w:t>the effect of environmental water delivery among zones.</w:t>
                  </w:r>
                </w:p>
              </w:txbxContent>
            </v:textbox>
            <w10:wrap type="none"/>
            <w10:anchorlock/>
          </v:shape>
        </w:pict>
      </w:r>
    </w:p>
    <w:p w:rsidR="00D72F5D" w:rsidRPr="00AA31CC" w:rsidRDefault="005E0A51" w:rsidP="00DF6092">
      <w:pPr>
        <w:pStyle w:val="ListParagraph"/>
        <w:spacing w:after="240" w:line="240" w:lineRule="auto"/>
        <w:ind w:left="0"/>
        <w:rPr>
          <w:b/>
          <w:color w:val="4F6228" w:themeColor="accent3" w:themeShade="80"/>
          <w:sz w:val="24"/>
          <w:szCs w:val="24"/>
        </w:rPr>
      </w:pPr>
      <w:r>
        <w:rPr>
          <w:b/>
          <w:color w:val="4F6228" w:themeColor="accent3" w:themeShade="80"/>
          <w:sz w:val="24"/>
          <w:szCs w:val="24"/>
        </w:rPr>
        <w:t>11</w:t>
      </w:r>
      <w:r w:rsidR="00AA31CC" w:rsidRPr="00AA31CC">
        <w:rPr>
          <w:b/>
          <w:color w:val="4F6228" w:themeColor="accent3" w:themeShade="80"/>
          <w:sz w:val="24"/>
          <w:szCs w:val="24"/>
        </w:rPr>
        <w:t xml:space="preserve">.1 </w:t>
      </w:r>
      <w:r w:rsidR="00D72F5D" w:rsidRPr="00AA31CC">
        <w:rPr>
          <w:b/>
          <w:color w:val="4F6228" w:themeColor="accent3" w:themeShade="80"/>
          <w:sz w:val="24"/>
          <w:szCs w:val="24"/>
        </w:rPr>
        <w:t xml:space="preserve">Background </w:t>
      </w:r>
    </w:p>
    <w:p w:rsidR="00D72F5D" w:rsidRPr="00763B99" w:rsidRDefault="00D72F5D" w:rsidP="00DD409C">
      <w:pPr>
        <w:pStyle w:val="ListParagraph"/>
        <w:spacing w:after="240"/>
        <w:ind w:left="0"/>
        <w:jc w:val="left"/>
        <w:rPr>
          <w:rFonts w:cs="Arial"/>
        </w:rPr>
      </w:pPr>
      <w:r w:rsidRPr="00763B99">
        <w:rPr>
          <w:rFonts w:cs="Arial"/>
        </w:rPr>
        <w:t>One obje</w:t>
      </w:r>
      <w:r>
        <w:rPr>
          <w:rFonts w:cs="Arial"/>
        </w:rPr>
        <w:t xml:space="preserve">ctive of environmental water delivery </w:t>
      </w:r>
      <w:r w:rsidRPr="00763B99">
        <w:rPr>
          <w:rFonts w:cs="Arial"/>
        </w:rPr>
        <w:t>is to provide recruitment outcomes for native fish. Once reproduction has occurred, the ultimate measure of spawning success is the number of individuals that survive to different stages of life. Recruitment can be defined in various ways but for purposes of this report, it is defined as an index of relative abundance</w:t>
      </w:r>
      <w:r>
        <w:rPr>
          <w:rFonts w:cs="Arial"/>
        </w:rPr>
        <w:t xml:space="preserve"> (catch per unit effort)</w:t>
      </w:r>
      <w:r w:rsidRPr="00763B99">
        <w:rPr>
          <w:rFonts w:cs="Arial"/>
        </w:rPr>
        <w:t xml:space="preserve"> of young-of-year (YOY) and age class 1 (1+)</w:t>
      </w:r>
      <w:r>
        <w:rPr>
          <w:rFonts w:cs="Arial"/>
        </w:rPr>
        <w:t xml:space="preserve"> fish</w:t>
      </w:r>
      <w:r w:rsidRPr="00763B99">
        <w:rPr>
          <w:rFonts w:cs="Arial"/>
        </w:rPr>
        <w:t xml:space="preserve">. These age-classes were selected </w:t>
      </w:r>
      <w:r>
        <w:rPr>
          <w:rFonts w:cs="Arial"/>
        </w:rPr>
        <w:t xml:space="preserve">for indices </w:t>
      </w:r>
      <w:r w:rsidRPr="00763B99">
        <w:rPr>
          <w:rFonts w:cs="Arial"/>
        </w:rPr>
        <w:t>because they represent individuals surviving</w:t>
      </w:r>
      <w:r>
        <w:rPr>
          <w:rFonts w:cs="Arial"/>
        </w:rPr>
        <w:t xml:space="preserve"> through</w:t>
      </w:r>
      <w:r w:rsidRPr="00763B99">
        <w:rPr>
          <w:rFonts w:cs="Arial"/>
        </w:rPr>
        <w:t xml:space="preserve"> the high mortality larval stages of development </w:t>
      </w:r>
      <w:r>
        <w:rPr>
          <w:rFonts w:cs="Arial"/>
          <w:noProof/>
        </w:rPr>
        <w:t>(</w:t>
      </w:r>
      <w:r w:rsidR="00CE00A5">
        <w:rPr>
          <w:rFonts w:cs="Arial"/>
          <w:noProof/>
        </w:rPr>
        <w:t>Hurst and Conover 1998; Byström</w:t>
      </w:r>
      <w:r w:rsidR="00CE00A5" w:rsidRPr="00C142A9">
        <w:rPr>
          <w:rFonts w:cs="Arial"/>
          <w:i/>
          <w:noProof/>
        </w:rPr>
        <w:t xml:space="preserve"> </w:t>
      </w:r>
      <w:r w:rsidR="00CE00A5" w:rsidRPr="00043C1D">
        <w:rPr>
          <w:rFonts w:cs="Arial"/>
          <w:noProof/>
        </w:rPr>
        <w:t>et al</w:t>
      </w:r>
      <w:r w:rsidR="00CE00A5" w:rsidRPr="00C142A9">
        <w:rPr>
          <w:rFonts w:cs="Arial"/>
          <w:i/>
          <w:noProof/>
        </w:rPr>
        <w:t>.</w:t>
      </w:r>
      <w:r w:rsidR="00CE00A5">
        <w:rPr>
          <w:rFonts w:cs="Arial"/>
          <w:noProof/>
        </w:rPr>
        <w:t xml:space="preserve"> 2006;</w:t>
      </w:r>
      <w:r w:rsidR="00CE00A5" w:rsidRPr="00795AE3">
        <w:rPr>
          <w:rFonts w:cs="Arial"/>
          <w:noProof/>
        </w:rPr>
        <w:t xml:space="preserve"> </w:t>
      </w:r>
      <w:r>
        <w:rPr>
          <w:rFonts w:cs="Arial"/>
          <w:noProof/>
        </w:rPr>
        <w:t>King et al. 2013)</w:t>
      </w:r>
      <w:r w:rsidR="000C329E">
        <w:rPr>
          <w:rFonts w:cs="Arial"/>
        </w:rPr>
        <w:t>.</w:t>
      </w:r>
    </w:p>
    <w:p w:rsidR="00D72F5D" w:rsidRPr="00763B99" w:rsidRDefault="00D72F5D" w:rsidP="00DF6092">
      <w:pPr>
        <w:pStyle w:val="ListParagraph"/>
        <w:spacing w:after="120"/>
        <w:ind w:left="0"/>
        <w:jc w:val="left"/>
        <w:rPr>
          <w:rFonts w:cs="Arial"/>
          <w:color w:val="000000"/>
        </w:rPr>
      </w:pPr>
      <w:r w:rsidRPr="00763B99">
        <w:rPr>
          <w:rFonts w:cs="Arial"/>
          <w:bCs/>
          <w:color w:val="000000"/>
        </w:rPr>
        <w:t xml:space="preserve">Recruitment in fish that live in flowing water environments is tightly coupled with historical patterns of the natural flow regime associated with flooding, drought and more regular seasonal cycles </w:t>
      </w:r>
      <w:r>
        <w:rPr>
          <w:rFonts w:cs="Arial"/>
          <w:bCs/>
          <w:noProof/>
          <w:color w:val="000000"/>
        </w:rPr>
        <w:t>(Lytle and Poff 2004)</w:t>
      </w:r>
      <w:r w:rsidRPr="00763B99">
        <w:rPr>
          <w:rFonts w:cs="Arial"/>
          <w:bCs/>
          <w:color w:val="000000"/>
        </w:rPr>
        <w:t>. The flow regime is a driver of energy production, slack-water habitat and inundation of floodplains and back-water areas</w:t>
      </w:r>
      <w:r>
        <w:rPr>
          <w:rFonts w:cs="Arial"/>
          <w:bCs/>
          <w:color w:val="000000"/>
        </w:rPr>
        <w:t xml:space="preserve"> </w:t>
      </w:r>
      <w:r>
        <w:rPr>
          <w:rFonts w:cs="Arial"/>
          <w:bCs/>
          <w:noProof/>
          <w:color w:val="000000"/>
        </w:rPr>
        <w:t>(Bunn and Arthington 2002)</w:t>
      </w:r>
      <w:r>
        <w:rPr>
          <w:rFonts w:cs="Arial"/>
          <w:bCs/>
          <w:color w:val="000000"/>
        </w:rPr>
        <w:t>,</w:t>
      </w:r>
      <w:r w:rsidRPr="00763B99">
        <w:rPr>
          <w:rFonts w:cs="Arial"/>
          <w:bCs/>
          <w:color w:val="000000"/>
        </w:rPr>
        <w:t xml:space="preserve"> which </w:t>
      </w:r>
      <w:r>
        <w:rPr>
          <w:rFonts w:cs="Arial"/>
          <w:bCs/>
          <w:color w:val="000000"/>
        </w:rPr>
        <w:t xml:space="preserve">all may </w:t>
      </w:r>
      <w:r w:rsidRPr="00763B99">
        <w:rPr>
          <w:rFonts w:cs="Arial"/>
          <w:bCs/>
          <w:color w:val="000000"/>
        </w:rPr>
        <w:t>influence recruitment of riverine fish</w:t>
      </w:r>
      <w:r>
        <w:rPr>
          <w:rFonts w:cs="Arial"/>
          <w:bCs/>
          <w:color w:val="000000"/>
        </w:rPr>
        <w:t xml:space="preserve"> </w:t>
      </w:r>
      <w:r w:rsidRPr="00763B99">
        <w:rPr>
          <w:rFonts w:cs="Arial"/>
          <w:bCs/>
          <w:color w:val="000000"/>
        </w:rPr>
        <w:t>in Australia and world-wide</w:t>
      </w:r>
      <w:r>
        <w:rPr>
          <w:rFonts w:cs="Arial"/>
          <w:bCs/>
          <w:color w:val="000000"/>
        </w:rPr>
        <w:t xml:space="preserve"> </w:t>
      </w:r>
      <w:r>
        <w:rPr>
          <w:rFonts w:cs="Arial"/>
          <w:bCs/>
          <w:noProof/>
          <w:color w:val="000000"/>
        </w:rPr>
        <w:t>(King et al. 2013)</w:t>
      </w:r>
      <w:r w:rsidRPr="00763B99">
        <w:rPr>
          <w:rFonts w:cs="Arial"/>
          <w:bCs/>
          <w:color w:val="000000"/>
        </w:rPr>
        <w:t xml:space="preserve">. </w:t>
      </w:r>
      <w:r w:rsidRPr="00763B99">
        <w:rPr>
          <w:rFonts w:cs="Arial"/>
          <w:color w:val="000000"/>
        </w:rPr>
        <w:t>Given the relatively high reproductive output of fishes, small changes in recruitment success can result in cascading effects on populations, communities the ecosystems they inhabit. Therefore, improving management of regulated river flow regimes and environmental watering actions in the Murray-Darling Basin has potential to benefit native fish communities</w:t>
      </w:r>
      <w:r>
        <w:rPr>
          <w:rFonts w:cs="Arial"/>
          <w:color w:val="000000"/>
        </w:rPr>
        <w:t xml:space="preserve"> via changes in recruitment </w:t>
      </w:r>
      <w:r>
        <w:rPr>
          <w:rFonts w:cs="Arial"/>
          <w:noProof/>
          <w:color w:val="000000"/>
        </w:rPr>
        <w:t>(King et al. 2009; Rayner et al. 2009; Rolls</w:t>
      </w:r>
      <w:r w:rsidRPr="00C142A9">
        <w:rPr>
          <w:rFonts w:cs="Arial"/>
          <w:i/>
          <w:noProof/>
          <w:color w:val="000000"/>
        </w:rPr>
        <w:t xml:space="preserve"> </w:t>
      </w:r>
      <w:r w:rsidRPr="00043C1D">
        <w:rPr>
          <w:rFonts w:cs="Arial"/>
          <w:noProof/>
          <w:color w:val="000000"/>
        </w:rPr>
        <w:t>et al.</w:t>
      </w:r>
      <w:r>
        <w:rPr>
          <w:rFonts w:cs="Arial"/>
          <w:noProof/>
          <w:color w:val="000000"/>
        </w:rPr>
        <w:t xml:space="preserve"> 2013)</w:t>
      </w:r>
      <w:r w:rsidRPr="00763B99">
        <w:rPr>
          <w:rFonts w:cs="Arial"/>
          <w:color w:val="000000"/>
        </w:rPr>
        <w:t xml:space="preserve">. </w:t>
      </w:r>
    </w:p>
    <w:p w:rsidR="00D72F5D" w:rsidRDefault="00D72F5D" w:rsidP="00070FB1">
      <w:pPr>
        <w:pStyle w:val="ListParagraph"/>
        <w:spacing w:after="120"/>
        <w:ind w:left="0"/>
        <w:jc w:val="left"/>
        <w:rPr>
          <w:rFonts w:cs="Arial"/>
          <w:color w:val="000000"/>
        </w:rPr>
      </w:pPr>
      <w:r w:rsidRPr="00763B99">
        <w:rPr>
          <w:rFonts w:cs="Arial"/>
        </w:rPr>
        <w:t>Relationships among early life-history growth and recruitment ultimately determine the abundance of many marine fish populations</w:t>
      </w:r>
      <w:r>
        <w:rPr>
          <w:rFonts w:cs="Arial"/>
        </w:rPr>
        <w:t xml:space="preserve"> </w:t>
      </w:r>
      <w:r>
        <w:rPr>
          <w:rFonts w:cs="Arial"/>
          <w:noProof/>
        </w:rPr>
        <w:t>(Pepin</w:t>
      </w:r>
      <w:r w:rsidRPr="00C142A9">
        <w:rPr>
          <w:rFonts w:cs="Arial"/>
          <w:i/>
          <w:noProof/>
        </w:rPr>
        <w:t xml:space="preserve"> </w:t>
      </w:r>
      <w:r w:rsidRPr="00043C1D">
        <w:rPr>
          <w:rFonts w:cs="Arial"/>
          <w:noProof/>
        </w:rPr>
        <w:t>et al.</w:t>
      </w:r>
      <w:r>
        <w:rPr>
          <w:rFonts w:cs="Arial"/>
          <w:noProof/>
        </w:rPr>
        <w:t xml:space="preserve"> 2015)</w:t>
      </w:r>
      <w:r w:rsidRPr="00763B99">
        <w:rPr>
          <w:rFonts w:cs="Arial"/>
        </w:rPr>
        <w:t xml:space="preserve">, but much less is known about how these factors contribute to populations of freshwater species. </w:t>
      </w:r>
      <w:r w:rsidRPr="00763B99">
        <w:rPr>
          <w:rFonts w:cs="Arial"/>
          <w:color w:val="000000"/>
        </w:rPr>
        <w:t>It is well-established that many species of fish in the Murray-Darling Basin do not require over-bank flows, or changes in water level, to initiate</w:t>
      </w:r>
      <w:r w:rsidRPr="00763B99">
        <w:rPr>
          <w:rFonts w:cs="Arial"/>
          <w:i/>
          <w:color w:val="000000"/>
        </w:rPr>
        <w:t xml:space="preserve"> </w:t>
      </w:r>
      <w:r w:rsidR="0050051F" w:rsidRPr="0050051F">
        <w:rPr>
          <w:rFonts w:cs="Arial"/>
          <w:color w:val="000000"/>
        </w:rPr>
        <w:t>spawning</w:t>
      </w:r>
      <w:r w:rsidRPr="00B4506E">
        <w:rPr>
          <w:rFonts w:cs="Arial"/>
          <w:color w:val="000000"/>
        </w:rPr>
        <w:t xml:space="preserve"> </w:t>
      </w:r>
      <w:r>
        <w:rPr>
          <w:rFonts w:cs="Arial"/>
          <w:noProof/>
          <w:color w:val="000000"/>
        </w:rPr>
        <w:t>(Humphries et al. 1999)</w:t>
      </w:r>
      <w:r w:rsidRPr="00763B99">
        <w:rPr>
          <w:rFonts w:cs="Arial"/>
          <w:color w:val="000000"/>
        </w:rPr>
        <w:t xml:space="preserve"> but nonetheless </w:t>
      </w:r>
      <w:r w:rsidRPr="00763B99">
        <w:rPr>
          <w:rFonts w:cs="Arial"/>
          <w:i/>
          <w:color w:val="000000"/>
        </w:rPr>
        <w:t>recruitment</w:t>
      </w:r>
      <w:r w:rsidRPr="00763B99">
        <w:rPr>
          <w:rFonts w:cs="Arial"/>
          <w:color w:val="000000"/>
        </w:rPr>
        <w:t xml:space="preserve"> of all species may be affected by alterat</w:t>
      </w:r>
      <w:r>
        <w:rPr>
          <w:rFonts w:cs="Arial"/>
          <w:color w:val="000000"/>
        </w:rPr>
        <w:t>ions to the natural flow regime</w:t>
      </w:r>
      <w:r w:rsidR="007B4C30">
        <w:rPr>
          <w:rFonts w:cs="Arial"/>
          <w:color w:val="000000"/>
        </w:rPr>
        <w:t>,</w:t>
      </w:r>
      <w:r>
        <w:rPr>
          <w:rFonts w:cs="Arial"/>
          <w:color w:val="000000"/>
        </w:rPr>
        <w:t xml:space="preserve"> and environmental flows</w:t>
      </w:r>
      <w:r w:rsidR="007B4C30">
        <w:rPr>
          <w:rFonts w:cs="Arial"/>
          <w:color w:val="000000"/>
        </w:rPr>
        <w:t xml:space="preserve"> may be able to address elements of this</w:t>
      </w:r>
      <w:r>
        <w:rPr>
          <w:rFonts w:cs="Arial"/>
          <w:color w:val="000000"/>
        </w:rPr>
        <w:t>.</w:t>
      </w:r>
    </w:p>
    <w:p w:rsidR="00AA31CC" w:rsidRPr="00AA31CC" w:rsidRDefault="005E0A51" w:rsidP="00DF6092">
      <w:pPr>
        <w:pStyle w:val="ListParagraph"/>
        <w:spacing w:after="120"/>
        <w:ind w:left="0"/>
        <w:rPr>
          <w:rFonts w:cs="Arial"/>
          <w:b/>
          <w:color w:val="4F6228" w:themeColor="accent3" w:themeShade="80"/>
          <w:sz w:val="24"/>
          <w:szCs w:val="24"/>
        </w:rPr>
      </w:pPr>
      <w:r>
        <w:rPr>
          <w:rFonts w:cs="Arial"/>
          <w:b/>
          <w:color w:val="4F6228" w:themeColor="accent3" w:themeShade="80"/>
          <w:sz w:val="24"/>
          <w:szCs w:val="24"/>
        </w:rPr>
        <w:t>11</w:t>
      </w:r>
      <w:r w:rsidR="00AA31CC" w:rsidRPr="00AA31CC">
        <w:rPr>
          <w:rFonts w:cs="Arial"/>
          <w:b/>
          <w:color w:val="4F6228" w:themeColor="accent3" w:themeShade="80"/>
          <w:sz w:val="24"/>
          <w:szCs w:val="24"/>
        </w:rPr>
        <w:t>.2 Questions</w:t>
      </w:r>
    </w:p>
    <w:p w:rsidR="00D72F5D" w:rsidRPr="00763B99" w:rsidRDefault="00D72F5D" w:rsidP="00DF6092">
      <w:pPr>
        <w:pStyle w:val="ListParagraph"/>
        <w:spacing w:after="120"/>
        <w:ind w:left="0"/>
        <w:jc w:val="left"/>
        <w:rPr>
          <w:rFonts w:cs="Arial"/>
        </w:rPr>
      </w:pPr>
      <w:r w:rsidRPr="00763B99">
        <w:rPr>
          <w:rFonts w:eastAsia="Times New Roman" w:cs="Arial"/>
          <w:color w:val="000000"/>
        </w:rPr>
        <w:t>The aims of this monitoring component were to develop growth and recruitment indices for young-of-y</w:t>
      </w:r>
      <w:r>
        <w:rPr>
          <w:rFonts w:eastAsia="Times New Roman" w:cs="Arial"/>
          <w:color w:val="000000"/>
        </w:rPr>
        <w:t>ear (YOY) and age-class 1 (1+) M</w:t>
      </w:r>
      <w:r w:rsidRPr="00763B99">
        <w:rPr>
          <w:rFonts w:eastAsia="Times New Roman" w:cs="Arial"/>
          <w:color w:val="000000"/>
        </w:rPr>
        <w:t>urray cod, golden perch and silver perch</w:t>
      </w:r>
      <w:r>
        <w:rPr>
          <w:rFonts w:eastAsia="Times New Roman" w:cs="Arial"/>
          <w:color w:val="000000"/>
        </w:rPr>
        <w:t xml:space="preserve"> and to provide the first year of data for the following long-term monitoring questions:</w:t>
      </w:r>
    </w:p>
    <w:p w:rsidR="00D72F5D" w:rsidRPr="00AA31CC" w:rsidRDefault="00CE00A5" w:rsidP="00070FB1">
      <w:pPr>
        <w:pStyle w:val="Default"/>
        <w:adjustRightInd/>
        <w:spacing w:after="120" w:line="360" w:lineRule="auto"/>
        <w:rPr>
          <w:rFonts w:asciiTheme="minorHAnsi" w:hAnsiTheme="minorHAnsi"/>
          <w:bCs/>
          <w:i/>
          <w:sz w:val="22"/>
          <w:szCs w:val="22"/>
        </w:rPr>
      </w:pPr>
      <w:r>
        <w:rPr>
          <w:rFonts w:asciiTheme="minorHAnsi" w:hAnsiTheme="minorHAnsi"/>
          <w:bCs/>
          <w:sz w:val="22"/>
          <w:szCs w:val="22"/>
        </w:rPr>
        <w:t xml:space="preserve">Q1: </w:t>
      </w:r>
      <w:r w:rsidR="00D72F5D" w:rsidRPr="00AA31CC">
        <w:rPr>
          <w:rFonts w:asciiTheme="minorHAnsi" w:hAnsiTheme="minorHAnsi"/>
          <w:bCs/>
          <w:i/>
          <w:sz w:val="22"/>
          <w:szCs w:val="22"/>
        </w:rPr>
        <w:t xml:space="preserve">Did Commonwealth Environmental Water affect the growth rate of </w:t>
      </w:r>
      <w:r w:rsidR="00D72F5D" w:rsidRPr="00AA31CC">
        <w:rPr>
          <w:rFonts w:asciiTheme="minorHAnsi" w:hAnsiTheme="minorHAnsi"/>
          <w:i/>
          <w:sz w:val="22"/>
          <w:szCs w:val="22"/>
        </w:rPr>
        <w:t xml:space="preserve">Murray cod, golden perch and silver perch </w:t>
      </w:r>
      <w:r w:rsidR="00D72F5D" w:rsidRPr="00AA31CC">
        <w:rPr>
          <w:rFonts w:asciiTheme="minorHAnsi" w:hAnsiTheme="minorHAnsi"/>
          <w:bCs/>
          <w:i/>
          <w:sz w:val="22"/>
          <w:szCs w:val="22"/>
        </w:rPr>
        <w:t>during the first year of life?</w:t>
      </w:r>
    </w:p>
    <w:p w:rsidR="00D72F5D" w:rsidRPr="00AA31CC" w:rsidRDefault="00CE00A5" w:rsidP="00311640">
      <w:pPr>
        <w:pStyle w:val="ListParagraph"/>
        <w:shd w:val="clear" w:color="auto" w:fill="FFFFFF"/>
        <w:spacing w:after="200" w:line="276" w:lineRule="auto"/>
        <w:ind w:left="0"/>
        <w:jc w:val="left"/>
        <w:rPr>
          <w:rFonts w:asciiTheme="minorHAnsi" w:hAnsiTheme="minorHAnsi" w:cs="Arial"/>
          <w:bCs/>
          <w:i/>
        </w:rPr>
      </w:pPr>
      <w:r>
        <w:rPr>
          <w:rFonts w:asciiTheme="minorHAnsi" w:hAnsiTheme="minorHAnsi" w:cs="Arial"/>
          <w:bCs/>
        </w:rPr>
        <w:t xml:space="preserve">Q2: </w:t>
      </w:r>
      <w:r w:rsidR="00D72F5D" w:rsidRPr="00AA31CC">
        <w:rPr>
          <w:rFonts w:asciiTheme="minorHAnsi" w:hAnsiTheme="minorHAnsi" w:cs="Arial"/>
          <w:bCs/>
          <w:i/>
        </w:rPr>
        <w:t xml:space="preserve">Did Commonwealth Environmental Water contribute to the recruitment of </w:t>
      </w:r>
      <w:r w:rsidR="00D72F5D" w:rsidRPr="00AA31CC">
        <w:rPr>
          <w:rFonts w:asciiTheme="minorHAnsi" w:eastAsia="Times New Roman" w:hAnsiTheme="minorHAnsi" w:cs="Arial"/>
          <w:i/>
          <w:color w:val="000000"/>
        </w:rPr>
        <w:t>Murray cod, golden perch and silver perch</w:t>
      </w:r>
      <w:r w:rsidR="00D72F5D" w:rsidRPr="00AA31CC">
        <w:rPr>
          <w:rFonts w:asciiTheme="minorHAnsi" w:hAnsiTheme="minorHAnsi" w:cs="Arial"/>
          <w:bCs/>
          <w:i/>
        </w:rPr>
        <w:t>?</w:t>
      </w:r>
    </w:p>
    <w:p w:rsidR="006C3C29" w:rsidRPr="006C3C29" w:rsidRDefault="006C3C29" w:rsidP="00311640">
      <w:pPr>
        <w:spacing w:after="0"/>
        <w:jc w:val="left"/>
        <w:rPr>
          <w:rFonts w:cs="Arial"/>
        </w:rPr>
      </w:pPr>
      <w:r>
        <w:rPr>
          <w:rFonts w:cs="Arial"/>
        </w:rPr>
        <w:t>It was predicted that the 2014-15 Yallakool Creek watering action would achieve b</w:t>
      </w:r>
      <w:r w:rsidRPr="006C3C29">
        <w:rPr>
          <w:rFonts w:cs="Arial"/>
        </w:rPr>
        <w:t>etter growth rates and recruitment of juvenile Murray cod</w:t>
      </w:r>
      <w:r w:rsidR="004D5913">
        <w:rPr>
          <w:rFonts w:cs="Arial"/>
        </w:rPr>
        <w:t>,</w:t>
      </w:r>
      <w:r w:rsidRPr="006C3C29">
        <w:rPr>
          <w:rFonts w:cs="Arial"/>
        </w:rPr>
        <w:t xml:space="preserve"> </w:t>
      </w:r>
      <w:r>
        <w:rPr>
          <w:rFonts w:cs="Arial"/>
        </w:rPr>
        <w:t>provided that the flow increased primary productivity</w:t>
      </w:r>
      <w:r w:rsidR="00D652D8">
        <w:rPr>
          <w:rFonts w:cs="Arial"/>
        </w:rPr>
        <w:t xml:space="preserve"> or </w:t>
      </w:r>
      <w:r w:rsidRPr="006C3C29">
        <w:rPr>
          <w:rFonts w:cs="Arial"/>
        </w:rPr>
        <w:t>the availability of habitat</w:t>
      </w:r>
      <w:r w:rsidR="004D5913">
        <w:rPr>
          <w:rFonts w:cs="Arial"/>
        </w:rPr>
        <w:t xml:space="preserve"> (</w:t>
      </w:r>
      <w:r w:rsidRPr="006C3C29">
        <w:rPr>
          <w:rFonts w:cs="Arial"/>
        </w:rPr>
        <w:t>such as large woody debris and other instream structure</w:t>
      </w:r>
      <w:r w:rsidR="004D5913">
        <w:rPr>
          <w:rFonts w:cs="Arial"/>
        </w:rPr>
        <w:t>) for recruits, as these habitats</w:t>
      </w:r>
      <w:r w:rsidRPr="006C3C29">
        <w:rPr>
          <w:rFonts w:cs="Arial"/>
        </w:rPr>
        <w:t xml:space="preserve"> can create slack-water habitat and concentrate food and provide cover for young fish.</w:t>
      </w:r>
    </w:p>
    <w:p w:rsidR="006C3C29" w:rsidRDefault="006C3C29" w:rsidP="00D72F5D">
      <w:pPr>
        <w:spacing w:after="0" w:line="240" w:lineRule="auto"/>
      </w:pPr>
    </w:p>
    <w:p w:rsidR="00D72F5D" w:rsidRPr="00AA31CC" w:rsidRDefault="005E0A51" w:rsidP="00D72F5D">
      <w:pPr>
        <w:pStyle w:val="ListParagraph"/>
        <w:spacing w:after="0"/>
        <w:ind w:left="0"/>
        <w:rPr>
          <w:b/>
          <w:color w:val="4F6228" w:themeColor="accent3" w:themeShade="80"/>
          <w:sz w:val="24"/>
          <w:szCs w:val="24"/>
        </w:rPr>
      </w:pPr>
      <w:r>
        <w:rPr>
          <w:b/>
          <w:color w:val="4F6228" w:themeColor="accent3" w:themeShade="80"/>
          <w:sz w:val="24"/>
          <w:szCs w:val="24"/>
        </w:rPr>
        <w:t>11</w:t>
      </w:r>
      <w:r w:rsidR="00AA31CC" w:rsidRPr="00AA31CC">
        <w:rPr>
          <w:b/>
          <w:color w:val="4F6228" w:themeColor="accent3" w:themeShade="80"/>
          <w:sz w:val="24"/>
          <w:szCs w:val="24"/>
        </w:rPr>
        <w:t xml:space="preserve">.3 </w:t>
      </w:r>
      <w:r w:rsidR="00D72F5D" w:rsidRPr="00AA31CC">
        <w:rPr>
          <w:b/>
          <w:color w:val="4F6228" w:themeColor="accent3" w:themeShade="80"/>
          <w:sz w:val="24"/>
          <w:szCs w:val="24"/>
        </w:rPr>
        <w:t xml:space="preserve">Methods </w:t>
      </w:r>
    </w:p>
    <w:p w:rsidR="00D72F5D" w:rsidRPr="00763B99" w:rsidRDefault="00D72F5D" w:rsidP="00D72F5D">
      <w:pPr>
        <w:shd w:val="clear" w:color="auto" w:fill="FFFFFF"/>
        <w:spacing w:before="100" w:beforeAutospacing="1" w:after="100" w:afterAutospacing="1"/>
        <w:rPr>
          <w:rFonts w:eastAsia="Times New Roman" w:cs="Arial"/>
          <w:i/>
          <w:color w:val="000000"/>
        </w:rPr>
      </w:pPr>
      <w:r w:rsidRPr="00763B99">
        <w:rPr>
          <w:rFonts w:eastAsia="Times New Roman" w:cs="Arial"/>
          <w:i/>
          <w:color w:val="000000"/>
        </w:rPr>
        <w:t xml:space="preserve">Field </w:t>
      </w:r>
      <w:r>
        <w:rPr>
          <w:rFonts w:eastAsia="Times New Roman" w:cs="Arial"/>
          <w:i/>
          <w:color w:val="000000"/>
        </w:rPr>
        <w:t>sampling</w:t>
      </w:r>
    </w:p>
    <w:p w:rsidR="00D72F5D" w:rsidRPr="00763B99" w:rsidRDefault="00D72F5D" w:rsidP="00311640">
      <w:pPr>
        <w:pStyle w:val="ListParagraph"/>
        <w:ind w:left="0"/>
        <w:jc w:val="left"/>
        <w:rPr>
          <w:rFonts w:cs="Arial"/>
        </w:rPr>
      </w:pPr>
      <w:r w:rsidRPr="005F3902">
        <w:rPr>
          <w:rFonts w:eastAsia="Times New Roman" w:cs="Arial"/>
          <w:color w:val="000000"/>
        </w:rPr>
        <w:t xml:space="preserve">Four sites were sampled in </w:t>
      </w:r>
      <w:r>
        <w:rPr>
          <w:rFonts w:eastAsia="Times New Roman" w:cs="Arial"/>
          <w:color w:val="000000"/>
        </w:rPr>
        <w:t xml:space="preserve">each of four </w:t>
      </w:r>
      <w:r w:rsidR="000C329E">
        <w:rPr>
          <w:rFonts w:eastAsia="Times New Roman" w:cs="Arial"/>
          <w:color w:val="000000"/>
        </w:rPr>
        <w:t>hydrological</w:t>
      </w:r>
      <w:r>
        <w:rPr>
          <w:rFonts w:eastAsia="Times New Roman" w:cs="Arial"/>
          <w:color w:val="000000"/>
        </w:rPr>
        <w:t xml:space="preserve"> zones within the Edward-Wakool system:</w:t>
      </w:r>
      <w:r w:rsidR="00962B61">
        <w:rPr>
          <w:rFonts w:eastAsia="Times New Roman" w:cs="Arial"/>
          <w:color w:val="000000"/>
        </w:rPr>
        <w:t xml:space="preserve"> Yallakool Creek</w:t>
      </w:r>
      <w:r w:rsidR="00AB4876">
        <w:rPr>
          <w:rFonts w:eastAsia="Times New Roman" w:cs="Arial"/>
          <w:color w:val="000000"/>
        </w:rPr>
        <w:t xml:space="preserve"> zone 1</w:t>
      </w:r>
      <w:r w:rsidR="00962B61">
        <w:rPr>
          <w:rFonts w:eastAsia="Times New Roman" w:cs="Arial"/>
          <w:color w:val="000000"/>
        </w:rPr>
        <w:t>, Wakool River zone 2, Wakool River z</w:t>
      </w:r>
      <w:r w:rsidRPr="005F3902">
        <w:rPr>
          <w:rFonts w:eastAsia="Times New Roman" w:cs="Arial"/>
          <w:color w:val="000000"/>
        </w:rPr>
        <w:t>one</w:t>
      </w:r>
      <w:r w:rsidR="007B4C30">
        <w:rPr>
          <w:rFonts w:eastAsia="Times New Roman" w:cs="Arial"/>
          <w:color w:val="000000"/>
        </w:rPr>
        <w:t xml:space="preserve"> </w:t>
      </w:r>
      <w:r w:rsidR="00962B61">
        <w:rPr>
          <w:rFonts w:eastAsia="Times New Roman" w:cs="Arial"/>
          <w:color w:val="000000"/>
        </w:rPr>
        <w:t>3 and Wakool River z</w:t>
      </w:r>
      <w:r w:rsidRPr="005F3902">
        <w:rPr>
          <w:rFonts w:eastAsia="Times New Roman" w:cs="Arial"/>
          <w:color w:val="000000"/>
        </w:rPr>
        <w:t>one 4. Each</w:t>
      </w:r>
      <w:r w:rsidR="005E0431">
        <w:rPr>
          <w:rFonts w:eastAsia="Times New Roman" w:cs="Arial"/>
          <w:color w:val="000000"/>
        </w:rPr>
        <w:t xml:space="preserve"> of</w:t>
      </w:r>
      <w:r w:rsidRPr="005F3902">
        <w:rPr>
          <w:rFonts w:eastAsia="Times New Roman" w:cs="Arial"/>
          <w:color w:val="000000"/>
        </w:rPr>
        <w:t xml:space="preserve"> the 16 sites were sampled </w:t>
      </w:r>
      <w:r>
        <w:rPr>
          <w:rFonts w:eastAsia="Times New Roman" w:cs="Arial"/>
          <w:color w:val="000000"/>
        </w:rPr>
        <w:t>in a</w:t>
      </w:r>
      <w:r w:rsidRPr="005F3902">
        <w:rPr>
          <w:rFonts w:eastAsia="Times New Roman" w:cs="Arial"/>
          <w:color w:val="000000"/>
        </w:rPr>
        <w:t xml:space="preserve"> randomly selected </w:t>
      </w:r>
      <w:r>
        <w:rPr>
          <w:rFonts w:eastAsia="Times New Roman" w:cs="Arial"/>
          <w:color w:val="000000"/>
        </w:rPr>
        <w:t>order</w:t>
      </w:r>
      <w:r w:rsidRPr="005F3902">
        <w:rPr>
          <w:rFonts w:eastAsia="Times New Roman" w:cs="Arial"/>
          <w:color w:val="000000"/>
        </w:rPr>
        <w:t xml:space="preserve"> between February </w:t>
      </w:r>
      <w:r w:rsidR="004D2513">
        <w:rPr>
          <w:rFonts w:eastAsia="Times New Roman" w:cs="Arial"/>
          <w:color w:val="000000"/>
        </w:rPr>
        <w:t>and</w:t>
      </w:r>
      <w:r w:rsidR="004D2513" w:rsidRPr="005F3902">
        <w:rPr>
          <w:rFonts w:eastAsia="Times New Roman" w:cs="Arial"/>
          <w:color w:val="000000"/>
        </w:rPr>
        <w:t xml:space="preserve"> </w:t>
      </w:r>
      <w:r w:rsidRPr="005F3902">
        <w:rPr>
          <w:rFonts w:eastAsia="Times New Roman" w:cs="Arial"/>
          <w:color w:val="000000"/>
        </w:rPr>
        <w:t xml:space="preserve">March 2015. </w:t>
      </w:r>
      <w:r>
        <w:rPr>
          <w:rFonts w:eastAsia="Times New Roman" w:cs="Arial"/>
          <w:color w:val="000000"/>
        </w:rPr>
        <w:t>Autumn</w:t>
      </w:r>
      <w:r w:rsidRPr="005F3902">
        <w:rPr>
          <w:rFonts w:eastAsia="Times New Roman" w:cs="Arial"/>
          <w:color w:val="000000"/>
        </w:rPr>
        <w:t xml:space="preserve"> sampling was undertaken to allow </w:t>
      </w:r>
      <w:r>
        <w:rPr>
          <w:rFonts w:eastAsia="Times New Roman" w:cs="Arial"/>
          <w:color w:val="000000"/>
        </w:rPr>
        <w:t xml:space="preserve">fish </w:t>
      </w:r>
      <w:r w:rsidRPr="005F3902">
        <w:rPr>
          <w:rFonts w:eastAsia="Times New Roman" w:cs="Arial"/>
          <w:color w:val="000000"/>
        </w:rPr>
        <w:t xml:space="preserve">larvae hatched </w:t>
      </w:r>
      <w:r>
        <w:rPr>
          <w:rFonts w:eastAsia="Times New Roman" w:cs="Arial"/>
          <w:color w:val="000000"/>
        </w:rPr>
        <w:t>during</w:t>
      </w:r>
      <w:r w:rsidRPr="005F3902">
        <w:rPr>
          <w:rFonts w:eastAsia="Times New Roman" w:cs="Arial"/>
          <w:color w:val="000000"/>
        </w:rPr>
        <w:t xml:space="preserve"> spring and summer to reach the juvenile, Young-of-Year (YOY) stage, while at the same time sampling age-class 1 (1+) </w:t>
      </w:r>
      <w:r>
        <w:rPr>
          <w:rFonts w:eastAsia="Times New Roman" w:cs="Arial"/>
          <w:color w:val="000000"/>
        </w:rPr>
        <w:t>recruits</w:t>
      </w:r>
      <w:r w:rsidRPr="005F3902">
        <w:rPr>
          <w:rFonts w:eastAsia="Times New Roman" w:cs="Arial"/>
          <w:color w:val="000000"/>
        </w:rPr>
        <w:t xml:space="preserve"> which survived </w:t>
      </w:r>
      <w:r>
        <w:rPr>
          <w:rFonts w:eastAsia="Times New Roman" w:cs="Arial"/>
          <w:color w:val="000000"/>
        </w:rPr>
        <w:t>a previous</w:t>
      </w:r>
      <w:r w:rsidRPr="005F3902">
        <w:rPr>
          <w:rFonts w:eastAsia="Times New Roman" w:cs="Arial"/>
          <w:color w:val="000000"/>
        </w:rPr>
        <w:t xml:space="preserve"> winter. Three sampling methods including backpack electrofishing, standardised angling and baited set-lines were undertaken to target recruits </w:t>
      </w:r>
      <w:r>
        <w:rPr>
          <w:rFonts w:eastAsia="Times New Roman" w:cs="Arial"/>
          <w:color w:val="000000"/>
        </w:rPr>
        <w:t xml:space="preserve">of Murray cod, golden perch and silver perch </w:t>
      </w:r>
      <w:r w:rsidRPr="005F3902">
        <w:rPr>
          <w:rFonts w:eastAsia="Times New Roman" w:cs="Arial"/>
          <w:color w:val="000000"/>
        </w:rPr>
        <w:t xml:space="preserve">at each of the 16 sites. </w:t>
      </w:r>
      <w:r>
        <w:rPr>
          <w:rFonts w:eastAsia="Times New Roman" w:cs="Arial"/>
          <w:color w:val="000000"/>
        </w:rPr>
        <w:t xml:space="preserve">These species were selected for recruitment analyses based on stakeholder </w:t>
      </w:r>
      <w:r w:rsidR="004D5913">
        <w:rPr>
          <w:rFonts w:eastAsia="Times New Roman" w:cs="Arial"/>
          <w:color w:val="000000"/>
        </w:rPr>
        <w:t>input as they</w:t>
      </w:r>
      <w:r>
        <w:rPr>
          <w:rFonts w:eastAsia="Times New Roman" w:cs="Arial"/>
          <w:color w:val="000000"/>
        </w:rPr>
        <w:t xml:space="preserve"> represent the three primary species </w:t>
      </w:r>
      <w:r w:rsidR="000C329E">
        <w:rPr>
          <w:rFonts w:eastAsia="Times New Roman" w:cs="Arial"/>
          <w:color w:val="000000"/>
        </w:rPr>
        <w:t>of interest to</w:t>
      </w:r>
      <w:r>
        <w:rPr>
          <w:rFonts w:eastAsia="Times New Roman" w:cs="Arial"/>
          <w:color w:val="000000"/>
        </w:rPr>
        <w:t xml:space="preserve"> recreational anglers in the Edward-Wakool system. </w:t>
      </w:r>
      <w:r w:rsidR="004D5913">
        <w:rPr>
          <w:rFonts w:eastAsia="Times New Roman" w:cs="Arial"/>
          <w:color w:val="000000"/>
        </w:rPr>
        <w:t>These species also have a longer life span than the smaller bodied fish species, and responses of these species to environmental watering is expected over a longer time-span (2-5 years).</w:t>
      </w:r>
    </w:p>
    <w:p w:rsidR="00D72F5D" w:rsidRDefault="00D72F5D" w:rsidP="00AB4876">
      <w:pPr>
        <w:shd w:val="clear" w:color="auto" w:fill="FFFFFF"/>
        <w:spacing w:after="240"/>
        <w:jc w:val="left"/>
        <w:rPr>
          <w:rFonts w:cs="Arial"/>
          <w:color w:val="000000"/>
        </w:rPr>
      </w:pPr>
      <w:r>
        <w:rPr>
          <w:rFonts w:cs="Arial"/>
          <w:color w:val="000000"/>
        </w:rPr>
        <w:t>Continuous b</w:t>
      </w:r>
      <w:r w:rsidRPr="005F3902">
        <w:rPr>
          <w:rFonts w:cs="Arial"/>
          <w:color w:val="000000"/>
        </w:rPr>
        <w:t>ackpack electrofishing</w:t>
      </w:r>
      <w:r>
        <w:rPr>
          <w:rFonts w:cs="Arial"/>
          <w:color w:val="000000"/>
        </w:rPr>
        <w:t>,</w:t>
      </w:r>
      <w:r w:rsidRPr="005F3902">
        <w:rPr>
          <w:rFonts w:cs="Arial"/>
          <w:color w:val="000000"/>
        </w:rPr>
        <w:t xml:space="preserve"> </w:t>
      </w:r>
      <w:r>
        <w:rPr>
          <w:rFonts w:cs="Arial"/>
          <w:color w:val="000000"/>
        </w:rPr>
        <w:t>using a 12 V DC battery with a Smith-Root unit, was undertaken at each site by an operator and one person equipped with a 5 mm mesh dip-net</w:t>
      </w:r>
      <w:r w:rsidRPr="005F3902">
        <w:rPr>
          <w:rFonts w:cs="Arial"/>
          <w:color w:val="000000"/>
        </w:rPr>
        <w:t>.</w:t>
      </w:r>
      <w:r>
        <w:rPr>
          <w:rFonts w:cs="Arial"/>
          <w:color w:val="000000"/>
        </w:rPr>
        <w:t xml:space="preserve"> Each site was sampled for a minimum of 3000 seconds of backpack-on electrofishing time, which resulted in a sampling distance of more than 25 times the average wetted-width at each site and 100 times the average wetted width for each zone. Since this was the first year of fish recruitment monitoring, the required level of effort to detect differences among zones was unknown</w:t>
      </w:r>
      <w:r w:rsidR="0083142D">
        <w:rPr>
          <w:rFonts w:cs="Arial"/>
          <w:color w:val="000000"/>
        </w:rPr>
        <w:t>. T</w:t>
      </w:r>
      <w:r>
        <w:rPr>
          <w:rFonts w:cs="Arial"/>
          <w:color w:val="000000"/>
        </w:rPr>
        <w:t xml:space="preserve">herefore effort was estimated based </w:t>
      </w:r>
      <w:r w:rsidR="0083142D">
        <w:rPr>
          <w:rFonts w:cs="Arial"/>
          <w:color w:val="000000"/>
        </w:rPr>
        <w:t xml:space="preserve">on </w:t>
      </w:r>
      <w:r>
        <w:rPr>
          <w:rFonts w:cs="Arial"/>
          <w:color w:val="000000"/>
        </w:rPr>
        <w:t xml:space="preserve">the recommended sampling distances of 40-100 times the average wetted width for standardised surveys </w:t>
      </w:r>
      <w:r>
        <w:rPr>
          <w:rFonts w:cs="Arial"/>
          <w:noProof/>
          <w:color w:val="000000"/>
        </w:rPr>
        <w:t>(Hughes and Peck 2008)</w:t>
      </w:r>
      <w:r>
        <w:rPr>
          <w:rFonts w:cs="Arial"/>
          <w:color w:val="000000"/>
        </w:rPr>
        <w:t>.</w:t>
      </w:r>
    </w:p>
    <w:p w:rsidR="00D72F5D" w:rsidRPr="005F3902" w:rsidRDefault="00D72F5D" w:rsidP="00311640">
      <w:pPr>
        <w:shd w:val="clear" w:color="auto" w:fill="FFFFFF"/>
        <w:spacing w:after="240"/>
        <w:jc w:val="left"/>
        <w:rPr>
          <w:rFonts w:cs="Arial"/>
          <w:color w:val="000000"/>
        </w:rPr>
      </w:pPr>
      <w:r>
        <w:rPr>
          <w:rFonts w:cs="Arial"/>
          <w:color w:val="000000"/>
        </w:rPr>
        <w:t xml:space="preserve">Higher than normal power settings were used in backpack electrofishing to maximise the sampling efficiency of small-bodied recruits, which are less susceptible to electrical currents than larger individuals </w:t>
      </w:r>
      <w:r>
        <w:rPr>
          <w:rFonts w:cs="Arial"/>
          <w:noProof/>
          <w:color w:val="000000"/>
        </w:rPr>
        <w:t>(Dolan and Miranda 2003)</w:t>
      </w:r>
      <w:r>
        <w:rPr>
          <w:rFonts w:cs="Arial"/>
          <w:color w:val="000000"/>
        </w:rPr>
        <w:t>. A power of 1.5-3.0 A was achieved at all sites using 250-450V of pulsed direct current at a frequency of 45Hz. Sampling was undertaken during low to moderate flows in February or March at</w:t>
      </w:r>
      <w:r w:rsidR="00962B61">
        <w:rPr>
          <w:rFonts w:cs="Arial"/>
          <w:color w:val="000000"/>
        </w:rPr>
        <w:t xml:space="preserve"> all wadeable depths between 0 to</w:t>
      </w:r>
      <w:r>
        <w:rPr>
          <w:rFonts w:cs="Arial"/>
          <w:color w:val="000000"/>
        </w:rPr>
        <w:t xml:space="preserve"> 1.2 m, alternating banks when possible to follow the wadable shoreline adjacent to the thalweg</w:t>
      </w:r>
      <w:r w:rsidR="00547DB7">
        <w:rPr>
          <w:rFonts w:cs="Arial"/>
          <w:color w:val="000000"/>
        </w:rPr>
        <w:t xml:space="preserve"> </w:t>
      </w:r>
      <w:r w:rsidR="00547DB7" w:rsidRPr="00E3073F">
        <w:rPr>
          <w:rFonts w:asciiTheme="minorHAnsi" w:hAnsiTheme="minorHAnsi"/>
        </w:rPr>
        <w:t>(lowest point of the main discharge carrying portion of the river)</w:t>
      </w:r>
      <w:r>
        <w:rPr>
          <w:rFonts w:cs="Arial"/>
          <w:color w:val="000000"/>
        </w:rPr>
        <w:t>. Presence of non-target species was recorded at each site, while length measurements and counts were made for all individuals of the three target species and common carp.</w:t>
      </w:r>
    </w:p>
    <w:p w:rsidR="00D72F5D" w:rsidRPr="005F3902" w:rsidRDefault="00D72F5D" w:rsidP="00311640">
      <w:pPr>
        <w:shd w:val="clear" w:color="auto" w:fill="FFFFFF"/>
        <w:spacing w:after="240"/>
        <w:jc w:val="left"/>
        <w:rPr>
          <w:rFonts w:cs="Arial"/>
          <w:color w:val="000000"/>
        </w:rPr>
      </w:pPr>
      <w:r w:rsidRPr="005F3902">
        <w:rPr>
          <w:rFonts w:cs="Arial"/>
          <w:color w:val="000000"/>
        </w:rPr>
        <w:t>Standardised angling</w:t>
      </w:r>
      <w:r w:rsidRPr="005F3902">
        <w:rPr>
          <w:rFonts w:cs="Arial"/>
          <w:i/>
          <w:color w:val="000000"/>
        </w:rPr>
        <w:t xml:space="preserve"> </w:t>
      </w:r>
      <w:r w:rsidRPr="005F3902">
        <w:rPr>
          <w:rFonts w:cs="Arial"/>
          <w:color w:val="000000"/>
        </w:rPr>
        <w:t>was carried out by two anglers with the specific aim of targeting young silver perch</w:t>
      </w:r>
      <w:r>
        <w:rPr>
          <w:rFonts w:cs="Arial"/>
          <w:color w:val="000000"/>
        </w:rPr>
        <w:t xml:space="preserve"> and golden perch</w:t>
      </w:r>
      <w:r w:rsidR="00AA31CC">
        <w:rPr>
          <w:rFonts w:cs="Arial"/>
          <w:color w:val="000000"/>
        </w:rPr>
        <w:t xml:space="preserve">. </w:t>
      </w:r>
      <w:r w:rsidRPr="005F3902">
        <w:rPr>
          <w:rFonts w:cs="Arial"/>
          <w:color w:val="000000"/>
        </w:rPr>
        <w:t>Recreational anglers have previously reported catching large numbers of silver perch in the Edward-Wakool system, particularly following floods in 2010-11.</w:t>
      </w:r>
      <w:r w:rsidRPr="005F3902">
        <w:rPr>
          <w:rFonts w:cs="Arial"/>
          <w:i/>
          <w:color w:val="000000"/>
        </w:rPr>
        <w:t xml:space="preserve"> </w:t>
      </w:r>
      <w:r w:rsidRPr="005F3902">
        <w:rPr>
          <w:rFonts w:cs="Arial"/>
          <w:color w:val="000000"/>
        </w:rPr>
        <w:t>Standardised angling at each site consisted of two anglers fishing on the bank for two hours. Angling gear was matched to the specifications commonly used by loc</w:t>
      </w:r>
      <w:r w:rsidR="00962B61">
        <w:rPr>
          <w:rFonts w:cs="Arial"/>
          <w:color w:val="000000"/>
        </w:rPr>
        <w:t xml:space="preserve">al fisherman and consisted of 8 to </w:t>
      </w:r>
      <w:r w:rsidRPr="005F3902">
        <w:rPr>
          <w:rFonts w:cs="Arial"/>
          <w:color w:val="000000"/>
        </w:rPr>
        <w:t>14 lb monofilament att</w:t>
      </w:r>
      <w:r w:rsidR="00962B61">
        <w:rPr>
          <w:rFonts w:cs="Arial"/>
          <w:color w:val="000000"/>
        </w:rPr>
        <w:t>ached to a baited hook, 0.04 g to</w:t>
      </w:r>
      <w:r w:rsidRPr="005F3902">
        <w:rPr>
          <w:rFonts w:cs="Arial"/>
          <w:color w:val="000000"/>
        </w:rPr>
        <w:t xml:space="preserve"> 0.08 g split shot weight, </w:t>
      </w:r>
      <w:r w:rsidR="00962B61">
        <w:rPr>
          <w:rFonts w:cs="Arial"/>
          <w:color w:val="000000"/>
        </w:rPr>
        <w:t xml:space="preserve">rod and spinning reel. A size 6 to </w:t>
      </w:r>
      <w:r>
        <w:rPr>
          <w:rFonts w:cs="Arial"/>
          <w:color w:val="000000"/>
        </w:rPr>
        <w:t>10</w:t>
      </w:r>
      <w:r w:rsidRPr="005F3902">
        <w:rPr>
          <w:rFonts w:cs="Arial"/>
          <w:color w:val="000000"/>
        </w:rPr>
        <w:t xml:space="preserve"> J-hook modified to form a circle hook was used to target the small mouth-size of recruits. Each angler used </w:t>
      </w:r>
      <w:r>
        <w:rPr>
          <w:rFonts w:cs="Arial"/>
          <w:color w:val="000000"/>
        </w:rPr>
        <w:t xml:space="preserve">a </w:t>
      </w:r>
      <w:r w:rsidRPr="005F3902">
        <w:rPr>
          <w:rFonts w:cs="Arial"/>
          <w:color w:val="000000"/>
        </w:rPr>
        <w:t>different bait consi</w:t>
      </w:r>
      <w:r w:rsidR="00962B61">
        <w:rPr>
          <w:rFonts w:cs="Arial"/>
          <w:color w:val="000000"/>
        </w:rPr>
        <w:t xml:space="preserve">sting of 10 to 20 mm of worm, or 5 to </w:t>
      </w:r>
      <w:r w:rsidRPr="005F3902">
        <w:rPr>
          <w:rFonts w:cs="Arial"/>
          <w:color w:val="000000"/>
        </w:rPr>
        <w:t>10 mm</w:t>
      </w:r>
      <w:r w:rsidRPr="005F3902">
        <w:rPr>
          <w:rFonts w:cs="Arial"/>
          <w:color w:val="000000"/>
          <w:vertAlign w:val="superscript"/>
        </w:rPr>
        <w:t>3</w:t>
      </w:r>
      <w:r w:rsidRPr="005F3902">
        <w:rPr>
          <w:rFonts w:cs="Arial"/>
          <w:color w:val="000000"/>
        </w:rPr>
        <w:t xml:space="preserve"> of cheddar cheese. Baits were cast into a range of habitats, left still, slowly retrieved and repeate</w:t>
      </w:r>
      <w:r w:rsidR="00962B61">
        <w:rPr>
          <w:rFonts w:cs="Arial"/>
          <w:color w:val="000000"/>
        </w:rPr>
        <w:t xml:space="preserve">d every 5 to </w:t>
      </w:r>
      <w:r w:rsidRPr="005F3902">
        <w:rPr>
          <w:rFonts w:cs="Arial"/>
          <w:color w:val="000000"/>
        </w:rPr>
        <w:t>15 minutes occasionally moving locations.</w:t>
      </w:r>
      <w:r>
        <w:rPr>
          <w:rFonts w:cs="Arial"/>
          <w:color w:val="000000"/>
        </w:rPr>
        <w:t xml:space="preserve"> Species and length were recorded for all individuals caught.</w:t>
      </w:r>
    </w:p>
    <w:p w:rsidR="00D72F5D" w:rsidRPr="005F3902" w:rsidRDefault="00962B61" w:rsidP="00311640">
      <w:pPr>
        <w:pStyle w:val="PlainText"/>
        <w:spacing w:after="240" w:line="360" w:lineRule="auto"/>
        <w:rPr>
          <w:rFonts w:ascii="Calibri" w:hAnsi="Calibri"/>
          <w:sz w:val="22"/>
          <w:szCs w:val="22"/>
        </w:rPr>
      </w:pPr>
      <w:r>
        <w:rPr>
          <w:rFonts w:ascii="Calibri" w:hAnsi="Calibri"/>
          <w:sz w:val="22"/>
          <w:szCs w:val="22"/>
        </w:rPr>
        <w:t xml:space="preserve">Ten set-lines, each with a 3 to </w:t>
      </w:r>
      <w:r w:rsidR="00D72F5D" w:rsidRPr="005F3902">
        <w:rPr>
          <w:rFonts w:ascii="Calibri" w:hAnsi="Calibri"/>
          <w:sz w:val="22"/>
          <w:szCs w:val="22"/>
        </w:rPr>
        <w:t>10 m (100 lb) mon</w:t>
      </w:r>
      <w:r>
        <w:rPr>
          <w:rFonts w:ascii="Calibri" w:hAnsi="Calibri"/>
          <w:sz w:val="22"/>
          <w:szCs w:val="22"/>
        </w:rPr>
        <w:t xml:space="preserve">ofilament main-line and two 0.5 to </w:t>
      </w:r>
      <w:r w:rsidR="00D72F5D" w:rsidRPr="005F3902">
        <w:rPr>
          <w:rFonts w:ascii="Calibri" w:hAnsi="Calibri"/>
          <w:sz w:val="22"/>
          <w:szCs w:val="22"/>
        </w:rPr>
        <w:t>1.5 m (4 lb) leaders were set at each site. Lines were set, baited and hauled hour</w:t>
      </w:r>
      <w:r>
        <w:rPr>
          <w:rFonts w:ascii="Calibri" w:hAnsi="Calibri"/>
          <w:sz w:val="22"/>
          <w:szCs w:val="22"/>
        </w:rPr>
        <w:t xml:space="preserve">ly during day-light hours for 5 to </w:t>
      </w:r>
      <w:r w:rsidR="00D72F5D" w:rsidRPr="005F3902">
        <w:rPr>
          <w:rFonts w:ascii="Calibri" w:hAnsi="Calibri"/>
          <w:sz w:val="22"/>
          <w:szCs w:val="22"/>
        </w:rPr>
        <w:t xml:space="preserve">7 hours at each site. Hook type and bait </w:t>
      </w:r>
      <w:r w:rsidR="00D72F5D">
        <w:rPr>
          <w:rFonts w:ascii="Calibri" w:hAnsi="Calibri"/>
          <w:sz w:val="22"/>
          <w:szCs w:val="22"/>
        </w:rPr>
        <w:t xml:space="preserve">matched those </w:t>
      </w:r>
      <w:r w:rsidR="00D72F5D" w:rsidRPr="005F3902">
        <w:rPr>
          <w:rFonts w:ascii="Calibri" w:hAnsi="Calibri"/>
          <w:sz w:val="22"/>
          <w:szCs w:val="22"/>
        </w:rPr>
        <w:t xml:space="preserve">in the standardised angling section. </w:t>
      </w:r>
      <w:r w:rsidR="00D72F5D">
        <w:rPr>
          <w:rFonts w:ascii="Calibri" w:hAnsi="Calibri" w:cs="Arial"/>
          <w:color w:val="000000"/>
          <w:sz w:val="22"/>
          <w:szCs w:val="22"/>
        </w:rPr>
        <w:t>Set-lines were deployed from the river b</w:t>
      </w:r>
      <w:r>
        <w:rPr>
          <w:rFonts w:ascii="Calibri" w:hAnsi="Calibri" w:cs="Arial"/>
          <w:color w:val="000000"/>
          <w:sz w:val="22"/>
          <w:szCs w:val="22"/>
        </w:rPr>
        <w:t xml:space="preserve">ank into the thalweg, spaced 10 to20 m apart along a 100 to </w:t>
      </w:r>
      <w:r w:rsidR="00D72F5D">
        <w:rPr>
          <w:rFonts w:ascii="Calibri" w:hAnsi="Calibri" w:cs="Arial"/>
          <w:color w:val="000000"/>
          <w:sz w:val="22"/>
          <w:szCs w:val="22"/>
        </w:rPr>
        <w:t>200 meter reach. Species and length were recorded for all individuals caught.</w:t>
      </w:r>
    </w:p>
    <w:p w:rsidR="00DF6092" w:rsidRDefault="00D72F5D" w:rsidP="00AB4876">
      <w:pPr>
        <w:shd w:val="clear" w:color="auto" w:fill="FFFFFF"/>
        <w:spacing w:after="240"/>
        <w:jc w:val="left"/>
        <w:rPr>
          <w:rFonts w:eastAsia="Times New Roman" w:cs="Arial"/>
          <w:i/>
          <w:color w:val="000000"/>
        </w:rPr>
      </w:pPr>
      <w:r>
        <w:rPr>
          <w:rFonts w:eastAsia="Times New Roman" w:cs="Arial"/>
          <w:color w:val="000000"/>
        </w:rPr>
        <w:t xml:space="preserve">A sub-sample of less than 50 fish per zone and species were euthanized and frozen to determine the age and growth rate of recruits, while all other fish were released alive. Length limits estimated to be the maximum potential size of YOY and 1+ recruits for target species were 310 mm total length (TL) for Murray cod </w:t>
      </w:r>
      <w:r>
        <w:rPr>
          <w:rFonts w:eastAsia="Times New Roman" w:cs="Arial"/>
          <w:noProof/>
          <w:color w:val="000000"/>
        </w:rPr>
        <w:t>(Anderson et al. 1992)</w:t>
      </w:r>
      <w:r>
        <w:rPr>
          <w:rFonts w:eastAsia="Times New Roman" w:cs="Arial"/>
          <w:color w:val="000000"/>
        </w:rPr>
        <w:t xml:space="preserve"> and 285 mm TL for golden perch </w:t>
      </w:r>
      <w:r>
        <w:rPr>
          <w:rFonts w:eastAsia="Times New Roman" w:cs="Arial"/>
          <w:noProof/>
          <w:color w:val="000000"/>
        </w:rPr>
        <w:t>(Mallen‐Cooper and Stuart 2003)</w:t>
      </w:r>
      <w:r>
        <w:rPr>
          <w:rFonts w:eastAsia="Times New Roman" w:cs="Arial"/>
          <w:color w:val="000000"/>
        </w:rPr>
        <w:t xml:space="preserve">. Lethal sampling of silver perch was not permitted </w:t>
      </w:r>
      <w:r w:rsidR="00AB4876">
        <w:rPr>
          <w:rFonts w:eastAsia="Times New Roman" w:cs="Arial"/>
          <w:color w:val="000000"/>
        </w:rPr>
        <w:t xml:space="preserve">under the conditions of our sampling permit </w:t>
      </w:r>
      <w:r>
        <w:rPr>
          <w:rFonts w:eastAsia="Times New Roman" w:cs="Arial"/>
          <w:color w:val="000000"/>
        </w:rPr>
        <w:t xml:space="preserve">because it is a state listed threatened species, and therefore all individuals of this species were released alive. Fewer than 50 Murray cod </w:t>
      </w:r>
      <w:r w:rsidRPr="00447289">
        <w:rPr>
          <w:rFonts w:eastAsia="Times New Roman" w:cs="Arial"/>
          <w:color w:val="000000"/>
          <w:u w:val="single"/>
        </w:rPr>
        <w:t>&lt;</w:t>
      </w:r>
      <w:r>
        <w:rPr>
          <w:rFonts w:eastAsia="Times New Roman" w:cs="Arial"/>
          <w:color w:val="000000"/>
        </w:rPr>
        <w:t xml:space="preserve"> 310 mm TL per zone and fewer than 50 golden perch </w:t>
      </w:r>
      <w:r w:rsidRPr="00447289">
        <w:rPr>
          <w:rFonts w:eastAsia="Times New Roman" w:cs="Arial"/>
          <w:color w:val="000000"/>
          <w:u w:val="single"/>
        </w:rPr>
        <w:t>&lt;</w:t>
      </w:r>
      <w:r>
        <w:rPr>
          <w:rFonts w:eastAsia="Times New Roman" w:cs="Arial"/>
          <w:color w:val="000000"/>
        </w:rPr>
        <w:t xml:space="preserve"> 285</w:t>
      </w:r>
      <w:r w:rsidR="00905DA0">
        <w:rPr>
          <w:rFonts w:eastAsia="Times New Roman" w:cs="Arial"/>
          <w:color w:val="000000"/>
        </w:rPr>
        <w:t xml:space="preserve"> mm</w:t>
      </w:r>
      <w:r>
        <w:rPr>
          <w:rFonts w:eastAsia="Times New Roman" w:cs="Arial"/>
          <w:color w:val="000000"/>
        </w:rPr>
        <w:t xml:space="preserve"> from each of the four zones were euthanized by immersion in a 1% concentration over-dose of benzocaine and stored on ice until being transported to a f</w:t>
      </w:r>
      <w:r w:rsidR="000A4F7E">
        <w:rPr>
          <w:rFonts w:eastAsia="Times New Roman" w:cs="Arial"/>
          <w:color w:val="000000"/>
        </w:rPr>
        <w:t>reezer at the end of each day.</w:t>
      </w:r>
    </w:p>
    <w:p w:rsidR="00AB4876" w:rsidRDefault="00D72F5D" w:rsidP="00311640">
      <w:pPr>
        <w:shd w:val="clear" w:color="auto" w:fill="FFFFFF"/>
        <w:spacing w:before="100" w:beforeAutospacing="1" w:after="100" w:afterAutospacing="1"/>
        <w:jc w:val="left"/>
        <w:rPr>
          <w:rFonts w:eastAsia="Times New Roman" w:cs="Arial"/>
          <w:i/>
          <w:color w:val="000000"/>
        </w:rPr>
      </w:pPr>
      <w:r w:rsidRPr="00763B99">
        <w:rPr>
          <w:rFonts w:eastAsia="Times New Roman" w:cs="Arial"/>
          <w:i/>
          <w:color w:val="000000"/>
        </w:rPr>
        <w:t>Laboratory methods</w:t>
      </w:r>
    </w:p>
    <w:p w:rsidR="00D72F5D" w:rsidRDefault="00D72F5D" w:rsidP="00311640">
      <w:pPr>
        <w:shd w:val="clear" w:color="auto" w:fill="FFFFFF"/>
        <w:spacing w:before="100" w:beforeAutospacing="1" w:after="100" w:afterAutospacing="1"/>
        <w:jc w:val="left"/>
        <w:rPr>
          <w:rFonts w:eastAsia="Times New Roman" w:cs="Arial"/>
          <w:color w:val="000000"/>
        </w:rPr>
      </w:pPr>
      <w:r>
        <w:rPr>
          <w:rFonts w:eastAsia="Times New Roman" w:cs="Arial"/>
          <w:color w:val="000000"/>
        </w:rPr>
        <w:t>To determine the annual age and growth rate of recruits, sagittal otoliths from sub-sampled fish were</w:t>
      </w:r>
      <w:r w:rsidRPr="00763B99">
        <w:rPr>
          <w:rFonts w:eastAsia="Times New Roman" w:cs="Arial"/>
          <w:color w:val="000000"/>
        </w:rPr>
        <w:t xml:space="preserve"> </w:t>
      </w:r>
      <w:r>
        <w:rPr>
          <w:rFonts w:eastAsia="Times New Roman" w:cs="Arial"/>
          <w:color w:val="000000"/>
        </w:rPr>
        <w:t xml:space="preserve">extracted, </w:t>
      </w:r>
      <w:r w:rsidRPr="00763B99">
        <w:rPr>
          <w:rFonts w:eastAsia="Times New Roman" w:cs="Arial"/>
          <w:color w:val="000000"/>
        </w:rPr>
        <w:t>embedded</w:t>
      </w:r>
      <w:r>
        <w:rPr>
          <w:rFonts w:eastAsia="Times New Roman" w:cs="Arial"/>
          <w:color w:val="000000"/>
        </w:rPr>
        <w:t xml:space="preserve"> in a polyester resin</w:t>
      </w:r>
      <w:r w:rsidRPr="00763B99">
        <w:rPr>
          <w:rFonts w:eastAsia="Times New Roman" w:cs="Arial"/>
          <w:color w:val="000000"/>
        </w:rPr>
        <w:t xml:space="preserve"> </w:t>
      </w:r>
      <w:r>
        <w:rPr>
          <w:rFonts w:eastAsia="Times New Roman" w:cs="Arial"/>
          <w:color w:val="000000"/>
        </w:rPr>
        <w:t xml:space="preserve">and </w:t>
      </w:r>
      <w:r w:rsidRPr="00763B99">
        <w:rPr>
          <w:rFonts w:eastAsia="Times New Roman" w:cs="Arial"/>
          <w:color w:val="000000"/>
        </w:rPr>
        <w:t>sectioned</w:t>
      </w:r>
      <w:r>
        <w:rPr>
          <w:rFonts w:eastAsia="Times New Roman" w:cs="Arial"/>
          <w:color w:val="000000"/>
        </w:rPr>
        <w:t xml:space="preserve"> in the transverse plane to approximately 100 µm thick and </w:t>
      </w:r>
      <w:r w:rsidRPr="00763B99">
        <w:rPr>
          <w:rFonts w:eastAsia="Times New Roman" w:cs="Arial"/>
          <w:color w:val="000000"/>
        </w:rPr>
        <w:t>mounted on a microscope slide. Each s</w:t>
      </w:r>
      <w:r>
        <w:rPr>
          <w:rFonts w:eastAsia="Times New Roman" w:cs="Arial"/>
          <w:color w:val="000000"/>
        </w:rPr>
        <w:t>ection</w:t>
      </w:r>
      <w:r w:rsidRPr="00763B99">
        <w:rPr>
          <w:rFonts w:eastAsia="Times New Roman" w:cs="Arial"/>
          <w:color w:val="000000"/>
        </w:rPr>
        <w:t xml:space="preserve"> w</w:t>
      </w:r>
      <w:r>
        <w:rPr>
          <w:rFonts w:eastAsia="Times New Roman" w:cs="Arial"/>
          <w:color w:val="000000"/>
        </w:rPr>
        <w:t xml:space="preserve">as read blind by an independent consultant and </w:t>
      </w:r>
      <w:r w:rsidRPr="00763B99">
        <w:rPr>
          <w:rFonts w:eastAsia="Times New Roman" w:cs="Arial"/>
          <w:color w:val="000000"/>
        </w:rPr>
        <w:t>twice by the sub-project leader</w:t>
      </w:r>
      <w:r>
        <w:rPr>
          <w:rFonts w:eastAsia="Times New Roman" w:cs="Arial"/>
          <w:color w:val="000000"/>
        </w:rPr>
        <w:t xml:space="preserve"> from digital images taken at 16X magnification with transmitted light using standard methods previously validated for all species </w:t>
      </w:r>
      <w:r>
        <w:rPr>
          <w:rFonts w:eastAsia="Times New Roman" w:cs="Arial"/>
          <w:noProof/>
          <w:color w:val="000000"/>
        </w:rPr>
        <w:t>(Anderson et al. 1992; Mallen‐Cooper and Stuart 2003)</w:t>
      </w:r>
      <w:r w:rsidR="000A4F7E">
        <w:rPr>
          <w:rFonts w:eastAsia="Times New Roman" w:cs="Arial"/>
          <w:color w:val="000000"/>
        </w:rPr>
        <w:t>.</w:t>
      </w:r>
    </w:p>
    <w:p w:rsidR="00D72F5D" w:rsidRDefault="00D72F5D" w:rsidP="00311640">
      <w:pPr>
        <w:shd w:val="clear" w:color="auto" w:fill="FFFFFF"/>
        <w:spacing w:before="100" w:beforeAutospacing="1" w:after="100" w:afterAutospacing="1"/>
        <w:jc w:val="left"/>
        <w:rPr>
          <w:rFonts w:eastAsia="Times New Roman" w:cs="Arial"/>
          <w:noProof/>
          <w:color w:val="000000"/>
        </w:rPr>
      </w:pPr>
      <w:r>
        <w:rPr>
          <w:rFonts w:eastAsia="Times New Roman" w:cs="Arial"/>
          <w:color w:val="000000"/>
        </w:rPr>
        <w:t>Otolith section radius measurements (0.001 mm) were made from the primordium to each annulus and to the edge of the otolith. F</w:t>
      </w:r>
      <w:r w:rsidRPr="00763B99">
        <w:rPr>
          <w:rFonts w:eastAsia="Times New Roman" w:cs="Arial"/>
          <w:color w:val="000000"/>
        </w:rPr>
        <w:t>inal age estimate</w:t>
      </w:r>
      <w:r>
        <w:rPr>
          <w:rFonts w:eastAsia="Times New Roman" w:cs="Arial"/>
          <w:color w:val="000000"/>
        </w:rPr>
        <w:t>s</w:t>
      </w:r>
      <w:r w:rsidRPr="00763B99">
        <w:rPr>
          <w:rFonts w:eastAsia="Times New Roman" w:cs="Arial"/>
          <w:color w:val="000000"/>
        </w:rPr>
        <w:t xml:space="preserve"> w</w:t>
      </w:r>
      <w:r>
        <w:rPr>
          <w:rFonts w:eastAsia="Times New Roman" w:cs="Arial"/>
          <w:color w:val="000000"/>
        </w:rPr>
        <w:t>ere</w:t>
      </w:r>
      <w:r w:rsidRPr="00763B99">
        <w:rPr>
          <w:rFonts w:eastAsia="Times New Roman" w:cs="Arial"/>
          <w:color w:val="000000"/>
        </w:rPr>
        <w:t xml:space="preserve"> </w:t>
      </w:r>
      <w:r>
        <w:rPr>
          <w:rFonts w:eastAsia="Times New Roman" w:cs="Arial"/>
          <w:color w:val="000000"/>
        </w:rPr>
        <w:t>based only on samples with</w:t>
      </w:r>
      <w:r w:rsidRPr="00763B99">
        <w:rPr>
          <w:rFonts w:eastAsia="Times New Roman" w:cs="Arial"/>
          <w:color w:val="000000"/>
        </w:rPr>
        <w:t xml:space="preserve"> matching </w:t>
      </w:r>
      <w:r>
        <w:rPr>
          <w:rFonts w:eastAsia="Times New Roman" w:cs="Arial"/>
          <w:color w:val="000000"/>
        </w:rPr>
        <w:t>age readings from all three reads</w:t>
      </w:r>
      <w:r w:rsidRPr="00763B99">
        <w:rPr>
          <w:rFonts w:eastAsia="Times New Roman" w:cs="Arial"/>
          <w:color w:val="000000"/>
        </w:rPr>
        <w:t xml:space="preserve"> </w:t>
      </w:r>
      <w:r>
        <w:rPr>
          <w:rFonts w:eastAsia="Times New Roman" w:cs="Arial"/>
          <w:color w:val="000000"/>
        </w:rPr>
        <w:t>given that any bias in annual age estimates of 1+ or 2 year old fish generates a high degree of error unacceptable for the purpose of this study</w:t>
      </w:r>
      <w:r w:rsidRPr="00763B99">
        <w:rPr>
          <w:rFonts w:eastAsia="Times New Roman" w:cs="Arial"/>
          <w:color w:val="000000"/>
        </w:rPr>
        <w:t>.</w:t>
      </w:r>
      <w:r w:rsidRPr="003F7C65">
        <w:rPr>
          <w:rFonts w:eastAsia="Times New Roman" w:cs="Arial"/>
          <w:color w:val="000000"/>
        </w:rPr>
        <w:t xml:space="preserve"> </w:t>
      </w:r>
      <w:r>
        <w:rPr>
          <w:rFonts w:eastAsia="Times New Roman" w:cs="Arial"/>
          <w:color w:val="000000"/>
        </w:rPr>
        <w:t>O</w:t>
      </w:r>
      <w:r w:rsidRPr="00763B99">
        <w:rPr>
          <w:rFonts w:eastAsia="Times New Roman" w:cs="Arial"/>
          <w:color w:val="000000"/>
        </w:rPr>
        <w:t xml:space="preserve">toliths </w:t>
      </w:r>
      <w:r>
        <w:rPr>
          <w:rFonts w:eastAsia="Times New Roman" w:cs="Arial"/>
          <w:color w:val="000000"/>
        </w:rPr>
        <w:t>from fish assumed to be YOY, or younger and a sub-sample of larvae (from CAT 1 larval fish monitoring) were extracted for daily age estimation. Otoliths for daily age estimation were</w:t>
      </w:r>
      <w:r w:rsidRPr="00763B99">
        <w:rPr>
          <w:rFonts w:eastAsia="Times New Roman" w:cs="Arial"/>
          <w:color w:val="000000"/>
        </w:rPr>
        <w:t xml:space="preserve"> extracted and mounted on a microscope slide </w:t>
      </w:r>
      <w:r>
        <w:rPr>
          <w:rFonts w:eastAsia="Times New Roman" w:cs="Arial"/>
          <w:color w:val="000000"/>
        </w:rPr>
        <w:t xml:space="preserve">using Crystal Bond glue </w:t>
      </w:r>
      <w:r w:rsidRPr="00763B99">
        <w:rPr>
          <w:rFonts w:eastAsia="Times New Roman" w:cs="Arial"/>
          <w:color w:val="000000"/>
        </w:rPr>
        <w:t>and ground/polished with lapidary film to identify micro</w:t>
      </w:r>
      <w:r>
        <w:rPr>
          <w:rFonts w:eastAsia="Times New Roman" w:cs="Arial"/>
          <w:color w:val="000000"/>
        </w:rPr>
        <w:t>-</w:t>
      </w:r>
      <w:r w:rsidRPr="00763B99">
        <w:rPr>
          <w:rFonts w:eastAsia="Times New Roman" w:cs="Arial"/>
          <w:color w:val="000000"/>
        </w:rPr>
        <w:t xml:space="preserve">increments. </w:t>
      </w:r>
      <w:r>
        <w:rPr>
          <w:rFonts w:eastAsia="Times New Roman" w:cs="Arial"/>
          <w:color w:val="000000"/>
        </w:rPr>
        <w:t>Microincrements were viewed and enumerated under transmitted light at 250-400 X magnification. All otolith sections were checked under a fluorescence stereomicroscope fitted with an excitation filt</w:t>
      </w:r>
      <w:r w:rsidR="00AB4876">
        <w:rPr>
          <w:rFonts w:eastAsia="Times New Roman" w:cs="Arial"/>
          <w:color w:val="000000"/>
        </w:rPr>
        <w:t>er to identify the presence of c</w:t>
      </w:r>
      <w:r>
        <w:rPr>
          <w:rFonts w:eastAsia="Times New Roman" w:cs="Arial"/>
          <w:color w:val="000000"/>
        </w:rPr>
        <w:t>alcein marks that discriminate hatchery released and wild</w:t>
      </w:r>
      <w:r w:rsidR="000A4F7E">
        <w:rPr>
          <w:rFonts w:eastAsia="Times New Roman" w:cs="Arial"/>
          <w:color w:val="000000"/>
        </w:rPr>
        <w:t xml:space="preserve"> recruits (Crook et al. 2011).</w:t>
      </w:r>
    </w:p>
    <w:p w:rsidR="00D72F5D" w:rsidRPr="00763B99" w:rsidRDefault="00D72F5D" w:rsidP="00311640">
      <w:pPr>
        <w:shd w:val="clear" w:color="auto" w:fill="FFFFFF"/>
        <w:spacing w:before="100" w:beforeAutospacing="1" w:after="100" w:afterAutospacing="1"/>
        <w:jc w:val="left"/>
        <w:rPr>
          <w:rFonts w:eastAsia="Times New Roman" w:cs="Arial"/>
          <w:i/>
          <w:color w:val="000000"/>
        </w:rPr>
      </w:pPr>
      <w:r w:rsidRPr="00763B99">
        <w:rPr>
          <w:rFonts w:eastAsia="Times New Roman" w:cs="Arial"/>
          <w:i/>
          <w:color w:val="000000"/>
        </w:rPr>
        <w:t>Data analysis</w:t>
      </w:r>
    </w:p>
    <w:p w:rsidR="00D72F5D" w:rsidRPr="003E373E" w:rsidRDefault="00D72F5D" w:rsidP="00311640">
      <w:pPr>
        <w:shd w:val="clear" w:color="auto" w:fill="FFFFFF"/>
        <w:spacing w:before="100" w:beforeAutospacing="1" w:after="0"/>
        <w:jc w:val="left"/>
        <w:rPr>
          <w:rFonts w:eastAsia="Times New Roman" w:cs="Arial"/>
          <w:color w:val="000000"/>
        </w:rPr>
      </w:pPr>
      <w:r>
        <w:rPr>
          <w:rFonts w:eastAsia="Times New Roman" w:cs="Arial"/>
          <w:color w:val="000000"/>
        </w:rPr>
        <w:t xml:space="preserve">Statistical analyses were performed </w:t>
      </w:r>
      <w:r w:rsidR="00AB4876">
        <w:rPr>
          <w:rFonts w:eastAsia="Times New Roman" w:cs="Arial"/>
          <w:color w:val="000000"/>
        </w:rPr>
        <w:t xml:space="preserve">only </w:t>
      </w:r>
      <w:r>
        <w:rPr>
          <w:rFonts w:eastAsia="Times New Roman" w:cs="Arial"/>
          <w:color w:val="000000"/>
        </w:rPr>
        <w:t xml:space="preserve">on Murray cod recruits because inadequate sample sizes of golden perch (n=0) and silver perch (n=3) recruits prohibited comparisons. </w:t>
      </w:r>
      <w:r w:rsidRPr="003E373E">
        <w:rPr>
          <w:rFonts w:eastAsia="Times New Roman" w:cs="Arial"/>
          <w:color w:val="000000"/>
        </w:rPr>
        <w:t xml:space="preserve">Growth curves derived from annual and daily age estimates were fitted to </w:t>
      </w:r>
      <w:r w:rsidR="00AB4876">
        <w:rPr>
          <w:rFonts w:eastAsia="Times New Roman" w:cs="Arial"/>
          <w:color w:val="000000"/>
        </w:rPr>
        <w:t xml:space="preserve">the sample from </w:t>
      </w:r>
      <w:r w:rsidRPr="003E373E">
        <w:rPr>
          <w:rFonts w:eastAsia="Times New Roman" w:cs="Arial"/>
          <w:color w:val="000000"/>
        </w:rPr>
        <w:t xml:space="preserve">each zone separately and to the </w:t>
      </w:r>
      <w:r w:rsidR="00AB4876">
        <w:rPr>
          <w:rFonts w:eastAsia="Times New Roman" w:cs="Arial"/>
          <w:color w:val="000000"/>
        </w:rPr>
        <w:t xml:space="preserve">sample from the </w:t>
      </w:r>
      <w:r w:rsidRPr="003E373E">
        <w:rPr>
          <w:rFonts w:eastAsia="Times New Roman" w:cs="Arial"/>
          <w:color w:val="000000"/>
        </w:rPr>
        <w:t xml:space="preserve">entire Edward-Wakool system. A nonlinear four parameter logistic model was used to describe age-length curves of recruits and the model was weighted to the reciprocal of age. </w:t>
      </w:r>
      <w:r w:rsidRPr="003E373E">
        <w:rPr>
          <w:rFonts w:cs="Arial"/>
          <w:bCs/>
        </w:rPr>
        <w:t>The logistic model was described by the equation</w:t>
      </w:r>
      <w:r w:rsidRPr="003E373E">
        <w:rPr>
          <w:rFonts w:cs="Arial"/>
        </w:rPr>
        <w:t xml:space="preserve">: </w:t>
      </w:r>
    </w:p>
    <w:p w:rsidR="00D72F5D" w:rsidRPr="003E373E" w:rsidRDefault="00D72F5D" w:rsidP="001A5480">
      <w:pPr>
        <w:spacing w:after="0" w:line="240" w:lineRule="auto"/>
        <w:jc w:val="center"/>
        <w:rPr>
          <w:rFonts w:cs="Arial"/>
        </w:rPr>
      </w:pPr>
      <w:r w:rsidRPr="003E373E">
        <w:rPr>
          <w:position w:val="-10"/>
        </w:rPr>
        <w:object w:dxaOrig="180" w:dyaOrig="340">
          <v:shape id="_x0000_i1030" type="#_x0000_t75" style="width:8.75pt;height:18.5pt" o:ole="">
            <v:imagedata r:id="rId111" o:title=""/>
          </v:shape>
          <o:OLEObject Type="Embed" ProgID="Equation.3" ShapeID="_x0000_i1030" DrawAspect="Content" ObjectID="_1527424933" r:id="rId112"/>
        </w:object>
      </w:r>
      <w:r w:rsidRPr="003E373E">
        <w:rPr>
          <w:position w:val="-72"/>
        </w:rPr>
        <w:object w:dxaOrig="3060" w:dyaOrig="1100">
          <v:shape id="_x0000_i1031" type="#_x0000_t75" style="width:152.75pt;height:55.45pt" o:ole="">
            <v:imagedata r:id="rId113" o:title=""/>
          </v:shape>
          <o:OLEObject Type="Embed" ProgID="Equation.3" ShapeID="_x0000_i1031" DrawAspect="Content" ObjectID="_1527424934" r:id="rId114"/>
        </w:object>
      </w:r>
    </w:p>
    <w:p w:rsidR="00D72F5D" w:rsidRDefault="00D72F5D" w:rsidP="00311640">
      <w:pPr>
        <w:shd w:val="clear" w:color="auto" w:fill="FFFFFF"/>
        <w:spacing w:before="100" w:beforeAutospacing="1" w:after="100" w:afterAutospacing="1"/>
        <w:jc w:val="left"/>
        <w:rPr>
          <w:rFonts w:eastAsia="Times New Roman" w:cs="Arial"/>
          <w:color w:val="000000"/>
        </w:rPr>
      </w:pPr>
      <w:r w:rsidRPr="003E373E">
        <w:rPr>
          <w:rFonts w:cs="Arial"/>
        </w:rPr>
        <w:tab/>
      </w:r>
      <w:proofErr w:type="gramStart"/>
      <w:r w:rsidRPr="003E373E">
        <w:rPr>
          <w:rFonts w:cs="Arial"/>
        </w:rPr>
        <w:t>where</w:t>
      </w:r>
      <w:proofErr w:type="gramEnd"/>
      <w:r w:rsidRPr="003E373E">
        <w:rPr>
          <w:rFonts w:cs="Arial"/>
        </w:rPr>
        <w:t xml:space="preserve"> </w:t>
      </w:r>
      <w:r w:rsidRPr="00EE059C">
        <w:rPr>
          <w:rFonts w:cs="Arial"/>
          <w:i/>
        </w:rPr>
        <w:t>TL</w:t>
      </w:r>
      <w:r w:rsidRPr="003E373E">
        <w:rPr>
          <w:rFonts w:cs="Arial"/>
        </w:rPr>
        <w:t xml:space="preserve"> = total length (mm) and </w:t>
      </w:r>
      <w:r w:rsidRPr="003E373E">
        <w:rPr>
          <w:rFonts w:cs="Arial"/>
          <w:i/>
        </w:rPr>
        <w:t>Age</w:t>
      </w:r>
      <w:r w:rsidRPr="003E373E">
        <w:rPr>
          <w:rFonts w:cs="Arial"/>
        </w:rPr>
        <w:t xml:space="preserve">= fish age in years, </w:t>
      </w:r>
      <w:r w:rsidRPr="003E373E">
        <w:rPr>
          <w:rFonts w:cs="Arial"/>
          <w:i/>
        </w:rPr>
        <w:t>TL</w:t>
      </w:r>
      <w:r w:rsidRPr="00037901">
        <w:rPr>
          <w:rFonts w:cs="Arial"/>
          <w:i/>
        </w:rPr>
        <w:t>0</w:t>
      </w:r>
      <w:r>
        <w:rPr>
          <w:rFonts w:cs="Arial"/>
          <w:i/>
        </w:rPr>
        <w:t xml:space="preserve"> </w:t>
      </w:r>
      <w:r w:rsidRPr="003E373E">
        <w:rPr>
          <w:rFonts w:cs="Arial"/>
          <w:i/>
        </w:rPr>
        <w:t xml:space="preserve">= </w:t>
      </w:r>
      <w:r w:rsidRPr="003E373E">
        <w:rPr>
          <w:rFonts w:cs="Arial"/>
        </w:rPr>
        <w:t xml:space="preserve">TL at age 0, </w:t>
      </w:r>
      <w:r w:rsidRPr="003E373E">
        <w:rPr>
          <w:rFonts w:cs="Arial"/>
          <w:i/>
        </w:rPr>
        <w:t>Asymp.</w:t>
      </w:r>
      <w:r w:rsidRPr="003E373E">
        <w:rPr>
          <w:rFonts w:cs="Arial"/>
        </w:rPr>
        <w:t xml:space="preserve">= the asymptote, </w:t>
      </w:r>
      <w:r w:rsidRPr="003E373E">
        <w:rPr>
          <w:rFonts w:cs="Arial"/>
          <w:bCs/>
          <w:i/>
        </w:rPr>
        <w:t>A</w:t>
      </w:r>
      <w:r w:rsidRPr="003E373E">
        <w:rPr>
          <w:rFonts w:cs="Arial"/>
          <w:bCs/>
          <w:i/>
          <w:vertAlign w:val="subscript"/>
        </w:rPr>
        <w:t>5</w:t>
      </w:r>
      <w:r w:rsidRPr="003E373E">
        <w:rPr>
          <w:rFonts w:cs="Arial"/>
          <w:bCs/>
          <w:vertAlign w:val="subscript"/>
        </w:rPr>
        <w:t>0</w:t>
      </w:r>
      <w:r w:rsidRPr="003E373E">
        <w:rPr>
          <w:rFonts w:cs="Arial"/>
        </w:rPr>
        <w:t xml:space="preserve"> represents the median age and the </w:t>
      </w:r>
      <w:r w:rsidRPr="003E373E">
        <w:rPr>
          <w:rFonts w:cs="Arial"/>
          <w:i/>
        </w:rPr>
        <w:t>growth index</w:t>
      </w:r>
      <w:r w:rsidRPr="003E373E">
        <w:rPr>
          <w:rFonts w:cs="Arial"/>
        </w:rPr>
        <w:t xml:space="preserve"> is the slope of the curve at its midpoint. </w:t>
      </w:r>
      <w:r w:rsidRPr="003E373E">
        <w:rPr>
          <w:rFonts w:eastAsia="Times New Roman" w:cs="Arial"/>
          <w:color w:val="000000"/>
        </w:rPr>
        <w:t>The weighting procedure was undertaken so that the m</w:t>
      </w:r>
      <w:r>
        <w:rPr>
          <w:rFonts w:eastAsia="Times New Roman" w:cs="Arial"/>
          <w:color w:val="000000"/>
        </w:rPr>
        <w:t xml:space="preserve">odel would most accurately fit </w:t>
      </w:r>
      <w:r w:rsidRPr="003E373E">
        <w:rPr>
          <w:rFonts w:eastAsia="Times New Roman" w:cs="Arial"/>
          <w:color w:val="000000"/>
        </w:rPr>
        <w:t>age-length data of recruits, while the low sample size</w:t>
      </w:r>
      <w:r>
        <w:rPr>
          <w:rFonts w:eastAsia="Times New Roman" w:cs="Arial"/>
          <w:color w:val="000000"/>
        </w:rPr>
        <w:t>s</w:t>
      </w:r>
      <w:r w:rsidRPr="003E373E">
        <w:rPr>
          <w:rFonts w:eastAsia="Times New Roman" w:cs="Arial"/>
          <w:color w:val="000000"/>
        </w:rPr>
        <w:t xml:space="preserve"> fish in age-classes older than 1+ was assumed not representative of the</w:t>
      </w:r>
      <w:r>
        <w:rPr>
          <w:rFonts w:eastAsia="Times New Roman" w:cs="Arial"/>
          <w:color w:val="000000"/>
        </w:rPr>
        <w:t xml:space="preserve"> true</w:t>
      </w:r>
      <w:r w:rsidRPr="003E373E">
        <w:rPr>
          <w:rFonts w:eastAsia="Times New Roman" w:cs="Arial"/>
          <w:color w:val="000000"/>
        </w:rPr>
        <w:t xml:space="preserve"> variation in </w:t>
      </w:r>
      <w:r>
        <w:rPr>
          <w:rFonts w:eastAsia="Times New Roman" w:cs="Arial"/>
          <w:color w:val="000000"/>
        </w:rPr>
        <w:t>length-at-age.</w:t>
      </w:r>
    </w:p>
    <w:p w:rsidR="00D72F5D" w:rsidRDefault="00D72F5D" w:rsidP="00311640">
      <w:pPr>
        <w:shd w:val="clear" w:color="auto" w:fill="FFFFFF"/>
        <w:spacing w:before="100" w:beforeAutospacing="1" w:after="100" w:afterAutospacing="1"/>
        <w:jc w:val="left"/>
        <w:rPr>
          <w:rFonts w:eastAsia="Times New Roman" w:cs="Arial"/>
          <w:color w:val="000000"/>
        </w:rPr>
      </w:pPr>
      <w:r>
        <w:rPr>
          <w:rFonts w:eastAsia="Times New Roman" w:cs="Arial"/>
          <w:color w:val="000000"/>
        </w:rPr>
        <w:t>Otolith age-length estimates were used to distinguish all YOY and 1+ Murray cod recruits from other age-classes. Since silver perch could not be sampled for aging purposes, due to threatened species permit restrictions, length ranges of 50-110 mm and 120-220 mm approximated from Mallen-Cooper and Stuart (2003) were assumed to represent YOY and 1+ recruits respectively. The mean length of recruits was compared statistically among zones using one-way ANOVA since this data was normally distributed with equal variance.</w:t>
      </w:r>
    </w:p>
    <w:p w:rsidR="00D72F5D" w:rsidRDefault="00D72F5D" w:rsidP="00311640">
      <w:pPr>
        <w:shd w:val="clear" w:color="auto" w:fill="FFFFFF"/>
        <w:spacing w:before="100" w:beforeAutospacing="1" w:after="100" w:afterAutospacing="1"/>
        <w:jc w:val="left"/>
        <w:rPr>
          <w:rFonts w:eastAsia="Times New Roman" w:cs="Arial"/>
          <w:color w:val="000000"/>
        </w:rPr>
      </w:pPr>
      <w:r w:rsidRPr="00763B99">
        <w:rPr>
          <w:rFonts w:eastAsia="Times New Roman" w:cs="Arial"/>
          <w:color w:val="000000"/>
        </w:rPr>
        <w:t xml:space="preserve">Recruitment indices of YOY and 1+ Murray cod, </w:t>
      </w:r>
      <w:r>
        <w:rPr>
          <w:rFonts w:eastAsia="Times New Roman" w:cs="Arial"/>
          <w:color w:val="000000"/>
        </w:rPr>
        <w:t>were</w:t>
      </w:r>
      <w:r w:rsidRPr="00763B99">
        <w:rPr>
          <w:rFonts w:eastAsia="Times New Roman" w:cs="Arial"/>
          <w:color w:val="000000"/>
        </w:rPr>
        <w:t xml:space="preserve"> calculated from catch per unit effort of backpack electrofishing, </w:t>
      </w:r>
      <w:r>
        <w:rPr>
          <w:rFonts w:eastAsia="Times New Roman" w:cs="Arial"/>
          <w:color w:val="000000"/>
        </w:rPr>
        <w:t>set-lines and angling. C</w:t>
      </w:r>
      <w:r w:rsidRPr="00763B99">
        <w:rPr>
          <w:rFonts w:eastAsia="Times New Roman" w:cs="Arial"/>
          <w:color w:val="000000"/>
        </w:rPr>
        <w:t xml:space="preserve">atch per unit effort </w:t>
      </w:r>
      <w:r>
        <w:rPr>
          <w:rFonts w:eastAsia="Times New Roman" w:cs="Arial"/>
          <w:color w:val="000000"/>
        </w:rPr>
        <w:t>(CPUE) values were expressed as the number of recruits per 1000 seconds of sampling effort aggregated at the site-level and</w:t>
      </w:r>
      <w:r w:rsidRPr="00763B99">
        <w:rPr>
          <w:rFonts w:eastAsia="Times New Roman" w:cs="Arial"/>
          <w:color w:val="000000"/>
        </w:rPr>
        <w:t xml:space="preserve"> </w:t>
      </w:r>
      <w:r>
        <w:rPr>
          <w:rFonts w:eastAsia="Times New Roman" w:cs="Arial"/>
          <w:color w:val="000000"/>
        </w:rPr>
        <w:t>fitted to</w:t>
      </w:r>
      <w:r w:rsidRPr="00763B99">
        <w:rPr>
          <w:rFonts w:eastAsia="Times New Roman" w:cs="Arial"/>
          <w:color w:val="000000"/>
        </w:rPr>
        <w:t xml:space="preserve"> a Generalized Linear Mixed Effects Model (GLMM)</w:t>
      </w:r>
      <w:r>
        <w:rPr>
          <w:rFonts w:eastAsia="Times New Roman" w:cs="Arial"/>
          <w:color w:val="000000"/>
        </w:rPr>
        <w:t xml:space="preserve">. The GLMM tested whether CPUE of YOY and 1+ recruits varied significantly in relation to the fixed effects of gear type and zone. Site was incorporated as a random effect. The best model was determined by the lowest Akaike Information Criterion (AIC) with an alpha of 0.05 used to distinguish the significance of fixed effects. </w:t>
      </w:r>
    </w:p>
    <w:p w:rsidR="00962B61" w:rsidRPr="00615062" w:rsidRDefault="00962B61" w:rsidP="00311640">
      <w:pPr>
        <w:shd w:val="clear" w:color="auto" w:fill="FFFFFF"/>
        <w:spacing w:before="100" w:beforeAutospacing="1" w:after="100" w:afterAutospacing="1"/>
        <w:jc w:val="left"/>
        <w:rPr>
          <w:rFonts w:eastAsia="Times New Roman" w:cs="Arial"/>
          <w:color w:val="000000"/>
        </w:rPr>
      </w:pPr>
      <w:r>
        <w:rPr>
          <w:rFonts w:eastAsia="Times New Roman" w:cs="Arial"/>
          <w:color w:val="000000"/>
        </w:rPr>
        <w:t>Given that this was the first year of sampling, it was not possible to evaluate the</w:t>
      </w:r>
      <w:r w:rsidRPr="00763B99">
        <w:rPr>
          <w:rFonts w:eastAsia="Times New Roman" w:cs="Arial"/>
          <w:color w:val="000000"/>
        </w:rPr>
        <w:t xml:space="preserve"> trajectory of change (positive, neutral, negative) in annual recruitment indices </w:t>
      </w:r>
      <w:r>
        <w:rPr>
          <w:rFonts w:eastAsia="Times New Roman" w:cs="Arial"/>
          <w:color w:val="000000"/>
        </w:rPr>
        <w:t>or</w:t>
      </w:r>
      <w:r w:rsidRPr="00763B99">
        <w:rPr>
          <w:rFonts w:eastAsia="Times New Roman" w:cs="Arial"/>
          <w:color w:val="000000"/>
        </w:rPr>
        <w:t xml:space="preserve"> growth</w:t>
      </w:r>
      <w:r>
        <w:rPr>
          <w:rFonts w:eastAsia="Times New Roman" w:cs="Arial"/>
          <w:color w:val="000000"/>
        </w:rPr>
        <w:t xml:space="preserve"> but this will be possible in future monitoring years. Additionally, no recruitment indices were available from previous years in order to make comparisons.</w:t>
      </w:r>
    </w:p>
    <w:p w:rsidR="00D72F5D" w:rsidRPr="00615062" w:rsidRDefault="00D72F5D" w:rsidP="00311640">
      <w:pPr>
        <w:shd w:val="clear" w:color="auto" w:fill="FFFFFF"/>
        <w:spacing w:before="100" w:beforeAutospacing="1" w:after="100" w:afterAutospacing="1"/>
        <w:jc w:val="left"/>
        <w:rPr>
          <w:rFonts w:eastAsia="Times New Roman" w:cs="Arial"/>
          <w:color w:val="000000"/>
        </w:rPr>
      </w:pPr>
      <w:r>
        <w:rPr>
          <w:rFonts w:eastAsia="Times New Roman" w:cs="Arial"/>
          <w:color w:val="000000"/>
        </w:rPr>
        <w:t>A power analysis using an alpha of 0.05, desired power of 0.80, the current sample size of 4 sites per zone, and the residual standard deviation in Murray cod recruit CPUE was undertaken to estimate the number of sites required in order to confidently test for mean differences in recruitment among zones.</w:t>
      </w:r>
    </w:p>
    <w:p w:rsidR="00DF6092" w:rsidRDefault="00DF6092">
      <w:pPr>
        <w:spacing w:after="0" w:line="240" w:lineRule="auto"/>
        <w:jc w:val="left"/>
        <w:rPr>
          <w:b/>
          <w:color w:val="4F6228" w:themeColor="accent3" w:themeShade="80"/>
          <w:sz w:val="24"/>
          <w:szCs w:val="24"/>
        </w:rPr>
      </w:pPr>
      <w:r>
        <w:rPr>
          <w:b/>
          <w:color w:val="4F6228" w:themeColor="accent3" w:themeShade="80"/>
          <w:sz w:val="24"/>
          <w:szCs w:val="24"/>
        </w:rPr>
        <w:br w:type="page"/>
      </w:r>
    </w:p>
    <w:p w:rsidR="00D72F5D" w:rsidRPr="00C938A6" w:rsidRDefault="005E0A51" w:rsidP="002B79E4">
      <w:pPr>
        <w:pStyle w:val="ListParagraph"/>
        <w:spacing w:after="240"/>
        <w:ind w:left="0"/>
        <w:jc w:val="left"/>
        <w:rPr>
          <w:color w:val="4F6228" w:themeColor="accent3" w:themeShade="80"/>
          <w:sz w:val="24"/>
          <w:szCs w:val="24"/>
        </w:rPr>
      </w:pPr>
      <w:r>
        <w:rPr>
          <w:b/>
          <w:color w:val="4F6228" w:themeColor="accent3" w:themeShade="80"/>
          <w:sz w:val="24"/>
          <w:szCs w:val="24"/>
        </w:rPr>
        <w:t>11</w:t>
      </w:r>
      <w:r w:rsidR="00C938A6" w:rsidRPr="00C938A6">
        <w:rPr>
          <w:b/>
          <w:color w:val="4F6228" w:themeColor="accent3" w:themeShade="80"/>
          <w:sz w:val="24"/>
          <w:szCs w:val="24"/>
        </w:rPr>
        <w:t xml:space="preserve">.4 </w:t>
      </w:r>
      <w:r w:rsidR="00D72F5D" w:rsidRPr="00C938A6">
        <w:rPr>
          <w:b/>
          <w:color w:val="4F6228" w:themeColor="accent3" w:themeShade="80"/>
          <w:sz w:val="24"/>
          <w:szCs w:val="24"/>
        </w:rPr>
        <w:t>Results</w:t>
      </w:r>
      <w:r w:rsidR="00D72F5D" w:rsidRPr="00C938A6">
        <w:rPr>
          <w:color w:val="4F6228" w:themeColor="accent3" w:themeShade="80"/>
          <w:sz w:val="24"/>
          <w:szCs w:val="24"/>
        </w:rPr>
        <w:t xml:space="preserve"> </w:t>
      </w:r>
    </w:p>
    <w:p w:rsidR="00D72F5D" w:rsidRDefault="00D72F5D" w:rsidP="00311640">
      <w:pPr>
        <w:shd w:val="clear" w:color="auto" w:fill="FFFFFF"/>
        <w:jc w:val="left"/>
        <w:rPr>
          <w:rFonts w:cs="Arial"/>
          <w:color w:val="000000"/>
        </w:rPr>
      </w:pPr>
      <w:r>
        <w:rPr>
          <w:rFonts w:cs="Arial"/>
          <w:color w:val="000000"/>
        </w:rPr>
        <w:t>A total of 8 native fish species and 5 invasive species were sampled in fish re</w:t>
      </w:r>
      <w:r w:rsidR="001A5480">
        <w:rPr>
          <w:rFonts w:cs="Arial"/>
          <w:color w:val="000000"/>
        </w:rPr>
        <w:t>cruitment monitoring</w:t>
      </w:r>
      <w:r>
        <w:rPr>
          <w:rFonts w:cs="Arial"/>
          <w:color w:val="000000"/>
        </w:rPr>
        <w:t xml:space="preserve">. Of notable importance was the presence of adult silver perch in all zones, </w:t>
      </w:r>
      <w:r w:rsidR="007B4C30">
        <w:rPr>
          <w:rFonts w:cs="Arial"/>
          <w:color w:val="000000"/>
        </w:rPr>
        <w:t xml:space="preserve">and </w:t>
      </w:r>
      <w:r>
        <w:rPr>
          <w:rFonts w:cs="Arial"/>
          <w:color w:val="000000"/>
        </w:rPr>
        <w:t xml:space="preserve">the presence of three river blackfish </w:t>
      </w:r>
      <w:r w:rsidR="009F4D23">
        <w:rPr>
          <w:rFonts w:cs="Arial"/>
          <w:color w:val="000000"/>
        </w:rPr>
        <w:t>in Wakool River z</w:t>
      </w:r>
      <w:r w:rsidR="001A5480">
        <w:rPr>
          <w:rFonts w:cs="Arial"/>
          <w:color w:val="000000"/>
        </w:rPr>
        <w:t>one 2, site 2.</w:t>
      </w:r>
    </w:p>
    <w:p w:rsidR="00D72F5D" w:rsidRPr="00AC338C" w:rsidRDefault="00D72F5D" w:rsidP="00311640">
      <w:pPr>
        <w:shd w:val="clear" w:color="auto" w:fill="FFFFFF"/>
        <w:spacing w:after="120"/>
        <w:jc w:val="left"/>
        <w:rPr>
          <w:rFonts w:cs="Arial"/>
          <w:i/>
          <w:color w:val="000000"/>
        </w:rPr>
      </w:pPr>
      <w:r w:rsidRPr="00AC338C">
        <w:rPr>
          <w:rFonts w:cs="Arial"/>
          <w:i/>
          <w:color w:val="000000"/>
        </w:rPr>
        <w:t>Recruit growth</w:t>
      </w:r>
    </w:p>
    <w:p w:rsidR="00D72F5D" w:rsidRDefault="00D72F5D" w:rsidP="00311640">
      <w:pPr>
        <w:jc w:val="left"/>
      </w:pPr>
      <w:r>
        <w:t xml:space="preserve">Sections of otoliths from Murray cod resulted </w:t>
      </w:r>
      <w:r w:rsidR="007B4C30">
        <w:t xml:space="preserve">in </w:t>
      </w:r>
      <w:r>
        <w:t xml:space="preserve">clearly discernible alternating patterns of opaque and translucent zones that were used to distinguish recruits and other age-classes (Figure </w:t>
      </w:r>
      <w:r w:rsidR="005E0A51">
        <w:t>11</w:t>
      </w:r>
      <w:r w:rsidR="00C938A6">
        <w:t>.</w:t>
      </w:r>
      <w:r>
        <w:t>1). Only 2</w:t>
      </w:r>
      <w:r w:rsidR="00B614F5">
        <w:t xml:space="preserve"> out of </w:t>
      </w:r>
      <w:r>
        <w:t xml:space="preserve">45 annual otolith ages were not consistent among all three reads and these were not used in </w:t>
      </w:r>
      <w:r w:rsidR="001A5480">
        <w:t xml:space="preserve">analyses. </w:t>
      </w:r>
      <w:r>
        <w:t xml:space="preserve">Murray cod YOY ranged from 52 to 99 mm TL and 113 to 149 days old, while 1+ recruits ranged widely from 141 to 257 mm TL (Figure </w:t>
      </w:r>
      <w:r w:rsidR="002B79E4">
        <w:t>11</w:t>
      </w:r>
      <w:r w:rsidR="00C938A6">
        <w:t>.</w:t>
      </w:r>
      <w:r w:rsidR="002B79E4">
        <w:t>2).</w:t>
      </w:r>
    </w:p>
    <w:p w:rsidR="00D72F5D" w:rsidRDefault="00D72F5D" w:rsidP="00D72F5D">
      <w:pPr>
        <w:pStyle w:val="ListParagraph"/>
        <w:shd w:val="clear" w:color="auto" w:fill="FFFFFF"/>
        <w:spacing w:after="120" w:line="240" w:lineRule="auto"/>
        <w:ind w:left="357"/>
        <w:jc w:val="center"/>
        <w:rPr>
          <w:rFonts w:cs="Arial"/>
          <w:color w:val="000000"/>
        </w:rPr>
      </w:pPr>
      <w:r>
        <w:rPr>
          <w:rFonts w:cs="Arial"/>
          <w:noProof/>
          <w:color w:val="000000"/>
          <w:lang w:eastAsia="en-AU"/>
        </w:rPr>
        <w:drawing>
          <wp:inline distT="0" distB="0" distL="0" distR="0">
            <wp:extent cx="4241570" cy="4212000"/>
            <wp:effectExtent l="0" t="0" r="6985" b="0"/>
            <wp:docPr id="198" name="Picture 198" descr="Fig1_otoli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1_otoliths"/>
                    <pic:cNvPicPr>
                      <a:picLocks noChangeAspect="1" noChangeArrowheads="1"/>
                    </pic:cNvPicPr>
                  </pic:nvPicPr>
                  <pic:blipFill rotWithShape="1">
                    <a:blip r:embed="rId11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4241570" cy="421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72F5D" w:rsidRPr="001A5480" w:rsidRDefault="00D72F5D" w:rsidP="00C72ABB">
      <w:pPr>
        <w:pStyle w:val="ListParagraph"/>
        <w:shd w:val="clear" w:color="auto" w:fill="FFFFFF"/>
        <w:spacing w:after="240" w:line="240" w:lineRule="auto"/>
        <w:ind w:left="0"/>
        <w:rPr>
          <w:rFonts w:cs="Arial"/>
          <w:color w:val="000000"/>
          <w:sz w:val="20"/>
        </w:rPr>
      </w:pPr>
      <w:r w:rsidRPr="001A5480">
        <w:rPr>
          <w:rFonts w:cs="Arial"/>
          <w:b/>
          <w:color w:val="000000"/>
          <w:sz w:val="20"/>
        </w:rPr>
        <w:t xml:space="preserve">Figure </w:t>
      </w:r>
      <w:r w:rsidR="005E0A51">
        <w:rPr>
          <w:rFonts w:cs="Arial"/>
          <w:b/>
          <w:color w:val="000000"/>
          <w:sz w:val="20"/>
        </w:rPr>
        <w:t>11</w:t>
      </w:r>
      <w:r w:rsidR="00C938A6" w:rsidRPr="001A5480">
        <w:rPr>
          <w:rFonts w:cs="Arial"/>
          <w:b/>
          <w:color w:val="000000"/>
          <w:sz w:val="20"/>
        </w:rPr>
        <w:t>.</w:t>
      </w:r>
      <w:r w:rsidRPr="001A5480">
        <w:rPr>
          <w:rFonts w:cs="Arial"/>
          <w:b/>
          <w:color w:val="000000"/>
          <w:sz w:val="20"/>
        </w:rPr>
        <w:t xml:space="preserve">1: </w:t>
      </w:r>
      <w:r w:rsidRPr="001A5480">
        <w:rPr>
          <w:rFonts w:cs="Arial"/>
          <w:color w:val="000000"/>
          <w:sz w:val="20"/>
        </w:rPr>
        <w:t>Assumed annual</w:t>
      </w:r>
      <w:r w:rsidRPr="001A5480">
        <w:rPr>
          <w:rFonts w:cs="Arial"/>
          <w:b/>
          <w:color w:val="000000"/>
          <w:sz w:val="20"/>
        </w:rPr>
        <w:t xml:space="preserve"> </w:t>
      </w:r>
      <w:r w:rsidRPr="001A5480">
        <w:rPr>
          <w:rFonts w:cs="Arial"/>
          <w:color w:val="000000"/>
          <w:sz w:val="20"/>
        </w:rPr>
        <w:t>opaque and translucent</w:t>
      </w:r>
      <w:r w:rsidRPr="001A5480">
        <w:rPr>
          <w:rFonts w:cs="Arial"/>
          <w:b/>
          <w:color w:val="000000"/>
          <w:sz w:val="20"/>
        </w:rPr>
        <w:t xml:space="preserve"> </w:t>
      </w:r>
      <w:r w:rsidRPr="001A5480">
        <w:rPr>
          <w:rFonts w:cs="Arial"/>
          <w:color w:val="000000"/>
          <w:sz w:val="20"/>
        </w:rPr>
        <w:t>growth zones</w:t>
      </w:r>
      <w:r w:rsidRPr="001A5480">
        <w:rPr>
          <w:rFonts w:cs="Arial"/>
          <w:b/>
          <w:color w:val="000000"/>
          <w:sz w:val="20"/>
        </w:rPr>
        <w:t xml:space="preserve"> </w:t>
      </w:r>
      <w:r w:rsidRPr="001A5480">
        <w:rPr>
          <w:rFonts w:cs="Arial"/>
          <w:color w:val="000000"/>
          <w:sz w:val="20"/>
        </w:rPr>
        <w:t>in sections of Murray cod otoliths aged for fish recruitment sampling.</w:t>
      </w:r>
    </w:p>
    <w:p w:rsidR="00D72F5D" w:rsidRDefault="00D72F5D" w:rsidP="002B79E4">
      <w:pPr>
        <w:pStyle w:val="ListParagraph"/>
        <w:shd w:val="clear" w:color="auto" w:fill="FFFFFF"/>
        <w:spacing w:after="120" w:line="240" w:lineRule="auto"/>
        <w:ind w:left="0"/>
        <w:jc w:val="left"/>
        <w:rPr>
          <w:rFonts w:cs="Arial"/>
          <w:color w:val="000000"/>
        </w:rPr>
      </w:pPr>
      <w:r>
        <w:rPr>
          <w:rFonts w:cs="Arial"/>
          <w:noProof/>
          <w:color w:val="000000"/>
          <w:lang w:eastAsia="en-AU"/>
        </w:rPr>
        <w:drawing>
          <wp:inline distT="0" distB="0" distL="0" distR="0">
            <wp:extent cx="4333915" cy="2736000"/>
            <wp:effectExtent l="0" t="0" r="0" b="7620"/>
            <wp:docPr id="199" name="Picture 199" descr="Fig 2_L mo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 2_L modes"/>
                    <pic:cNvPicPr>
                      <a:picLocks noChangeAspect="1" noChangeArrowheads="1"/>
                    </pic:cNvPicPr>
                  </pic:nvPicPr>
                  <pic:blipFill>
                    <a:blip r:embed="rId11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33915" cy="2736000"/>
                    </a:xfrm>
                    <a:prstGeom prst="rect">
                      <a:avLst/>
                    </a:prstGeom>
                    <a:noFill/>
                    <a:ln>
                      <a:noFill/>
                    </a:ln>
                  </pic:spPr>
                </pic:pic>
              </a:graphicData>
            </a:graphic>
          </wp:inline>
        </w:drawing>
      </w:r>
    </w:p>
    <w:p w:rsidR="00D72F5D" w:rsidRPr="001A5480" w:rsidRDefault="00D72F5D" w:rsidP="00D72F5D">
      <w:pPr>
        <w:pStyle w:val="ListParagraph"/>
        <w:shd w:val="clear" w:color="auto" w:fill="FFFFFF"/>
        <w:ind w:left="0"/>
        <w:rPr>
          <w:rFonts w:cs="Arial"/>
          <w:color w:val="000000"/>
          <w:sz w:val="20"/>
        </w:rPr>
      </w:pPr>
      <w:r w:rsidRPr="001A5480">
        <w:rPr>
          <w:rFonts w:cs="Arial"/>
          <w:b/>
          <w:color w:val="000000"/>
          <w:sz w:val="20"/>
        </w:rPr>
        <w:t xml:space="preserve">Figure </w:t>
      </w:r>
      <w:r w:rsidR="005E0A51">
        <w:rPr>
          <w:rFonts w:cs="Arial"/>
          <w:b/>
          <w:color w:val="000000"/>
          <w:sz w:val="20"/>
        </w:rPr>
        <w:t>11</w:t>
      </w:r>
      <w:r w:rsidR="00C938A6" w:rsidRPr="001A5480">
        <w:rPr>
          <w:rFonts w:cs="Arial"/>
          <w:b/>
          <w:color w:val="000000"/>
          <w:sz w:val="20"/>
        </w:rPr>
        <w:t>.</w:t>
      </w:r>
      <w:r w:rsidRPr="001A5480">
        <w:rPr>
          <w:rFonts w:cs="Arial"/>
          <w:b/>
          <w:color w:val="000000"/>
          <w:sz w:val="20"/>
        </w:rPr>
        <w:t xml:space="preserve">2: </w:t>
      </w:r>
      <w:r w:rsidRPr="001A5480">
        <w:rPr>
          <w:rFonts w:cs="Arial"/>
          <w:color w:val="000000"/>
          <w:sz w:val="20"/>
        </w:rPr>
        <w:t>Length modes of Murray cod recruits sampled in the Edward-Wakool system 2014-15.</w:t>
      </w:r>
    </w:p>
    <w:p w:rsidR="00D72F5D" w:rsidRDefault="00D72F5D" w:rsidP="00311640">
      <w:pPr>
        <w:jc w:val="left"/>
      </w:pPr>
      <w:r>
        <w:t xml:space="preserve">The logistic growth model provided a significant </w:t>
      </w:r>
      <w:r w:rsidR="002B79E4">
        <w:t>(</w:t>
      </w:r>
      <w:proofErr w:type="gramStart"/>
      <w:r w:rsidR="002B79E4">
        <w:t>df</w:t>
      </w:r>
      <w:r>
        <w:t>=</w:t>
      </w:r>
      <w:proofErr w:type="gramEnd"/>
      <w:r>
        <w:t xml:space="preserve">93; F = 1252; P&lt;0.001) fit to describe Murray cod age-length data (Figure </w:t>
      </w:r>
      <w:r w:rsidR="005E0A51">
        <w:t>11</w:t>
      </w:r>
      <w:r w:rsidR="00C938A6">
        <w:t xml:space="preserve">.3). </w:t>
      </w:r>
      <w:r>
        <w:t xml:space="preserve">Apparent differences in growth curves among zones were not significant, so a single growth curve for the whole Edward-Wakool system was used to describe the age-length relationship. The fitted growth index parameter (Table </w:t>
      </w:r>
      <w:r w:rsidR="005E0A51">
        <w:t>11</w:t>
      </w:r>
      <w:r w:rsidR="00C938A6">
        <w:t>.</w:t>
      </w:r>
      <w:r w:rsidR="001A5480">
        <w:t>1</w:t>
      </w:r>
      <w:r>
        <w:t>) provides a useful index of Murray cod recruit growth that can be compared with future years in order to evaluate the long-term effects of Commonwealth environmental water delivery.</w:t>
      </w:r>
    </w:p>
    <w:p w:rsidR="00D72F5D" w:rsidRDefault="00D72F5D" w:rsidP="002B79E4">
      <w:pPr>
        <w:pStyle w:val="ListParagraph"/>
        <w:shd w:val="clear" w:color="auto" w:fill="FFFFFF"/>
        <w:spacing w:after="120" w:line="240" w:lineRule="auto"/>
        <w:ind w:left="0"/>
        <w:rPr>
          <w:rFonts w:cs="Arial"/>
          <w:b/>
          <w:color w:val="000000"/>
        </w:rPr>
      </w:pPr>
      <w:r>
        <w:rPr>
          <w:rFonts w:cs="Arial"/>
          <w:b/>
          <w:noProof/>
          <w:color w:val="000000"/>
          <w:lang w:eastAsia="en-AU"/>
        </w:rPr>
        <w:drawing>
          <wp:inline distT="0" distB="0" distL="0" distR="0">
            <wp:extent cx="4622962" cy="3303793"/>
            <wp:effectExtent l="0" t="0" r="6350" b="0"/>
            <wp:docPr id="200" name="Picture 200" descr="Fig4_growth 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4_growth curve"/>
                    <pic:cNvPicPr>
                      <a:picLocks noChangeAspect="1" noChangeArrowheads="1"/>
                    </pic:cNvPicPr>
                  </pic:nvPicPr>
                  <pic:blipFill rotWithShape="1">
                    <a:blip r:embed="rId11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4633902" cy="331161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72F5D" w:rsidRDefault="00D72F5D" w:rsidP="002B79E4">
      <w:pPr>
        <w:pStyle w:val="ListParagraph"/>
        <w:shd w:val="clear" w:color="auto" w:fill="FFFFFF"/>
        <w:ind w:left="0"/>
        <w:rPr>
          <w:rFonts w:cs="Arial"/>
          <w:color w:val="000000"/>
          <w:sz w:val="20"/>
        </w:rPr>
      </w:pPr>
      <w:r w:rsidRPr="001A5480">
        <w:rPr>
          <w:rFonts w:cs="Arial"/>
          <w:b/>
          <w:color w:val="000000"/>
          <w:sz w:val="20"/>
        </w:rPr>
        <w:t xml:space="preserve">Figure </w:t>
      </w:r>
      <w:r w:rsidR="005E0A51">
        <w:rPr>
          <w:rFonts w:cs="Arial"/>
          <w:b/>
          <w:color w:val="000000"/>
          <w:sz w:val="20"/>
        </w:rPr>
        <w:t>11</w:t>
      </w:r>
      <w:r w:rsidR="00C938A6" w:rsidRPr="001A5480">
        <w:rPr>
          <w:rFonts w:cs="Arial"/>
          <w:b/>
          <w:color w:val="000000"/>
          <w:sz w:val="20"/>
        </w:rPr>
        <w:t>.</w:t>
      </w:r>
      <w:r w:rsidRPr="001A5480">
        <w:rPr>
          <w:rFonts w:cs="Arial"/>
          <w:b/>
          <w:color w:val="000000"/>
          <w:sz w:val="20"/>
        </w:rPr>
        <w:t xml:space="preserve">3: </w:t>
      </w:r>
      <w:r w:rsidRPr="001A5480">
        <w:rPr>
          <w:rFonts w:cs="Arial"/>
          <w:color w:val="000000"/>
          <w:sz w:val="20"/>
        </w:rPr>
        <w:t>Growth curves of Murray cod recruits sampled in the Edward-Wakool system 2014-15.</w:t>
      </w:r>
    </w:p>
    <w:p w:rsidR="00D72F5D" w:rsidRPr="00C72ABB" w:rsidRDefault="00D72F5D" w:rsidP="002B79E4">
      <w:pPr>
        <w:pStyle w:val="ListParagraph"/>
        <w:shd w:val="clear" w:color="auto" w:fill="FFFFFF"/>
        <w:spacing w:line="240" w:lineRule="auto"/>
        <w:ind w:left="0"/>
        <w:rPr>
          <w:rFonts w:cs="Arial"/>
          <w:b/>
          <w:color w:val="000000"/>
          <w:sz w:val="20"/>
        </w:rPr>
      </w:pPr>
      <w:r w:rsidRPr="00C72ABB">
        <w:rPr>
          <w:rFonts w:cs="Arial"/>
          <w:b/>
          <w:color w:val="000000"/>
          <w:sz w:val="20"/>
        </w:rPr>
        <w:t xml:space="preserve">Table </w:t>
      </w:r>
      <w:r w:rsidR="005E0A51">
        <w:rPr>
          <w:rFonts w:cs="Arial"/>
          <w:b/>
          <w:color w:val="000000"/>
          <w:sz w:val="20"/>
        </w:rPr>
        <w:t>11</w:t>
      </w:r>
      <w:r w:rsidR="00C938A6" w:rsidRPr="00C72ABB">
        <w:rPr>
          <w:rFonts w:cs="Arial"/>
          <w:b/>
          <w:color w:val="000000"/>
          <w:sz w:val="20"/>
        </w:rPr>
        <w:t>.</w:t>
      </w:r>
      <w:r w:rsidR="001A5480">
        <w:rPr>
          <w:rFonts w:cs="Arial"/>
          <w:b/>
          <w:color w:val="000000"/>
          <w:sz w:val="20"/>
        </w:rPr>
        <w:t>1</w:t>
      </w:r>
      <w:r w:rsidRPr="00C72ABB">
        <w:rPr>
          <w:rFonts w:cs="Arial"/>
          <w:b/>
          <w:color w:val="000000"/>
          <w:sz w:val="20"/>
        </w:rPr>
        <w:t xml:space="preserve">: </w:t>
      </w:r>
      <w:r w:rsidRPr="00C72ABB">
        <w:rPr>
          <w:rFonts w:cs="Arial"/>
          <w:color w:val="000000"/>
          <w:sz w:val="20"/>
        </w:rPr>
        <w:t>Logistic model growth index for Murray cod recruits sampled in the Edward-Wakool system in 2014-15.</w:t>
      </w:r>
    </w:p>
    <w:tbl>
      <w:tblPr>
        <w:tblW w:w="5980" w:type="dxa"/>
        <w:jc w:val="center"/>
        <w:tblCellMar>
          <w:left w:w="0" w:type="dxa"/>
          <w:right w:w="0" w:type="dxa"/>
        </w:tblCellMar>
        <w:tblLook w:val="04A0"/>
      </w:tblPr>
      <w:tblGrid>
        <w:gridCol w:w="1786"/>
        <w:gridCol w:w="1172"/>
        <w:gridCol w:w="1038"/>
        <w:gridCol w:w="871"/>
        <w:gridCol w:w="1113"/>
      </w:tblGrid>
      <w:tr w:rsidR="00D72F5D" w:rsidRPr="00C770B1" w:rsidTr="00C770B1">
        <w:trPr>
          <w:trHeight w:val="300"/>
          <w:jc w:val="center"/>
        </w:trPr>
        <w:tc>
          <w:tcPr>
            <w:tcW w:w="1786"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hideMark/>
          </w:tcPr>
          <w:p w:rsidR="00D72F5D" w:rsidRPr="00C770B1" w:rsidRDefault="00D72F5D" w:rsidP="00EE11BF">
            <w:pPr>
              <w:pStyle w:val="ListParagraph"/>
              <w:shd w:val="clear" w:color="auto" w:fill="FFFFFF"/>
              <w:spacing w:after="0"/>
              <w:ind w:left="357"/>
              <w:rPr>
                <w:rFonts w:cs="Arial"/>
                <w:color w:val="000000"/>
                <w:shd w:val="clear" w:color="auto" w:fill="FFFFFF" w:themeFill="background1"/>
              </w:rPr>
            </w:pPr>
            <w:r w:rsidRPr="00C770B1">
              <w:rPr>
                <w:rFonts w:cs="Arial"/>
                <w:color w:val="000000"/>
                <w:shd w:val="clear" w:color="auto" w:fill="FFFFFF" w:themeFill="background1"/>
              </w:rPr>
              <w:t>Growth parameters</w:t>
            </w:r>
          </w:p>
        </w:tc>
        <w:tc>
          <w:tcPr>
            <w:tcW w:w="1172"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hideMark/>
          </w:tcPr>
          <w:p w:rsidR="00D72F5D" w:rsidRPr="00C770B1" w:rsidRDefault="00D72F5D" w:rsidP="00EE11BF">
            <w:pPr>
              <w:pStyle w:val="ListParagraph"/>
              <w:shd w:val="clear" w:color="auto" w:fill="FFFFFF"/>
              <w:spacing w:after="0"/>
              <w:ind w:left="357"/>
              <w:rPr>
                <w:rFonts w:cs="Arial"/>
                <w:color w:val="000000"/>
                <w:shd w:val="clear" w:color="auto" w:fill="FFFFFF" w:themeFill="background1"/>
              </w:rPr>
            </w:pPr>
            <w:r w:rsidRPr="00C770B1">
              <w:rPr>
                <w:rFonts w:cs="Arial"/>
                <w:color w:val="000000"/>
                <w:shd w:val="clear" w:color="auto" w:fill="FFFFFF" w:themeFill="background1"/>
              </w:rPr>
              <w:t>Estimate</w:t>
            </w:r>
          </w:p>
        </w:tc>
        <w:tc>
          <w:tcPr>
            <w:tcW w:w="1038"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hideMark/>
          </w:tcPr>
          <w:p w:rsidR="00D72F5D" w:rsidRPr="00C770B1" w:rsidRDefault="00D72F5D" w:rsidP="00EE11BF">
            <w:pPr>
              <w:pStyle w:val="ListParagraph"/>
              <w:shd w:val="clear" w:color="auto" w:fill="FFFFFF"/>
              <w:spacing w:after="0"/>
              <w:ind w:left="357"/>
              <w:rPr>
                <w:rFonts w:cs="Arial"/>
                <w:color w:val="000000"/>
                <w:shd w:val="clear" w:color="auto" w:fill="FFFFFF" w:themeFill="background1"/>
              </w:rPr>
            </w:pPr>
            <w:r w:rsidRPr="00C770B1">
              <w:rPr>
                <w:rFonts w:cs="Arial"/>
                <w:color w:val="000000"/>
                <w:shd w:val="clear" w:color="auto" w:fill="FFFFFF" w:themeFill="background1"/>
              </w:rPr>
              <w:t>Std. Error</w:t>
            </w:r>
          </w:p>
        </w:tc>
        <w:tc>
          <w:tcPr>
            <w:tcW w:w="871"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hideMark/>
          </w:tcPr>
          <w:p w:rsidR="00D72F5D" w:rsidRPr="00C770B1" w:rsidRDefault="00D72F5D" w:rsidP="00EE11BF">
            <w:pPr>
              <w:pStyle w:val="ListParagraph"/>
              <w:shd w:val="clear" w:color="auto" w:fill="FFFFFF"/>
              <w:spacing w:after="0"/>
              <w:ind w:left="357"/>
              <w:rPr>
                <w:rFonts w:cs="Arial"/>
                <w:color w:val="000000"/>
                <w:shd w:val="clear" w:color="auto" w:fill="FFFFFF" w:themeFill="background1"/>
              </w:rPr>
            </w:pPr>
            <w:r w:rsidRPr="00C770B1">
              <w:rPr>
                <w:rFonts w:cs="Arial"/>
                <w:color w:val="000000"/>
                <w:shd w:val="clear" w:color="auto" w:fill="FFFFFF" w:themeFill="background1"/>
              </w:rPr>
              <w:t>t value</w:t>
            </w:r>
          </w:p>
        </w:tc>
        <w:tc>
          <w:tcPr>
            <w:tcW w:w="1113"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hideMark/>
          </w:tcPr>
          <w:p w:rsidR="00D72F5D" w:rsidRPr="00C770B1" w:rsidRDefault="00D72F5D" w:rsidP="00EE11BF">
            <w:pPr>
              <w:pStyle w:val="ListParagraph"/>
              <w:shd w:val="clear" w:color="auto" w:fill="FFFFFF"/>
              <w:spacing w:after="0"/>
              <w:ind w:left="357"/>
              <w:rPr>
                <w:rFonts w:cs="Arial"/>
                <w:color w:val="000000"/>
                <w:shd w:val="clear" w:color="auto" w:fill="FFFFFF" w:themeFill="background1"/>
              </w:rPr>
            </w:pPr>
            <w:r w:rsidRPr="00C770B1">
              <w:rPr>
                <w:rFonts w:cs="Arial"/>
                <w:color w:val="000000"/>
                <w:shd w:val="clear" w:color="auto" w:fill="FFFFFF" w:themeFill="background1"/>
              </w:rPr>
              <w:t>P value</w:t>
            </w:r>
          </w:p>
        </w:tc>
      </w:tr>
      <w:tr w:rsidR="00D72F5D" w:rsidRPr="00A16BE8" w:rsidTr="00572C5D">
        <w:trPr>
          <w:trHeight w:val="300"/>
          <w:jc w:val="center"/>
        </w:trPr>
        <w:tc>
          <w:tcPr>
            <w:tcW w:w="1786"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hideMark/>
          </w:tcPr>
          <w:p w:rsidR="00D72F5D" w:rsidRPr="00A16BE8" w:rsidRDefault="00D72F5D" w:rsidP="00C72ABB">
            <w:pPr>
              <w:pStyle w:val="ListParagraph"/>
              <w:shd w:val="clear" w:color="auto" w:fill="FFFFFF"/>
              <w:spacing w:after="240"/>
              <w:ind w:left="357"/>
              <w:rPr>
                <w:rFonts w:cs="Arial"/>
                <w:color w:val="000000"/>
              </w:rPr>
            </w:pPr>
            <w:r w:rsidRPr="00A16BE8">
              <w:rPr>
                <w:rFonts w:cs="Arial"/>
                <w:color w:val="000000"/>
              </w:rPr>
              <w:t xml:space="preserve">Growth index </w:t>
            </w:r>
          </w:p>
        </w:tc>
        <w:tc>
          <w:tcPr>
            <w:tcW w:w="1172"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hideMark/>
          </w:tcPr>
          <w:p w:rsidR="00D72F5D" w:rsidRPr="00A16BE8" w:rsidRDefault="00D72F5D" w:rsidP="00C72ABB">
            <w:pPr>
              <w:pStyle w:val="ListParagraph"/>
              <w:shd w:val="clear" w:color="auto" w:fill="FFFFFF"/>
              <w:spacing w:after="240"/>
              <w:ind w:left="357"/>
              <w:rPr>
                <w:rFonts w:cs="Arial"/>
                <w:color w:val="000000"/>
              </w:rPr>
            </w:pPr>
            <w:r w:rsidRPr="00A16BE8">
              <w:rPr>
                <w:rFonts w:cs="Arial"/>
                <w:color w:val="000000"/>
              </w:rPr>
              <w:t>1.02</w:t>
            </w:r>
          </w:p>
        </w:tc>
        <w:tc>
          <w:tcPr>
            <w:tcW w:w="1038"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hideMark/>
          </w:tcPr>
          <w:p w:rsidR="00D72F5D" w:rsidRPr="00A16BE8" w:rsidRDefault="00D72F5D" w:rsidP="00C72ABB">
            <w:pPr>
              <w:pStyle w:val="ListParagraph"/>
              <w:shd w:val="clear" w:color="auto" w:fill="FFFFFF"/>
              <w:spacing w:after="240"/>
              <w:ind w:left="357"/>
              <w:rPr>
                <w:rFonts w:cs="Arial"/>
                <w:color w:val="000000"/>
              </w:rPr>
            </w:pPr>
            <w:r w:rsidRPr="00A16BE8">
              <w:rPr>
                <w:rFonts w:cs="Arial"/>
                <w:color w:val="000000"/>
              </w:rPr>
              <w:t>0.14</w:t>
            </w:r>
          </w:p>
        </w:tc>
        <w:tc>
          <w:tcPr>
            <w:tcW w:w="871"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hideMark/>
          </w:tcPr>
          <w:p w:rsidR="00D72F5D" w:rsidRPr="00A16BE8" w:rsidRDefault="00D72F5D" w:rsidP="00C72ABB">
            <w:pPr>
              <w:pStyle w:val="ListParagraph"/>
              <w:shd w:val="clear" w:color="auto" w:fill="FFFFFF"/>
              <w:spacing w:after="240"/>
              <w:ind w:left="357"/>
              <w:rPr>
                <w:rFonts w:cs="Arial"/>
                <w:color w:val="000000"/>
              </w:rPr>
            </w:pPr>
            <w:r w:rsidRPr="00A16BE8">
              <w:rPr>
                <w:rFonts w:cs="Arial"/>
                <w:color w:val="000000"/>
              </w:rPr>
              <w:t>7.29</w:t>
            </w:r>
          </w:p>
        </w:tc>
        <w:tc>
          <w:tcPr>
            <w:tcW w:w="1113"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hideMark/>
          </w:tcPr>
          <w:p w:rsidR="00D72F5D" w:rsidRPr="00A16BE8" w:rsidRDefault="00D72F5D" w:rsidP="00C72ABB">
            <w:pPr>
              <w:pStyle w:val="ListParagraph"/>
              <w:shd w:val="clear" w:color="auto" w:fill="FFFFFF"/>
              <w:spacing w:after="240"/>
              <w:ind w:left="357"/>
              <w:rPr>
                <w:rFonts w:cs="Arial"/>
                <w:color w:val="000000"/>
              </w:rPr>
            </w:pPr>
            <w:r w:rsidRPr="00A16BE8">
              <w:rPr>
                <w:rFonts w:cs="Arial"/>
                <w:color w:val="000000"/>
              </w:rPr>
              <w:t>&lt;0.0001</w:t>
            </w:r>
          </w:p>
        </w:tc>
      </w:tr>
    </w:tbl>
    <w:p w:rsidR="00D72F5D" w:rsidRDefault="00D72F5D" w:rsidP="00D72F5D"/>
    <w:p w:rsidR="004D5913" w:rsidRDefault="004D5913" w:rsidP="004D5913">
      <w:pPr>
        <w:pStyle w:val="ListParagraph"/>
        <w:shd w:val="clear" w:color="auto" w:fill="FFFFFF"/>
        <w:ind w:left="0"/>
        <w:jc w:val="left"/>
        <w:rPr>
          <w:rFonts w:cs="Arial"/>
          <w:color w:val="000000"/>
        </w:rPr>
      </w:pPr>
      <w:r>
        <w:t xml:space="preserve">Although there were no differences in age-length models among zones, the length-at-age of 1+ Murray cod recruits was highly variable (Figure 11.4). </w:t>
      </w:r>
      <w:r>
        <w:rPr>
          <w:rFonts w:cs="Arial"/>
          <w:color w:val="000000"/>
        </w:rPr>
        <w:t>The variability in 1+ Murray cod recruits length was partly explained by signi</w:t>
      </w:r>
      <w:r w:rsidR="000106CF">
        <w:rPr>
          <w:rFonts w:cs="Arial"/>
          <w:color w:val="000000"/>
        </w:rPr>
        <w:t xml:space="preserve">ficant (ANOVA; </w:t>
      </w:r>
      <w:proofErr w:type="gramStart"/>
      <w:r w:rsidR="000106CF">
        <w:rPr>
          <w:rFonts w:cs="Arial"/>
          <w:color w:val="000000"/>
        </w:rPr>
        <w:t>df</w:t>
      </w:r>
      <w:proofErr w:type="gramEnd"/>
      <w:r>
        <w:rPr>
          <w:rFonts w:cs="Arial"/>
          <w:color w:val="000000"/>
        </w:rPr>
        <w:t xml:space="preserve">= 44; F = 15.2; P &lt; 0.001) differences among the four zones sampled (Figure 11.5). Recruits in Yallakool Creek </w:t>
      </w:r>
      <w:r w:rsidR="00432A86">
        <w:rPr>
          <w:rFonts w:cs="Arial"/>
          <w:color w:val="000000"/>
        </w:rPr>
        <w:t>zone 1 and Wakool River zone 3</w:t>
      </w:r>
      <w:r>
        <w:rPr>
          <w:rFonts w:cs="Arial"/>
          <w:color w:val="000000"/>
        </w:rPr>
        <w:t xml:space="preserve"> </w:t>
      </w:r>
      <w:r w:rsidR="00432A86">
        <w:rPr>
          <w:rFonts w:cs="Arial"/>
          <w:color w:val="000000"/>
        </w:rPr>
        <w:t>that</w:t>
      </w:r>
      <w:r>
        <w:rPr>
          <w:rFonts w:cs="Arial"/>
          <w:color w:val="000000"/>
        </w:rPr>
        <w:t xml:space="preserve"> received Commonwealth environmental water, were significantly smaller than recruits in Wakool River zone 2 and Wakool River zone 4. However, since Commonwealth environmental water was also delivered to Wakool River zone 4, where the largest 1+ recruits were sampled, the pattern of decreasing size of recruits with environmental water delivery was not consistent among all zones.</w:t>
      </w:r>
    </w:p>
    <w:p w:rsidR="00D72F5D" w:rsidRDefault="00D72F5D" w:rsidP="00C770B1">
      <w:pPr>
        <w:pStyle w:val="ListParagraph"/>
        <w:shd w:val="clear" w:color="auto" w:fill="FFFFFF"/>
        <w:spacing w:after="120" w:line="240" w:lineRule="auto"/>
        <w:ind w:left="0"/>
        <w:jc w:val="left"/>
        <w:rPr>
          <w:rFonts w:cs="Arial"/>
          <w:color w:val="000000"/>
        </w:rPr>
      </w:pPr>
      <w:r w:rsidRPr="00D72F5D">
        <w:rPr>
          <w:noProof/>
          <w:lang w:eastAsia="en-AU"/>
        </w:rPr>
        <w:drawing>
          <wp:inline distT="0" distB="0" distL="0" distR="0">
            <wp:extent cx="5692780" cy="3904615"/>
            <wp:effectExtent l="19050" t="0" r="317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11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58"/>
                    <a:stretch/>
                  </pic:blipFill>
                  <pic:spPr bwMode="auto">
                    <a:xfrm>
                      <a:off x="0" y="0"/>
                      <a:ext cx="5693403" cy="39050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72F5D" w:rsidRPr="00C938A6" w:rsidRDefault="00D72F5D" w:rsidP="00C938A6">
      <w:pPr>
        <w:pStyle w:val="ListParagraph"/>
        <w:shd w:val="clear" w:color="auto" w:fill="FFFFFF"/>
        <w:spacing w:line="240" w:lineRule="auto"/>
        <w:ind w:left="0"/>
        <w:rPr>
          <w:rFonts w:cs="Arial"/>
          <w:color w:val="000000"/>
          <w:sz w:val="20"/>
        </w:rPr>
      </w:pPr>
      <w:r w:rsidRPr="00C938A6">
        <w:rPr>
          <w:rFonts w:cs="Arial"/>
          <w:b/>
          <w:color w:val="000000"/>
          <w:sz w:val="20"/>
        </w:rPr>
        <w:t xml:space="preserve">Figure </w:t>
      </w:r>
      <w:r w:rsidR="005E0A51">
        <w:rPr>
          <w:rFonts w:cs="Arial"/>
          <w:b/>
          <w:color w:val="000000"/>
          <w:sz w:val="20"/>
        </w:rPr>
        <w:t>11</w:t>
      </w:r>
      <w:r w:rsidR="00C938A6" w:rsidRPr="00C938A6">
        <w:rPr>
          <w:rFonts w:cs="Arial"/>
          <w:b/>
          <w:color w:val="000000"/>
          <w:sz w:val="20"/>
        </w:rPr>
        <w:t>.</w:t>
      </w:r>
      <w:r w:rsidRPr="00C938A6">
        <w:rPr>
          <w:rFonts w:cs="Arial"/>
          <w:b/>
          <w:color w:val="000000"/>
          <w:sz w:val="20"/>
        </w:rPr>
        <w:t xml:space="preserve">4: </w:t>
      </w:r>
      <w:r w:rsidRPr="00C938A6">
        <w:rPr>
          <w:rFonts w:cs="Arial"/>
          <w:color w:val="000000"/>
          <w:sz w:val="20"/>
        </w:rPr>
        <w:t>Variation in length-at-age of Murray cod recruits sampled in the Edward-Wakool system 2014-15.</w:t>
      </w:r>
    </w:p>
    <w:p w:rsidR="00D72F5D" w:rsidRPr="00B12596" w:rsidRDefault="00D72F5D" w:rsidP="00311640">
      <w:pPr>
        <w:pStyle w:val="ListParagraph"/>
        <w:shd w:val="clear" w:color="auto" w:fill="FFFFFF"/>
        <w:ind w:left="0"/>
        <w:jc w:val="left"/>
        <w:rPr>
          <w:rFonts w:cs="Arial"/>
          <w:color w:val="000000"/>
        </w:rPr>
      </w:pPr>
      <w:r>
        <w:rPr>
          <w:rFonts w:cs="Arial"/>
          <w:color w:val="000000"/>
        </w:rPr>
        <w:t xml:space="preserve">The difference in mean length of 1+ Murray cod recruits among zones was as high as 46 mm which equates to a 20% mean difference in TL among zones. However, there were no significant differences in the mean length of YOY recruits among zones (Figure </w:t>
      </w:r>
      <w:r w:rsidR="005E0A51">
        <w:rPr>
          <w:rFonts w:cs="Arial"/>
          <w:color w:val="000000"/>
        </w:rPr>
        <w:t>11</w:t>
      </w:r>
      <w:r w:rsidR="00C938A6">
        <w:rPr>
          <w:rFonts w:cs="Arial"/>
          <w:color w:val="000000"/>
        </w:rPr>
        <w:t>.</w:t>
      </w:r>
      <w:r>
        <w:rPr>
          <w:rFonts w:cs="Arial"/>
          <w:color w:val="000000"/>
        </w:rPr>
        <w:t>5), which indicates that differences in the size of 1+ recruits occurs after the YOY stage, over their first winter and/or the following spring-summer period.</w:t>
      </w:r>
    </w:p>
    <w:p w:rsidR="00D72F5D" w:rsidRDefault="00D72F5D" w:rsidP="00C938A6">
      <w:pPr>
        <w:pStyle w:val="ListParagraph"/>
        <w:shd w:val="clear" w:color="auto" w:fill="FFFFFF"/>
        <w:spacing w:after="120" w:line="240" w:lineRule="auto"/>
        <w:ind w:left="357"/>
        <w:jc w:val="center"/>
        <w:rPr>
          <w:rFonts w:cs="Arial"/>
          <w:color w:val="000000"/>
        </w:rPr>
      </w:pPr>
      <w:r>
        <w:rPr>
          <w:rFonts w:cs="Arial"/>
          <w:noProof/>
          <w:color w:val="000000"/>
          <w:lang w:eastAsia="en-AU"/>
        </w:rPr>
        <w:drawing>
          <wp:inline distT="0" distB="0" distL="0" distR="0">
            <wp:extent cx="3484840" cy="6228000"/>
            <wp:effectExtent l="0" t="0" r="1905" b="1905"/>
            <wp:docPr id="202" name="Picture 202" descr="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g 5"/>
                    <pic:cNvPicPr>
                      <a:picLocks noChangeAspect="1" noChangeArrowheads="1"/>
                    </pic:cNvPicPr>
                  </pic:nvPicPr>
                  <pic:blipFill rotWithShape="1">
                    <a:blip r:embed="rId11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3484840" cy="622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72F5D" w:rsidRPr="00C72ABB" w:rsidRDefault="00D72F5D" w:rsidP="00D72F5D">
      <w:pPr>
        <w:pStyle w:val="ListParagraph"/>
        <w:shd w:val="clear" w:color="auto" w:fill="FFFFFF"/>
        <w:spacing w:before="240" w:after="0" w:line="240" w:lineRule="auto"/>
        <w:ind w:left="0"/>
        <w:rPr>
          <w:rFonts w:cs="Arial"/>
          <w:color w:val="000000"/>
          <w:sz w:val="20"/>
        </w:rPr>
      </w:pPr>
      <w:r w:rsidRPr="00C72ABB">
        <w:rPr>
          <w:rFonts w:cs="Arial"/>
          <w:b/>
          <w:color w:val="000000"/>
          <w:sz w:val="20"/>
        </w:rPr>
        <w:t xml:space="preserve">Figure </w:t>
      </w:r>
      <w:r w:rsidR="005E0A51">
        <w:rPr>
          <w:rFonts w:cs="Arial"/>
          <w:b/>
          <w:color w:val="000000"/>
          <w:sz w:val="20"/>
        </w:rPr>
        <w:t>11</w:t>
      </w:r>
      <w:r w:rsidR="00C938A6" w:rsidRPr="00C72ABB">
        <w:rPr>
          <w:rFonts w:cs="Arial"/>
          <w:b/>
          <w:color w:val="000000"/>
          <w:sz w:val="20"/>
        </w:rPr>
        <w:t>.</w:t>
      </w:r>
      <w:r w:rsidRPr="00C72ABB">
        <w:rPr>
          <w:rFonts w:cs="Arial"/>
          <w:b/>
          <w:color w:val="000000"/>
          <w:sz w:val="20"/>
        </w:rPr>
        <w:t xml:space="preserve">5: </w:t>
      </w:r>
      <w:r w:rsidRPr="00C72ABB">
        <w:rPr>
          <w:rFonts w:cs="Arial"/>
          <w:color w:val="000000"/>
          <w:sz w:val="20"/>
        </w:rPr>
        <w:t>Mean (+/- SE) length of Murray cod recruits including age-class 1 (1+) and Young-of-Year (YOY) fish sampled in the Edward-Wakool system in 2014-15. The asterisk denotes river zones which received Commonwealth environmental</w:t>
      </w:r>
      <w:r w:rsidR="000A4F7E">
        <w:rPr>
          <w:rFonts w:cs="Arial"/>
          <w:color w:val="000000"/>
          <w:sz w:val="20"/>
        </w:rPr>
        <w:t xml:space="preserve"> water in 2013-14 and 2014-15. </w:t>
      </w:r>
      <w:r w:rsidR="009F4D23">
        <w:rPr>
          <w:rFonts w:cs="Arial"/>
          <w:color w:val="000000"/>
          <w:sz w:val="20"/>
        </w:rPr>
        <w:t>Wakool River z</w:t>
      </w:r>
      <w:r w:rsidRPr="00C72ABB">
        <w:rPr>
          <w:rFonts w:cs="Arial"/>
          <w:color w:val="000000"/>
          <w:sz w:val="20"/>
        </w:rPr>
        <w:t xml:space="preserve">one 2 was the only zone that </w:t>
      </w:r>
      <w:r w:rsidRPr="00C72ABB">
        <w:rPr>
          <w:rFonts w:cs="Arial"/>
          <w:i/>
          <w:color w:val="000000"/>
          <w:sz w:val="20"/>
        </w:rPr>
        <w:t>did not</w:t>
      </w:r>
      <w:r w:rsidRPr="00C72ABB">
        <w:rPr>
          <w:rFonts w:cs="Arial"/>
          <w:color w:val="000000"/>
          <w:sz w:val="20"/>
        </w:rPr>
        <w:t xml:space="preserve"> receive Commonwealth environmental water.</w:t>
      </w:r>
    </w:p>
    <w:p w:rsidR="00D72F5D" w:rsidRPr="00AC338C" w:rsidRDefault="00D72F5D" w:rsidP="00D72F5D">
      <w:pPr>
        <w:shd w:val="clear" w:color="auto" w:fill="FFFFFF"/>
        <w:spacing w:after="0"/>
        <w:rPr>
          <w:rFonts w:cs="Arial"/>
          <w:i/>
          <w:color w:val="000000"/>
        </w:rPr>
      </w:pPr>
      <w:r>
        <w:rPr>
          <w:rFonts w:cs="Arial"/>
          <w:i/>
          <w:color w:val="000000"/>
        </w:rPr>
        <w:t>Relative abundance of recruits</w:t>
      </w:r>
    </w:p>
    <w:p w:rsidR="00D72F5D" w:rsidRPr="00D00F4A" w:rsidRDefault="00D72F5D" w:rsidP="00311640">
      <w:pPr>
        <w:pStyle w:val="ListParagraph"/>
        <w:shd w:val="clear" w:color="auto" w:fill="FFFFFF"/>
        <w:ind w:left="0"/>
        <w:jc w:val="left"/>
        <w:rPr>
          <w:rFonts w:cs="Arial"/>
          <w:color w:val="000000"/>
        </w:rPr>
      </w:pPr>
      <w:r>
        <w:rPr>
          <w:rFonts w:cs="Arial"/>
          <w:color w:val="000000"/>
        </w:rPr>
        <w:t>Murray cod were the most abundant of the three species being target</w:t>
      </w:r>
      <w:r w:rsidR="005913E8">
        <w:rPr>
          <w:rFonts w:cs="Arial"/>
          <w:color w:val="000000"/>
        </w:rPr>
        <w:t>ed</w:t>
      </w:r>
      <w:r>
        <w:rPr>
          <w:rFonts w:cs="Arial"/>
          <w:color w:val="000000"/>
        </w:rPr>
        <w:t xml:space="preserve"> </w:t>
      </w:r>
      <w:r w:rsidR="00432A86">
        <w:rPr>
          <w:rFonts w:cs="Arial"/>
          <w:color w:val="000000"/>
        </w:rPr>
        <w:t>for the evaluation of</w:t>
      </w:r>
      <w:r>
        <w:rPr>
          <w:rFonts w:cs="Arial"/>
          <w:color w:val="000000"/>
        </w:rPr>
        <w:t xml:space="preserve"> fish recruitment (Table </w:t>
      </w:r>
      <w:r w:rsidR="005E0A51">
        <w:rPr>
          <w:rFonts w:cs="Arial"/>
          <w:color w:val="000000"/>
        </w:rPr>
        <w:t>11</w:t>
      </w:r>
      <w:r w:rsidR="00C938A6">
        <w:rPr>
          <w:rFonts w:cs="Arial"/>
          <w:color w:val="000000"/>
        </w:rPr>
        <w:t>.</w:t>
      </w:r>
      <w:r w:rsidR="001A5480">
        <w:rPr>
          <w:rFonts w:cs="Arial"/>
          <w:color w:val="000000"/>
        </w:rPr>
        <w:t>2</w:t>
      </w:r>
      <w:r>
        <w:rPr>
          <w:rFonts w:cs="Arial"/>
          <w:color w:val="000000"/>
        </w:rPr>
        <w:t>). Murray cod recruits were sampled consistently among all zones which included 19 YOY, 46 1+ recruits and 55 fish in older</w:t>
      </w:r>
      <w:r w:rsidR="001A5480">
        <w:rPr>
          <w:rFonts w:cs="Arial"/>
          <w:color w:val="000000"/>
        </w:rPr>
        <w:t xml:space="preserve"> age-classes. </w:t>
      </w:r>
      <w:r w:rsidRPr="00D00F4A">
        <w:rPr>
          <w:rFonts w:cs="Arial"/>
          <w:color w:val="000000"/>
        </w:rPr>
        <w:t>Three silver perch between 120 mm and 220 mm TL</w:t>
      </w:r>
      <w:r w:rsidR="00432A86">
        <w:rPr>
          <w:rFonts w:cs="Arial"/>
          <w:color w:val="000000"/>
        </w:rPr>
        <w:t xml:space="preserve"> were assumed to be 1+ recruits, and </w:t>
      </w:r>
      <w:r w:rsidRPr="00D00F4A">
        <w:rPr>
          <w:rFonts w:cs="Arial"/>
          <w:color w:val="000000"/>
        </w:rPr>
        <w:t xml:space="preserve">no golden perch recruits were sampled. </w:t>
      </w:r>
    </w:p>
    <w:p w:rsidR="00D72F5D" w:rsidRPr="00C938A6" w:rsidRDefault="00D72F5D" w:rsidP="00C938A6">
      <w:pPr>
        <w:shd w:val="clear" w:color="auto" w:fill="FFFFFF"/>
        <w:spacing w:after="0" w:line="240" w:lineRule="auto"/>
        <w:rPr>
          <w:rFonts w:cs="Arial"/>
          <w:color w:val="000000"/>
          <w:sz w:val="20"/>
        </w:rPr>
      </w:pPr>
      <w:r w:rsidRPr="00C938A6">
        <w:rPr>
          <w:rFonts w:cs="Arial"/>
          <w:b/>
          <w:color w:val="000000"/>
          <w:sz w:val="20"/>
        </w:rPr>
        <w:t xml:space="preserve">Table </w:t>
      </w:r>
      <w:r w:rsidR="005E0A51">
        <w:rPr>
          <w:rFonts w:cs="Arial"/>
          <w:b/>
          <w:color w:val="000000"/>
          <w:sz w:val="20"/>
        </w:rPr>
        <w:t>11</w:t>
      </w:r>
      <w:r w:rsidR="00C938A6" w:rsidRPr="00C938A6">
        <w:rPr>
          <w:rFonts w:cs="Arial"/>
          <w:b/>
          <w:color w:val="000000"/>
          <w:sz w:val="20"/>
        </w:rPr>
        <w:t>.</w:t>
      </w:r>
      <w:r w:rsidR="001A5480">
        <w:rPr>
          <w:rFonts w:cs="Arial"/>
          <w:b/>
          <w:color w:val="000000"/>
          <w:sz w:val="20"/>
        </w:rPr>
        <w:t>2</w:t>
      </w:r>
      <w:r w:rsidRPr="00C938A6">
        <w:rPr>
          <w:rFonts w:cs="Arial"/>
          <w:color w:val="000000"/>
          <w:sz w:val="20"/>
        </w:rPr>
        <w:t xml:space="preserve">: Number of Young-of-Year (YOY), age-class 1 (1+) recruits and older juvenile and adults of the three target species sampled in recruitment and growth monitoring in the Edward-Wakool system in 2014-15. </w:t>
      </w:r>
    </w:p>
    <w:tbl>
      <w:tblPr>
        <w:tblW w:w="9039" w:type="dxa"/>
        <w:tblLook w:val="04A0"/>
      </w:tblPr>
      <w:tblGrid>
        <w:gridCol w:w="2376"/>
        <w:gridCol w:w="2552"/>
        <w:gridCol w:w="992"/>
        <w:gridCol w:w="992"/>
        <w:gridCol w:w="2127"/>
      </w:tblGrid>
      <w:tr w:rsidR="00D72F5D" w:rsidRPr="00F70DE7" w:rsidTr="00853906">
        <w:trPr>
          <w:trHeight w:val="300"/>
        </w:trPr>
        <w:tc>
          <w:tcPr>
            <w:tcW w:w="2376" w:type="dxa"/>
            <w:tcBorders>
              <w:top w:val="single" w:sz="4" w:space="0" w:color="auto"/>
              <w:left w:val="nil"/>
              <w:bottom w:val="nil"/>
              <w:right w:val="nil"/>
            </w:tcBorders>
            <w:shd w:val="clear" w:color="auto" w:fill="D6E3BC" w:themeFill="accent3" w:themeFillTint="66"/>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 </w:t>
            </w:r>
          </w:p>
        </w:tc>
        <w:tc>
          <w:tcPr>
            <w:tcW w:w="2552" w:type="dxa"/>
            <w:tcBorders>
              <w:top w:val="single" w:sz="4" w:space="0" w:color="auto"/>
              <w:left w:val="nil"/>
              <w:bottom w:val="nil"/>
              <w:right w:val="nil"/>
            </w:tcBorders>
            <w:shd w:val="clear" w:color="auto" w:fill="D6E3BC" w:themeFill="accent3" w:themeFillTint="66"/>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 </w:t>
            </w:r>
          </w:p>
        </w:tc>
        <w:tc>
          <w:tcPr>
            <w:tcW w:w="4111" w:type="dxa"/>
            <w:gridSpan w:val="3"/>
            <w:tcBorders>
              <w:top w:val="single" w:sz="4" w:space="0" w:color="auto"/>
              <w:left w:val="nil"/>
              <w:bottom w:val="nil"/>
              <w:right w:val="nil"/>
            </w:tcBorders>
            <w:shd w:val="clear" w:color="auto" w:fill="D6E3BC" w:themeFill="accent3" w:themeFillTint="66"/>
            <w:noWrap/>
            <w:vAlign w:val="bottom"/>
            <w:hideMark/>
          </w:tcPr>
          <w:p w:rsidR="00D72F5D" w:rsidRPr="00F70DE7" w:rsidRDefault="00D72F5D" w:rsidP="00D72F5D">
            <w:pPr>
              <w:spacing w:after="0" w:line="240" w:lineRule="exact"/>
              <w:rPr>
                <w:rFonts w:eastAsia="Times New Roman"/>
                <w:color w:val="000000"/>
                <w:sz w:val="20"/>
                <w:lang w:eastAsia="en-AU"/>
              </w:rPr>
            </w:pPr>
            <w:r w:rsidRPr="00A16BE8">
              <w:rPr>
                <w:rFonts w:eastAsia="Times New Roman"/>
                <w:color w:val="000000"/>
                <w:sz w:val="20"/>
                <w:lang w:eastAsia="en-AU"/>
              </w:rPr>
              <w:t xml:space="preserve">    </w:t>
            </w:r>
            <w:r w:rsidRPr="00F70DE7">
              <w:rPr>
                <w:rFonts w:eastAsia="Times New Roman"/>
                <w:color w:val="000000"/>
                <w:sz w:val="20"/>
                <w:lang w:eastAsia="en-AU"/>
              </w:rPr>
              <w:t>Stage of development</w:t>
            </w:r>
          </w:p>
        </w:tc>
      </w:tr>
      <w:tr w:rsidR="00D72F5D" w:rsidRPr="00F70DE7" w:rsidTr="00853906">
        <w:trPr>
          <w:trHeight w:val="585"/>
        </w:trPr>
        <w:tc>
          <w:tcPr>
            <w:tcW w:w="2376" w:type="dxa"/>
            <w:tcBorders>
              <w:top w:val="nil"/>
              <w:left w:val="nil"/>
              <w:bottom w:val="single" w:sz="4" w:space="0" w:color="auto"/>
              <w:right w:val="nil"/>
            </w:tcBorders>
            <w:shd w:val="clear" w:color="auto" w:fill="D6E3BC" w:themeFill="accent3" w:themeFillTint="66"/>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Species</w:t>
            </w:r>
          </w:p>
        </w:tc>
        <w:tc>
          <w:tcPr>
            <w:tcW w:w="2552" w:type="dxa"/>
            <w:tcBorders>
              <w:top w:val="nil"/>
              <w:left w:val="nil"/>
              <w:bottom w:val="single" w:sz="4" w:space="0" w:color="auto"/>
              <w:right w:val="nil"/>
            </w:tcBorders>
            <w:shd w:val="clear" w:color="auto" w:fill="D6E3BC" w:themeFill="accent3" w:themeFillTint="66"/>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 xml:space="preserve">Zone </w:t>
            </w:r>
          </w:p>
        </w:tc>
        <w:tc>
          <w:tcPr>
            <w:tcW w:w="992" w:type="dxa"/>
            <w:tcBorders>
              <w:top w:val="nil"/>
              <w:left w:val="nil"/>
              <w:bottom w:val="single" w:sz="4" w:space="0" w:color="auto"/>
              <w:right w:val="nil"/>
            </w:tcBorders>
            <w:shd w:val="clear" w:color="auto" w:fill="D6E3BC" w:themeFill="accent3" w:themeFillTint="66"/>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YOY recruit</w:t>
            </w:r>
          </w:p>
        </w:tc>
        <w:tc>
          <w:tcPr>
            <w:tcW w:w="992" w:type="dxa"/>
            <w:tcBorders>
              <w:top w:val="nil"/>
              <w:left w:val="nil"/>
              <w:bottom w:val="single" w:sz="4" w:space="0" w:color="auto"/>
              <w:right w:val="nil"/>
            </w:tcBorders>
            <w:shd w:val="clear" w:color="auto" w:fill="D6E3BC" w:themeFill="accent3" w:themeFillTint="66"/>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1+ recruit</w:t>
            </w:r>
          </w:p>
        </w:tc>
        <w:tc>
          <w:tcPr>
            <w:tcW w:w="2127" w:type="dxa"/>
            <w:tcBorders>
              <w:top w:val="nil"/>
              <w:left w:val="nil"/>
              <w:bottom w:val="single" w:sz="4" w:space="0" w:color="auto"/>
              <w:right w:val="nil"/>
            </w:tcBorders>
            <w:shd w:val="clear" w:color="auto" w:fill="D6E3BC" w:themeFill="accent3" w:themeFillTint="66"/>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Other Juvenile or Adult</w:t>
            </w:r>
          </w:p>
        </w:tc>
      </w:tr>
      <w:tr w:rsidR="00D72F5D" w:rsidRPr="00F70DE7" w:rsidTr="00853906">
        <w:trPr>
          <w:trHeight w:val="300"/>
        </w:trPr>
        <w:tc>
          <w:tcPr>
            <w:tcW w:w="2376"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Murray cod</w:t>
            </w:r>
          </w:p>
        </w:tc>
        <w:tc>
          <w:tcPr>
            <w:tcW w:w="255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Yallakool Creek</w:t>
            </w: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5</w:t>
            </w: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15</w:t>
            </w:r>
          </w:p>
        </w:tc>
        <w:tc>
          <w:tcPr>
            <w:tcW w:w="2127"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17</w:t>
            </w:r>
          </w:p>
        </w:tc>
      </w:tr>
      <w:tr w:rsidR="00D72F5D" w:rsidRPr="00F70DE7" w:rsidTr="00853906">
        <w:trPr>
          <w:trHeight w:val="300"/>
        </w:trPr>
        <w:tc>
          <w:tcPr>
            <w:tcW w:w="2376"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p>
        </w:tc>
        <w:tc>
          <w:tcPr>
            <w:tcW w:w="2552" w:type="dxa"/>
            <w:tcBorders>
              <w:top w:val="nil"/>
              <w:left w:val="nil"/>
              <w:bottom w:val="nil"/>
              <w:right w:val="nil"/>
            </w:tcBorders>
            <w:shd w:val="clear" w:color="auto" w:fill="auto"/>
            <w:noWrap/>
            <w:vAlign w:val="bottom"/>
            <w:hideMark/>
          </w:tcPr>
          <w:p w:rsidR="00D72F5D" w:rsidRPr="00F70DE7" w:rsidRDefault="009F4D23" w:rsidP="00D72F5D">
            <w:pPr>
              <w:spacing w:after="0" w:line="240" w:lineRule="exact"/>
              <w:rPr>
                <w:rFonts w:eastAsia="Times New Roman"/>
                <w:color w:val="000000"/>
                <w:sz w:val="20"/>
                <w:lang w:eastAsia="en-AU"/>
              </w:rPr>
            </w:pPr>
            <w:r>
              <w:rPr>
                <w:rFonts w:eastAsia="Times New Roman"/>
                <w:color w:val="000000"/>
                <w:sz w:val="20"/>
                <w:lang w:eastAsia="en-AU"/>
              </w:rPr>
              <w:t>Wakool River z</w:t>
            </w:r>
            <w:r w:rsidR="00D72F5D" w:rsidRPr="00F70DE7">
              <w:rPr>
                <w:rFonts w:eastAsia="Times New Roman"/>
                <w:color w:val="000000"/>
                <w:sz w:val="20"/>
                <w:lang w:eastAsia="en-AU"/>
              </w:rPr>
              <w:t>one 2</w:t>
            </w: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5</w:t>
            </w: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11</w:t>
            </w:r>
          </w:p>
        </w:tc>
        <w:tc>
          <w:tcPr>
            <w:tcW w:w="2127"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11</w:t>
            </w:r>
          </w:p>
        </w:tc>
      </w:tr>
      <w:tr w:rsidR="00D72F5D" w:rsidRPr="00F70DE7" w:rsidTr="00853906">
        <w:trPr>
          <w:trHeight w:val="300"/>
        </w:trPr>
        <w:tc>
          <w:tcPr>
            <w:tcW w:w="2376"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p>
        </w:tc>
        <w:tc>
          <w:tcPr>
            <w:tcW w:w="2552" w:type="dxa"/>
            <w:tcBorders>
              <w:top w:val="nil"/>
              <w:left w:val="nil"/>
              <w:bottom w:val="nil"/>
              <w:right w:val="nil"/>
            </w:tcBorders>
            <w:shd w:val="clear" w:color="auto" w:fill="auto"/>
            <w:noWrap/>
            <w:vAlign w:val="bottom"/>
            <w:hideMark/>
          </w:tcPr>
          <w:p w:rsidR="00D72F5D" w:rsidRPr="00F70DE7" w:rsidRDefault="009F4D23" w:rsidP="00D72F5D">
            <w:pPr>
              <w:spacing w:after="0" w:line="240" w:lineRule="exact"/>
              <w:rPr>
                <w:rFonts w:eastAsia="Times New Roman"/>
                <w:color w:val="000000"/>
                <w:sz w:val="20"/>
                <w:lang w:eastAsia="en-AU"/>
              </w:rPr>
            </w:pPr>
            <w:r>
              <w:rPr>
                <w:rFonts w:eastAsia="Times New Roman"/>
                <w:color w:val="000000"/>
                <w:sz w:val="20"/>
                <w:lang w:eastAsia="en-AU"/>
              </w:rPr>
              <w:t>Wakool River z</w:t>
            </w:r>
            <w:r w:rsidR="00D72F5D" w:rsidRPr="00F70DE7">
              <w:rPr>
                <w:rFonts w:eastAsia="Times New Roman"/>
                <w:color w:val="000000"/>
                <w:sz w:val="20"/>
                <w:lang w:eastAsia="en-AU"/>
              </w:rPr>
              <w:t>one 3</w:t>
            </w: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3</w:t>
            </w: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14</w:t>
            </w:r>
          </w:p>
        </w:tc>
        <w:tc>
          <w:tcPr>
            <w:tcW w:w="2127"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13</w:t>
            </w:r>
          </w:p>
        </w:tc>
      </w:tr>
      <w:tr w:rsidR="00D72F5D" w:rsidRPr="00F70DE7" w:rsidTr="00853906">
        <w:trPr>
          <w:trHeight w:val="300"/>
        </w:trPr>
        <w:tc>
          <w:tcPr>
            <w:tcW w:w="2376"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p>
        </w:tc>
        <w:tc>
          <w:tcPr>
            <w:tcW w:w="2552" w:type="dxa"/>
            <w:tcBorders>
              <w:top w:val="nil"/>
              <w:left w:val="nil"/>
              <w:bottom w:val="nil"/>
              <w:right w:val="nil"/>
            </w:tcBorders>
            <w:shd w:val="clear" w:color="auto" w:fill="auto"/>
            <w:noWrap/>
            <w:vAlign w:val="bottom"/>
            <w:hideMark/>
          </w:tcPr>
          <w:p w:rsidR="00D72F5D" w:rsidRPr="00F70DE7" w:rsidRDefault="009F4D23" w:rsidP="00D72F5D">
            <w:pPr>
              <w:spacing w:after="0" w:line="240" w:lineRule="exact"/>
              <w:rPr>
                <w:rFonts w:eastAsia="Times New Roman"/>
                <w:color w:val="000000"/>
                <w:sz w:val="20"/>
                <w:lang w:eastAsia="en-AU"/>
              </w:rPr>
            </w:pPr>
            <w:r>
              <w:rPr>
                <w:rFonts w:eastAsia="Times New Roman"/>
                <w:color w:val="000000"/>
                <w:sz w:val="20"/>
                <w:lang w:eastAsia="en-AU"/>
              </w:rPr>
              <w:t>Wakool River z</w:t>
            </w:r>
            <w:r w:rsidR="00D72F5D" w:rsidRPr="00F70DE7">
              <w:rPr>
                <w:rFonts w:eastAsia="Times New Roman"/>
                <w:color w:val="000000"/>
                <w:sz w:val="20"/>
                <w:lang w:eastAsia="en-AU"/>
              </w:rPr>
              <w:t>one 4</w:t>
            </w: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Pr>
                <w:rFonts w:eastAsia="Times New Roman"/>
                <w:color w:val="000000"/>
                <w:sz w:val="20"/>
                <w:lang w:eastAsia="en-AU"/>
              </w:rPr>
              <w:t>7</w:t>
            </w: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6</w:t>
            </w:r>
          </w:p>
        </w:tc>
        <w:tc>
          <w:tcPr>
            <w:tcW w:w="2127"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14</w:t>
            </w:r>
          </w:p>
        </w:tc>
      </w:tr>
      <w:tr w:rsidR="00D72F5D" w:rsidRPr="00F70DE7" w:rsidTr="00853906">
        <w:trPr>
          <w:trHeight w:val="300"/>
        </w:trPr>
        <w:tc>
          <w:tcPr>
            <w:tcW w:w="2376"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p>
        </w:tc>
        <w:tc>
          <w:tcPr>
            <w:tcW w:w="255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p>
        </w:tc>
        <w:tc>
          <w:tcPr>
            <w:tcW w:w="2127"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p>
        </w:tc>
      </w:tr>
      <w:tr w:rsidR="00D72F5D" w:rsidRPr="00F70DE7" w:rsidTr="00853906">
        <w:trPr>
          <w:trHeight w:val="300"/>
        </w:trPr>
        <w:tc>
          <w:tcPr>
            <w:tcW w:w="2376"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Silver perch</w:t>
            </w:r>
          </w:p>
        </w:tc>
        <w:tc>
          <w:tcPr>
            <w:tcW w:w="255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Yallakool Creek</w:t>
            </w: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0</w:t>
            </w: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1</w:t>
            </w:r>
          </w:p>
        </w:tc>
        <w:tc>
          <w:tcPr>
            <w:tcW w:w="2127"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6</w:t>
            </w:r>
          </w:p>
        </w:tc>
      </w:tr>
      <w:tr w:rsidR="00D72F5D" w:rsidRPr="00F70DE7" w:rsidTr="00853906">
        <w:trPr>
          <w:trHeight w:val="300"/>
        </w:trPr>
        <w:tc>
          <w:tcPr>
            <w:tcW w:w="2376"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p>
        </w:tc>
        <w:tc>
          <w:tcPr>
            <w:tcW w:w="2552" w:type="dxa"/>
            <w:tcBorders>
              <w:top w:val="nil"/>
              <w:left w:val="nil"/>
              <w:bottom w:val="nil"/>
              <w:right w:val="nil"/>
            </w:tcBorders>
            <w:shd w:val="clear" w:color="auto" w:fill="auto"/>
            <w:noWrap/>
            <w:vAlign w:val="bottom"/>
            <w:hideMark/>
          </w:tcPr>
          <w:p w:rsidR="00D72F5D" w:rsidRPr="00F70DE7" w:rsidRDefault="009F4D23" w:rsidP="00D72F5D">
            <w:pPr>
              <w:spacing w:after="0" w:line="240" w:lineRule="exact"/>
              <w:rPr>
                <w:rFonts w:eastAsia="Times New Roman"/>
                <w:color w:val="000000"/>
                <w:sz w:val="20"/>
                <w:lang w:eastAsia="en-AU"/>
              </w:rPr>
            </w:pPr>
            <w:r>
              <w:rPr>
                <w:rFonts w:eastAsia="Times New Roman"/>
                <w:color w:val="000000"/>
                <w:sz w:val="20"/>
                <w:lang w:eastAsia="en-AU"/>
              </w:rPr>
              <w:t>Wakool River z</w:t>
            </w:r>
            <w:r w:rsidR="00D72F5D" w:rsidRPr="00F70DE7">
              <w:rPr>
                <w:rFonts w:eastAsia="Times New Roman"/>
                <w:color w:val="000000"/>
                <w:sz w:val="20"/>
                <w:lang w:eastAsia="en-AU"/>
              </w:rPr>
              <w:t>one 2</w:t>
            </w: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0</w:t>
            </w: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0</w:t>
            </w:r>
          </w:p>
        </w:tc>
        <w:tc>
          <w:tcPr>
            <w:tcW w:w="2127"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2</w:t>
            </w:r>
          </w:p>
        </w:tc>
      </w:tr>
      <w:tr w:rsidR="00D72F5D" w:rsidRPr="00F70DE7" w:rsidTr="00853906">
        <w:trPr>
          <w:trHeight w:val="300"/>
        </w:trPr>
        <w:tc>
          <w:tcPr>
            <w:tcW w:w="2376"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p>
        </w:tc>
        <w:tc>
          <w:tcPr>
            <w:tcW w:w="2552" w:type="dxa"/>
            <w:tcBorders>
              <w:top w:val="nil"/>
              <w:left w:val="nil"/>
              <w:bottom w:val="nil"/>
              <w:right w:val="nil"/>
            </w:tcBorders>
            <w:shd w:val="clear" w:color="auto" w:fill="auto"/>
            <w:noWrap/>
            <w:vAlign w:val="bottom"/>
            <w:hideMark/>
          </w:tcPr>
          <w:p w:rsidR="00D72F5D" w:rsidRPr="00F70DE7" w:rsidRDefault="009F4D23" w:rsidP="00D72F5D">
            <w:pPr>
              <w:spacing w:after="0" w:line="240" w:lineRule="exact"/>
              <w:rPr>
                <w:rFonts w:eastAsia="Times New Roman"/>
                <w:color w:val="000000"/>
                <w:sz w:val="20"/>
                <w:lang w:eastAsia="en-AU"/>
              </w:rPr>
            </w:pPr>
            <w:r>
              <w:rPr>
                <w:rFonts w:eastAsia="Times New Roman"/>
                <w:color w:val="000000"/>
                <w:sz w:val="20"/>
                <w:lang w:eastAsia="en-AU"/>
              </w:rPr>
              <w:t>Wakool River z</w:t>
            </w:r>
            <w:r w:rsidR="00D72F5D" w:rsidRPr="00F70DE7">
              <w:rPr>
                <w:rFonts w:eastAsia="Times New Roman"/>
                <w:color w:val="000000"/>
                <w:sz w:val="20"/>
                <w:lang w:eastAsia="en-AU"/>
              </w:rPr>
              <w:t>one 3</w:t>
            </w: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0</w:t>
            </w: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1</w:t>
            </w:r>
          </w:p>
        </w:tc>
        <w:tc>
          <w:tcPr>
            <w:tcW w:w="2127"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5</w:t>
            </w:r>
          </w:p>
        </w:tc>
      </w:tr>
      <w:tr w:rsidR="00D72F5D" w:rsidRPr="00F70DE7" w:rsidTr="00853906">
        <w:trPr>
          <w:trHeight w:val="300"/>
        </w:trPr>
        <w:tc>
          <w:tcPr>
            <w:tcW w:w="2376"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p>
        </w:tc>
        <w:tc>
          <w:tcPr>
            <w:tcW w:w="2552" w:type="dxa"/>
            <w:tcBorders>
              <w:top w:val="nil"/>
              <w:left w:val="nil"/>
              <w:bottom w:val="nil"/>
              <w:right w:val="nil"/>
            </w:tcBorders>
            <w:shd w:val="clear" w:color="auto" w:fill="auto"/>
            <w:noWrap/>
            <w:vAlign w:val="bottom"/>
            <w:hideMark/>
          </w:tcPr>
          <w:p w:rsidR="00D72F5D" w:rsidRPr="00F70DE7" w:rsidRDefault="009F4D23" w:rsidP="00D72F5D">
            <w:pPr>
              <w:spacing w:after="0" w:line="240" w:lineRule="exact"/>
              <w:rPr>
                <w:rFonts w:eastAsia="Times New Roman"/>
                <w:color w:val="000000"/>
                <w:sz w:val="20"/>
                <w:lang w:eastAsia="en-AU"/>
              </w:rPr>
            </w:pPr>
            <w:r>
              <w:rPr>
                <w:rFonts w:eastAsia="Times New Roman"/>
                <w:color w:val="000000"/>
                <w:sz w:val="20"/>
                <w:lang w:eastAsia="en-AU"/>
              </w:rPr>
              <w:t>Wakool River z</w:t>
            </w:r>
            <w:r w:rsidR="00D72F5D" w:rsidRPr="00F70DE7">
              <w:rPr>
                <w:rFonts w:eastAsia="Times New Roman"/>
                <w:color w:val="000000"/>
                <w:sz w:val="20"/>
                <w:lang w:eastAsia="en-AU"/>
              </w:rPr>
              <w:t>one 4</w:t>
            </w: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0</w:t>
            </w: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1</w:t>
            </w:r>
          </w:p>
        </w:tc>
        <w:tc>
          <w:tcPr>
            <w:tcW w:w="2127"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1</w:t>
            </w:r>
          </w:p>
        </w:tc>
      </w:tr>
      <w:tr w:rsidR="00D72F5D" w:rsidRPr="00F70DE7" w:rsidTr="00853906">
        <w:trPr>
          <w:trHeight w:val="300"/>
        </w:trPr>
        <w:tc>
          <w:tcPr>
            <w:tcW w:w="2376"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p>
        </w:tc>
        <w:tc>
          <w:tcPr>
            <w:tcW w:w="255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p>
        </w:tc>
        <w:tc>
          <w:tcPr>
            <w:tcW w:w="2127"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p>
        </w:tc>
      </w:tr>
      <w:tr w:rsidR="00D72F5D" w:rsidRPr="00F70DE7" w:rsidTr="00853906">
        <w:trPr>
          <w:trHeight w:val="300"/>
        </w:trPr>
        <w:tc>
          <w:tcPr>
            <w:tcW w:w="2376"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Golden perch</w:t>
            </w:r>
          </w:p>
        </w:tc>
        <w:tc>
          <w:tcPr>
            <w:tcW w:w="255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Yallakool Creek</w:t>
            </w: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0</w:t>
            </w: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0</w:t>
            </w:r>
          </w:p>
        </w:tc>
        <w:tc>
          <w:tcPr>
            <w:tcW w:w="2127"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0</w:t>
            </w:r>
          </w:p>
        </w:tc>
      </w:tr>
      <w:tr w:rsidR="00D72F5D" w:rsidRPr="00F70DE7" w:rsidTr="00853906">
        <w:trPr>
          <w:trHeight w:val="300"/>
        </w:trPr>
        <w:tc>
          <w:tcPr>
            <w:tcW w:w="2376"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p>
        </w:tc>
        <w:tc>
          <w:tcPr>
            <w:tcW w:w="2552" w:type="dxa"/>
            <w:tcBorders>
              <w:top w:val="nil"/>
              <w:left w:val="nil"/>
              <w:bottom w:val="nil"/>
              <w:right w:val="nil"/>
            </w:tcBorders>
            <w:shd w:val="clear" w:color="auto" w:fill="auto"/>
            <w:noWrap/>
            <w:vAlign w:val="bottom"/>
            <w:hideMark/>
          </w:tcPr>
          <w:p w:rsidR="00D72F5D" w:rsidRPr="00F70DE7" w:rsidRDefault="009F4D23" w:rsidP="00D72F5D">
            <w:pPr>
              <w:spacing w:after="0" w:line="240" w:lineRule="exact"/>
              <w:rPr>
                <w:rFonts w:eastAsia="Times New Roman"/>
                <w:color w:val="000000"/>
                <w:sz w:val="20"/>
                <w:lang w:eastAsia="en-AU"/>
              </w:rPr>
            </w:pPr>
            <w:r>
              <w:rPr>
                <w:rFonts w:eastAsia="Times New Roman"/>
                <w:color w:val="000000"/>
                <w:sz w:val="20"/>
                <w:lang w:eastAsia="en-AU"/>
              </w:rPr>
              <w:t>Wakool River z</w:t>
            </w:r>
            <w:r w:rsidR="00D72F5D" w:rsidRPr="00F70DE7">
              <w:rPr>
                <w:rFonts w:eastAsia="Times New Roman"/>
                <w:color w:val="000000"/>
                <w:sz w:val="20"/>
                <w:lang w:eastAsia="en-AU"/>
              </w:rPr>
              <w:t>one 2</w:t>
            </w: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0</w:t>
            </w: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0</w:t>
            </w:r>
          </w:p>
        </w:tc>
        <w:tc>
          <w:tcPr>
            <w:tcW w:w="2127"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exact"/>
              <w:rPr>
                <w:rFonts w:eastAsia="Times New Roman"/>
                <w:color w:val="000000"/>
                <w:sz w:val="20"/>
                <w:lang w:eastAsia="en-AU"/>
              </w:rPr>
            </w:pPr>
            <w:r w:rsidRPr="00F70DE7">
              <w:rPr>
                <w:rFonts w:eastAsia="Times New Roman"/>
                <w:color w:val="000000"/>
                <w:sz w:val="20"/>
                <w:lang w:eastAsia="en-AU"/>
              </w:rPr>
              <w:t>0</w:t>
            </w:r>
          </w:p>
        </w:tc>
      </w:tr>
      <w:tr w:rsidR="00D72F5D" w:rsidRPr="00F70DE7" w:rsidTr="00853906">
        <w:trPr>
          <w:trHeight w:val="300"/>
        </w:trPr>
        <w:tc>
          <w:tcPr>
            <w:tcW w:w="2376"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auto"/>
              <w:rPr>
                <w:rFonts w:eastAsia="Times New Roman"/>
                <w:color w:val="000000"/>
                <w:sz w:val="20"/>
                <w:lang w:eastAsia="en-AU"/>
              </w:rPr>
            </w:pPr>
          </w:p>
        </w:tc>
        <w:tc>
          <w:tcPr>
            <w:tcW w:w="2552" w:type="dxa"/>
            <w:tcBorders>
              <w:top w:val="nil"/>
              <w:left w:val="nil"/>
              <w:bottom w:val="nil"/>
              <w:right w:val="nil"/>
            </w:tcBorders>
            <w:shd w:val="clear" w:color="auto" w:fill="auto"/>
            <w:noWrap/>
            <w:vAlign w:val="bottom"/>
            <w:hideMark/>
          </w:tcPr>
          <w:p w:rsidR="00D72F5D" w:rsidRPr="00F70DE7" w:rsidRDefault="009F4D23" w:rsidP="00D72F5D">
            <w:pPr>
              <w:spacing w:after="0" w:line="240" w:lineRule="auto"/>
              <w:rPr>
                <w:rFonts w:eastAsia="Times New Roman"/>
                <w:color w:val="000000"/>
                <w:sz w:val="20"/>
                <w:lang w:eastAsia="en-AU"/>
              </w:rPr>
            </w:pPr>
            <w:r>
              <w:rPr>
                <w:rFonts w:eastAsia="Times New Roman"/>
                <w:color w:val="000000"/>
                <w:sz w:val="20"/>
                <w:lang w:eastAsia="en-AU"/>
              </w:rPr>
              <w:t>Wakool River z</w:t>
            </w:r>
            <w:r w:rsidR="00D72F5D" w:rsidRPr="00F70DE7">
              <w:rPr>
                <w:rFonts w:eastAsia="Times New Roman"/>
                <w:color w:val="000000"/>
                <w:sz w:val="20"/>
                <w:lang w:eastAsia="en-AU"/>
              </w:rPr>
              <w:t>one 3</w:t>
            </w: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auto"/>
              <w:rPr>
                <w:rFonts w:eastAsia="Times New Roman"/>
                <w:color w:val="000000"/>
                <w:sz w:val="20"/>
                <w:lang w:eastAsia="en-AU"/>
              </w:rPr>
            </w:pPr>
            <w:r w:rsidRPr="00F70DE7">
              <w:rPr>
                <w:rFonts w:eastAsia="Times New Roman"/>
                <w:color w:val="000000"/>
                <w:sz w:val="20"/>
                <w:lang w:eastAsia="en-AU"/>
              </w:rPr>
              <w:t>0</w:t>
            </w:r>
          </w:p>
        </w:tc>
        <w:tc>
          <w:tcPr>
            <w:tcW w:w="992"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auto"/>
              <w:rPr>
                <w:rFonts w:eastAsia="Times New Roman"/>
                <w:color w:val="000000"/>
                <w:sz w:val="20"/>
                <w:lang w:eastAsia="en-AU"/>
              </w:rPr>
            </w:pPr>
            <w:r w:rsidRPr="00F70DE7">
              <w:rPr>
                <w:rFonts w:eastAsia="Times New Roman"/>
                <w:color w:val="000000"/>
                <w:sz w:val="20"/>
                <w:lang w:eastAsia="en-AU"/>
              </w:rPr>
              <w:t>0</w:t>
            </w:r>
          </w:p>
        </w:tc>
        <w:tc>
          <w:tcPr>
            <w:tcW w:w="2127" w:type="dxa"/>
            <w:tcBorders>
              <w:top w:val="nil"/>
              <w:left w:val="nil"/>
              <w:bottom w:val="nil"/>
              <w:right w:val="nil"/>
            </w:tcBorders>
            <w:shd w:val="clear" w:color="auto" w:fill="auto"/>
            <w:noWrap/>
            <w:vAlign w:val="bottom"/>
            <w:hideMark/>
          </w:tcPr>
          <w:p w:rsidR="00D72F5D" w:rsidRPr="00F70DE7" w:rsidRDefault="00D72F5D" w:rsidP="00D72F5D">
            <w:pPr>
              <w:spacing w:after="0" w:line="240" w:lineRule="auto"/>
              <w:rPr>
                <w:rFonts w:eastAsia="Times New Roman"/>
                <w:color w:val="000000"/>
                <w:sz w:val="20"/>
                <w:lang w:eastAsia="en-AU"/>
              </w:rPr>
            </w:pPr>
            <w:r w:rsidRPr="00F70DE7">
              <w:rPr>
                <w:rFonts w:eastAsia="Times New Roman"/>
                <w:color w:val="000000"/>
                <w:sz w:val="20"/>
                <w:lang w:eastAsia="en-AU"/>
              </w:rPr>
              <w:t>1</w:t>
            </w:r>
          </w:p>
        </w:tc>
      </w:tr>
      <w:tr w:rsidR="00D72F5D" w:rsidRPr="00F70DE7" w:rsidTr="00853906">
        <w:trPr>
          <w:trHeight w:val="106"/>
        </w:trPr>
        <w:tc>
          <w:tcPr>
            <w:tcW w:w="2376" w:type="dxa"/>
            <w:tcBorders>
              <w:top w:val="nil"/>
              <w:left w:val="nil"/>
              <w:bottom w:val="single" w:sz="4" w:space="0" w:color="auto"/>
              <w:right w:val="nil"/>
            </w:tcBorders>
            <w:shd w:val="clear" w:color="auto" w:fill="auto"/>
            <w:noWrap/>
            <w:vAlign w:val="bottom"/>
            <w:hideMark/>
          </w:tcPr>
          <w:p w:rsidR="00D72F5D" w:rsidRPr="00F70DE7" w:rsidRDefault="00D72F5D" w:rsidP="00D72F5D">
            <w:pPr>
              <w:spacing w:after="0" w:line="240" w:lineRule="auto"/>
              <w:rPr>
                <w:rFonts w:eastAsia="Times New Roman"/>
                <w:color w:val="000000"/>
                <w:sz w:val="20"/>
                <w:lang w:eastAsia="en-AU"/>
              </w:rPr>
            </w:pPr>
            <w:r w:rsidRPr="00F70DE7">
              <w:rPr>
                <w:rFonts w:eastAsia="Times New Roman"/>
                <w:color w:val="000000"/>
                <w:sz w:val="20"/>
                <w:lang w:eastAsia="en-AU"/>
              </w:rPr>
              <w:t> </w:t>
            </w:r>
          </w:p>
        </w:tc>
        <w:tc>
          <w:tcPr>
            <w:tcW w:w="2552" w:type="dxa"/>
            <w:tcBorders>
              <w:top w:val="nil"/>
              <w:left w:val="nil"/>
              <w:bottom w:val="single" w:sz="4" w:space="0" w:color="auto"/>
              <w:right w:val="nil"/>
            </w:tcBorders>
            <w:shd w:val="clear" w:color="auto" w:fill="auto"/>
            <w:noWrap/>
            <w:vAlign w:val="bottom"/>
            <w:hideMark/>
          </w:tcPr>
          <w:p w:rsidR="00D72F5D" w:rsidRPr="00F70DE7" w:rsidRDefault="009F4D23" w:rsidP="00D72F5D">
            <w:pPr>
              <w:spacing w:after="0" w:line="240" w:lineRule="auto"/>
              <w:rPr>
                <w:rFonts w:eastAsia="Times New Roman"/>
                <w:color w:val="000000"/>
                <w:sz w:val="20"/>
                <w:lang w:eastAsia="en-AU"/>
              </w:rPr>
            </w:pPr>
            <w:r>
              <w:rPr>
                <w:rFonts w:eastAsia="Times New Roman"/>
                <w:color w:val="000000"/>
                <w:sz w:val="20"/>
                <w:lang w:eastAsia="en-AU"/>
              </w:rPr>
              <w:t>Wakool River z</w:t>
            </w:r>
            <w:r w:rsidR="00D72F5D" w:rsidRPr="00F70DE7">
              <w:rPr>
                <w:rFonts w:eastAsia="Times New Roman"/>
                <w:color w:val="000000"/>
                <w:sz w:val="20"/>
                <w:lang w:eastAsia="en-AU"/>
              </w:rPr>
              <w:t>one 4</w:t>
            </w:r>
          </w:p>
        </w:tc>
        <w:tc>
          <w:tcPr>
            <w:tcW w:w="992" w:type="dxa"/>
            <w:tcBorders>
              <w:top w:val="nil"/>
              <w:left w:val="nil"/>
              <w:bottom w:val="single" w:sz="4" w:space="0" w:color="auto"/>
              <w:right w:val="nil"/>
            </w:tcBorders>
            <w:shd w:val="clear" w:color="auto" w:fill="auto"/>
            <w:noWrap/>
            <w:vAlign w:val="bottom"/>
            <w:hideMark/>
          </w:tcPr>
          <w:p w:rsidR="00D72F5D" w:rsidRPr="00F70DE7" w:rsidRDefault="00D72F5D" w:rsidP="00D72F5D">
            <w:pPr>
              <w:spacing w:after="0" w:line="240" w:lineRule="auto"/>
              <w:rPr>
                <w:rFonts w:eastAsia="Times New Roman"/>
                <w:color w:val="000000"/>
                <w:sz w:val="20"/>
                <w:lang w:eastAsia="en-AU"/>
              </w:rPr>
            </w:pPr>
            <w:r w:rsidRPr="00F70DE7">
              <w:rPr>
                <w:rFonts w:eastAsia="Times New Roman"/>
                <w:color w:val="000000"/>
                <w:sz w:val="20"/>
                <w:lang w:eastAsia="en-AU"/>
              </w:rPr>
              <w:t>0</w:t>
            </w:r>
          </w:p>
        </w:tc>
        <w:tc>
          <w:tcPr>
            <w:tcW w:w="992" w:type="dxa"/>
            <w:tcBorders>
              <w:top w:val="nil"/>
              <w:left w:val="nil"/>
              <w:bottom w:val="single" w:sz="4" w:space="0" w:color="auto"/>
              <w:right w:val="nil"/>
            </w:tcBorders>
            <w:shd w:val="clear" w:color="auto" w:fill="auto"/>
            <w:noWrap/>
            <w:vAlign w:val="bottom"/>
            <w:hideMark/>
          </w:tcPr>
          <w:p w:rsidR="00D72F5D" w:rsidRPr="00F70DE7" w:rsidRDefault="00D72F5D" w:rsidP="00D72F5D">
            <w:pPr>
              <w:spacing w:after="0" w:line="240" w:lineRule="auto"/>
              <w:rPr>
                <w:rFonts w:eastAsia="Times New Roman"/>
                <w:color w:val="000000"/>
                <w:sz w:val="20"/>
                <w:lang w:eastAsia="en-AU"/>
              </w:rPr>
            </w:pPr>
            <w:r w:rsidRPr="00F70DE7">
              <w:rPr>
                <w:rFonts w:eastAsia="Times New Roman"/>
                <w:color w:val="000000"/>
                <w:sz w:val="20"/>
                <w:lang w:eastAsia="en-AU"/>
              </w:rPr>
              <w:t>0</w:t>
            </w:r>
          </w:p>
        </w:tc>
        <w:tc>
          <w:tcPr>
            <w:tcW w:w="2127" w:type="dxa"/>
            <w:tcBorders>
              <w:top w:val="nil"/>
              <w:left w:val="nil"/>
              <w:bottom w:val="single" w:sz="4" w:space="0" w:color="auto"/>
              <w:right w:val="nil"/>
            </w:tcBorders>
            <w:shd w:val="clear" w:color="auto" w:fill="auto"/>
            <w:noWrap/>
            <w:vAlign w:val="bottom"/>
            <w:hideMark/>
          </w:tcPr>
          <w:p w:rsidR="00D72F5D" w:rsidRPr="00F70DE7" w:rsidRDefault="00D72F5D" w:rsidP="00D72F5D">
            <w:pPr>
              <w:spacing w:after="0" w:line="240" w:lineRule="auto"/>
              <w:rPr>
                <w:rFonts w:eastAsia="Times New Roman"/>
                <w:color w:val="000000"/>
                <w:sz w:val="20"/>
                <w:lang w:eastAsia="en-AU"/>
              </w:rPr>
            </w:pPr>
            <w:r w:rsidRPr="00F70DE7">
              <w:rPr>
                <w:rFonts w:eastAsia="Times New Roman"/>
                <w:color w:val="000000"/>
                <w:sz w:val="20"/>
                <w:lang w:eastAsia="en-AU"/>
              </w:rPr>
              <w:t>2</w:t>
            </w:r>
          </w:p>
        </w:tc>
      </w:tr>
    </w:tbl>
    <w:p w:rsidR="00D72F5D" w:rsidRDefault="00D72F5D" w:rsidP="00D72F5D">
      <w:pPr>
        <w:shd w:val="clear" w:color="auto" w:fill="FFFFFF"/>
        <w:spacing w:after="0"/>
        <w:rPr>
          <w:rFonts w:cs="Arial"/>
          <w:color w:val="000000"/>
        </w:rPr>
      </w:pPr>
    </w:p>
    <w:p w:rsidR="00D72F5D" w:rsidRDefault="00D72F5D" w:rsidP="00311640">
      <w:pPr>
        <w:pStyle w:val="ListParagraph"/>
        <w:shd w:val="clear" w:color="auto" w:fill="FFFFFF"/>
        <w:ind w:left="0"/>
        <w:jc w:val="left"/>
        <w:rPr>
          <w:rFonts w:cs="Arial"/>
          <w:color w:val="000000"/>
        </w:rPr>
      </w:pPr>
      <w:r>
        <w:rPr>
          <w:rFonts w:cs="Arial"/>
          <w:color w:val="000000"/>
        </w:rPr>
        <w:t xml:space="preserve">Indices of YOY and 1+ recruitment of Murray cod (Figure </w:t>
      </w:r>
      <w:r w:rsidR="005E0A51">
        <w:rPr>
          <w:rFonts w:cs="Arial"/>
          <w:color w:val="000000"/>
        </w:rPr>
        <w:t>11</w:t>
      </w:r>
      <w:r w:rsidR="00B6438D">
        <w:rPr>
          <w:rFonts w:cs="Arial"/>
          <w:color w:val="000000"/>
        </w:rPr>
        <w:t>.</w:t>
      </w:r>
      <w:r>
        <w:rPr>
          <w:rFonts w:cs="Arial"/>
          <w:color w:val="000000"/>
        </w:rPr>
        <w:t xml:space="preserve">6) were developed for the Edward-Wakool system for the 2014-15 year. The recruitment index values (Table </w:t>
      </w:r>
      <w:r w:rsidR="005E0A51">
        <w:rPr>
          <w:rFonts w:cs="Arial"/>
          <w:color w:val="000000"/>
        </w:rPr>
        <w:t>11</w:t>
      </w:r>
      <w:r w:rsidR="00C938A6">
        <w:rPr>
          <w:rFonts w:cs="Arial"/>
          <w:color w:val="000000"/>
        </w:rPr>
        <w:t>.</w:t>
      </w:r>
      <w:r w:rsidR="001A5480">
        <w:rPr>
          <w:rFonts w:cs="Arial"/>
          <w:color w:val="000000"/>
        </w:rPr>
        <w:t>3</w:t>
      </w:r>
      <w:r>
        <w:rPr>
          <w:rFonts w:cs="Arial"/>
          <w:color w:val="000000"/>
        </w:rPr>
        <w:t xml:space="preserve">) will be useful in the future to evaluate long-term annual changes in recruitment of Murray cod in relation to Commonwealth </w:t>
      </w:r>
      <w:r w:rsidR="000A4F7E">
        <w:rPr>
          <w:rFonts w:cs="Arial"/>
          <w:color w:val="000000"/>
        </w:rPr>
        <w:t>environmental water delivery.</w:t>
      </w:r>
    </w:p>
    <w:p w:rsidR="00D72F5D" w:rsidRPr="00D00F4A" w:rsidRDefault="00D72F5D" w:rsidP="00311640">
      <w:pPr>
        <w:pStyle w:val="ListParagraph"/>
        <w:shd w:val="clear" w:color="auto" w:fill="FFFFFF"/>
        <w:ind w:left="0"/>
        <w:jc w:val="left"/>
        <w:rPr>
          <w:rFonts w:cs="Arial"/>
          <w:color w:val="000000"/>
        </w:rPr>
      </w:pPr>
      <w:r w:rsidRPr="00D00F4A">
        <w:rPr>
          <w:rFonts w:cs="Arial"/>
          <w:color w:val="000000"/>
        </w:rPr>
        <w:t xml:space="preserve">Per 1000 seconds of sampling, backpack electrofishing was the most effective method of sampling Murray cod recruits and based on the recruitment index values (Table </w:t>
      </w:r>
      <w:r w:rsidR="005E0A51">
        <w:rPr>
          <w:rFonts w:cs="Arial"/>
          <w:color w:val="000000"/>
        </w:rPr>
        <w:t>11</w:t>
      </w:r>
      <w:r w:rsidR="00A764E1">
        <w:rPr>
          <w:rFonts w:cs="Arial"/>
          <w:color w:val="000000"/>
        </w:rPr>
        <w:t>.</w:t>
      </w:r>
      <w:r w:rsidR="001A5480">
        <w:rPr>
          <w:rFonts w:cs="Arial"/>
          <w:color w:val="000000"/>
        </w:rPr>
        <w:t>3</w:t>
      </w:r>
      <w:r w:rsidRPr="00D00F4A">
        <w:rPr>
          <w:rFonts w:cs="Arial"/>
          <w:color w:val="000000"/>
        </w:rPr>
        <w:t>), 1+ recruits were samp</w:t>
      </w:r>
      <w:r w:rsidR="00A764E1">
        <w:rPr>
          <w:rFonts w:cs="Arial"/>
          <w:color w:val="000000"/>
        </w:rPr>
        <w:t xml:space="preserve">led more efficiently than YOY. </w:t>
      </w:r>
      <w:r w:rsidRPr="00D00F4A">
        <w:rPr>
          <w:rFonts w:cs="Arial"/>
          <w:color w:val="000000"/>
        </w:rPr>
        <w:t>Both YOY and 1+ recruitment indices were modelled separately for each gear type with a</w:t>
      </w:r>
      <w:r w:rsidR="00D5384E">
        <w:rPr>
          <w:rFonts w:cs="Arial"/>
          <w:color w:val="000000"/>
        </w:rPr>
        <w:t xml:space="preserve">ll zones combined (Figure </w:t>
      </w:r>
      <w:r w:rsidR="005E0A51">
        <w:rPr>
          <w:rFonts w:cs="Arial"/>
          <w:color w:val="000000"/>
        </w:rPr>
        <w:t>11</w:t>
      </w:r>
      <w:r w:rsidR="00A764E1">
        <w:rPr>
          <w:rFonts w:cs="Arial"/>
          <w:color w:val="000000"/>
        </w:rPr>
        <w:t>.</w:t>
      </w:r>
      <w:r w:rsidR="00D5384E">
        <w:rPr>
          <w:rFonts w:cs="Arial"/>
          <w:color w:val="000000"/>
        </w:rPr>
        <w:t xml:space="preserve">6). </w:t>
      </w:r>
      <w:r w:rsidRPr="00D00F4A">
        <w:rPr>
          <w:rFonts w:cs="Arial"/>
          <w:color w:val="000000"/>
        </w:rPr>
        <w:t>The GLMM incorporating river zone resulted in AIC’s of 30.2 and 61.9 for YO</w:t>
      </w:r>
      <w:r w:rsidR="00D5384E">
        <w:rPr>
          <w:rFonts w:cs="Arial"/>
          <w:color w:val="000000"/>
        </w:rPr>
        <w:t>Y and 1+ recruits respectively,</w:t>
      </w:r>
      <w:r w:rsidRPr="00D00F4A">
        <w:rPr>
          <w:rFonts w:cs="Arial"/>
          <w:color w:val="000000"/>
        </w:rPr>
        <w:t xml:space="preserve"> while the gear-only models resulted in</w:t>
      </w:r>
      <w:r w:rsidR="001A5480">
        <w:rPr>
          <w:rFonts w:cs="Arial"/>
          <w:color w:val="000000"/>
        </w:rPr>
        <w:t xml:space="preserve"> the best fit </w:t>
      </w:r>
      <w:r w:rsidRPr="00D00F4A">
        <w:rPr>
          <w:rFonts w:cs="Arial"/>
          <w:color w:val="000000"/>
        </w:rPr>
        <w:t>with AIC’s of 15.9 and 52.7 respectively. A range of different GLMM’s testing for the effect of interactions among fixed effects all resulted higher AIC values.</w:t>
      </w:r>
    </w:p>
    <w:p w:rsidR="00D72F5D" w:rsidRDefault="00D72F5D" w:rsidP="00C770B1">
      <w:pPr>
        <w:pStyle w:val="ListParagraph"/>
        <w:shd w:val="clear" w:color="auto" w:fill="FFFFFF"/>
        <w:spacing w:after="0"/>
        <w:ind w:left="0"/>
        <w:jc w:val="center"/>
        <w:rPr>
          <w:rFonts w:cs="Arial"/>
          <w:b/>
          <w:color w:val="000000"/>
        </w:rPr>
      </w:pPr>
      <w:r>
        <w:rPr>
          <w:rFonts w:cs="Arial"/>
          <w:b/>
          <w:noProof/>
          <w:color w:val="000000"/>
          <w:lang w:eastAsia="en-AU"/>
        </w:rPr>
        <w:drawing>
          <wp:inline distT="0" distB="0" distL="0" distR="0">
            <wp:extent cx="2618670" cy="4752000"/>
            <wp:effectExtent l="0" t="0" r="0" b="0"/>
            <wp:docPr id="203" name="Picture 203" descr="Fig5_recruitment 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5_recruitment index"/>
                    <pic:cNvPicPr>
                      <a:picLocks noChangeAspect="1" noChangeArrowheads="1"/>
                    </pic:cNvPicPr>
                  </pic:nvPicPr>
                  <pic:blipFill rotWithShape="1">
                    <a:blip r:embed="rId12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320"/>
                    <a:stretch/>
                  </pic:blipFill>
                  <pic:spPr bwMode="auto">
                    <a:xfrm>
                      <a:off x="0" y="0"/>
                      <a:ext cx="2618670" cy="475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72F5D" w:rsidRDefault="00D72F5D" w:rsidP="001A5480">
      <w:pPr>
        <w:pStyle w:val="ListParagraph"/>
        <w:shd w:val="clear" w:color="auto" w:fill="FFFFFF"/>
        <w:spacing w:after="240" w:line="240" w:lineRule="auto"/>
        <w:ind w:left="0"/>
        <w:rPr>
          <w:rFonts w:eastAsia="Times New Roman"/>
          <w:b/>
          <w:color w:val="000000"/>
          <w:lang w:eastAsia="en-AU"/>
        </w:rPr>
      </w:pPr>
      <w:r w:rsidRPr="00A764E1">
        <w:rPr>
          <w:rFonts w:cs="Arial"/>
          <w:b/>
          <w:color w:val="000000"/>
          <w:sz w:val="20"/>
        </w:rPr>
        <w:t xml:space="preserve">Figure </w:t>
      </w:r>
      <w:r w:rsidR="005E0A51">
        <w:rPr>
          <w:rFonts w:cs="Arial"/>
          <w:b/>
          <w:color w:val="000000"/>
          <w:sz w:val="20"/>
        </w:rPr>
        <w:t>11</w:t>
      </w:r>
      <w:r w:rsidR="00A764E1" w:rsidRPr="00A764E1">
        <w:rPr>
          <w:rFonts w:cs="Arial"/>
          <w:b/>
          <w:color w:val="000000"/>
          <w:sz w:val="20"/>
        </w:rPr>
        <w:t>.</w:t>
      </w:r>
      <w:r w:rsidRPr="00A764E1">
        <w:rPr>
          <w:rFonts w:cs="Arial"/>
          <w:b/>
          <w:color w:val="000000"/>
          <w:sz w:val="20"/>
        </w:rPr>
        <w:t xml:space="preserve">6: </w:t>
      </w:r>
      <w:r w:rsidRPr="00A764E1">
        <w:rPr>
          <w:rFonts w:cs="Arial"/>
          <w:color w:val="000000"/>
          <w:sz w:val="20"/>
        </w:rPr>
        <w:t xml:space="preserve">Catch per unit effort (1000 seconds) for age-class 1 (1+) and Young-of-Year (YOY) Murray cod recruits sampled in the Edward-Wakool system in 2014-15 using different sampling methods. Box plots represent median, upper and lower quartiles +/- 95% CI. </w:t>
      </w:r>
    </w:p>
    <w:p w:rsidR="00D72F5D" w:rsidRPr="00A764E1" w:rsidRDefault="00D72F5D" w:rsidP="00EE11BF">
      <w:pPr>
        <w:spacing w:after="240" w:line="240" w:lineRule="auto"/>
        <w:rPr>
          <w:sz w:val="20"/>
        </w:rPr>
      </w:pPr>
      <w:r w:rsidRPr="00A764E1">
        <w:rPr>
          <w:rFonts w:eastAsia="Times New Roman"/>
          <w:b/>
          <w:color w:val="000000"/>
          <w:sz w:val="20"/>
          <w:lang w:eastAsia="en-AU"/>
        </w:rPr>
        <w:t xml:space="preserve">Table </w:t>
      </w:r>
      <w:r w:rsidR="005E0A51">
        <w:rPr>
          <w:rFonts w:eastAsia="Times New Roman"/>
          <w:b/>
          <w:color w:val="000000"/>
          <w:sz w:val="20"/>
          <w:lang w:eastAsia="en-AU"/>
        </w:rPr>
        <w:t>11</w:t>
      </w:r>
      <w:r w:rsidR="00A764E1" w:rsidRPr="00A764E1">
        <w:rPr>
          <w:rFonts w:eastAsia="Times New Roman"/>
          <w:b/>
          <w:color w:val="000000"/>
          <w:sz w:val="20"/>
          <w:lang w:eastAsia="en-AU"/>
        </w:rPr>
        <w:t>.</w:t>
      </w:r>
      <w:r w:rsidR="001A5480">
        <w:rPr>
          <w:rFonts w:eastAsia="Times New Roman"/>
          <w:b/>
          <w:color w:val="000000"/>
          <w:sz w:val="20"/>
          <w:lang w:eastAsia="en-AU"/>
        </w:rPr>
        <w:t>3</w:t>
      </w:r>
      <w:r w:rsidRPr="00A764E1">
        <w:rPr>
          <w:rFonts w:eastAsia="Times New Roman"/>
          <w:b/>
          <w:color w:val="000000"/>
          <w:sz w:val="20"/>
          <w:lang w:eastAsia="en-AU"/>
        </w:rPr>
        <w:t>:</w:t>
      </w:r>
      <w:r w:rsidRPr="00A764E1">
        <w:rPr>
          <w:rFonts w:eastAsia="Times New Roman"/>
          <w:color w:val="000000"/>
          <w:sz w:val="20"/>
          <w:lang w:eastAsia="en-AU"/>
        </w:rPr>
        <w:t xml:space="preserve"> Recruitment indices for Young-of-Year (YOY) and age-class 1 (1+) Murray cod for the Edward-Wakool system in 2014-15.</w:t>
      </w:r>
    </w:p>
    <w:tbl>
      <w:tblPr>
        <w:tblW w:w="8899" w:type="dxa"/>
        <w:tblInd w:w="89" w:type="dxa"/>
        <w:tblLook w:val="04A0"/>
      </w:tblPr>
      <w:tblGrid>
        <w:gridCol w:w="2180"/>
        <w:gridCol w:w="700"/>
        <w:gridCol w:w="1200"/>
        <w:gridCol w:w="939"/>
        <w:gridCol w:w="460"/>
        <w:gridCol w:w="1420"/>
        <w:gridCol w:w="1060"/>
        <w:gridCol w:w="940"/>
      </w:tblGrid>
      <w:tr w:rsidR="00D72F5D" w:rsidRPr="0053671A" w:rsidTr="00EE11BF">
        <w:trPr>
          <w:trHeight w:val="300"/>
        </w:trPr>
        <w:tc>
          <w:tcPr>
            <w:tcW w:w="2180" w:type="dxa"/>
            <w:tcBorders>
              <w:top w:val="single" w:sz="4" w:space="0" w:color="auto"/>
              <w:left w:val="nil"/>
              <w:right w:val="nil"/>
            </w:tcBorders>
            <w:shd w:val="clear" w:color="auto" w:fill="D6E3BC" w:themeFill="accent3" w:themeFillTint="66"/>
            <w:noWrap/>
            <w:vAlign w:val="bottom"/>
            <w:hideMark/>
          </w:tcPr>
          <w:p w:rsidR="00D72F5D" w:rsidRPr="0053671A" w:rsidRDefault="00D72F5D" w:rsidP="00572C5D">
            <w:pPr>
              <w:spacing w:after="0" w:line="240" w:lineRule="auto"/>
              <w:rPr>
                <w:rFonts w:eastAsia="Times New Roman"/>
                <w:color w:val="000000"/>
                <w:lang w:eastAsia="en-AU"/>
              </w:rPr>
            </w:pPr>
            <w:r w:rsidRPr="0053671A">
              <w:rPr>
                <w:rFonts w:eastAsia="Times New Roman"/>
                <w:color w:val="000000"/>
                <w:lang w:eastAsia="en-AU"/>
              </w:rPr>
              <w:t> </w:t>
            </w:r>
          </w:p>
        </w:tc>
        <w:tc>
          <w:tcPr>
            <w:tcW w:w="2839" w:type="dxa"/>
            <w:gridSpan w:val="3"/>
            <w:tcBorders>
              <w:top w:val="single" w:sz="4" w:space="0" w:color="auto"/>
              <w:left w:val="nil"/>
              <w:bottom w:val="single" w:sz="4" w:space="0" w:color="auto"/>
              <w:right w:val="nil"/>
            </w:tcBorders>
            <w:shd w:val="clear" w:color="auto" w:fill="D6E3BC" w:themeFill="accent3" w:themeFillTint="66"/>
            <w:noWrap/>
            <w:vAlign w:val="bottom"/>
            <w:hideMark/>
          </w:tcPr>
          <w:p w:rsidR="00D72F5D" w:rsidRPr="0053671A" w:rsidRDefault="00D72F5D" w:rsidP="00572C5D">
            <w:pPr>
              <w:spacing w:after="0" w:line="240" w:lineRule="auto"/>
              <w:rPr>
                <w:rFonts w:eastAsia="Times New Roman"/>
                <w:color w:val="000000"/>
                <w:lang w:eastAsia="en-AU"/>
              </w:rPr>
            </w:pPr>
            <w:r>
              <w:rPr>
                <w:rFonts w:eastAsia="Times New Roman"/>
                <w:color w:val="000000"/>
                <w:lang w:eastAsia="en-AU"/>
              </w:rPr>
              <w:t xml:space="preserve">       </w:t>
            </w:r>
            <w:r w:rsidRPr="0053671A">
              <w:rPr>
                <w:rFonts w:eastAsia="Times New Roman"/>
                <w:color w:val="000000"/>
                <w:lang w:eastAsia="en-AU"/>
              </w:rPr>
              <w:t>YOY recruit</w:t>
            </w:r>
            <w:r>
              <w:rPr>
                <w:rFonts w:eastAsia="Times New Roman"/>
                <w:color w:val="000000"/>
                <w:lang w:eastAsia="en-AU"/>
              </w:rPr>
              <w:t>ment</w:t>
            </w:r>
            <w:r w:rsidRPr="0053671A">
              <w:rPr>
                <w:rFonts w:eastAsia="Times New Roman"/>
                <w:color w:val="000000"/>
                <w:lang w:eastAsia="en-AU"/>
              </w:rPr>
              <w:t xml:space="preserve"> index</w:t>
            </w:r>
          </w:p>
        </w:tc>
        <w:tc>
          <w:tcPr>
            <w:tcW w:w="460" w:type="dxa"/>
            <w:tcBorders>
              <w:top w:val="single" w:sz="4" w:space="0" w:color="auto"/>
              <w:left w:val="nil"/>
              <w:bottom w:val="nil"/>
              <w:right w:val="nil"/>
            </w:tcBorders>
            <w:shd w:val="clear" w:color="auto" w:fill="D6E3BC" w:themeFill="accent3" w:themeFillTint="66"/>
            <w:noWrap/>
            <w:vAlign w:val="bottom"/>
            <w:hideMark/>
          </w:tcPr>
          <w:p w:rsidR="00D72F5D" w:rsidRPr="0053671A" w:rsidRDefault="00D72F5D" w:rsidP="00572C5D">
            <w:pPr>
              <w:spacing w:after="0" w:line="240" w:lineRule="auto"/>
              <w:jc w:val="center"/>
              <w:rPr>
                <w:rFonts w:eastAsia="Times New Roman"/>
                <w:color w:val="000000"/>
                <w:lang w:eastAsia="en-AU"/>
              </w:rPr>
            </w:pPr>
            <w:r w:rsidRPr="0053671A">
              <w:rPr>
                <w:rFonts w:eastAsia="Times New Roman"/>
                <w:color w:val="000000"/>
                <w:lang w:eastAsia="en-AU"/>
              </w:rPr>
              <w:t> </w:t>
            </w:r>
          </w:p>
        </w:tc>
        <w:tc>
          <w:tcPr>
            <w:tcW w:w="3420" w:type="dxa"/>
            <w:gridSpan w:val="3"/>
            <w:tcBorders>
              <w:top w:val="single" w:sz="4" w:space="0" w:color="auto"/>
              <w:left w:val="nil"/>
              <w:bottom w:val="single" w:sz="4" w:space="0" w:color="auto"/>
              <w:right w:val="nil"/>
            </w:tcBorders>
            <w:shd w:val="clear" w:color="auto" w:fill="D6E3BC" w:themeFill="accent3" w:themeFillTint="66"/>
            <w:noWrap/>
            <w:vAlign w:val="bottom"/>
            <w:hideMark/>
          </w:tcPr>
          <w:p w:rsidR="00D72F5D" w:rsidRPr="0053671A" w:rsidRDefault="00D72F5D" w:rsidP="00572C5D">
            <w:pPr>
              <w:spacing w:after="0" w:line="240" w:lineRule="auto"/>
              <w:jc w:val="center"/>
              <w:rPr>
                <w:rFonts w:eastAsia="Times New Roman"/>
                <w:color w:val="000000"/>
                <w:lang w:eastAsia="en-AU"/>
              </w:rPr>
            </w:pPr>
            <w:r w:rsidRPr="0053671A">
              <w:rPr>
                <w:rFonts w:eastAsia="Times New Roman"/>
                <w:color w:val="000000"/>
                <w:lang w:eastAsia="en-AU"/>
              </w:rPr>
              <w:t>1+ recruit</w:t>
            </w:r>
            <w:r>
              <w:rPr>
                <w:rFonts w:eastAsia="Times New Roman"/>
                <w:color w:val="000000"/>
                <w:lang w:eastAsia="en-AU"/>
              </w:rPr>
              <w:t>ment</w:t>
            </w:r>
            <w:r w:rsidRPr="0053671A">
              <w:rPr>
                <w:rFonts w:eastAsia="Times New Roman"/>
                <w:color w:val="000000"/>
                <w:lang w:eastAsia="en-AU"/>
              </w:rPr>
              <w:t xml:space="preserve"> index</w:t>
            </w:r>
          </w:p>
        </w:tc>
      </w:tr>
      <w:tr w:rsidR="00D72F5D" w:rsidRPr="0053671A" w:rsidTr="00EE11BF">
        <w:trPr>
          <w:trHeight w:val="300"/>
        </w:trPr>
        <w:tc>
          <w:tcPr>
            <w:tcW w:w="2180" w:type="dxa"/>
            <w:tcBorders>
              <w:left w:val="nil"/>
              <w:bottom w:val="single" w:sz="4" w:space="0" w:color="auto"/>
              <w:right w:val="nil"/>
            </w:tcBorders>
            <w:shd w:val="clear" w:color="auto" w:fill="D6E3BC" w:themeFill="accent3" w:themeFillTint="66"/>
            <w:noWrap/>
            <w:vAlign w:val="bottom"/>
            <w:hideMark/>
          </w:tcPr>
          <w:p w:rsidR="00D72F5D" w:rsidRPr="0053671A" w:rsidRDefault="00D72F5D" w:rsidP="00572C5D">
            <w:pPr>
              <w:spacing w:after="0" w:line="240" w:lineRule="auto"/>
              <w:rPr>
                <w:rFonts w:eastAsia="Times New Roman"/>
                <w:color w:val="000000"/>
                <w:lang w:eastAsia="en-AU"/>
              </w:rPr>
            </w:pPr>
            <w:r w:rsidRPr="0053671A">
              <w:rPr>
                <w:rFonts w:eastAsia="Times New Roman"/>
                <w:color w:val="000000"/>
                <w:lang w:eastAsia="en-AU"/>
              </w:rPr>
              <w:t>Fixed effects</w:t>
            </w:r>
          </w:p>
        </w:tc>
        <w:tc>
          <w:tcPr>
            <w:tcW w:w="700" w:type="dxa"/>
            <w:tcBorders>
              <w:top w:val="nil"/>
              <w:left w:val="nil"/>
              <w:bottom w:val="single" w:sz="4" w:space="0" w:color="auto"/>
              <w:right w:val="nil"/>
            </w:tcBorders>
            <w:shd w:val="clear" w:color="auto" w:fill="D6E3BC" w:themeFill="accent3" w:themeFillTint="66"/>
            <w:noWrap/>
            <w:vAlign w:val="bottom"/>
            <w:hideMark/>
          </w:tcPr>
          <w:p w:rsidR="00D72F5D" w:rsidRPr="0053671A" w:rsidRDefault="00D72F5D" w:rsidP="00572C5D">
            <w:pPr>
              <w:spacing w:after="0" w:line="240" w:lineRule="auto"/>
              <w:rPr>
                <w:rFonts w:eastAsia="Times New Roman"/>
                <w:color w:val="000000"/>
                <w:lang w:eastAsia="en-AU"/>
              </w:rPr>
            </w:pPr>
            <w:r w:rsidRPr="0053671A">
              <w:rPr>
                <w:rFonts w:eastAsia="Times New Roman"/>
                <w:color w:val="000000"/>
                <w:lang w:eastAsia="en-AU"/>
              </w:rPr>
              <w:t xml:space="preserve">value </w:t>
            </w:r>
          </w:p>
        </w:tc>
        <w:tc>
          <w:tcPr>
            <w:tcW w:w="1200" w:type="dxa"/>
            <w:tcBorders>
              <w:top w:val="nil"/>
              <w:left w:val="nil"/>
              <w:bottom w:val="single" w:sz="4" w:space="0" w:color="auto"/>
              <w:right w:val="nil"/>
            </w:tcBorders>
            <w:shd w:val="clear" w:color="auto" w:fill="D6E3BC" w:themeFill="accent3" w:themeFillTint="66"/>
            <w:noWrap/>
            <w:vAlign w:val="bottom"/>
            <w:hideMark/>
          </w:tcPr>
          <w:p w:rsidR="00D72F5D" w:rsidRDefault="00D72F5D" w:rsidP="00572C5D">
            <w:pPr>
              <w:spacing w:after="0" w:line="240" w:lineRule="auto"/>
              <w:jc w:val="right"/>
              <w:rPr>
                <w:rFonts w:eastAsia="Times New Roman"/>
                <w:color w:val="000000"/>
                <w:lang w:eastAsia="en-AU"/>
              </w:rPr>
            </w:pPr>
            <w:r w:rsidRPr="0053671A">
              <w:rPr>
                <w:rFonts w:eastAsia="Times New Roman"/>
                <w:color w:val="000000"/>
                <w:lang w:eastAsia="en-AU"/>
              </w:rPr>
              <w:t xml:space="preserve">Std. </w:t>
            </w:r>
          </w:p>
          <w:p w:rsidR="00D72F5D" w:rsidRPr="0053671A" w:rsidRDefault="00D72F5D" w:rsidP="00572C5D">
            <w:pPr>
              <w:spacing w:after="0" w:line="240" w:lineRule="auto"/>
              <w:jc w:val="right"/>
              <w:rPr>
                <w:rFonts w:eastAsia="Times New Roman"/>
                <w:color w:val="000000"/>
                <w:lang w:eastAsia="en-AU"/>
              </w:rPr>
            </w:pPr>
            <w:r w:rsidRPr="0053671A">
              <w:rPr>
                <w:rFonts w:eastAsia="Times New Roman"/>
                <w:color w:val="000000"/>
                <w:lang w:eastAsia="en-AU"/>
              </w:rPr>
              <w:t>Error</w:t>
            </w:r>
          </w:p>
        </w:tc>
        <w:tc>
          <w:tcPr>
            <w:tcW w:w="939" w:type="dxa"/>
            <w:tcBorders>
              <w:top w:val="nil"/>
              <w:left w:val="nil"/>
              <w:bottom w:val="single" w:sz="4" w:space="0" w:color="auto"/>
              <w:right w:val="nil"/>
            </w:tcBorders>
            <w:shd w:val="clear" w:color="auto" w:fill="D6E3BC" w:themeFill="accent3" w:themeFillTint="66"/>
            <w:noWrap/>
            <w:vAlign w:val="bottom"/>
            <w:hideMark/>
          </w:tcPr>
          <w:p w:rsidR="00D72F5D" w:rsidRPr="0053671A" w:rsidRDefault="00D72F5D" w:rsidP="00572C5D">
            <w:pPr>
              <w:spacing w:after="0" w:line="240" w:lineRule="auto"/>
              <w:rPr>
                <w:rFonts w:eastAsia="Times New Roman"/>
                <w:color w:val="000000"/>
                <w:lang w:eastAsia="en-AU"/>
              </w:rPr>
            </w:pPr>
            <w:r w:rsidRPr="0053671A">
              <w:rPr>
                <w:rFonts w:eastAsia="Times New Roman"/>
                <w:color w:val="000000"/>
                <w:lang w:eastAsia="en-AU"/>
              </w:rPr>
              <w:t>p-value</w:t>
            </w:r>
          </w:p>
        </w:tc>
        <w:tc>
          <w:tcPr>
            <w:tcW w:w="460" w:type="dxa"/>
            <w:tcBorders>
              <w:top w:val="nil"/>
              <w:left w:val="nil"/>
              <w:bottom w:val="single" w:sz="4" w:space="0" w:color="auto"/>
              <w:right w:val="nil"/>
            </w:tcBorders>
            <w:shd w:val="clear" w:color="auto" w:fill="D6E3BC" w:themeFill="accent3" w:themeFillTint="66"/>
            <w:noWrap/>
            <w:vAlign w:val="bottom"/>
            <w:hideMark/>
          </w:tcPr>
          <w:p w:rsidR="00D72F5D" w:rsidRPr="0053671A" w:rsidRDefault="00D72F5D" w:rsidP="00572C5D">
            <w:pPr>
              <w:spacing w:after="0" w:line="240" w:lineRule="auto"/>
              <w:rPr>
                <w:rFonts w:eastAsia="Times New Roman"/>
                <w:color w:val="000000"/>
                <w:lang w:eastAsia="en-AU"/>
              </w:rPr>
            </w:pPr>
            <w:r w:rsidRPr="0053671A">
              <w:rPr>
                <w:rFonts w:eastAsia="Times New Roman"/>
                <w:color w:val="000000"/>
                <w:lang w:eastAsia="en-AU"/>
              </w:rPr>
              <w:t> </w:t>
            </w:r>
          </w:p>
        </w:tc>
        <w:tc>
          <w:tcPr>
            <w:tcW w:w="1420" w:type="dxa"/>
            <w:tcBorders>
              <w:top w:val="nil"/>
              <w:left w:val="nil"/>
              <w:bottom w:val="single" w:sz="4" w:space="0" w:color="auto"/>
              <w:right w:val="nil"/>
            </w:tcBorders>
            <w:shd w:val="clear" w:color="auto" w:fill="D6E3BC" w:themeFill="accent3" w:themeFillTint="66"/>
            <w:noWrap/>
            <w:vAlign w:val="bottom"/>
            <w:hideMark/>
          </w:tcPr>
          <w:p w:rsidR="00D72F5D" w:rsidRPr="0053671A" w:rsidRDefault="00D72F5D" w:rsidP="00572C5D">
            <w:pPr>
              <w:spacing w:after="0" w:line="240" w:lineRule="auto"/>
              <w:jc w:val="right"/>
              <w:rPr>
                <w:rFonts w:eastAsia="Times New Roman"/>
                <w:color w:val="000000"/>
                <w:lang w:eastAsia="en-AU"/>
              </w:rPr>
            </w:pPr>
            <w:r w:rsidRPr="0053671A">
              <w:rPr>
                <w:rFonts w:eastAsia="Times New Roman"/>
                <w:color w:val="000000"/>
                <w:lang w:eastAsia="en-AU"/>
              </w:rPr>
              <w:t xml:space="preserve">value </w:t>
            </w:r>
          </w:p>
        </w:tc>
        <w:tc>
          <w:tcPr>
            <w:tcW w:w="1060" w:type="dxa"/>
            <w:tcBorders>
              <w:top w:val="nil"/>
              <w:left w:val="nil"/>
              <w:bottom w:val="single" w:sz="4" w:space="0" w:color="auto"/>
              <w:right w:val="nil"/>
            </w:tcBorders>
            <w:shd w:val="clear" w:color="auto" w:fill="D6E3BC" w:themeFill="accent3" w:themeFillTint="66"/>
            <w:noWrap/>
            <w:vAlign w:val="bottom"/>
            <w:hideMark/>
          </w:tcPr>
          <w:p w:rsidR="00D72F5D" w:rsidRPr="0053671A" w:rsidRDefault="00D72F5D" w:rsidP="00572C5D">
            <w:pPr>
              <w:spacing w:after="0" w:line="240" w:lineRule="auto"/>
              <w:jc w:val="right"/>
              <w:rPr>
                <w:rFonts w:eastAsia="Times New Roman"/>
                <w:color w:val="000000"/>
                <w:lang w:eastAsia="en-AU"/>
              </w:rPr>
            </w:pPr>
            <w:r w:rsidRPr="0053671A">
              <w:rPr>
                <w:rFonts w:eastAsia="Times New Roman"/>
                <w:color w:val="000000"/>
                <w:lang w:eastAsia="en-AU"/>
              </w:rPr>
              <w:t>Std. Error</w:t>
            </w:r>
          </w:p>
        </w:tc>
        <w:tc>
          <w:tcPr>
            <w:tcW w:w="940" w:type="dxa"/>
            <w:tcBorders>
              <w:top w:val="nil"/>
              <w:left w:val="nil"/>
              <w:bottom w:val="single" w:sz="4" w:space="0" w:color="auto"/>
              <w:right w:val="nil"/>
            </w:tcBorders>
            <w:shd w:val="clear" w:color="auto" w:fill="D6E3BC" w:themeFill="accent3" w:themeFillTint="66"/>
            <w:noWrap/>
            <w:vAlign w:val="bottom"/>
            <w:hideMark/>
          </w:tcPr>
          <w:p w:rsidR="00D72F5D" w:rsidRPr="0053671A" w:rsidRDefault="00D72F5D" w:rsidP="00572C5D">
            <w:pPr>
              <w:spacing w:after="0" w:line="240" w:lineRule="auto"/>
              <w:rPr>
                <w:rFonts w:eastAsia="Times New Roman"/>
                <w:color w:val="000000"/>
                <w:lang w:eastAsia="en-AU"/>
              </w:rPr>
            </w:pPr>
            <w:r w:rsidRPr="0053671A">
              <w:rPr>
                <w:rFonts w:eastAsia="Times New Roman"/>
                <w:color w:val="000000"/>
                <w:lang w:eastAsia="en-AU"/>
              </w:rPr>
              <w:t>p-value</w:t>
            </w:r>
          </w:p>
        </w:tc>
      </w:tr>
      <w:tr w:rsidR="00D72F5D" w:rsidRPr="0053671A" w:rsidTr="00572C5D">
        <w:trPr>
          <w:trHeight w:val="300"/>
        </w:trPr>
        <w:tc>
          <w:tcPr>
            <w:tcW w:w="2180" w:type="dxa"/>
            <w:tcBorders>
              <w:top w:val="nil"/>
              <w:left w:val="nil"/>
              <w:bottom w:val="nil"/>
              <w:right w:val="nil"/>
            </w:tcBorders>
            <w:shd w:val="clear" w:color="auto" w:fill="auto"/>
            <w:noWrap/>
            <w:vAlign w:val="bottom"/>
            <w:hideMark/>
          </w:tcPr>
          <w:p w:rsidR="00D72F5D" w:rsidRPr="0053671A" w:rsidRDefault="00D72F5D" w:rsidP="00572C5D">
            <w:pPr>
              <w:spacing w:after="0" w:line="240" w:lineRule="auto"/>
              <w:rPr>
                <w:rFonts w:eastAsia="Times New Roman"/>
                <w:color w:val="000000"/>
                <w:lang w:eastAsia="en-AU"/>
              </w:rPr>
            </w:pPr>
            <w:r>
              <w:rPr>
                <w:rFonts w:eastAsia="Times New Roman"/>
                <w:color w:val="000000"/>
                <w:lang w:eastAsia="en-AU"/>
              </w:rPr>
              <w:t>Angling</w:t>
            </w:r>
          </w:p>
        </w:tc>
        <w:tc>
          <w:tcPr>
            <w:tcW w:w="700" w:type="dxa"/>
            <w:tcBorders>
              <w:top w:val="nil"/>
              <w:left w:val="nil"/>
              <w:bottom w:val="nil"/>
              <w:right w:val="nil"/>
            </w:tcBorders>
            <w:shd w:val="clear" w:color="auto" w:fill="auto"/>
            <w:noWrap/>
            <w:vAlign w:val="bottom"/>
            <w:hideMark/>
          </w:tcPr>
          <w:p w:rsidR="00D72F5D" w:rsidRPr="0053671A" w:rsidRDefault="00D72F5D" w:rsidP="00572C5D">
            <w:pPr>
              <w:spacing w:after="0" w:line="240" w:lineRule="auto"/>
              <w:jc w:val="right"/>
              <w:rPr>
                <w:rFonts w:eastAsia="Times New Roman"/>
                <w:color w:val="000000"/>
                <w:lang w:eastAsia="en-AU"/>
              </w:rPr>
            </w:pPr>
            <w:r w:rsidRPr="0053671A">
              <w:rPr>
                <w:rFonts w:eastAsia="Times New Roman"/>
                <w:color w:val="000000"/>
                <w:lang w:eastAsia="en-AU"/>
              </w:rPr>
              <w:t>0.0</w:t>
            </w:r>
            <w:r>
              <w:rPr>
                <w:rFonts w:eastAsia="Times New Roman"/>
                <w:color w:val="000000"/>
                <w:lang w:eastAsia="en-AU"/>
              </w:rPr>
              <w:t>0</w:t>
            </w:r>
          </w:p>
        </w:tc>
        <w:tc>
          <w:tcPr>
            <w:tcW w:w="1200" w:type="dxa"/>
            <w:tcBorders>
              <w:top w:val="nil"/>
              <w:left w:val="nil"/>
              <w:bottom w:val="nil"/>
              <w:right w:val="nil"/>
            </w:tcBorders>
            <w:shd w:val="clear" w:color="auto" w:fill="auto"/>
            <w:noWrap/>
            <w:vAlign w:val="bottom"/>
            <w:hideMark/>
          </w:tcPr>
          <w:p w:rsidR="00D72F5D" w:rsidRPr="0053671A" w:rsidRDefault="00D72F5D" w:rsidP="00572C5D">
            <w:pPr>
              <w:spacing w:after="0" w:line="240" w:lineRule="auto"/>
              <w:jc w:val="right"/>
              <w:rPr>
                <w:rFonts w:eastAsia="Times New Roman"/>
                <w:color w:val="000000"/>
                <w:lang w:eastAsia="en-AU"/>
              </w:rPr>
            </w:pPr>
            <w:r w:rsidRPr="0053671A">
              <w:rPr>
                <w:rFonts w:eastAsia="Times New Roman"/>
                <w:color w:val="000000"/>
                <w:lang w:eastAsia="en-AU"/>
              </w:rPr>
              <w:t>0.0</w:t>
            </w:r>
            <w:r>
              <w:rPr>
                <w:rFonts w:eastAsia="Times New Roman"/>
                <w:color w:val="000000"/>
                <w:lang w:eastAsia="en-AU"/>
              </w:rPr>
              <w:t>8</w:t>
            </w:r>
          </w:p>
        </w:tc>
        <w:tc>
          <w:tcPr>
            <w:tcW w:w="939" w:type="dxa"/>
            <w:tcBorders>
              <w:top w:val="nil"/>
              <w:left w:val="nil"/>
              <w:bottom w:val="nil"/>
              <w:right w:val="nil"/>
            </w:tcBorders>
            <w:shd w:val="clear" w:color="auto" w:fill="auto"/>
            <w:noWrap/>
            <w:vAlign w:val="bottom"/>
            <w:hideMark/>
          </w:tcPr>
          <w:p w:rsidR="00D72F5D" w:rsidRPr="0053671A" w:rsidRDefault="00D72F5D" w:rsidP="00572C5D">
            <w:pPr>
              <w:spacing w:after="0" w:line="240" w:lineRule="auto"/>
              <w:rPr>
                <w:rFonts w:eastAsia="Times New Roman"/>
                <w:color w:val="000000"/>
                <w:lang w:eastAsia="en-AU"/>
              </w:rPr>
            </w:pPr>
            <w:r w:rsidRPr="0053671A">
              <w:rPr>
                <w:rFonts w:eastAsia="Times New Roman"/>
                <w:color w:val="000000"/>
                <w:lang w:eastAsia="en-AU"/>
              </w:rPr>
              <w:t>NS</w:t>
            </w:r>
          </w:p>
        </w:tc>
        <w:tc>
          <w:tcPr>
            <w:tcW w:w="460" w:type="dxa"/>
            <w:tcBorders>
              <w:top w:val="nil"/>
              <w:left w:val="nil"/>
              <w:bottom w:val="nil"/>
              <w:right w:val="nil"/>
            </w:tcBorders>
            <w:shd w:val="clear" w:color="auto" w:fill="auto"/>
            <w:noWrap/>
            <w:vAlign w:val="bottom"/>
            <w:hideMark/>
          </w:tcPr>
          <w:p w:rsidR="00D72F5D" w:rsidRPr="0053671A" w:rsidRDefault="00D72F5D" w:rsidP="00572C5D">
            <w:pPr>
              <w:spacing w:after="0" w:line="240" w:lineRule="auto"/>
              <w:rPr>
                <w:rFonts w:eastAsia="Times New Roman"/>
                <w:color w:val="000000"/>
                <w:lang w:eastAsia="en-AU"/>
              </w:rPr>
            </w:pPr>
          </w:p>
        </w:tc>
        <w:tc>
          <w:tcPr>
            <w:tcW w:w="1420" w:type="dxa"/>
            <w:tcBorders>
              <w:top w:val="nil"/>
              <w:left w:val="nil"/>
              <w:bottom w:val="nil"/>
              <w:right w:val="nil"/>
            </w:tcBorders>
            <w:shd w:val="clear" w:color="auto" w:fill="auto"/>
            <w:noWrap/>
            <w:vAlign w:val="bottom"/>
            <w:hideMark/>
          </w:tcPr>
          <w:p w:rsidR="00D72F5D" w:rsidRPr="0053671A" w:rsidRDefault="00D72F5D" w:rsidP="00572C5D">
            <w:pPr>
              <w:spacing w:after="0" w:line="240" w:lineRule="auto"/>
              <w:jc w:val="right"/>
              <w:rPr>
                <w:rFonts w:eastAsia="Times New Roman"/>
                <w:color w:val="000000"/>
                <w:lang w:eastAsia="en-AU"/>
              </w:rPr>
            </w:pPr>
            <w:r w:rsidRPr="0053671A">
              <w:rPr>
                <w:rFonts w:eastAsia="Times New Roman"/>
                <w:color w:val="000000"/>
                <w:lang w:eastAsia="en-AU"/>
              </w:rPr>
              <w:t>-0.13</w:t>
            </w:r>
          </w:p>
        </w:tc>
        <w:tc>
          <w:tcPr>
            <w:tcW w:w="1060" w:type="dxa"/>
            <w:tcBorders>
              <w:top w:val="nil"/>
              <w:left w:val="nil"/>
              <w:bottom w:val="nil"/>
              <w:right w:val="nil"/>
            </w:tcBorders>
            <w:shd w:val="clear" w:color="auto" w:fill="auto"/>
            <w:noWrap/>
            <w:vAlign w:val="bottom"/>
            <w:hideMark/>
          </w:tcPr>
          <w:p w:rsidR="00D72F5D" w:rsidRPr="0053671A" w:rsidRDefault="00D72F5D" w:rsidP="00572C5D">
            <w:pPr>
              <w:spacing w:after="0" w:line="240" w:lineRule="auto"/>
              <w:jc w:val="right"/>
              <w:rPr>
                <w:rFonts w:eastAsia="Times New Roman"/>
                <w:color w:val="000000"/>
                <w:lang w:eastAsia="en-AU"/>
              </w:rPr>
            </w:pPr>
            <w:r w:rsidRPr="0053671A">
              <w:rPr>
                <w:rFonts w:eastAsia="Times New Roman"/>
                <w:color w:val="000000"/>
                <w:lang w:eastAsia="en-AU"/>
              </w:rPr>
              <w:t>0.13</w:t>
            </w:r>
          </w:p>
        </w:tc>
        <w:tc>
          <w:tcPr>
            <w:tcW w:w="940" w:type="dxa"/>
            <w:tcBorders>
              <w:top w:val="nil"/>
              <w:left w:val="nil"/>
              <w:bottom w:val="nil"/>
              <w:right w:val="nil"/>
            </w:tcBorders>
            <w:shd w:val="clear" w:color="auto" w:fill="auto"/>
            <w:noWrap/>
            <w:vAlign w:val="bottom"/>
            <w:hideMark/>
          </w:tcPr>
          <w:p w:rsidR="00D72F5D" w:rsidRPr="0053671A" w:rsidRDefault="00D72F5D" w:rsidP="00572C5D">
            <w:pPr>
              <w:spacing w:after="0" w:line="240" w:lineRule="auto"/>
              <w:rPr>
                <w:rFonts w:eastAsia="Times New Roman"/>
                <w:color w:val="000000"/>
                <w:lang w:eastAsia="en-AU"/>
              </w:rPr>
            </w:pPr>
            <w:r w:rsidRPr="0053671A">
              <w:rPr>
                <w:rFonts w:eastAsia="Times New Roman"/>
                <w:color w:val="000000"/>
                <w:lang w:eastAsia="en-AU"/>
              </w:rPr>
              <w:t>NS</w:t>
            </w:r>
          </w:p>
        </w:tc>
      </w:tr>
      <w:tr w:rsidR="00D72F5D" w:rsidRPr="0053671A" w:rsidTr="00572C5D">
        <w:trPr>
          <w:trHeight w:val="300"/>
        </w:trPr>
        <w:tc>
          <w:tcPr>
            <w:tcW w:w="2180" w:type="dxa"/>
            <w:tcBorders>
              <w:top w:val="nil"/>
              <w:left w:val="nil"/>
              <w:bottom w:val="nil"/>
              <w:right w:val="nil"/>
            </w:tcBorders>
            <w:shd w:val="clear" w:color="auto" w:fill="auto"/>
            <w:noWrap/>
            <w:vAlign w:val="bottom"/>
            <w:hideMark/>
          </w:tcPr>
          <w:p w:rsidR="00D72F5D" w:rsidRPr="0053671A" w:rsidRDefault="00D72F5D" w:rsidP="00572C5D">
            <w:pPr>
              <w:spacing w:after="0" w:line="240" w:lineRule="auto"/>
              <w:rPr>
                <w:rFonts w:eastAsia="Times New Roman"/>
                <w:color w:val="000000"/>
                <w:lang w:eastAsia="en-AU"/>
              </w:rPr>
            </w:pPr>
            <w:r w:rsidRPr="0053671A">
              <w:rPr>
                <w:rFonts w:eastAsia="Times New Roman"/>
                <w:color w:val="000000"/>
                <w:lang w:eastAsia="en-AU"/>
              </w:rPr>
              <w:t>Backpack</w:t>
            </w:r>
            <w:r>
              <w:rPr>
                <w:rFonts w:eastAsia="Times New Roman"/>
                <w:color w:val="000000"/>
                <w:lang w:eastAsia="en-AU"/>
              </w:rPr>
              <w:t xml:space="preserve"> e-fishing</w:t>
            </w:r>
          </w:p>
        </w:tc>
        <w:tc>
          <w:tcPr>
            <w:tcW w:w="700" w:type="dxa"/>
            <w:tcBorders>
              <w:top w:val="nil"/>
              <w:left w:val="nil"/>
              <w:bottom w:val="nil"/>
              <w:right w:val="nil"/>
            </w:tcBorders>
            <w:shd w:val="clear" w:color="auto" w:fill="auto"/>
            <w:noWrap/>
            <w:vAlign w:val="bottom"/>
            <w:hideMark/>
          </w:tcPr>
          <w:p w:rsidR="00D72F5D" w:rsidRPr="0053671A" w:rsidRDefault="00D72F5D" w:rsidP="00572C5D">
            <w:pPr>
              <w:spacing w:after="0" w:line="240" w:lineRule="auto"/>
              <w:jc w:val="right"/>
              <w:rPr>
                <w:rFonts w:eastAsia="Times New Roman"/>
                <w:color w:val="000000"/>
                <w:lang w:eastAsia="en-AU"/>
              </w:rPr>
            </w:pPr>
            <w:r w:rsidRPr="0053671A">
              <w:rPr>
                <w:rFonts w:eastAsia="Times New Roman"/>
                <w:color w:val="000000"/>
                <w:lang w:eastAsia="en-AU"/>
              </w:rPr>
              <w:t>0.40</w:t>
            </w:r>
          </w:p>
        </w:tc>
        <w:tc>
          <w:tcPr>
            <w:tcW w:w="1200" w:type="dxa"/>
            <w:tcBorders>
              <w:top w:val="nil"/>
              <w:left w:val="nil"/>
              <w:bottom w:val="nil"/>
              <w:right w:val="nil"/>
            </w:tcBorders>
            <w:shd w:val="clear" w:color="auto" w:fill="auto"/>
            <w:noWrap/>
            <w:vAlign w:val="bottom"/>
            <w:hideMark/>
          </w:tcPr>
          <w:p w:rsidR="00D72F5D" w:rsidRPr="0053671A" w:rsidRDefault="00D72F5D" w:rsidP="00572C5D">
            <w:pPr>
              <w:spacing w:after="0" w:line="240" w:lineRule="auto"/>
              <w:jc w:val="right"/>
              <w:rPr>
                <w:rFonts w:eastAsia="Times New Roman"/>
                <w:color w:val="000000"/>
                <w:lang w:eastAsia="en-AU"/>
              </w:rPr>
            </w:pPr>
            <w:r w:rsidRPr="0053671A">
              <w:rPr>
                <w:rFonts w:eastAsia="Times New Roman"/>
                <w:color w:val="000000"/>
                <w:lang w:eastAsia="en-AU"/>
              </w:rPr>
              <w:t>0.0</w:t>
            </w:r>
            <w:r>
              <w:rPr>
                <w:rFonts w:eastAsia="Times New Roman"/>
                <w:color w:val="000000"/>
                <w:lang w:eastAsia="en-AU"/>
              </w:rPr>
              <w:t>8</w:t>
            </w:r>
          </w:p>
        </w:tc>
        <w:tc>
          <w:tcPr>
            <w:tcW w:w="939" w:type="dxa"/>
            <w:tcBorders>
              <w:top w:val="nil"/>
              <w:left w:val="nil"/>
              <w:bottom w:val="nil"/>
              <w:right w:val="nil"/>
            </w:tcBorders>
            <w:shd w:val="clear" w:color="auto" w:fill="auto"/>
            <w:noWrap/>
            <w:vAlign w:val="bottom"/>
            <w:hideMark/>
          </w:tcPr>
          <w:p w:rsidR="00D72F5D" w:rsidRPr="0053671A" w:rsidRDefault="00D72F5D" w:rsidP="00572C5D">
            <w:pPr>
              <w:spacing w:after="0" w:line="240" w:lineRule="auto"/>
              <w:rPr>
                <w:rFonts w:eastAsia="Times New Roman"/>
                <w:color w:val="000000"/>
                <w:lang w:eastAsia="en-AU"/>
              </w:rPr>
            </w:pPr>
            <w:r w:rsidRPr="0053671A">
              <w:rPr>
                <w:rFonts w:eastAsia="Times New Roman"/>
                <w:color w:val="000000"/>
                <w:lang w:eastAsia="en-AU"/>
              </w:rPr>
              <w:t>&lt;0.0001</w:t>
            </w:r>
          </w:p>
        </w:tc>
        <w:tc>
          <w:tcPr>
            <w:tcW w:w="460" w:type="dxa"/>
            <w:tcBorders>
              <w:top w:val="nil"/>
              <w:left w:val="nil"/>
              <w:bottom w:val="nil"/>
              <w:right w:val="nil"/>
            </w:tcBorders>
            <w:shd w:val="clear" w:color="auto" w:fill="auto"/>
            <w:noWrap/>
            <w:vAlign w:val="bottom"/>
            <w:hideMark/>
          </w:tcPr>
          <w:p w:rsidR="00D72F5D" w:rsidRPr="0053671A" w:rsidRDefault="00D72F5D" w:rsidP="00572C5D">
            <w:pPr>
              <w:spacing w:after="0" w:line="240" w:lineRule="auto"/>
              <w:rPr>
                <w:rFonts w:eastAsia="Times New Roman"/>
                <w:color w:val="000000"/>
                <w:lang w:eastAsia="en-AU"/>
              </w:rPr>
            </w:pPr>
          </w:p>
        </w:tc>
        <w:tc>
          <w:tcPr>
            <w:tcW w:w="1420" w:type="dxa"/>
            <w:tcBorders>
              <w:top w:val="nil"/>
              <w:left w:val="nil"/>
              <w:bottom w:val="nil"/>
              <w:right w:val="nil"/>
            </w:tcBorders>
            <w:shd w:val="clear" w:color="auto" w:fill="auto"/>
            <w:noWrap/>
            <w:vAlign w:val="bottom"/>
            <w:hideMark/>
          </w:tcPr>
          <w:p w:rsidR="00D72F5D" w:rsidRPr="0053671A" w:rsidRDefault="00D72F5D" w:rsidP="00572C5D">
            <w:pPr>
              <w:spacing w:after="0" w:line="240" w:lineRule="auto"/>
              <w:jc w:val="right"/>
              <w:rPr>
                <w:rFonts w:eastAsia="Times New Roman"/>
                <w:color w:val="000000"/>
                <w:lang w:eastAsia="en-AU"/>
              </w:rPr>
            </w:pPr>
            <w:r w:rsidRPr="0053671A">
              <w:rPr>
                <w:rFonts w:eastAsia="Times New Roman"/>
                <w:color w:val="000000"/>
                <w:lang w:eastAsia="en-AU"/>
              </w:rPr>
              <w:t>0.69</w:t>
            </w:r>
          </w:p>
        </w:tc>
        <w:tc>
          <w:tcPr>
            <w:tcW w:w="1060" w:type="dxa"/>
            <w:tcBorders>
              <w:top w:val="nil"/>
              <w:left w:val="nil"/>
              <w:bottom w:val="nil"/>
              <w:right w:val="nil"/>
            </w:tcBorders>
            <w:shd w:val="clear" w:color="auto" w:fill="auto"/>
            <w:noWrap/>
            <w:vAlign w:val="bottom"/>
            <w:hideMark/>
          </w:tcPr>
          <w:p w:rsidR="00D72F5D" w:rsidRPr="0053671A" w:rsidRDefault="00D72F5D" w:rsidP="00572C5D">
            <w:pPr>
              <w:spacing w:after="0" w:line="240" w:lineRule="auto"/>
              <w:jc w:val="right"/>
              <w:rPr>
                <w:rFonts w:eastAsia="Times New Roman"/>
                <w:color w:val="000000"/>
                <w:lang w:eastAsia="en-AU"/>
              </w:rPr>
            </w:pPr>
            <w:r w:rsidRPr="0053671A">
              <w:rPr>
                <w:rFonts w:eastAsia="Times New Roman"/>
                <w:color w:val="000000"/>
                <w:lang w:eastAsia="en-AU"/>
              </w:rPr>
              <w:t>0.1</w:t>
            </w:r>
            <w:r>
              <w:rPr>
                <w:rFonts w:eastAsia="Times New Roman"/>
                <w:color w:val="000000"/>
                <w:lang w:eastAsia="en-AU"/>
              </w:rPr>
              <w:t>2</w:t>
            </w:r>
          </w:p>
        </w:tc>
        <w:tc>
          <w:tcPr>
            <w:tcW w:w="940" w:type="dxa"/>
            <w:tcBorders>
              <w:top w:val="nil"/>
              <w:left w:val="nil"/>
              <w:bottom w:val="nil"/>
              <w:right w:val="nil"/>
            </w:tcBorders>
            <w:shd w:val="clear" w:color="auto" w:fill="auto"/>
            <w:noWrap/>
            <w:vAlign w:val="bottom"/>
            <w:hideMark/>
          </w:tcPr>
          <w:p w:rsidR="00D72F5D" w:rsidRPr="0053671A" w:rsidRDefault="00D72F5D" w:rsidP="00572C5D">
            <w:pPr>
              <w:spacing w:after="0" w:line="240" w:lineRule="auto"/>
              <w:rPr>
                <w:rFonts w:eastAsia="Times New Roman"/>
                <w:color w:val="000000"/>
                <w:lang w:eastAsia="en-AU"/>
              </w:rPr>
            </w:pPr>
            <w:r w:rsidRPr="0053671A">
              <w:rPr>
                <w:rFonts w:eastAsia="Times New Roman"/>
                <w:color w:val="000000"/>
                <w:lang w:eastAsia="en-AU"/>
              </w:rPr>
              <w:t>&lt;0.0001</w:t>
            </w:r>
          </w:p>
        </w:tc>
      </w:tr>
      <w:tr w:rsidR="00D72F5D" w:rsidRPr="0053671A" w:rsidTr="00572C5D">
        <w:trPr>
          <w:trHeight w:val="300"/>
        </w:trPr>
        <w:tc>
          <w:tcPr>
            <w:tcW w:w="2180" w:type="dxa"/>
            <w:tcBorders>
              <w:top w:val="nil"/>
              <w:left w:val="nil"/>
              <w:bottom w:val="single" w:sz="4" w:space="0" w:color="auto"/>
              <w:right w:val="nil"/>
            </w:tcBorders>
            <w:shd w:val="clear" w:color="auto" w:fill="auto"/>
            <w:noWrap/>
            <w:vAlign w:val="bottom"/>
            <w:hideMark/>
          </w:tcPr>
          <w:p w:rsidR="00D72F5D" w:rsidRPr="0053671A" w:rsidRDefault="00D72F5D" w:rsidP="00572C5D">
            <w:pPr>
              <w:spacing w:after="0" w:line="240" w:lineRule="auto"/>
              <w:rPr>
                <w:rFonts w:eastAsia="Times New Roman"/>
                <w:color w:val="000000"/>
                <w:lang w:eastAsia="en-AU"/>
              </w:rPr>
            </w:pPr>
            <w:r w:rsidRPr="0053671A">
              <w:rPr>
                <w:rFonts w:eastAsia="Times New Roman"/>
                <w:color w:val="000000"/>
                <w:lang w:eastAsia="en-AU"/>
              </w:rPr>
              <w:t>Set lines</w:t>
            </w:r>
          </w:p>
        </w:tc>
        <w:tc>
          <w:tcPr>
            <w:tcW w:w="700" w:type="dxa"/>
            <w:tcBorders>
              <w:top w:val="nil"/>
              <w:left w:val="nil"/>
              <w:bottom w:val="single" w:sz="4" w:space="0" w:color="auto"/>
              <w:right w:val="nil"/>
            </w:tcBorders>
            <w:shd w:val="clear" w:color="auto" w:fill="auto"/>
            <w:noWrap/>
            <w:vAlign w:val="bottom"/>
            <w:hideMark/>
          </w:tcPr>
          <w:p w:rsidR="00D72F5D" w:rsidRPr="0053671A" w:rsidRDefault="00D72F5D" w:rsidP="00572C5D">
            <w:pPr>
              <w:spacing w:after="0" w:line="240" w:lineRule="auto"/>
              <w:jc w:val="right"/>
              <w:rPr>
                <w:rFonts w:eastAsia="Times New Roman"/>
                <w:color w:val="000000"/>
                <w:lang w:eastAsia="en-AU"/>
              </w:rPr>
            </w:pPr>
            <w:r w:rsidRPr="0053671A">
              <w:rPr>
                <w:rFonts w:eastAsia="Times New Roman"/>
                <w:color w:val="000000"/>
                <w:lang w:eastAsia="en-AU"/>
              </w:rPr>
              <w:t>0.00</w:t>
            </w:r>
          </w:p>
        </w:tc>
        <w:tc>
          <w:tcPr>
            <w:tcW w:w="1200" w:type="dxa"/>
            <w:tcBorders>
              <w:top w:val="nil"/>
              <w:left w:val="nil"/>
              <w:bottom w:val="single" w:sz="4" w:space="0" w:color="auto"/>
              <w:right w:val="nil"/>
            </w:tcBorders>
            <w:shd w:val="clear" w:color="auto" w:fill="auto"/>
            <w:noWrap/>
            <w:vAlign w:val="bottom"/>
            <w:hideMark/>
          </w:tcPr>
          <w:p w:rsidR="00D72F5D" w:rsidRPr="0053671A" w:rsidRDefault="00D72F5D" w:rsidP="00572C5D">
            <w:pPr>
              <w:spacing w:after="0" w:line="240" w:lineRule="auto"/>
              <w:jc w:val="right"/>
              <w:rPr>
                <w:rFonts w:eastAsia="Times New Roman"/>
                <w:color w:val="000000"/>
                <w:lang w:eastAsia="en-AU"/>
              </w:rPr>
            </w:pPr>
            <w:r w:rsidRPr="0053671A">
              <w:rPr>
                <w:rFonts w:eastAsia="Times New Roman"/>
                <w:color w:val="000000"/>
                <w:lang w:eastAsia="en-AU"/>
              </w:rPr>
              <w:t>0.0</w:t>
            </w:r>
            <w:r>
              <w:rPr>
                <w:rFonts w:eastAsia="Times New Roman"/>
                <w:color w:val="000000"/>
                <w:lang w:eastAsia="en-AU"/>
              </w:rPr>
              <w:t>8</w:t>
            </w:r>
          </w:p>
        </w:tc>
        <w:tc>
          <w:tcPr>
            <w:tcW w:w="939" w:type="dxa"/>
            <w:tcBorders>
              <w:top w:val="nil"/>
              <w:left w:val="nil"/>
              <w:bottom w:val="single" w:sz="4" w:space="0" w:color="auto"/>
              <w:right w:val="nil"/>
            </w:tcBorders>
            <w:shd w:val="clear" w:color="auto" w:fill="auto"/>
            <w:noWrap/>
            <w:vAlign w:val="bottom"/>
            <w:hideMark/>
          </w:tcPr>
          <w:p w:rsidR="00D72F5D" w:rsidRPr="0053671A" w:rsidRDefault="00D72F5D" w:rsidP="00572C5D">
            <w:pPr>
              <w:spacing w:after="0" w:line="240" w:lineRule="auto"/>
              <w:rPr>
                <w:rFonts w:eastAsia="Times New Roman"/>
                <w:color w:val="000000"/>
                <w:lang w:eastAsia="en-AU"/>
              </w:rPr>
            </w:pPr>
            <w:r w:rsidRPr="0053671A">
              <w:rPr>
                <w:rFonts w:eastAsia="Times New Roman"/>
                <w:color w:val="000000"/>
                <w:lang w:eastAsia="en-AU"/>
              </w:rPr>
              <w:t>NS</w:t>
            </w:r>
          </w:p>
        </w:tc>
        <w:tc>
          <w:tcPr>
            <w:tcW w:w="460" w:type="dxa"/>
            <w:tcBorders>
              <w:top w:val="nil"/>
              <w:left w:val="nil"/>
              <w:bottom w:val="single" w:sz="4" w:space="0" w:color="auto"/>
              <w:right w:val="nil"/>
            </w:tcBorders>
            <w:shd w:val="clear" w:color="auto" w:fill="auto"/>
            <w:noWrap/>
            <w:vAlign w:val="bottom"/>
            <w:hideMark/>
          </w:tcPr>
          <w:p w:rsidR="00D72F5D" w:rsidRPr="0053671A" w:rsidRDefault="00D72F5D" w:rsidP="00572C5D">
            <w:pPr>
              <w:spacing w:after="0" w:line="240" w:lineRule="auto"/>
              <w:rPr>
                <w:rFonts w:eastAsia="Times New Roman"/>
                <w:color w:val="000000"/>
                <w:lang w:eastAsia="en-AU"/>
              </w:rPr>
            </w:pPr>
            <w:r w:rsidRPr="0053671A">
              <w:rPr>
                <w:rFonts w:eastAsia="Times New Roman"/>
                <w:color w:val="000000"/>
                <w:lang w:eastAsia="en-AU"/>
              </w:rPr>
              <w:t> </w:t>
            </w:r>
          </w:p>
        </w:tc>
        <w:tc>
          <w:tcPr>
            <w:tcW w:w="1420" w:type="dxa"/>
            <w:tcBorders>
              <w:top w:val="nil"/>
              <w:left w:val="nil"/>
              <w:bottom w:val="single" w:sz="4" w:space="0" w:color="auto"/>
              <w:right w:val="nil"/>
            </w:tcBorders>
            <w:shd w:val="clear" w:color="auto" w:fill="auto"/>
            <w:noWrap/>
            <w:vAlign w:val="bottom"/>
            <w:hideMark/>
          </w:tcPr>
          <w:p w:rsidR="00D72F5D" w:rsidRPr="0053671A" w:rsidRDefault="00D72F5D" w:rsidP="00572C5D">
            <w:pPr>
              <w:spacing w:after="0" w:line="240" w:lineRule="auto"/>
              <w:jc w:val="right"/>
              <w:rPr>
                <w:rFonts w:eastAsia="Times New Roman"/>
                <w:color w:val="000000"/>
                <w:lang w:eastAsia="en-AU"/>
              </w:rPr>
            </w:pPr>
            <w:r w:rsidRPr="0053671A">
              <w:rPr>
                <w:rFonts w:eastAsia="Times New Roman"/>
                <w:color w:val="000000"/>
                <w:lang w:eastAsia="en-AU"/>
              </w:rPr>
              <w:t>-0.01</w:t>
            </w:r>
          </w:p>
        </w:tc>
        <w:tc>
          <w:tcPr>
            <w:tcW w:w="1060" w:type="dxa"/>
            <w:tcBorders>
              <w:top w:val="nil"/>
              <w:left w:val="nil"/>
              <w:bottom w:val="single" w:sz="4" w:space="0" w:color="auto"/>
              <w:right w:val="nil"/>
            </w:tcBorders>
            <w:shd w:val="clear" w:color="auto" w:fill="auto"/>
            <w:noWrap/>
            <w:vAlign w:val="bottom"/>
            <w:hideMark/>
          </w:tcPr>
          <w:p w:rsidR="00D72F5D" w:rsidRPr="0053671A" w:rsidRDefault="00D72F5D" w:rsidP="00572C5D">
            <w:pPr>
              <w:spacing w:after="0" w:line="240" w:lineRule="auto"/>
              <w:jc w:val="right"/>
              <w:rPr>
                <w:rFonts w:eastAsia="Times New Roman"/>
                <w:color w:val="000000"/>
                <w:lang w:eastAsia="en-AU"/>
              </w:rPr>
            </w:pPr>
            <w:r w:rsidRPr="0053671A">
              <w:rPr>
                <w:rFonts w:eastAsia="Times New Roman"/>
                <w:color w:val="000000"/>
                <w:lang w:eastAsia="en-AU"/>
              </w:rPr>
              <w:t>0.1</w:t>
            </w:r>
            <w:r>
              <w:rPr>
                <w:rFonts w:eastAsia="Times New Roman"/>
                <w:color w:val="000000"/>
                <w:lang w:eastAsia="en-AU"/>
              </w:rPr>
              <w:t>2</w:t>
            </w:r>
          </w:p>
        </w:tc>
        <w:tc>
          <w:tcPr>
            <w:tcW w:w="940" w:type="dxa"/>
            <w:tcBorders>
              <w:top w:val="nil"/>
              <w:left w:val="nil"/>
              <w:bottom w:val="single" w:sz="4" w:space="0" w:color="auto"/>
              <w:right w:val="nil"/>
            </w:tcBorders>
            <w:shd w:val="clear" w:color="auto" w:fill="auto"/>
            <w:noWrap/>
            <w:vAlign w:val="bottom"/>
            <w:hideMark/>
          </w:tcPr>
          <w:p w:rsidR="00D72F5D" w:rsidRPr="0053671A" w:rsidRDefault="00D72F5D" w:rsidP="00572C5D">
            <w:pPr>
              <w:spacing w:after="0" w:line="240" w:lineRule="auto"/>
              <w:rPr>
                <w:rFonts w:eastAsia="Times New Roman"/>
                <w:color w:val="000000"/>
                <w:lang w:eastAsia="en-AU"/>
              </w:rPr>
            </w:pPr>
            <w:r w:rsidRPr="0053671A">
              <w:rPr>
                <w:rFonts w:eastAsia="Times New Roman"/>
                <w:color w:val="000000"/>
                <w:lang w:eastAsia="en-AU"/>
              </w:rPr>
              <w:t>NS</w:t>
            </w:r>
          </w:p>
        </w:tc>
      </w:tr>
    </w:tbl>
    <w:p w:rsidR="00EE11BF" w:rsidRDefault="00EE11BF" w:rsidP="00D72F5D">
      <w:pPr>
        <w:pStyle w:val="ListParagraph"/>
        <w:ind w:left="0"/>
        <w:rPr>
          <w:rFonts w:cs="Arial"/>
          <w:color w:val="000000"/>
        </w:rPr>
      </w:pPr>
    </w:p>
    <w:p w:rsidR="00D72F5D" w:rsidRDefault="00D72F5D" w:rsidP="00311640">
      <w:pPr>
        <w:pStyle w:val="ListParagraph"/>
        <w:ind w:left="0"/>
        <w:jc w:val="left"/>
        <w:rPr>
          <w:rFonts w:cs="Arial"/>
          <w:color w:val="000000"/>
        </w:rPr>
      </w:pPr>
      <w:r>
        <w:rPr>
          <w:rFonts w:cs="Arial"/>
          <w:color w:val="000000"/>
        </w:rPr>
        <w:t>The statistical power (0.12) of the 1+ Murray cod recruitment index used to compare zones was less t</w:t>
      </w:r>
      <w:r w:rsidR="00B0639E">
        <w:rPr>
          <w:rFonts w:cs="Arial"/>
          <w:color w:val="000000"/>
        </w:rPr>
        <w:t xml:space="preserve">han the desired power of 0.80. </w:t>
      </w:r>
      <w:r>
        <w:rPr>
          <w:rFonts w:cs="Arial"/>
          <w:color w:val="000000"/>
        </w:rPr>
        <w:t>It is therefore important to emphasize that the result of no significant differences in Murray cod recruitment among zones sho</w:t>
      </w:r>
      <w:r w:rsidR="00B0639E">
        <w:rPr>
          <w:rFonts w:cs="Arial"/>
          <w:color w:val="000000"/>
        </w:rPr>
        <w:t>uld be cautiously interpreted.</w:t>
      </w:r>
    </w:p>
    <w:p w:rsidR="00D72F5D" w:rsidRDefault="00D72F5D" w:rsidP="00311640">
      <w:pPr>
        <w:pStyle w:val="ListParagraph"/>
        <w:ind w:left="0"/>
        <w:jc w:val="left"/>
        <w:rPr>
          <w:rFonts w:cs="Arial"/>
          <w:color w:val="000000"/>
        </w:rPr>
      </w:pPr>
      <w:r>
        <w:rPr>
          <w:rFonts w:cs="Arial"/>
          <w:color w:val="000000"/>
        </w:rPr>
        <w:t>In order to confidently test for significant differences in Murray cod recruitment among zones the power analysis suggested that 12 monitoring sites, instead of 4, would need t</w:t>
      </w:r>
      <w:r w:rsidR="00EE11BF">
        <w:rPr>
          <w:rFonts w:cs="Arial"/>
          <w:color w:val="000000"/>
        </w:rPr>
        <w:t xml:space="preserve">o be sampled within each zone. </w:t>
      </w:r>
      <w:r>
        <w:rPr>
          <w:rFonts w:cs="Arial"/>
          <w:color w:val="000000"/>
        </w:rPr>
        <w:t xml:space="preserve">Therefore, the recruitment indices of Murray cod (Table </w:t>
      </w:r>
      <w:r w:rsidR="005E0A51">
        <w:rPr>
          <w:rFonts w:cs="Arial"/>
          <w:color w:val="000000"/>
        </w:rPr>
        <w:t>11</w:t>
      </w:r>
      <w:r w:rsidR="00A764E1">
        <w:rPr>
          <w:rFonts w:cs="Arial"/>
          <w:color w:val="000000"/>
        </w:rPr>
        <w:t>.</w:t>
      </w:r>
      <w:r w:rsidR="00B0639E">
        <w:rPr>
          <w:rFonts w:cs="Arial"/>
          <w:color w:val="000000"/>
        </w:rPr>
        <w:t>3</w:t>
      </w:r>
      <w:r>
        <w:rPr>
          <w:rFonts w:cs="Arial"/>
          <w:color w:val="000000"/>
        </w:rPr>
        <w:t>) in the present year is reported for the entire Edward-Wakool system, by gear type, which will be useful in comparisons of long-term annual changes in fish recruitment in relation to environmental water delivery.</w:t>
      </w:r>
    </w:p>
    <w:p w:rsidR="00D72F5D" w:rsidRPr="00A764E1" w:rsidRDefault="005E0A51" w:rsidP="00432A86">
      <w:pPr>
        <w:pStyle w:val="ListParagraph"/>
        <w:spacing w:after="240"/>
        <w:ind w:left="0"/>
        <w:jc w:val="left"/>
        <w:rPr>
          <w:rFonts w:cs="Arial"/>
          <w:color w:val="4F6228" w:themeColor="accent3" w:themeShade="80"/>
          <w:sz w:val="24"/>
          <w:szCs w:val="24"/>
        </w:rPr>
      </w:pPr>
      <w:r>
        <w:rPr>
          <w:b/>
          <w:color w:val="4F6228" w:themeColor="accent3" w:themeShade="80"/>
          <w:sz w:val="24"/>
          <w:szCs w:val="24"/>
        </w:rPr>
        <w:t>11</w:t>
      </w:r>
      <w:r w:rsidR="00A764E1" w:rsidRPr="00A764E1">
        <w:rPr>
          <w:b/>
          <w:color w:val="4F6228" w:themeColor="accent3" w:themeShade="80"/>
          <w:sz w:val="24"/>
          <w:szCs w:val="24"/>
        </w:rPr>
        <w:t xml:space="preserve">.5 </w:t>
      </w:r>
      <w:r w:rsidR="00D72F5D" w:rsidRPr="00A764E1">
        <w:rPr>
          <w:b/>
          <w:color w:val="4F6228" w:themeColor="accent3" w:themeShade="80"/>
          <w:sz w:val="24"/>
          <w:szCs w:val="24"/>
        </w:rPr>
        <w:t>Discussion</w:t>
      </w:r>
      <w:r w:rsidR="00D72F5D" w:rsidRPr="00A764E1">
        <w:rPr>
          <w:color w:val="4F6228" w:themeColor="accent3" w:themeShade="80"/>
          <w:sz w:val="24"/>
          <w:szCs w:val="24"/>
        </w:rPr>
        <w:t xml:space="preserve"> </w:t>
      </w:r>
    </w:p>
    <w:p w:rsidR="00D72F5D" w:rsidRPr="0083569B" w:rsidRDefault="00D72F5D" w:rsidP="00311640">
      <w:pPr>
        <w:pStyle w:val="ListParagraph"/>
        <w:spacing w:after="240"/>
        <w:ind w:left="0"/>
        <w:jc w:val="left"/>
        <w:rPr>
          <w:rFonts w:cs="Arial"/>
        </w:rPr>
      </w:pPr>
      <w:r w:rsidRPr="00971C6E">
        <w:rPr>
          <w:rFonts w:cs="Arial"/>
          <w:color w:val="000000"/>
        </w:rPr>
        <w:t xml:space="preserve">The 2014-15 year represents the first year of new monitoring methods undertaken to evaluate long-term annual changes in </w:t>
      </w:r>
      <w:r w:rsidR="00B0639E">
        <w:rPr>
          <w:rFonts w:cs="Arial"/>
          <w:color w:val="000000"/>
        </w:rPr>
        <w:t xml:space="preserve">selected area </w:t>
      </w:r>
      <w:r w:rsidRPr="00971C6E">
        <w:rPr>
          <w:rFonts w:cs="Arial"/>
          <w:color w:val="000000"/>
        </w:rPr>
        <w:t>recruitment and growth of Murray cod, silver perch and golden perc</w:t>
      </w:r>
      <w:r w:rsidR="00B0639E">
        <w:rPr>
          <w:rFonts w:cs="Arial"/>
          <w:color w:val="000000"/>
        </w:rPr>
        <w:t xml:space="preserve">h in the Edward-Wakool system. </w:t>
      </w:r>
      <w:r>
        <w:rPr>
          <w:rFonts w:cs="Arial"/>
          <w:color w:val="000000"/>
        </w:rPr>
        <w:t>The new methods undertaken were effective in sampling a wide range of fish species and in developing the first year indices of recruitment and growth for Murray cod.</w:t>
      </w:r>
      <w:r w:rsidRPr="001A2F99">
        <w:rPr>
          <w:rFonts w:cs="Arial"/>
          <w:color w:val="000000"/>
        </w:rPr>
        <w:t xml:space="preserve"> </w:t>
      </w:r>
      <w:r>
        <w:rPr>
          <w:rFonts w:cs="Arial"/>
          <w:color w:val="000000"/>
        </w:rPr>
        <w:t>Thirteen</w:t>
      </w:r>
      <w:r w:rsidRPr="0083569B">
        <w:rPr>
          <w:rFonts w:cs="Arial"/>
          <w:color w:val="000000"/>
        </w:rPr>
        <w:t xml:space="preserve"> species of fish were sampled, including </w:t>
      </w:r>
      <w:r>
        <w:rPr>
          <w:rFonts w:cs="Arial"/>
          <w:color w:val="000000"/>
        </w:rPr>
        <w:t>silver perch at all zones and recruit-stage river blackfish that were also sampled at t</w:t>
      </w:r>
      <w:r w:rsidR="00B6438D">
        <w:rPr>
          <w:rFonts w:cs="Arial"/>
          <w:color w:val="000000"/>
        </w:rPr>
        <w:t>he same location (Wakool River z</w:t>
      </w:r>
      <w:r w:rsidR="009C000D">
        <w:rPr>
          <w:rFonts w:cs="Arial"/>
          <w:color w:val="000000"/>
        </w:rPr>
        <w:t>one 2</w:t>
      </w:r>
      <w:r>
        <w:rPr>
          <w:rFonts w:cs="Arial"/>
          <w:color w:val="000000"/>
        </w:rPr>
        <w:t xml:space="preserve">) </w:t>
      </w:r>
      <w:r w:rsidR="00294EA4">
        <w:rPr>
          <w:rFonts w:cs="Arial"/>
          <w:color w:val="000000"/>
        </w:rPr>
        <w:t>as the</w:t>
      </w:r>
      <w:r>
        <w:rPr>
          <w:rFonts w:cs="Arial"/>
          <w:color w:val="000000"/>
        </w:rPr>
        <w:t xml:space="preserve"> </w:t>
      </w:r>
      <w:r w:rsidR="00294EA4">
        <w:rPr>
          <w:rFonts w:cs="Arial"/>
          <w:color w:val="000000"/>
        </w:rPr>
        <w:t>2014-15</w:t>
      </w:r>
      <w:r>
        <w:rPr>
          <w:rFonts w:cs="Arial"/>
          <w:color w:val="000000"/>
        </w:rPr>
        <w:t xml:space="preserve"> larval fish </w:t>
      </w:r>
      <w:r w:rsidRPr="00294EA4">
        <w:rPr>
          <w:rFonts w:cs="Arial"/>
          <w:color w:val="000000"/>
        </w:rPr>
        <w:t>monitoring</w:t>
      </w:r>
      <w:r w:rsidR="00B0639E" w:rsidRPr="00294EA4">
        <w:rPr>
          <w:rFonts w:cs="Arial"/>
          <w:color w:val="000000"/>
        </w:rPr>
        <w:t xml:space="preserve"> (</w:t>
      </w:r>
      <w:r w:rsidR="00294EA4" w:rsidRPr="00294EA4">
        <w:rPr>
          <w:rFonts w:cs="Arial"/>
          <w:color w:val="000000"/>
        </w:rPr>
        <w:t>section 10</w:t>
      </w:r>
      <w:r w:rsidR="00B0639E" w:rsidRPr="00294EA4">
        <w:rPr>
          <w:rFonts w:cs="Arial"/>
          <w:color w:val="000000"/>
        </w:rPr>
        <w:t>)</w:t>
      </w:r>
      <w:r w:rsidRPr="00294EA4">
        <w:rPr>
          <w:rFonts w:cs="Arial"/>
          <w:color w:val="000000"/>
        </w:rPr>
        <w:t>.</w:t>
      </w:r>
    </w:p>
    <w:p w:rsidR="00D72F5D" w:rsidRPr="002F2C1E" w:rsidRDefault="00D72F5D" w:rsidP="00DD409C">
      <w:pPr>
        <w:pStyle w:val="ListParagraph"/>
        <w:spacing w:after="240"/>
        <w:ind w:left="0"/>
        <w:jc w:val="left"/>
        <w:rPr>
          <w:rFonts w:cs="Arial"/>
          <w:color w:val="000000"/>
        </w:rPr>
      </w:pPr>
      <w:r>
        <w:rPr>
          <w:rFonts w:cs="Arial"/>
          <w:color w:val="000000"/>
        </w:rPr>
        <w:t>T</w:t>
      </w:r>
      <w:r w:rsidRPr="009B380F">
        <w:rPr>
          <w:rFonts w:cs="Arial"/>
          <w:color w:val="000000"/>
        </w:rPr>
        <w:t>he recruitment index for</w:t>
      </w:r>
      <w:r>
        <w:rPr>
          <w:rFonts w:cs="Arial"/>
          <w:color w:val="000000"/>
        </w:rPr>
        <w:t xml:space="preserve"> 1+</w:t>
      </w:r>
      <w:r w:rsidRPr="009B380F">
        <w:rPr>
          <w:rFonts w:cs="Arial"/>
          <w:color w:val="000000"/>
        </w:rPr>
        <w:t xml:space="preserve"> Murray cod ac</w:t>
      </w:r>
      <w:r>
        <w:rPr>
          <w:rFonts w:cs="Arial"/>
          <w:color w:val="000000"/>
        </w:rPr>
        <w:t>ross zones of the Edward-Wakool system represents a</w:t>
      </w:r>
      <w:r w:rsidRPr="009B380F">
        <w:rPr>
          <w:rFonts w:cs="Arial"/>
          <w:color w:val="000000"/>
        </w:rPr>
        <w:t xml:space="preserve"> robust </w:t>
      </w:r>
      <w:r>
        <w:rPr>
          <w:rFonts w:cs="Arial"/>
          <w:color w:val="000000"/>
        </w:rPr>
        <w:t>indicator that</w:t>
      </w:r>
      <w:r w:rsidRPr="009B380F">
        <w:rPr>
          <w:rFonts w:cs="Arial"/>
          <w:color w:val="000000"/>
        </w:rPr>
        <w:t xml:space="preserve"> will be useful in future years </w:t>
      </w:r>
      <w:r>
        <w:rPr>
          <w:rFonts w:cs="Arial"/>
          <w:color w:val="000000"/>
        </w:rPr>
        <w:t>to</w:t>
      </w:r>
      <w:r w:rsidRPr="009B380F">
        <w:rPr>
          <w:rFonts w:cs="Arial"/>
          <w:color w:val="000000"/>
        </w:rPr>
        <w:t xml:space="preserve"> evaluat</w:t>
      </w:r>
      <w:r>
        <w:rPr>
          <w:rFonts w:cs="Arial"/>
          <w:color w:val="000000"/>
        </w:rPr>
        <w:t>e</w:t>
      </w:r>
      <w:r w:rsidRPr="009B380F">
        <w:rPr>
          <w:rFonts w:cs="Arial"/>
          <w:color w:val="000000"/>
        </w:rPr>
        <w:t xml:space="preserve"> long-term annual changes in relation to</w:t>
      </w:r>
      <w:r>
        <w:rPr>
          <w:rFonts w:cs="Arial"/>
          <w:color w:val="000000"/>
        </w:rPr>
        <w:t xml:space="preserve"> flow variability and</w:t>
      </w:r>
      <w:r w:rsidRPr="009B380F">
        <w:rPr>
          <w:rFonts w:cs="Arial"/>
          <w:color w:val="000000"/>
        </w:rPr>
        <w:t xml:space="preserve"> Commonwealth environmental water</w:t>
      </w:r>
      <w:r>
        <w:rPr>
          <w:rFonts w:cs="Arial"/>
          <w:color w:val="000000"/>
        </w:rPr>
        <w:t xml:space="preserve"> delivery</w:t>
      </w:r>
      <w:r w:rsidRPr="009B380F">
        <w:rPr>
          <w:rFonts w:cs="Arial"/>
          <w:color w:val="000000"/>
        </w:rPr>
        <w:t>.</w:t>
      </w:r>
      <w:r>
        <w:rPr>
          <w:rFonts w:cs="Arial"/>
          <w:color w:val="000000"/>
        </w:rPr>
        <w:t xml:space="preserve"> The extremely low numbers of silver perch and golden perch recruits may be interpreted as: 1) low detection of the sampling gear, or 2) low recruitment. </w:t>
      </w:r>
      <w:r>
        <w:rPr>
          <w:rFonts w:cs="Arial"/>
        </w:rPr>
        <w:t xml:space="preserve">High annual variability in silver perch and golden perch recruitment is expected based on knowledge of the species’ reproductive biology and early life history (Mallen-Cooper and Stewart 2003). Therefore, years of low or no recruitment may </w:t>
      </w:r>
      <w:r w:rsidR="00B0639E">
        <w:rPr>
          <w:rFonts w:cs="Arial"/>
        </w:rPr>
        <w:t xml:space="preserve">be expected for these species. </w:t>
      </w:r>
      <w:r w:rsidRPr="00472FB9">
        <w:rPr>
          <w:rFonts w:cs="Arial"/>
          <w:color w:val="000000"/>
        </w:rPr>
        <w:t xml:space="preserve">Given that recreational anglers have previously reported catching large numbers of </w:t>
      </w:r>
      <w:r>
        <w:rPr>
          <w:rFonts w:cs="Arial"/>
          <w:color w:val="000000"/>
        </w:rPr>
        <w:t xml:space="preserve">young </w:t>
      </w:r>
      <w:r w:rsidR="00B0639E">
        <w:rPr>
          <w:rFonts w:cs="Arial"/>
          <w:color w:val="000000"/>
        </w:rPr>
        <w:t>silver perch and golden perch</w:t>
      </w:r>
      <w:r w:rsidRPr="00472FB9">
        <w:rPr>
          <w:rFonts w:cs="Arial"/>
          <w:color w:val="000000"/>
        </w:rPr>
        <w:t xml:space="preserve"> using similar gear to the monitoring methods used here, the low </w:t>
      </w:r>
      <w:r>
        <w:rPr>
          <w:rFonts w:cs="Arial"/>
          <w:color w:val="000000"/>
        </w:rPr>
        <w:t>number</w:t>
      </w:r>
      <w:r w:rsidRPr="00472FB9">
        <w:rPr>
          <w:rFonts w:cs="Arial"/>
          <w:color w:val="000000"/>
        </w:rPr>
        <w:t xml:space="preserve"> of recruits of these species </w:t>
      </w:r>
      <w:r>
        <w:rPr>
          <w:rFonts w:cs="Arial"/>
          <w:color w:val="000000"/>
        </w:rPr>
        <w:t xml:space="preserve">sampled </w:t>
      </w:r>
      <w:r w:rsidRPr="00472FB9">
        <w:rPr>
          <w:rFonts w:cs="Arial"/>
          <w:color w:val="000000"/>
        </w:rPr>
        <w:t xml:space="preserve">was interpreted </w:t>
      </w:r>
      <w:r>
        <w:rPr>
          <w:rFonts w:cs="Arial"/>
          <w:color w:val="000000"/>
        </w:rPr>
        <w:t>as low, or zero,</w:t>
      </w:r>
      <w:r w:rsidRPr="00472FB9">
        <w:rPr>
          <w:rFonts w:cs="Arial"/>
          <w:color w:val="000000"/>
        </w:rPr>
        <w:t xml:space="preserve"> recruitment rather than a det</w:t>
      </w:r>
      <w:r w:rsidR="00B0639E">
        <w:rPr>
          <w:rFonts w:cs="Arial"/>
          <w:color w:val="000000"/>
        </w:rPr>
        <w:t>ection failure. Although Commonwealth environmental water delivery in 2014-15 was not designed to promote spawning or recruitment of golden perch or silver perch, t</w:t>
      </w:r>
      <w:r w:rsidRPr="00472FB9">
        <w:rPr>
          <w:rFonts w:cs="Arial"/>
          <w:color w:val="000000"/>
        </w:rPr>
        <w:t xml:space="preserve">he </w:t>
      </w:r>
      <w:r>
        <w:rPr>
          <w:rFonts w:cs="Arial"/>
          <w:color w:val="000000"/>
        </w:rPr>
        <w:t xml:space="preserve">consistent </w:t>
      </w:r>
      <w:r w:rsidRPr="00472FB9">
        <w:rPr>
          <w:rFonts w:cs="Arial"/>
          <w:color w:val="000000"/>
        </w:rPr>
        <w:t>presence of adult silver perch</w:t>
      </w:r>
      <w:r>
        <w:rPr>
          <w:rFonts w:cs="Arial"/>
          <w:color w:val="000000"/>
        </w:rPr>
        <w:t xml:space="preserve"> among all zones</w:t>
      </w:r>
      <w:r w:rsidRPr="00472FB9">
        <w:rPr>
          <w:rFonts w:cs="Arial"/>
          <w:color w:val="000000"/>
        </w:rPr>
        <w:t xml:space="preserve"> and golden perch</w:t>
      </w:r>
      <w:r>
        <w:rPr>
          <w:rFonts w:cs="Arial"/>
          <w:color w:val="000000"/>
        </w:rPr>
        <w:t xml:space="preserve"> samp</w:t>
      </w:r>
      <w:r w:rsidR="00FD42BE">
        <w:rPr>
          <w:rFonts w:cs="Arial"/>
          <w:color w:val="000000"/>
        </w:rPr>
        <w:t>led here and in the boat electro</w:t>
      </w:r>
      <w:r>
        <w:rPr>
          <w:rFonts w:cs="Arial"/>
          <w:color w:val="000000"/>
        </w:rPr>
        <w:t>fishing fish community sampling</w:t>
      </w:r>
      <w:r w:rsidRPr="00472FB9">
        <w:rPr>
          <w:rFonts w:cs="Arial"/>
          <w:color w:val="000000"/>
        </w:rPr>
        <w:t xml:space="preserve"> </w:t>
      </w:r>
      <w:r w:rsidR="00B0639E" w:rsidRPr="00294EA4">
        <w:rPr>
          <w:rFonts w:cs="Arial"/>
          <w:color w:val="000000"/>
        </w:rPr>
        <w:t>(</w:t>
      </w:r>
      <w:r w:rsidR="00294EA4" w:rsidRPr="00294EA4">
        <w:rPr>
          <w:rFonts w:cs="Arial"/>
          <w:color w:val="000000"/>
        </w:rPr>
        <w:t>section 9</w:t>
      </w:r>
      <w:r w:rsidR="00B0639E" w:rsidRPr="00294EA4">
        <w:rPr>
          <w:rFonts w:cs="Arial"/>
          <w:color w:val="000000"/>
        </w:rPr>
        <w:t>)</w:t>
      </w:r>
      <w:r w:rsidR="00B0639E">
        <w:rPr>
          <w:rFonts w:cs="Arial"/>
          <w:color w:val="000000"/>
        </w:rPr>
        <w:t xml:space="preserve"> </w:t>
      </w:r>
      <w:r w:rsidRPr="00472FB9">
        <w:rPr>
          <w:rFonts w:cs="Arial"/>
          <w:color w:val="000000"/>
        </w:rPr>
        <w:t>suggest</w:t>
      </w:r>
      <w:r>
        <w:rPr>
          <w:rFonts w:cs="Arial"/>
          <w:color w:val="000000"/>
        </w:rPr>
        <w:t>ed</w:t>
      </w:r>
      <w:r w:rsidRPr="00472FB9">
        <w:rPr>
          <w:rFonts w:cs="Arial"/>
          <w:color w:val="000000"/>
        </w:rPr>
        <w:t xml:space="preserve"> that recruitment </w:t>
      </w:r>
      <w:r>
        <w:rPr>
          <w:rFonts w:cs="Arial"/>
          <w:color w:val="000000"/>
        </w:rPr>
        <w:t xml:space="preserve">of these species </w:t>
      </w:r>
      <w:r w:rsidRPr="00472FB9">
        <w:rPr>
          <w:rFonts w:cs="Arial"/>
          <w:color w:val="000000"/>
        </w:rPr>
        <w:t>may have been possible but that it was low, or did not occur in the</w:t>
      </w:r>
      <w:r>
        <w:rPr>
          <w:rFonts w:cs="Arial"/>
          <w:color w:val="000000"/>
        </w:rPr>
        <w:t xml:space="preserve"> </w:t>
      </w:r>
      <w:r w:rsidRPr="00472FB9">
        <w:rPr>
          <w:rFonts w:cs="Arial"/>
          <w:color w:val="000000"/>
        </w:rPr>
        <w:t>2013-14 or 2014-15</w:t>
      </w:r>
      <w:r w:rsidR="00B0639E">
        <w:rPr>
          <w:rFonts w:cs="Arial"/>
          <w:color w:val="000000"/>
        </w:rPr>
        <w:t>.</w:t>
      </w:r>
    </w:p>
    <w:p w:rsidR="00D72F5D" w:rsidRPr="00806750" w:rsidRDefault="00D72F5D" w:rsidP="00311640">
      <w:pPr>
        <w:pStyle w:val="ListParagraph"/>
        <w:spacing w:after="240"/>
        <w:ind w:left="0"/>
        <w:jc w:val="left"/>
        <w:rPr>
          <w:rFonts w:cs="Arial"/>
        </w:rPr>
      </w:pPr>
      <w:r w:rsidRPr="00472FB9">
        <w:rPr>
          <w:rFonts w:cs="Arial"/>
          <w:color w:val="000000"/>
        </w:rPr>
        <w:t>Recruitment of Murra</w:t>
      </w:r>
      <w:r>
        <w:rPr>
          <w:rFonts w:cs="Arial"/>
          <w:color w:val="000000"/>
        </w:rPr>
        <w:t xml:space="preserve">y cod, including YOY and 1+ </w:t>
      </w:r>
      <w:r w:rsidRPr="00472FB9">
        <w:rPr>
          <w:rFonts w:cs="Arial"/>
          <w:color w:val="000000"/>
        </w:rPr>
        <w:t xml:space="preserve">fish, occurred </w:t>
      </w:r>
      <w:r w:rsidR="00B0639E">
        <w:rPr>
          <w:rFonts w:cs="Arial"/>
          <w:color w:val="000000"/>
        </w:rPr>
        <w:t xml:space="preserve">consistently among all zones. </w:t>
      </w:r>
      <w:r>
        <w:rPr>
          <w:rFonts w:cs="Arial"/>
          <w:color w:val="000000"/>
        </w:rPr>
        <w:t xml:space="preserve">This result </w:t>
      </w:r>
      <w:r w:rsidR="009C000D">
        <w:rPr>
          <w:rFonts w:cs="Arial"/>
          <w:color w:val="000000"/>
        </w:rPr>
        <w:t>is comparable</w:t>
      </w:r>
      <w:r>
        <w:rPr>
          <w:rFonts w:cs="Arial"/>
          <w:color w:val="000000"/>
        </w:rPr>
        <w:t xml:space="preserve"> </w:t>
      </w:r>
      <w:r w:rsidR="009C000D">
        <w:rPr>
          <w:rFonts w:cs="Arial"/>
          <w:color w:val="000000"/>
        </w:rPr>
        <w:t xml:space="preserve">to </w:t>
      </w:r>
      <w:r>
        <w:rPr>
          <w:rFonts w:cs="Arial"/>
          <w:color w:val="000000"/>
        </w:rPr>
        <w:t xml:space="preserve">the presence of Murray cod larvae sampled among all </w:t>
      </w:r>
      <w:r w:rsidRPr="00294EA4">
        <w:rPr>
          <w:rFonts w:cs="Arial"/>
          <w:color w:val="000000"/>
        </w:rPr>
        <w:t xml:space="preserve">zones </w:t>
      </w:r>
      <w:r w:rsidR="00B0639E" w:rsidRPr="00294EA4">
        <w:rPr>
          <w:rFonts w:cs="Arial"/>
          <w:color w:val="000000"/>
        </w:rPr>
        <w:t>(</w:t>
      </w:r>
      <w:r w:rsidR="00294EA4" w:rsidRPr="00294EA4">
        <w:rPr>
          <w:rFonts w:cs="Arial"/>
          <w:color w:val="000000"/>
        </w:rPr>
        <w:t>section 10</w:t>
      </w:r>
      <w:r w:rsidR="00B0639E" w:rsidRPr="00294EA4">
        <w:rPr>
          <w:rFonts w:cs="Arial"/>
          <w:color w:val="000000"/>
        </w:rPr>
        <w:t>)</w:t>
      </w:r>
      <w:r w:rsidR="00B0639E">
        <w:rPr>
          <w:rFonts w:cs="Arial"/>
          <w:color w:val="000000"/>
        </w:rPr>
        <w:t xml:space="preserve"> </w:t>
      </w:r>
      <w:r>
        <w:rPr>
          <w:rFonts w:cs="Arial"/>
          <w:color w:val="000000"/>
        </w:rPr>
        <w:t xml:space="preserve">and knowledge of the species reproductive biology and early life-history (Humphries et al. 1999; King et al. 2013). However, a power analysis </w:t>
      </w:r>
      <w:r w:rsidRPr="009B380F">
        <w:rPr>
          <w:rFonts w:cs="Arial"/>
          <w:color w:val="000000"/>
        </w:rPr>
        <w:t>suggested that additional sampling effort, increasing from 4 to 12 sites per zone</w:t>
      </w:r>
      <w:r>
        <w:rPr>
          <w:rFonts w:cs="Arial"/>
          <w:color w:val="000000"/>
        </w:rPr>
        <w:t>, or visiting 4 sites on 3 occasions</w:t>
      </w:r>
      <w:r w:rsidRPr="009B380F">
        <w:rPr>
          <w:rFonts w:cs="Arial"/>
          <w:color w:val="000000"/>
        </w:rPr>
        <w:t xml:space="preserve"> </w:t>
      </w:r>
      <w:r>
        <w:rPr>
          <w:rFonts w:cs="Arial"/>
          <w:color w:val="000000"/>
        </w:rPr>
        <w:t>are</w:t>
      </w:r>
      <w:r w:rsidRPr="009B380F">
        <w:rPr>
          <w:rFonts w:cs="Arial"/>
          <w:color w:val="000000"/>
        </w:rPr>
        <w:t xml:space="preserve"> required </w:t>
      </w:r>
      <w:r>
        <w:rPr>
          <w:rFonts w:cs="Arial"/>
          <w:color w:val="000000"/>
        </w:rPr>
        <w:t xml:space="preserve">in order </w:t>
      </w:r>
      <w:r w:rsidRPr="009B380F">
        <w:rPr>
          <w:rFonts w:cs="Arial"/>
          <w:color w:val="000000"/>
        </w:rPr>
        <w:t>to confidently test for zone-specific changes in fish recruitment</w:t>
      </w:r>
      <w:r w:rsidR="00A764E1">
        <w:rPr>
          <w:rFonts w:cs="Arial"/>
          <w:color w:val="000000"/>
        </w:rPr>
        <w:t xml:space="preserve">. </w:t>
      </w:r>
      <w:r>
        <w:rPr>
          <w:rFonts w:cs="Arial"/>
          <w:color w:val="000000"/>
        </w:rPr>
        <w:t xml:space="preserve">Therefore, if comparing zone-specific responses in fish recruitment to environmental water delivery is a priority, it is recommended that 8 additional sites in each zone will be need to be monitored in future years. </w:t>
      </w:r>
    </w:p>
    <w:p w:rsidR="00D72F5D" w:rsidRPr="002F2C1E" w:rsidRDefault="00D72F5D" w:rsidP="00311640">
      <w:pPr>
        <w:pStyle w:val="ListParagraph"/>
        <w:spacing w:after="240"/>
        <w:ind w:left="0"/>
        <w:jc w:val="left"/>
        <w:rPr>
          <w:rFonts w:cs="Arial"/>
          <w:color w:val="000000"/>
        </w:rPr>
      </w:pPr>
      <w:r>
        <w:rPr>
          <w:rFonts w:cs="Arial"/>
          <w:color w:val="000000"/>
        </w:rPr>
        <w:t xml:space="preserve">A </w:t>
      </w:r>
      <w:r w:rsidRPr="006C065C">
        <w:rPr>
          <w:rFonts w:cs="Arial"/>
          <w:color w:val="000000"/>
        </w:rPr>
        <w:t xml:space="preserve">high degree of </w:t>
      </w:r>
      <w:r>
        <w:rPr>
          <w:rFonts w:cs="Arial"/>
          <w:color w:val="000000"/>
        </w:rPr>
        <w:t xml:space="preserve">zone-specific </w:t>
      </w:r>
      <w:r w:rsidRPr="006C065C">
        <w:rPr>
          <w:rFonts w:cs="Arial"/>
          <w:color w:val="000000"/>
        </w:rPr>
        <w:t>variation in length-at-age of 1+ Murray cod recruits suggest</w:t>
      </w:r>
      <w:r>
        <w:rPr>
          <w:rFonts w:cs="Arial"/>
          <w:color w:val="000000"/>
        </w:rPr>
        <w:t>ed</w:t>
      </w:r>
      <w:r w:rsidRPr="006C065C">
        <w:rPr>
          <w:rFonts w:cs="Arial"/>
          <w:color w:val="000000"/>
        </w:rPr>
        <w:t xml:space="preserve"> that growth of this species may be a useful indicator to evaluate ecological responses to environmental flows </w:t>
      </w:r>
      <w:r>
        <w:rPr>
          <w:rFonts w:cs="Arial"/>
          <w:color w:val="000000"/>
        </w:rPr>
        <w:t>within the Edward-Wakool system</w:t>
      </w:r>
      <w:r w:rsidRPr="006C065C">
        <w:rPr>
          <w:rFonts w:cs="Arial"/>
          <w:color w:val="000000"/>
        </w:rPr>
        <w:t>.</w:t>
      </w:r>
      <w:r>
        <w:rPr>
          <w:rFonts w:cs="Arial"/>
          <w:color w:val="000000"/>
        </w:rPr>
        <w:t xml:space="preserve"> Other small-bodied species exhibit flow-growth responses (Tonkin et al. 2011), although these relationships have not been evaluated in large-bodied native specie</w:t>
      </w:r>
      <w:r w:rsidR="00B0639E">
        <w:rPr>
          <w:rFonts w:cs="Arial"/>
          <w:color w:val="000000"/>
        </w:rPr>
        <w:t xml:space="preserve">s of the Murray-Darling Basin. </w:t>
      </w:r>
      <w:r w:rsidRPr="00E22D9B">
        <w:rPr>
          <w:rFonts w:cs="Arial"/>
          <w:color w:val="000000"/>
        </w:rPr>
        <w:t xml:space="preserve">Monitoring </w:t>
      </w:r>
      <w:r>
        <w:rPr>
          <w:rFonts w:cs="Arial"/>
          <w:color w:val="000000"/>
        </w:rPr>
        <w:t xml:space="preserve">in 2014-15 </w:t>
      </w:r>
      <w:r w:rsidRPr="00E22D9B">
        <w:rPr>
          <w:rFonts w:cs="Arial"/>
          <w:color w:val="000000"/>
        </w:rPr>
        <w:t xml:space="preserve">suggested low, or no, recruitment of silver perch and golden perch and therefore growth indices </w:t>
      </w:r>
      <w:r>
        <w:rPr>
          <w:rFonts w:cs="Arial"/>
          <w:color w:val="000000"/>
        </w:rPr>
        <w:t>were</w:t>
      </w:r>
      <w:r w:rsidRPr="00E22D9B">
        <w:rPr>
          <w:rFonts w:cs="Arial"/>
          <w:color w:val="000000"/>
        </w:rPr>
        <w:t xml:space="preserve"> not developed for these two species in this sampling year.</w:t>
      </w:r>
    </w:p>
    <w:p w:rsidR="00B0639E" w:rsidRDefault="00D72F5D" w:rsidP="00311640">
      <w:pPr>
        <w:pStyle w:val="ListParagraph"/>
        <w:spacing w:after="240"/>
        <w:ind w:left="0"/>
        <w:jc w:val="left"/>
        <w:rPr>
          <w:rFonts w:cs="Arial"/>
          <w:color w:val="000000"/>
        </w:rPr>
      </w:pPr>
      <w:r>
        <w:rPr>
          <w:rFonts w:cs="Arial"/>
          <w:color w:val="000000"/>
        </w:rPr>
        <w:t xml:space="preserve">The large </w:t>
      </w:r>
      <w:r w:rsidRPr="006C065C">
        <w:rPr>
          <w:rFonts w:cs="Arial"/>
          <w:color w:val="000000"/>
        </w:rPr>
        <w:t xml:space="preserve">zone-specific differences in length of 1+ Murray cod recruits did not correspond to </w:t>
      </w:r>
      <w:r>
        <w:rPr>
          <w:rFonts w:cs="Arial"/>
          <w:color w:val="000000"/>
        </w:rPr>
        <w:t xml:space="preserve">the </w:t>
      </w:r>
      <w:r w:rsidR="00B0639E">
        <w:rPr>
          <w:rFonts w:cs="Arial"/>
          <w:color w:val="000000"/>
        </w:rPr>
        <w:t xml:space="preserve">hydrological </w:t>
      </w:r>
      <w:r w:rsidRPr="006C065C">
        <w:rPr>
          <w:rFonts w:cs="Arial"/>
          <w:color w:val="000000"/>
        </w:rPr>
        <w:t xml:space="preserve">zones of Commonwealth environmental water delivery. </w:t>
      </w:r>
      <w:r w:rsidR="00694820">
        <w:rPr>
          <w:rFonts w:cs="Arial"/>
          <w:color w:val="000000"/>
        </w:rPr>
        <w:t>The</w:t>
      </w:r>
      <w:r>
        <w:rPr>
          <w:rFonts w:cs="Arial"/>
          <w:color w:val="000000"/>
        </w:rPr>
        <w:t xml:space="preserve"> result</w:t>
      </w:r>
      <w:r w:rsidR="00694820">
        <w:rPr>
          <w:rFonts w:cs="Arial"/>
          <w:color w:val="000000"/>
        </w:rPr>
        <w:t>s suggest</w:t>
      </w:r>
      <w:r>
        <w:rPr>
          <w:rFonts w:cs="Arial"/>
          <w:color w:val="000000"/>
        </w:rPr>
        <w:t xml:space="preserve"> that growth of 1+ Murray cod recruits may have been affected by other ecological factors, such as food, competition or ha</w:t>
      </w:r>
      <w:r w:rsidR="00B0639E">
        <w:rPr>
          <w:rFonts w:cs="Arial"/>
          <w:color w:val="000000"/>
        </w:rPr>
        <w:t xml:space="preserve">bitat </w:t>
      </w:r>
      <w:r w:rsidR="00D652D8">
        <w:rPr>
          <w:rFonts w:cs="Arial"/>
          <w:color w:val="000000"/>
        </w:rPr>
        <w:t>availability that</w:t>
      </w:r>
      <w:r w:rsidR="00B0639E">
        <w:rPr>
          <w:rFonts w:cs="Arial"/>
          <w:color w:val="000000"/>
        </w:rPr>
        <w:t xml:space="preserve"> were not </w:t>
      </w:r>
      <w:r w:rsidR="00D652D8">
        <w:rPr>
          <w:rFonts w:cs="Arial"/>
          <w:color w:val="000000"/>
        </w:rPr>
        <w:t>assessed as part of the LTIM Project</w:t>
      </w:r>
      <w:r w:rsidR="00694820">
        <w:rPr>
          <w:rFonts w:cs="Arial"/>
          <w:color w:val="000000"/>
        </w:rPr>
        <w:t>. It is possible that small-scale variability in environmental conditions (e.g. differences among reaches within a zone) are influencing growth. It is not known to what extent these factors</w:t>
      </w:r>
      <w:r w:rsidR="00D652D8">
        <w:rPr>
          <w:rFonts w:cs="Arial"/>
          <w:color w:val="000000"/>
        </w:rPr>
        <w:t xml:space="preserve"> </w:t>
      </w:r>
      <w:r w:rsidR="00694820">
        <w:rPr>
          <w:rFonts w:cs="Arial"/>
          <w:color w:val="000000"/>
        </w:rPr>
        <w:t>were</w:t>
      </w:r>
      <w:r w:rsidR="00D652D8">
        <w:rPr>
          <w:rFonts w:cs="Arial"/>
          <w:color w:val="000000"/>
        </w:rPr>
        <w:t xml:space="preserve"> </w:t>
      </w:r>
      <w:r>
        <w:rPr>
          <w:rFonts w:cs="Arial"/>
          <w:color w:val="000000"/>
        </w:rPr>
        <w:t xml:space="preserve">influenced by the timing or magnitude of Commonwealth environmental water delivered to the </w:t>
      </w:r>
      <w:r w:rsidR="00263DC4">
        <w:rPr>
          <w:rFonts w:cs="Arial"/>
          <w:color w:val="000000"/>
        </w:rPr>
        <w:t>Yallakool Creek</w:t>
      </w:r>
      <w:r>
        <w:rPr>
          <w:rFonts w:cs="Arial"/>
          <w:color w:val="000000"/>
        </w:rPr>
        <w:t>-Wakool</w:t>
      </w:r>
      <w:r w:rsidR="00263DC4">
        <w:rPr>
          <w:rFonts w:cs="Arial"/>
          <w:color w:val="000000"/>
        </w:rPr>
        <w:t xml:space="preserve"> River</w:t>
      </w:r>
      <w:r w:rsidR="00D652D8">
        <w:rPr>
          <w:rFonts w:cs="Arial"/>
          <w:color w:val="000000"/>
        </w:rPr>
        <w:t xml:space="preserve"> system in </w:t>
      </w:r>
      <w:r w:rsidR="005913E8">
        <w:rPr>
          <w:rFonts w:cs="Arial"/>
          <w:color w:val="000000"/>
        </w:rPr>
        <w:t>2014</w:t>
      </w:r>
      <w:r>
        <w:rPr>
          <w:rFonts w:cs="Arial"/>
          <w:color w:val="000000"/>
        </w:rPr>
        <w:t>-15</w:t>
      </w:r>
      <w:r w:rsidR="00694820">
        <w:rPr>
          <w:rFonts w:cs="Arial"/>
          <w:color w:val="000000"/>
        </w:rPr>
        <w:t>, and these factors could be examined by studies that are complementary to the LTIM project.</w:t>
      </w:r>
      <w:r w:rsidR="00D652D8">
        <w:rPr>
          <w:rFonts w:cs="Arial"/>
          <w:color w:val="000000"/>
        </w:rPr>
        <w:t xml:space="preserve"> </w:t>
      </w:r>
    </w:p>
    <w:p w:rsidR="00D72F5D" w:rsidRPr="009B380F" w:rsidRDefault="00D72F5D" w:rsidP="00432A86">
      <w:pPr>
        <w:pStyle w:val="ListParagraph"/>
        <w:spacing w:after="240"/>
        <w:ind w:left="0"/>
        <w:jc w:val="left"/>
        <w:rPr>
          <w:rFonts w:cs="Arial"/>
          <w:i/>
          <w:color w:val="000000"/>
        </w:rPr>
      </w:pPr>
      <w:r w:rsidRPr="009B380F">
        <w:rPr>
          <w:rFonts w:cs="Arial"/>
          <w:i/>
          <w:color w:val="000000"/>
        </w:rPr>
        <w:t>Conclusion</w:t>
      </w:r>
    </w:p>
    <w:p w:rsidR="007A65FD" w:rsidRDefault="00D72F5D" w:rsidP="00311640">
      <w:pPr>
        <w:pStyle w:val="ListParagraph"/>
        <w:spacing w:after="0"/>
        <w:ind w:left="0"/>
        <w:jc w:val="left"/>
        <w:rPr>
          <w:rFonts w:cs="Arial"/>
          <w:color w:val="000000"/>
        </w:rPr>
      </w:pPr>
      <w:r>
        <w:rPr>
          <w:rFonts w:cs="Arial"/>
          <w:color w:val="000000"/>
        </w:rPr>
        <w:t xml:space="preserve">The results from </w:t>
      </w:r>
      <w:r w:rsidR="00B0639E">
        <w:rPr>
          <w:rFonts w:cs="Arial"/>
          <w:color w:val="000000"/>
        </w:rPr>
        <w:t>2014-15</w:t>
      </w:r>
      <w:r>
        <w:rPr>
          <w:rFonts w:cs="Arial"/>
          <w:color w:val="000000"/>
        </w:rPr>
        <w:t xml:space="preserve"> fish recruitment monitoring suggested that: </w:t>
      </w:r>
    </w:p>
    <w:p w:rsidR="007A65FD" w:rsidRDefault="00D72F5D" w:rsidP="00311640">
      <w:pPr>
        <w:pStyle w:val="ListParagraph"/>
        <w:spacing w:after="0"/>
        <w:ind w:left="0"/>
        <w:jc w:val="left"/>
        <w:rPr>
          <w:rFonts w:cs="Arial"/>
          <w:color w:val="000000"/>
        </w:rPr>
      </w:pPr>
      <w:r>
        <w:rPr>
          <w:rFonts w:cs="Arial"/>
          <w:color w:val="000000"/>
        </w:rPr>
        <w:t xml:space="preserve">1) </w:t>
      </w:r>
      <w:proofErr w:type="gramStart"/>
      <w:r>
        <w:rPr>
          <w:rFonts w:cs="Arial"/>
          <w:color w:val="000000"/>
        </w:rPr>
        <w:t>the</w:t>
      </w:r>
      <w:proofErr w:type="gramEnd"/>
      <w:r>
        <w:rPr>
          <w:rFonts w:cs="Arial"/>
          <w:color w:val="000000"/>
        </w:rPr>
        <w:t xml:space="preserve"> new monitoring methods undertaken </w:t>
      </w:r>
      <w:r w:rsidR="00B0639E">
        <w:rPr>
          <w:rFonts w:cs="Arial"/>
          <w:color w:val="000000"/>
        </w:rPr>
        <w:t xml:space="preserve">to assess recruitment </w:t>
      </w:r>
      <w:r>
        <w:rPr>
          <w:rFonts w:cs="Arial"/>
          <w:color w:val="000000"/>
        </w:rPr>
        <w:t>are likely to be useful indic</w:t>
      </w:r>
      <w:r w:rsidR="00694820">
        <w:rPr>
          <w:rFonts w:cs="Arial"/>
          <w:color w:val="000000"/>
        </w:rPr>
        <w:t>a</w:t>
      </w:r>
      <w:r>
        <w:rPr>
          <w:rFonts w:cs="Arial"/>
          <w:color w:val="000000"/>
        </w:rPr>
        <w:t xml:space="preserve">tors in evaluating long-term annual changes in fish recruitment and growth in response to Commonwealth environmental water delivery </w:t>
      </w:r>
      <w:r w:rsidR="00694820">
        <w:rPr>
          <w:rFonts w:cs="Arial"/>
          <w:color w:val="000000"/>
        </w:rPr>
        <w:t>because the zone-specific differences in growth suggest that rates of immigration and emigration of Murray cod recruits were low among the zones sampled</w:t>
      </w:r>
      <w:r w:rsidR="00694820" w:rsidRPr="00CF21A4">
        <w:rPr>
          <w:rFonts w:cs="Arial"/>
          <w:color w:val="000000"/>
        </w:rPr>
        <w:t xml:space="preserve"> </w:t>
      </w:r>
      <w:r w:rsidR="00694820">
        <w:rPr>
          <w:rFonts w:cs="Arial"/>
          <w:color w:val="000000"/>
        </w:rPr>
        <w:t>in 2014-15.</w:t>
      </w:r>
      <w:r>
        <w:rPr>
          <w:rFonts w:cs="Arial"/>
          <w:color w:val="000000"/>
        </w:rPr>
        <w:t xml:space="preserve"> </w:t>
      </w:r>
    </w:p>
    <w:p w:rsidR="00D72F5D" w:rsidRPr="00D03809" w:rsidRDefault="00B0639E" w:rsidP="00432A86">
      <w:pPr>
        <w:pStyle w:val="ListParagraph"/>
        <w:spacing w:after="240"/>
        <w:ind w:left="0"/>
        <w:jc w:val="left"/>
        <w:rPr>
          <w:rFonts w:cs="Arial"/>
        </w:rPr>
      </w:pPr>
      <w:r>
        <w:rPr>
          <w:rFonts w:cs="Arial"/>
          <w:color w:val="000000"/>
        </w:rPr>
        <w:t xml:space="preserve">2) </w:t>
      </w:r>
      <w:proofErr w:type="gramStart"/>
      <w:r>
        <w:rPr>
          <w:rFonts w:cs="Arial"/>
          <w:color w:val="000000"/>
        </w:rPr>
        <w:t>there</w:t>
      </w:r>
      <w:proofErr w:type="gramEnd"/>
      <w:r>
        <w:rPr>
          <w:rFonts w:cs="Arial"/>
          <w:color w:val="000000"/>
        </w:rPr>
        <w:t xml:space="preserve"> was </w:t>
      </w:r>
      <w:r w:rsidRPr="0050051F">
        <w:rPr>
          <w:rFonts w:cs="Arial"/>
          <w:color w:val="000000"/>
        </w:rPr>
        <w:t xml:space="preserve">no </w:t>
      </w:r>
      <w:r>
        <w:rPr>
          <w:rFonts w:cs="Arial"/>
          <w:color w:val="000000"/>
        </w:rPr>
        <w:t xml:space="preserve">identified relationship </w:t>
      </w:r>
      <w:r w:rsidRPr="0050051F">
        <w:rPr>
          <w:rFonts w:cs="Arial"/>
          <w:color w:val="000000"/>
        </w:rPr>
        <w:t xml:space="preserve">(either positive or negative) </w:t>
      </w:r>
      <w:r>
        <w:rPr>
          <w:rFonts w:cs="Arial"/>
          <w:color w:val="000000"/>
        </w:rPr>
        <w:t>between</w:t>
      </w:r>
      <w:r w:rsidRPr="0050051F">
        <w:rPr>
          <w:rFonts w:cs="Arial"/>
          <w:color w:val="000000"/>
        </w:rPr>
        <w:t xml:space="preserve"> environmental watering</w:t>
      </w:r>
      <w:r>
        <w:rPr>
          <w:rFonts w:cs="Arial"/>
          <w:color w:val="000000"/>
        </w:rPr>
        <w:t xml:space="preserve"> over </w:t>
      </w:r>
      <w:r w:rsidRPr="006C065C">
        <w:rPr>
          <w:rFonts w:cs="Arial"/>
          <w:color w:val="000000"/>
        </w:rPr>
        <w:t>the 2014-15 year</w:t>
      </w:r>
      <w:r>
        <w:rPr>
          <w:rFonts w:cs="Arial"/>
          <w:color w:val="000000"/>
        </w:rPr>
        <w:t xml:space="preserve"> and the growth rate of Murray cod recruits</w:t>
      </w:r>
      <w:r w:rsidR="007A65FD">
        <w:rPr>
          <w:rFonts w:cs="Arial"/>
          <w:color w:val="000000"/>
        </w:rPr>
        <w:t xml:space="preserve">. </w:t>
      </w:r>
      <w:r>
        <w:rPr>
          <w:rFonts w:cs="Arial"/>
          <w:color w:val="000000"/>
        </w:rPr>
        <w:t>The selected area fish recruitment monitoring was particularly useful in making comparisons of growth and recruitment among zones of the Edward-Wakool. Better growth rates and recruitment of juvenile Murray cod may be achieved by managing for summer low-flow conditions which can increase temperature and prey density (Humphries et al. 1999) as compared with the delivery</w:t>
      </w:r>
      <w:r w:rsidR="007A65FD">
        <w:rPr>
          <w:rFonts w:cs="Arial"/>
          <w:color w:val="000000"/>
        </w:rPr>
        <w:t xml:space="preserve"> of high</w:t>
      </w:r>
      <w:r w:rsidR="006C3C29">
        <w:rPr>
          <w:rFonts w:cs="Arial"/>
          <w:color w:val="000000"/>
        </w:rPr>
        <w:t>er</w:t>
      </w:r>
      <w:r w:rsidR="007A65FD">
        <w:rPr>
          <w:rFonts w:cs="Arial"/>
          <w:color w:val="000000"/>
        </w:rPr>
        <w:t xml:space="preserve"> flows during summer. </w:t>
      </w:r>
      <w:r>
        <w:rPr>
          <w:rFonts w:cs="Arial"/>
          <w:color w:val="000000"/>
        </w:rPr>
        <w:t>Management of flows should also be considered alongside of other important environmental factors such as the availa</w:t>
      </w:r>
      <w:r w:rsidR="00694820">
        <w:rPr>
          <w:rFonts w:cs="Arial"/>
          <w:color w:val="000000"/>
        </w:rPr>
        <w:t xml:space="preserve">bility of habitat for recruits (e.g. </w:t>
      </w:r>
      <w:r>
        <w:rPr>
          <w:rFonts w:cs="Arial"/>
          <w:color w:val="000000"/>
        </w:rPr>
        <w:t xml:space="preserve">large woody debris and other </w:t>
      </w:r>
      <w:r w:rsidR="007A65FD">
        <w:rPr>
          <w:rFonts w:cs="Arial"/>
          <w:color w:val="000000"/>
        </w:rPr>
        <w:t xml:space="preserve">instream </w:t>
      </w:r>
      <w:r>
        <w:rPr>
          <w:rFonts w:cs="Arial"/>
          <w:color w:val="000000"/>
        </w:rPr>
        <w:t>structure</w:t>
      </w:r>
      <w:r w:rsidR="00694820">
        <w:rPr>
          <w:rFonts w:cs="Arial"/>
          <w:color w:val="000000"/>
        </w:rPr>
        <w:t>)</w:t>
      </w:r>
      <w:r>
        <w:rPr>
          <w:rFonts w:cs="Arial"/>
          <w:color w:val="000000"/>
        </w:rPr>
        <w:t xml:space="preserve"> which can create slack-water habitat and can concentrate food and provide cover for young fish. Recruitment and growth of golden perch and silver perch may be expected to be highest following over-bank spring floods, or environmental flows which inundate backwater areas and wetlands for suitable periods of time to generate food and provide suitable habitat for larvae a</w:t>
      </w:r>
      <w:r w:rsidR="007A65FD">
        <w:rPr>
          <w:rFonts w:cs="Arial"/>
          <w:color w:val="000000"/>
        </w:rPr>
        <w:t>nd young juveniles to develop.</w:t>
      </w:r>
    </w:p>
    <w:p w:rsidR="00D72F5D" w:rsidRPr="00A764E1" w:rsidRDefault="005E0A51" w:rsidP="00311640">
      <w:pPr>
        <w:pStyle w:val="ListParagraph"/>
        <w:spacing w:after="0" w:line="240" w:lineRule="auto"/>
        <w:ind w:left="0"/>
        <w:jc w:val="left"/>
        <w:rPr>
          <w:color w:val="4F6228" w:themeColor="accent3" w:themeShade="80"/>
          <w:sz w:val="24"/>
          <w:szCs w:val="24"/>
        </w:rPr>
      </w:pPr>
      <w:r>
        <w:rPr>
          <w:b/>
          <w:color w:val="4F6228" w:themeColor="accent3" w:themeShade="80"/>
          <w:sz w:val="24"/>
          <w:szCs w:val="24"/>
        </w:rPr>
        <w:t>11</w:t>
      </w:r>
      <w:r w:rsidR="00A764E1" w:rsidRPr="00A764E1">
        <w:rPr>
          <w:b/>
          <w:color w:val="4F6228" w:themeColor="accent3" w:themeShade="80"/>
          <w:sz w:val="24"/>
          <w:szCs w:val="24"/>
        </w:rPr>
        <w:t xml:space="preserve">.6 </w:t>
      </w:r>
      <w:r w:rsidR="00D72F5D" w:rsidRPr="00A764E1">
        <w:rPr>
          <w:b/>
          <w:color w:val="4F6228" w:themeColor="accent3" w:themeShade="80"/>
          <w:sz w:val="24"/>
          <w:szCs w:val="24"/>
        </w:rPr>
        <w:t>References</w:t>
      </w:r>
      <w:r w:rsidR="00D72F5D" w:rsidRPr="00A764E1">
        <w:rPr>
          <w:color w:val="4F6228" w:themeColor="accent3" w:themeShade="80"/>
          <w:sz w:val="24"/>
          <w:szCs w:val="24"/>
        </w:rPr>
        <w:t xml:space="preserve"> </w:t>
      </w:r>
    </w:p>
    <w:p w:rsidR="00D72F5D" w:rsidRPr="00043C1D" w:rsidRDefault="00D72F5D" w:rsidP="00311640">
      <w:pPr>
        <w:pStyle w:val="ListParagraph"/>
        <w:spacing w:after="120" w:line="240" w:lineRule="auto"/>
        <w:ind w:left="0"/>
        <w:jc w:val="left"/>
        <w:rPr>
          <w:b/>
        </w:rPr>
      </w:pPr>
    </w:p>
    <w:p w:rsidR="00D72F5D" w:rsidRPr="00043C1D" w:rsidRDefault="00D72F5D" w:rsidP="00311640">
      <w:pPr>
        <w:pStyle w:val="EndNoteBibliography"/>
        <w:spacing w:after="120"/>
        <w:ind w:left="567" w:hanging="567"/>
      </w:pPr>
      <w:r w:rsidRPr="00043C1D">
        <w:t xml:space="preserve">Anderson, J., Morison, A. </w:t>
      </w:r>
      <w:r>
        <w:t>and</w:t>
      </w:r>
      <w:r w:rsidRPr="00043C1D">
        <w:t xml:space="preserve"> Ray, D. (1992) Age and growth of Murray cod, Maccullochella peelii (Perciformes: Percichthyidae), in the lower Murray-Darling Basin, Australia, from thin-sectioned otoliths. </w:t>
      </w:r>
      <w:r w:rsidRPr="00043C1D">
        <w:rPr>
          <w:i/>
        </w:rPr>
        <w:t>Marine and Freshwater Research,</w:t>
      </w:r>
      <w:r w:rsidRPr="00043C1D">
        <w:t xml:space="preserve"> 43, 983-1013.</w:t>
      </w:r>
    </w:p>
    <w:p w:rsidR="00D72F5D" w:rsidRPr="00043C1D" w:rsidRDefault="00D72F5D" w:rsidP="00311640">
      <w:pPr>
        <w:pStyle w:val="EndNoteBibliography"/>
        <w:spacing w:after="120"/>
        <w:ind w:left="720" w:hanging="720"/>
      </w:pPr>
      <w:r w:rsidRPr="00043C1D">
        <w:t xml:space="preserve">Bunn, S.E. </w:t>
      </w:r>
      <w:r>
        <w:t>and</w:t>
      </w:r>
      <w:r w:rsidRPr="00043C1D">
        <w:t xml:space="preserve"> Arthington, A.H. (2002) Basic principles and ecological consequences of altered flow regimes for aquatic biodiversity. </w:t>
      </w:r>
      <w:r w:rsidRPr="00043C1D">
        <w:rPr>
          <w:i/>
        </w:rPr>
        <w:t>Environmental management,</w:t>
      </w:r>
      <w:r w:rsidRPr="00043C1D">
        <w:t xml:space="preserve"> 30, 492-507.</w:t>
      </w:r>
    </w:p>
    <w:p w:rsidR="00D72F5D" w:rsidRPr="00043C1D" w:rsidRDefault="00D72F5D" w:rsidP="00311640">
      <w:pPr>
        <w:pStyle w:val="EndNoteBibliography"/>
        <w:spacing w:after="120"/>
        <w:ind w:left="720" w:hanging="720"/>
      </w:pPr>
      <w:r w:rsidRPr="00043C1D">
        <w:t xml:space="preserve">Byström, P., Andersson, J., Kiessling, A. </w:t>
      </w:r>
      <w:r>
        <w:t>and</w:t>
      </w:r>
      <w:r w:rsidRPr="00043C1D">
        <w:t xml:space="preserve"> Eriksson, L.O. (2006) Size and temperature dependent foraging capacities and metabolism: consequences for winter starvation mortality in fish. </w:t>
      </w:r>
      <w:r w:rsidRPr="00043C1D">
        <w:rPr>
          <w:i/>
        </w:rPr>
        <w:t>Oikos,</w:t>
      </w:r>
      <w:r w:rsidRPr="00043C1D">
        <w:t xml:space="preserve"> 115, 43-52.</w:t>
      </w:r>
    </w:p>
    <w:p w:rsidR="00D72F5D" w:rsidRPr="00043C1D" w:rsidRDefault="00D72F5D" w:rsidP="00311640">
      <w:pPr>
        <w:pStyle w:val="EndNoteBibliography"/>
        <w:spacing w:after="120"/>
        <w:ind w:left="720" w:hanging="720"/>
      </w:pPr>
      <w:r w:rsidRPr="00043C1D">
        <w:t xml:space="preserve">Crook, D.A., O’Mahony, D.J. </w:t>
      </w:r>
      <w:r>
        <w:t>and</w:t>
      </w:r>
      <w:r w:rsidRPr="00043C1D">
        <w:t xml:space="preserve"> Sanger, A.C. (2011) Quantitative measurement of calcein fluorescence for non-lethal, field based discrimination of hatchery and wild fish. </w:t>
      </w:r>
      <w:r w:rsidRPr="00043C1D">
        <w:rPr>
          <w:i/>
        </w:rPr>
        <w:t>American Fisheries Society Symposium</w:t>
      </w:r>
      <w:r w:rsidRPr="00043C1D">
        <w:t>, pp. 1-8.</w:t>
      </w:r>
    </w:p>
    <w:p w:rsidR="00D72F5D" w:rsidRPr="00043C1D" w:rsidRDefault="00D72F5D" w:rsidP="00311640">
      <w:pPr>
        <w:pStyle w:val="EndNoteBibliography"/>
        <w:spacing w:after="120"/>
        <w:ind w:left="720" w:hanging="720"/>
      </w:pPr>
      <w:r w:rsidRPr="00043C1D">
        <w:t xml:space="preserve">Dolan, C. </w:t>
      </w:r>
      <w:r>
        <w:t>and</w:t>
      </w:r>
      <w:r w:rsidRPr="00043C1D">
        <w:t xml:space="preserve"> Miranda, L. (2003) Immobilization thresholds of electrofishing relative to fish size. </w:t>
      </w:r>
      <w:r w:rsidRPr="00043C1D">
        <w:rPr>
          <w:i/>
        </w:rPr>
        <w:t>Transactions of the American Fisheries Society,</w:t>
      </w:r>
      <w:r w:rsidRPr="00043C1D">
        <w:t xml:space="preserve"> 132, 969-976.</w:t>
      </w:r>
    </w:p>
    <w:p w:rsidR="00D72F5D" w:rsidRPr="00043C1D" w:rsidRDefault="00D72F5D" w:rsidP="00311640">
      <w:pPr>
        <w:pStyle w:val="EndNoteBibliography"/>
        <w:spacing w:after="120"/>
        <w:ind w:left="720" w:hanging="720"/>
      </w:pPr>
      <w:r w:rsidRPr="00043C1D">
        <w:t xml:space="preserve">Hughes, R.M. </w:t>
      </w:r>
      <w:r>
        <w:t>and</w:t>
      </w:r>
      <w:r w:rsidRPr="00043C1D">
        <w:t xml:space="preserve"> Peck, D.V. (2008) Acquiring data for large aquatic resource surveys: the art of compromise among science, logistics, and reality. </w:t>
      </w:r>
      <w:r w:rsidRPr="00043C1D">
        <w:rPr>
          <w:i/>
        </w:rPr>
        <w:t>Journal of the North American Benthological Society,</w:t>
      </w:r>
      <w:r w:rsidRPr="00043C1D">
        <w:t xml:space="preserve"> 27, 837-859.</w:t>
      </w:r>
    </w:p>
    <w:p w:rsidR="00D72F5D" w:rsidRPr="00043C1D" w:rsidRDefault="00D72F5D" w:rsidP="00311640">
      <w:pPr>
        <w:pStyle w:val="EndNoteBibliography"/>
        <w:spacing w:after="120"/>
        <w:ind w:left="720" w:hanging="720"/>
      </w:pPr>
      <w:r w:rsidRPr="00043C1D">
        <w:t xml:space="preserve">Humphries, P., King, A.J. </w:t>
      </w:r>
      <w:r>
        <w:t>and</w:t>
      </w:r>
      <w:r w:rsidRPr="00043C1D">
        <w:t xml:space="preserve"> Koehn, J.D. (1999) Fish, flows and flood plains: links between freshwater fishes and their environment in the Murray-Darling River system, Australia. </w:t>
      </w:r>
      <w:r w:rsidRPr="00043C1D">
        <w:rPr>
          <w:i/>
        </w:rPr>
        <w:t>Environmental Biology of Fishes,</w:t>
      </w:r>
      <w:r w:rsidRPr="00043C1D">
        <w:t xml:space="preserve"> 56, 129-151.</w:t>
      </w:r>
    </w:p>
    <w:p w:rsidR="00D72F5D" w:rsidRPr="00043C1D" w:rsidRDefault="00D72F5D" w:rsidP="00311640">
      <w:pPr>
        <w:pStyle w:val="EndNoteBibliography"/>
        <w:spacing w:after="120"/>
        <w:ind w:left="720" w:hanging="720"/>
      </w:pPr>
      <w:r w:rsidRPr="00043C1D">
        <w:t xml:space="preserve">Humphries, P., Serafini, L.G. </w:t>
      </w:r>
      <w:r>
        <w:t>and</w:t>
      </w:r>
      <w:r w:rsidRPr="00043C1D">
        <w:t xml:space="preserve"> King, A.J. (2002) River regulation and fish larvae: variation through space and time. </w:t>
      </w:r>
      <w:r w:rsidRPr="00043C1D">
        <w:rPr>
          <w:i/>
        </w:rPr>
        <w:t>Freshwater Biology,</w:t>
      </w:r>
      <w:r w:rsidRPr="00043C1D">
        <w:t xml:space="preserve"> 47, 1307-1331.</w:t>
      </w:r>
    </w:p>
    <w:p w:rsidR="00D72F5D" w:rsidRPr="00043C1D" w:rsidRDefault="00D72F5D" w:rsidP="00311640">
      <w:pPr>
        <w:pStyle w:val="EndNoteBibliography"/>
        <w:spacing w:after="120"/>
        <w:ind w:left="720" w:hanging="720"/>
      </w:pPr>
      <w:r w:rsidRPr="00043C1D">
        <w:t xml:space="preserve">Hurst, T.P. </w:t>
      </w:r>
      <w:r>
        <w:t>and</w:t>
      </w:r>
      <w:r w:rsidRPr="00043C1D">
        <w:t xml:space="preserve"> Conover, D.O. (1998) Winter mortality of young-of-the-year Hudson River striped bass (Morone saxatilis): size-dependent patterns and effects on recruitment. </w:t>
      </w:r>
      <w:r w:rsidRPr="00043C1D">
        <w:rPr>
          <w:i/>
        </w:rPr>
        <w:t>Canadian journal of fisheries and aquatic sciences,</w:t>
      </w:r>
      <w:r w:rsidRPr="00043C1D">
        <w:t xml:space="preserve"> 55, 1122-1130.</w:t>
      </w:r>
    </w:p>
    <w:p w:rsidR="00D72F5D" w:rsidRPr="00043C1D" w:rsidRDefault="00D72F5D" w:rsidP="00311640">
      <w:pPr>
        <w:pStyle w:val="EndNoteBibliography"/>
        <w:spacing w:after="120"/>
        <w:ind w:left="720" w:hanging="720"/>
      </w:pPr>
      <w:r w:rsidRPr="00043C1D">
        <w:t xml:space="preserve">King, A., Humphries, P. </w:t>
      </w:r>
      <w:r>
        <w:t>and</w:t>
      </w:r>
      <w:r w:rsidRPr="00043C1D">
        <w:t xml:space="preserve"> McCasker, N. (2013) Reproduction and early life history. </w:t>
      </w:r>
      <w:r w:rsidRPr="00043C1D">
        <w:rPr>
          <w:i/>
        </w:rPr>
        <w:t>Ecology of Australian Freshwater Fishes. Melbourne: CSIRO Publishing</w:t>
      </w:r>
      <w:r w:rsidRPr="00043C1D">
        <w:t>, 159-193.</w:t>
      </w:r>
    </w:p>
    <w:p w:rsidR="00D72F5D" w:rsidRPr="00043C1D" w:rsidRDefault="00D72F5D" w:rsidP="00311640">
      <w:pPr>
        <w:pStyle w:val="EndNoteBibliography"/>
        <w:spacing w:after="120"/>
        <w:ind w:left="720" w:hanging="720"/>
      </w:pPr>
      <w:r w:rsidRPr="00043C1D">
        <w:t xml:space="preserve">King, A., Tonkin, Z. </w:t>
      </w:r>
      <w:r>
        <w:t>and</w:t>
      </w:r>
      <w:r w:rsidRPr="00043C1D">
        <w:t xml:space="preserve"> Mahoney, J. (2009) Environmental flow enhances native fish spawning and recruitment in the Murray River, Australia. </w:t>
      </w:r>
      <w:r w:rsidRPr="00043C1D">
        <w:rPr>
          <w:i/>
        </w:rPr>
        <w:t>River Research and Applications,</w:t>
      </w:r>
      <w:r w:rsidRPr="00043C1D">
        <w:t xml:space="preserve"> 25, 1205-1218.</w:t>
      </w:r>
    </w:p>
    <w:p w:rsidR="00D72F5D" w:rsidRPr="00043C1D" w:rsidRDefault="00D72F5D" w:rsidP="00311640">
      <w:pPr>
        <w:pStyle w:val="EndNoteBibliography"/>
        <w:spacing w:after="120"/>
        <w:ind w:left="720" w:hanging="720"/>
      </w:pPr>
      <w:r w:rsidRPr="00043C1D">
        <w:t xml:space="preserve">Lytle, D.A. </w:t>
      </w:r>
      <w:r>
        <w:t>and</w:t>
      </w:r>
      <w:r w:rsidRPr="00043C1D">
        <w:t xml:space="preserve"> Poff, N.L. (2004) Adaptation to natural flow regimes. </w:t>
      </w:r>
      <w:r w:rsidRPr="00043C1D">
        <w:rPr>
          <w:i/>
        </w:rPr>
        <w:t xml:space="preserve">Trends in ecology </w:t>
      </w:r>
      <w:r>
        <w:rPr>
          <w:i/>
        </w:rPr>
        <w:t>and</w:t>
      </w:r>
      <w:r w:rsidRPr="00043C1D">
        <w:rPr>
          <w:i/>
        </w:rPr>
        <w:t xml:space="preserve"> evolution,</w:t>
      </w:r>
      <w:r w:rsidRPr="00043C1D">
        <w:t xml:space="preserve"> 19, 94-100.</w:t>
      </w:r>
    </w:p>
    <w:p w:rsidR="00D72F5D" w:rsidRPr="00043C1D" w:rsidRDefault="00D72F5D" w:rsidP="00311640">
      <w:pPr>
        <w:pStyle w:val="EndNoteBibliography"/>
        <w:spacing w:after="120"/>
        <w:ind w:left="720" w:hanging="720"/>
      </w:pPr>
      <w:r w:rsidRPr="00043C1D">
        <w:t xml:space="preserve">Mallen‐Cooper, M. </w:t>
      </w:r>
      <w:r>
        <w:t>and</w:t>
      </w:r>
      <w:r w:rsidRPr="00043C1D">
        <w:t xml:space="preserve"> Stuart, I. (2003) Age, growth and non‐flood recruitment of two potamodromous fishes in a large semi‐arid/temperate river system. </w:t>
      </w:r>
      <w:r w:rsidRPr="00043C1D">
        <w:rPr>
          <w:i/>
        </w:rPr>
        <w:t>River Research and Applications,</w:t>
      </w:r>
      <w:r w:rsidRPr="00043C1D">
        <w:t xml:space="preserve"> 19, 697-719.</w:t>
      </w:r>
    </w:p>
    <w:p w:rsidR="00D72F5D" w:rsidRPr="00043C1D" w:rsidRDefault="00D72F5D" w:rsidP="00311640">
      <w:pPr>
        <w:pStyle w:val="EndNoteBibliography"/>
        <w:spacing w:after="120"/>
        <w:ind w:left="720" w:hanging="720"/>
      </w:pPr>
      <w:r w:rsidRPr="00043C1D">
        <w:t xml:space="preserve">Pepin, P., Robert, D., Bouchard, C., Dower, J.F., Falardeau, M., Fortier, L., Jenkins, G.P., Leclerc, V., Levesque, K. </w:t>
      </w:r>
      <w:r>
        <w:t>and</w:t>
      </w:r>
      <w:r w:rsidRPr="00043C1D">
        <w:t xml:space="preserve"> Llopiz, J.K. (2015) Once upon a larva: revisiting the relationship between feeding success and growth in fish larvae. </w:t>
      </w:r>
      <w:r w:rsidRPr="00043C1D">
        <w:rPr>
          <w:i/>
        </w:rPr>
        <w:t>ICES Journal of Marine Science: Journal du Conseil,</w:t>
      </w:r>
      <w:r w:rsidRPr="00043C1D">
        <w:t xml:space="preserve"> 72, 359-373.</w:t>
      </w:r>
    </w:p>
    <w:p w:rsidR="00D72F5D" w:rsidRPr="00043C1D" w:rsidRDefault="00D72F5D" w:rsidP="00311640">
      <w:pPr>
        <w:pStyle w:val="EndNoteBibliography"/>
        <w:spacing w:after="120"/>
        <w:ind w:left="720" w:hanging="720"/>
      </w:pPr>
      <w:r w:rsidRPr="00043C1D">
        <w:t xml:space="preserve">Rayner, T.S., Jenkins, K.M. </w:t>
      </w:r>
      <w:r>
        <w:t>and</w:t>
      </w:r>
      <w:r w:rsidRPr="00043C1D">
        <w:t xml:space="preserve"> Kingsford, R.T. (2009) Small environmental flows, drought and the role of refugia for freshwater fish in the Macquarie Marshes, arid Australia. </w:t>
      </w:r>
      <w:r w:rsidRPr="00043C1D">
        <w:rPr>
          <w:i/>
        </w:rPr>
        <w:t>Ecohydrology,</w:t>
      </w:r>
      <w:r w:rsidRPr="00043C1D">
        <w:t xml:space="preserve"> 2, 440-453.</w:t>
      </w:r>
    </w:p>
    <w:p w:rsidR="00D72F5D" w:rsidRPr="00043C1D" w:rsidRDefault="00D72F5D" w:rsidP="00311640">
      <w:pPr>
        <w:pStyle w:val="EndNoteBibliography"/>
        <w:spacing w:after="120"/>
        <w:ind w:left="720" w:hanging="720"/>
      </w:pPr>
      <w:r w:rsidRPr="00043C1D">
        <w:t xml:space="preserve">Rolls, R.J., Growns, I.O., Khan, T.A., Wilson, G.G., Ellison, T.L., Prior, A. </w:t>
      </w:r>
      <w:r>
        <w:t>and</w:t>
      </w:r>
      <w:r w:rsidRPr="00043C1D">
        <w:t xml:space="preserve"> Waring, C.C. (2013) Fish recruitment in rivers with modified discharge depends on the interacting effects of flow and thermal regimes. </w:t>
      </w:r>
      <w:r w:rsidRPr="00043C1D">
        <w:rPr>
          <w:i/>
        </w:rPr>
        <w:t>Freshwater Biology,</w:t>
      </w:r>
      <w:r w:rsidRPr="00043C1D">
        <w:t xml:space="preserve"> 58, 1804-1819.</w:t>
      </w:r>
    </w:p>
    <w:p w:rsidR="00D72F5D" w:rsidRPr="00043C1D" w:rsidRDefault="00D72F5D" w:rsidP="00311640">
      <w:pPr>
        <w:pStyle w:val="EndNoteBibliography"/>
        <w:spacing w:after="120"/>
        <w:ind w:left="720" w:hanging="720"/>
      </w:pPr>
      <w:r w:rsidRPr="00043C1D">
        <w:t xml:space="preserve">Tonkin, Z.D., King, A.J., Robertson, A.I. </w:t>
      </w:r>
      <w:r>
        <w:t>and</w:t>
      </w:r>
      <w:r w:rsidRPr="00043C1D">
        <w:t xml:space="preserve"> Ramsey, D.S. (2011) Early fish growth varies in response to components of the flow regime in a temperate floodplain river. </w:t>
      </w:r>
      <w:r w:rsidRPr="00043C1D">
        <w:rPr>
          <w:i/>
        </w:rPr>
        <w:t>Freshwater Biology,</w:t>
      </w:r>
      <w:r w:rsidRPr="00043C1D">
        <w:t xml:space="preserve"> 56, 1769-1782.</w:t>
      </w:r>
    </w:p>
    <w:p w:rsidR="00981345" w:rsidRPr="00956B4B" w:rsidRDefault="00981345" w:rsidP="00956B4B">
      <w:pPr>
        <w:spacing w:after="0" w:line="240" w:lineRule="auto"/>
        <w:jc w:val="left"/>
        <w:rPr>
          <w:b/>
          <w:bCs/>
          <w:iCs/>
          <w:color w:val="4F6228"/>
          <w:sz w:val="32"/>
          <w:szCs w:val="28"/>
          <w:lang w:val="en-US"/>
        </w:rPr>
      </w:pPr>
      <w:r>
        <w:br w:type="page"/>
      </w:r>
    </w:p>
    <w:p w:rsidR="00006CBE" w:rsidRDefault="00822CAE" w:rsidP="00ED6D80">
      <w:pPr>
        <w:pStyle w:val="MurrumH1"/>
      </w:pPr>
      <w:bookmarkStart w:id="67" w:name="_Toc450199557"/>
      <w:r>
        <w:t>S</w:t>
      </w:r>
      <w:r w:rsidR="004F0F4F">
        <w:t>ummary and s</w:t>
      </w:r>
      <w:r>
        <w:t>ynthesis</w:t>
      </w:r>
      <w:bookmarkEnd w:id="67"/>
    </w:p>
    <w:p w:rsidR="00E367BE" w:rsidRDefault="00E367BE" w:rsidP="005F65D1">
      <w:pPr>
        <w:tabs>
          <w:tab w:val="left" w:pos="9071"/>
        </w:tabs>
        <w:spacing w:before="240" w:after="120"/>
        <w:jc w:val="left"/>
        <w:rPr>
          <w:szCs w:val="22"/>
        </w:rPr>
      </w:pPr>
      <w:r w:rsidRPr="00D40BC7">
        <w:t xml:space="preserve">This report documents the monitoring and evaluation of ecosystem responses to Commonwealth environmental watering in the Edward-Wakool system in 2014-15. It is the first annual report of </w:t>
      </w:r>
      <w:r>
        <w:t xml:space="preserve">the Long </w:t>
      </w:r>
      <w:r w:rsidRPr="00D40BC7">
        <w:t xml:space="preserve">Term Intervention Monitoring </w:t>
      </w:r>
      <w:r>
        <w:t>(LTIM) Project</w:t>
      </w:r>
      <w:r w:rsidRPr="00D40BC7">
        <w:t xml:space="preserve"> </w:t>
      </w:r>
      <w:r>
        <w:t>funded</w:t>
      </w:r>
      <w:r w:rsidRPr="00D40BC7">
        <w:t xml:space="preserve"> </w:t>
      </w:r>
      <w:r w:rsidR="00A30F15">
        <w:t xml:space="preserve">by </w:t>
      </w:r>
      <w:r w:rsidRPr="00D40BC7">
        <w:t>the Commonwealth Environmental Watering Office</w:t>
      </w:r>
      <w:r w:rsidR="00524156">
        <w:t xml:space="preserve"> </w:t>
      </w:r>
      <w:r w:rsidR="00932D3E">
        <w:t xml:space="preserve">(CEWO) </w:t>
      </w:r>
      <w:r>
        <w:t>that commenced in 2014 and continues until 2019</w:t>
      </w:r>
      <w:r w:rsidRPr="00D40BC7">
        <w:t xml:space="preserve">. </w:t>
      </w:r>
      <w:r w:rsidR="00932D3E">
        <w:t>Being the first year of the</w:t>
      </w:r>
      <w:r>
        <w:t xml:space="preserve"> program, this</w:t>
      </w:r>
      <w:r w:rsidRPr="00D40BC7">
        <w:t xml:space="preserve"> report </w:t>
      </w:r>
      <w:r>
        <w:t xml:space="preserve">provides an </w:t>
      </w:r>
      <w:r w:rsidRPr="00D40BC7">
        <w:t xml:space="preserve">assessment of </w:t>
      </w:r>
      <w:r>
        <w:t>short-term</w:t>
      </w:r>
      <w:r w:rsidRPr="00D40BC7">
        <w:t xml:space="preserve"> responses to environmental watering </w:t>
      </w:r>
      <w:r>
        <w:t xml:space="preserve">in 2014-15 </w:t>
      </w:r>
      <w:r w:rsidRPr="00D40BC7">
        <w:t>with respect to the objectives set by the C</w:t>
      </w:r>
      <w:r w:rsidR="00DA48E9">
        <w:t>ommonwealth Environmental Water office</w:t>
      </w:r>
      <w:r>
        <w:t xml:space="preserve">. Evaluation of responses across multiple years will be undertaken in subsequent </w:t>
      </w:r>
      <w:r w:rsidR="00932D3E">
        <w:t>reports</w:t>
      </w:r>
      <w:r>
        <w:t xml:space="preserve">. </w:t>
      </w:r>
      <w:r w:rsidRPr="00521E67">
        <w:t xml:space="preserve">This report builds on previous </w:t>
      </w:r>
      <w:r w:rsidR="00F45EF8">
        <w:t xml:space="preserve">short-term </w:t>
      </w:r>
      <w:r w:rsidRPr="00521E67">
        <w:t xml:space="preserve">monitoring and evaluation </w:t>
      </w:r>
      <w:r>
        <w:t>projects</w:t>
      </w:r>
      <w:r w:rsidRPr="00521E67">
        <w:t xml:space="preserve"> undertaken in the Edward-Wakool system since 2010 </w:t>
      </w:r>
      <w:r>
        <w:rPr>
          <w:szCs w:val="22"/>
        </w:rPr>
        <w:t xml:space="preserve">(Watts et al. 2013a, </w:t>
      </w:r>
      <w:r w:rsidRPr="00521E67">
        <w:rPr>
          <w:szCs w:val="22"/>
        </w:rPr>
        <w:t>Watts et al 2</w:t>
      </w:r>
      <w:r>
        <w:rPr>
          <w:szCs w:val="22"/>
        </w:rPr>
        <w:t>013b, Watts et al. 2014)</w:t>
      </w:r>
      <w:r w:rsidR="00F45EF8">
        <w:rPr>
          <w:szCs w:val="22"/>
        </w:rPr>
        <w:t xml:space="preserve">, however some of the monitoring sites, indicators and methods </w:t>
      </w:r>
      <w:r w:rsidR="00932D3E">
        <w:rPr>
          <w:szCs w:val="22"/>
        </w:rPr>
        <w:t xml:space="preserve">employed for this </w:t>
      </w:r>
      <w:r w:rsidR="00F45EF8">
        <w:rPr>
          <w:szCs w:val="22"/>
        </w:rPr>
        <w:t>project are different to those undertaken for the short-term monitoring projects</w:t>
      </w:r>
      <w:r w:rsidR="00C636B2">
        <w:rPr>
          <w:szCs w:val="22"/>
        </w:rPr>
        <w:t>.</w:t>
      </w:r>
    </w:p>
    <w:p w:rsidR="00C636B2" w:rsidRDefault="00E367BE" w:rsidP="009C01C3">
      <w:pPr>
        <w:spacing w:after="0"/>
      </w:pPr>
      <w:r w:rsidRPr="001D7084">
        <w:t xml:space="preserve">Commonwealth environmental water delivered to </w:t>
      </w:r>
      <w:r w:rsidR="00932D3E">
        <w:t>Yallakool Creek in 2014-15</w:t>
      </w:r>
      <w:r w:rsidRPr="001D7084">
        <w:t xml:space="preserve"> </w:t>
      </w:r>
      <w:r w:rsidR="00F45EF8">
        <w:t>had the following positive outcomes</w:t>
      </w:r>
      <w:r w:rsidR="009C01C3">
        <w:t xml:space="preserve"> </w:t>
      </w:r>
      <w:r w:rsidR="00B26259">
        <w:t xml:space="preserve">in reaches receiving environmental water </w:t>
      </w:r>
      <w:r w:rsidR="009C01C3">
        <w:t>(Table 12.1)</w:t>
      </w:r>
      <w:r w:rsidR="00C636B2">
        <w:t>:</w:t>
      </w:r>
    </w:p>
    <w:p w:rsidR="00C636B2" w:rsidRDefault="00C636B2" w:rsidP="00F45EF8">
      <w:pPr>
        <w:pStyle w:val="ListParagraph"/>
        <w:numPr>
          <w:ilvl w:val="0"/>
          <w:numId w:val="13"/>
        </w:numPr>
        <w:spacing w:after="0"/>
        <w:ind w:left="714" w:hanging="357"/>
      </w:pPr>
      <w:r>
        <w:t>Increased variation in discharge</w:t>
      </w:r>
      <w:r w:rsidR="00DF65E2">
        <w:t xml:space="preserve"> (section 4)</w:t>
      </w:r>
    </w:p>
    <w:p w:rsidR="00DF65E2" w:rsidRDefault="00DF65E2" w:rsidP="00DF65E2">
      <w:pPr>
        <w:pStyle w:val="ListParagraph"/>
        <w:numPr>
          <w:ilvl w:val="0"/>
          <w:numId w:val="13"/>
        </w:numPr>
        <w:spacing w:after="0"/>
        <w:ind w:left="714" w:hanging="357"/>
      </w:pPr>
      <w:r>
        <w:t>Increased</w:t>
      </w:r>
      <w:r w:rsidRPr="001D7084">
        <w:t xml:space="preserve"> </w:t>
      </w:r>
      <w:r>
        <w:t>in-channel longitudinal connectivity (section 4)</w:t>
      </w:r>
    </w:p>
    <w:p w:rsidR="00DF65E2" w:rsidRDefault="00DF65E2" w:rsidP="005F65D1">
      <w:pPr>
        <w:pStyle w:val="ListParagraph"/>
        <w:numPr>
          <w:ilvl w:val="0"/>
          <w:numId w:val="13"/>
        </w:numPr>
        <w:spacing w:after="0"/>
        <w:ind w:left="714" w:right="-143" w:hanging="357"/>
      </w:pPr>
      <w:r>
        <w:t xml:space="preserve">Increased lateral connectivity. There was an </w:t>
      </w:r>
      <w:r w:rsidRPr="001D7084">
        <w:t>increase</w:t>
      </w:r>
      <w:r>
        <w:t xml:space="preserve"> in </w:t>
      </w:r>
      <w:r w:rsidRPr="001D7084">
        <w:t xml:space="preserve">wetted benthic area </w:t>
      </w:r>
      <w:r>
        <w:t>and area of slackwater and slow water in Wakool River zones 3 and 4, but not in Yallakool Creek (section 5)</w:t>
      </w:r>
    </w:p>
    <w:p w:rsidR="00C636B2" w:rsidRDefault="00C636B2" w:rsidP="00F45EF8">
      <w:pPr>
        <w:pStyle w:val="ListParagraph"/>
        <w:numPr>
          <w:ilvl w:val="0"/>
          <w:numId w:val="13"/>
        </w:numPr>
        <w:spacing w:after="0"/>
        <w:ind w:left="714" w:hanging="357"/>
      </w:pPr>
      <w:r>
        <w:t>Maintained dissolved oxygen levels</w:t>
      </w:r>
      <w:r w:rsidR="009C01C3">
        <w:t xml:space="preserve"> </w:t>
      </w:r>
      <w:r w:rsidR="00932D3E">
        <w:t xml:space="preserve">and ecosystem respiration </w:t>
      </w:r>
      <w:r w:rsidR="00DF65E2">
        <w:t>(section 6)</w:t>
      </w:r>
    </w:p>
    <w:p w:rsidR="00E367BE" w:rsidRDefault="00C636B2" w:rsidP="00DA48E9">
      <w:pPr>
        <w:pStyle w:val="ListParagraph"/>
        <w:numPr>
          <w:ilvl w:val="0"/>
          <w:numId w:val="13"/>
        </w:numPr>
        <w:spacing w:after="0"/>
        <w:ind w:left="714" w:hanging="357"/>
      </w:pPr>
      <w:r>
        <w:t>I</w:t>
      </w:r>
      <w:r w:rsidR="00E367BE">
        <w:t>ncreased</w:t>
      </w:r>
      <w:r w:rsidR="00E367BE" w:rsidRPr="001D7084">
        <w:t xml:space="preserve"> </w:t>
      </w:r>
      <w:r w:rsidR="00E367BE">
        <w:t xml:space="preserve">cover and diversity of </w:t>
      </w:r>
      <w:r w:rsidR="00E367BE" w:rsidRPr="001D7084">
        <w:t>instream aquatic vegetation</w:t>
      </w:r>
      <w:r w:rsidR="009C01C3">
        <w:t xml:space="preserve">, </w:t>
      </w:r>
      <w:r>
        <w:t xml:space="preserve">particularly in </w:t>
      </w:r>
      <w:r w:rsidR="00524156">
        <w:t xml:space="preserve">Wakool </w:t>
      </w:r>
      <w:r w:rsidR="00932D3E">
        <w:t xml:space="preserve">River </w:t>
      </w:r>
      <w:r>
        <w:t>zones 3 and 4, but</w:t>
      </w:r>
      <w:r w:rsidR="009C01C3">
        <w:t xml:space="preserve"> not consistently in Yallakool Creek zone 1</w:t>
      </w:r>
      <w:r w:rsidR="00DF65E2">
        <w:t xml:space="preserve"> (section 8)</w:t>
      </w:r>
    </w:p>
    <w:p w:rsidR="00DA48E9" w:rsidRDefault="00DF65E2" w:rsidP="005F65D1">
      <w:pPr>
        <w:pStyle w:val="ListParagraph"/>
        <w:numPr>
          <w:ilvl w:val="0"/>
          <w:numId w:val="13"/>
        </w:numPr>
        <w:spacing w:after="120"/>
        <w:ind w:left="714" w:hanging="357"/>
        <w:jc w:val="left"/>
      </w:pPr>
      <w:r>
        <w:t>Potentially c</w:t>
      </w:r>
      <w:r w:rsidR="00DA48E9">
        <w:t>ontributed to an increase in the diversity of native fish</w:t>
      </w:r>
      <w:r w:rsidR="005F65D1">
        <w:t>,</w:t>
      </w:r>
      <w:r w:rsidR="00DA48E9">
        <w:t xml:space="preserve"> with one new species, </w:t>
      </w:r>
      <w:r w:rsidR="00DA48E9" w:rsidRPr="00C12FDE">
        <w:rPr>
          <w:i/>
          <w:kern w:val="32"/>
          <w:szCs w:val="22"/>
        </w:rPr>
        <w:t>Galaxias oliros</w:t>
      </w:r>
      <w:r w:rsidR="00DA48E9">
        <w:rPr>
          <w:kern w:val="32"/>
          <w:szCs w:val="22"/>
        </w:rPr>
        <w:t xml:space="preserve"> (obscure galaxias)</w:t>
      </w:r>
      <w:r w:rsidR="00DA48E9">
        <w:t xml:space="preserve"> recorded in Yallakool Creek</w:t>
      </w:r>
      <w:r>
        <w:t xml:space="preserve"> (section 10)</w:t>
      </w:r>
      <w:r w:rsidR="005F65D1">
        <w:t>.</w:t>
      </w:r>
    </w:p>
    <w:p w:rsidR="00DA48E9" w:rsidRPr="00BD2D0B" w:rsidRDefault="00DA48E9" w:rsidP="00DF65E2">
      <w:pPr>
        <w:spacing w:after="120"/>
        <w:jc w:val="left"/>
      </w:pPr>
      <w:r>
        <w:t xml:space="preserve">There was </w:t>
      </w:r>
      <w:r w:rsidRPr="00F45EF8">
        <w:t xml:space="preserve">one negative response </w:t>
      </w:r>
      <w:r>
        <w:t xml:space="preserve">to Commonwealth environmental watering </w:t>
      </w:r>
      <w:r w:rsidRPr="00F45EF8">
        <w:t>in 2014-15</w:t>
      </w:r>
      <w:r w:rsidR="00DF65E2">
        <w:t xml:space="preserve"> (Table 12.1)</w:t>
      </w:r>
      <w:r w:rsidRPr="00F45EF8">
        <w:t xml:space="preserve">, </w:t>
      </w:r>
      <w:r>
        <w:t xml:space="preserve">being </w:t>
      </w:r>
      <w:r w:rsidRPr="00F45EF8">
        <w:t xml:space="preserve">a reduction in the area of slackwater in Yallakool Creek during </w:t>
      </w:r>
      <w:r w:rsidR="00DF65E2">
        <w:t>the environmental watering action</w:t>
      </w:r>
      <w:r w:rsidRPr="00F45EF8">
        <w:t xml:space="preserve"> compared to area of available slackwater during base flows</w:t>
      </w:r>
      <w:r>
        <w:t xml:space="preserve"> (</w:t>
      </w:r>
      <w:r w:rsidR="00DF65E2">
        <w:t>section 5</w:t>
      </w:r>
      <w:r>
        <w:t xml:space="preserve">). </w:t>
      </w:r>
      <w:r w:rsidRPr="00DA48E9">
        <w:rPr>
          <w:szCs w:val="22"/>
        </w:rPr>
        <w:t xml:space="preserve">This finding </w:t>
      </w:r>
      <w:r>
        <w:t>was</w:t>
      </w:r>
      <w:r w:rsidRPr="00F45EF8">
        <w:t xml:space="preserve"> consistent with observation</w:t>
      </w:r>
      <w:r>
        <w:t xml:space="preserve">s in 2013-14 (Watts et al 2014) of </w:t>
      </w:r>
      <w:r w:rsidRPr="00F45EF8">
        <w:t>a</w:t>
      </w:r>
      <w:r>
        <w:t xml:space="preserve"> </w:t>
      </w:r>
      <w:r w:rsidRPr="00DA48E9">
        <w:rPr>
          <w:szCs w:val="22"/>
        </w:rPr>
        <w:t xml:space="preserve">lower abundance of shrimp larvae in Yallakool Creek during the environmental watering. Shrimp </w:t>
      </w:r>
      <w:r w:rsidR="00BB548D">
        <w:rPr>
          <w:szCs w:val="22"/>
        </w:rPr>
        <w:t>are</w:t>
      </w:r>
      <w:r w:rsidRPr="00DA48E9">
        <w:rPr>
          <w:szCs w:val="22"/>
        </w:rPr>
        <w:t xml:space="preserve"> not monitored as part of the LTIM Project, but it is expected that the increased area of fast flows in Yallakool Creek </w:t>
      </w:r>
      <w:r w:rsidR="00BB548D">
        <w:rPr>
          <w:szCs w:val="22"/>
        </w:rPr>
        <w:t xml:space="preserve">during the environmental watering action </w:t>
      </w:r>
      <w:r w:rsidRPr="00DA48E9">
        <w:rPr>
          <w:szCs w:val="22"/>
        </w:rPr>
        <w:t xml:space="preserve">will have had a negative effect on larval shrimp, and the </w:t>
      </w:r>
      <w:r w:rsidR="00BB548D">
        <w:rPr>
          <w:szCs w:val="22"/>
        </w:rPr>
        <w:t xml:space="preserve">increase in slack </w:t>
      </w:r>
      <w:r w:rsidRPr="00DA48E9">
        <w:rPr>
          <w:szCs w:val="22"/>
        </w:rPr>
        <w:t>water and slow water in zones 3 and 4 will have had a positive outcome for shrimp and other taxa in those zones that require slow flowing water for recruitment and survival.</w:t>
      </w:r>
    </w:p>
    <w:p w:rsidR="005F65D1" w:rsidRDefault="00DA48E9" w:rsidP="00DF65E2">
      <w:pPr>
        <w:spacing w:after="120"/>
        <w:jc w:val="left"/>
        <w:rPr>
          <w:rFonts w:cs="Calibri"/>
          <w:szCs w:val="22"/>
        </w:rPr>
      </w:pPr>
      <w:r>
        <w:t>T</w:t>
      </w:r>
      <w:r w:rsidRPr="00F45EF8">
        <w:t xml:space="preserve">here were a number of indicators </w:t>
      </w:r>
      <w:r w:rsidR="00957E36">
        <w:t>that showed</w:t>
      </w:r>
      <w:r w:rsidRPr="00F45EF8">
        <w:t xml:space="preserve"> no detectable res</w:t>
      </w:r>
      <w:r>
        <w:t xml:space="preserve">ponse to environmental watering (Table 12.1). Although </w:t>
      </w:r>
      <w:r w:rsidRPr="00DA48E9">
        <w:rPr>
          <w:rFonts w:cs="Calibri"/>
          <w:szCs w:val="22"/>
        </w:rPr>
        <w:t>environmental watering increased wetted benthic area in some reaches</w:t>
      </w:r>
      <w:r w:rsidR="00957E36">
        <w:rPr>
          <w:rFonts w:cs="Calibri"/>
          <w:szCs w:val="22"/>
        </w:rPr>
        <w:t xml:space="preserve"> (section 5)</w:t>
      </w:r>
      <w:r w:rsidRPr="00DA48E9">
        <w:rPr>
          <w:rFonts w:cs="Calibri"/>
          <w:szCs w:val="22"/>
        </w:rPr>
        <w:t xml:space="preserve">, this increase was not </w:t>
      </w:r>
      <w:r w:rsidRPr="00E367BE">
        <w:t xml:space="preserve">sufficient to trigger an increase in gross </w:t>
      </w:r>
      <w:r>
        <w:t>primary productivity</w:t>
      </w:r>
      <w:r w:rsidR="00DF65E2">
        <w:t xml:space="preserve"> (section 7)</w:t>
      </w:r>
      <w:r w:rsidRPr="00DA48E9">
        <w:rPr>
          <w:rFonts w:cs="Calibri"/>
          <w:szCs w:val="22"/>
        </w:rPr>
        <w:t xml:space="preserve">. </w:t>
      </w:r>
      <w:r w:rsidR="005F65D1" w:rsidRPr="00EC14D1">
        <w:rPr>
          <w:rFonts w:cs="Calibri"/>
          <w:szCs w:val="22"/>
        </w:rPr>
        <w:t xml:space="preserve">The delivery of environmental water is </w:t>
      </w:r>
      <w:r w:rsidR="005F65D1">
        <w:rPr>
          <w:rFonts w:cs="Calibri"/>
          <w:szCs w:val="22"/>
        </w:rPr>
        <w:t xml:space="preserve">currently </w:t>
      </w:r>
      <w:r w:rsidR="005F65D1" w:rsidRPr="00EC14D1">
        <w:rPr>
          <w:rFonts w:cs="Calibri"/>
          <w:szCs w:val="22"/>
        </w:rPr>
        <w:t xml:space="preserve">constrained by a limited capacity to deliver </w:t>
      </w:r>
      <w:r w:rsidR="005F65D1">
        <w:rPr>
          <w:rFonts w:cs="Calibri"/>
          <w:szCs w:val="22"/>
        </w:rPr>
        <w:t>larger in-channel flow pulses</w:t>
      </w:r>
      <w:r w:rsidR="005F65D1" w:rsidRPr="00EC14D1">
        <w:rPr>
          <w:rFonts w:cs="Calibri"/>
          <w:szCs w:val="22"/>
        </w:rPr>
        <w:t xml:space="preserve"> </w:t>
      </w:r>
      <w:r w:rsidR="005F65D1">
        <w:rPr>
          <w:rFonts w:cs="Calibri"/>
          <w:szCs w:val="22"/>
        </w:rPr>
        <w:t>because of potential</w:t>
      </w:r>
      <w:r w:rsidR="005F65D1" w:rsidRPr="00EC14D1">
        <w:rPr>
          <w:rFonts w:cs="Calibri"/>
          <w:szCs w:val="22"/>
        </w:rPr>
        <w:t xml:space="preserve"> impacts on third parties. </w:t>
      </w:r>
      <w:r w:rsidR="005F65D1">
        <w:rPr>
          <w:rFonts w:cs="Calibri"/>
          <w:szCs w:val="22"/>
        </w:rPr>
        <w:t>Although th</w:t>
      </w:r>
      <w:r w:rsidR="005F65D1" w:rsidRPr="00EC14D1">
        <w:rPr>
          <w:rFonts w:cs="Calibri"/>
          <w:szCs w:val="22"/>
        </w:rPr>
        <w:t xml:space="preserve">e </w:t>
      </w:r>
      <w:r w:rsidR="005F65D1">
        <w:rPr>
          <w:rFonts w:cs="Calibri"/>
          <w:szCs w:val="22"/>
        </w:rPr>
        <w:t>Commonwealth Environmental Water Office</w:t>
      </w:r>
      <w:r w:rsidR="005F65D1" w:rsidRPr="00EC14D1">
        <w:rPr>
          <w:rFonts w:cs="Calibri"/>
          <w:szCs w:val="22"/>
        </w:rPr>
        <w:t xml:space="preserve"> has sought to maximize the flows to a level that is acceptable to third parties in the catchment area</w:t>
      </w:r>
      <w:r w:rsidR="005F65D1">
        <w:rPr>
          <w:rFonts w:cs="Calibri"/>
          <w:szCs w:val="22"/>
        </w:rPr>
        <w:t>, current and previous monitoring in this system suggest that larger in-channel flow events will be required to increase the gross primary productivity in this system.</w:t>
      </w:r>
    </w:p>
    <w:p w:rsidR="00DA48E9" w:rsidRDefault="00DA48E9" w:rsidP="00DF65E2">
      <w:pPr>
        <w:spacing w:after="120"/>
        <w:jc w:val="left"/>
      </w:pPr>
      <w:r w:rsidRPr="00DA48E9">
        <w:rPr>
          <w:rFonts w:cs="Calibri"/>
          <w:szCs w:val="22"/>
        </w:rPr>
        <w:t>F</w:t>
      </w:r>
      <w:r>
        <w:t>ish spawning</w:t>
      </w:r>
      <w:r w:rsidR="00DF65E2">
        <w:t xml:space="preserve"> (section 10)</w:t>
      </w:r>
      <w:r>
        <w:t xml:space="preserve">, and </w:t>
      </w:r>
      <w:r w:rsidR="005F65D1">
        <w:t xml:space="preserve">fish </w:t>
      </w:r>
      <w:r>
        <w:t xml:space="preserve">recruitment </w:t>
      </w:r>
      <w:r w:rsidR="00DF65E2">
        <w:t xml:space="preserve">(section 11) </w:t>
      </w:r>
      <w:r>
        <w:t>indicators did not respond to environmental watering action. Although there is good evidence that fish reproduction occurs in this system</w:t>
      </w:r>
      <w:r w:rsidR="005F65D1">
        <w:t xml:space="preserve"> </w:t>
      </w:r>
      <w:r w:rsidR="005F65D1" w:rsidRPr="00E367BE">
        <w:t>(</w:t>
      </w:r>
      <w:r w:rsidR="005F65D1">
        <w:t>n</w:t>
      </w:r>
      <w:r w:rsidR="005F65D1" w:rsidRPr="00E367BE">
        <w:t>ine species collected as larvae in 2014</w:t>
      </w:r>
      <w:r w:rsidR="005F65D1">
        <w:t xml:space="preserve">-15, see section 10; nine </w:t>
      </w:r>
      <w:r w:rsidR="005F65D1" w:rsidRPr="00E367BE">
        <w:t>species collected as larvae in 2013-14</w:t>
      </w:r>
      <w:r w:rsidR="005F65D1">
        <w:t>,</w:t>
      </w:r>
      <w:r w:rsidR="005F65D1" w:rsidRPr="00E367BE">
        <w:t xml:space="preserve"> Watts et al</w:t>
      </w:r>
      <w:r w:rsidR="005F65D1">
        <w:t>.</w:t>
      </w:r>
      <w:r w:rsidR="005F65D1" w:rsidRPr="00E367BE">
        <w:t xml:space="preserve"> 2014)</w:t>
      </w:r>
      <w:r>
        <w:t xml:space="preserve">, </w:t>
      </w:r>
      <w:r w:rsidRPr="00E367BE">
        <w:t xml:space="preserve">the spawning response could not be attributed to </w:t>
      </w:r>
      <w:r>
        <w:t xml:space="preserve">the </w:t>
      </w:r>
      <w:r w:rsidRPr="00E367BE">
        <w:t>watering</w:t>
      </w:r>
      <w:r>
        <w:t xml:space="preserve"> action because a similar level of reproduction occurred in the Wakool River (zone 2) that did not receive environmental water. A</w:t>
      </w:r>
      <w:r w:rsidRPr="00E367BE">
        <w:t xml:space="preserve">lthough there is evidence of </w:t>
      </w:r>
      <w:r>
        <w:t xml:space="preserve">some </w:t>
      </w:r>
      <w:r w:rsidRPr="00E367BE">
        <w:t>recovery in the fish community in areas impacted by the blackwater events in 2010-2012</w:t>
      </w:r>
      <w:r w:rsidR="00DF65E2">
        <w:t xml:space="preserve"> (section 9)</w:t>
      </w:r>
      <w:r w:rsidRPr="00E367BE">
        <w:t xml:space="preserve">, </w:t>
      </w:r>
      <w:r w:rsidRPr="00EC14D1">
        <w:t xml:space="preserve">some of the improvement in the fish community </w:t>
      </w:r>
      <w:r>
        <w:t>is</w:t>
      </w:r>
      <w:r w:rsidRPr="00EC14D1">
        <w:t xml:space="preserve"> </w:t>
      </w:r>
      <w:r>
        <w:t>likely to be</w:t>
      </w:r>
      <w:r w:rsidRPr="00EC14D1">
        <w:t xml:space="preserve"> due to other factors, such as immigration of fish into the system</w:t>
      </w:r>
      <w:r>
        <w:t>.</w:t>
      </w:r>
    </w:p>
    <w:p w:rsidR="00DA48E9" w:rsidRDefault="00DA48E9" w:rsidP="00DF65E2">
      <w:pPr>
        <w:spacing w:after="120"/>
        <w:jc w:val="left"/>
      </w:pPr>
      <w:r w:rsidRPr="001D7084">
        <w:t xml:space="preserve">The responses to Commonwealth environmental watering observed in 2014-15 were consistent with those observed </w:t>
      </w:r>
      <w:r>
        <w:t>previously in this system</w:t>
      </w:r>
      <w:r w:rsidRPr="001D7084">
        <w:t>.</w:t>
      </w:r>
      <w:r>
        <w:t xml:space="preserve"> The good outcomes for dissolved oxygen and </w:t>
      </w:r>
      <w:r w:rsidR="00957E36">
        <w:t xml:space="preserve">aquatic vegetation will help </w:t>
      </w:r>
      <w:r>
        <w:t>improve the system for longer term benefits to be realised, providing habitat for invertebrates and small bodied fish and potentially improving riverine productivity. Good dissolved oxygen levels and increased instream habitat are essential for the long-term health of this system and could lead to improved outcomes for fish in the longer term.</w:t>
      </w:r>
    </w:p>
    <w:p w:rsidR="005F65D1" w:rsidRDefault="00DF65E2" w:rsidP="005F65D1">
      <w:pPr>
        <w:spacing w:after="240"/>
        <w:jc w:val="left"/>
      </w:pPr>
      <w:r w:rsidRPr="00EC14D1">
        <w:t xml:space="preserve">The environmental watering </w:t>
      </w:r>
      <w:r>
        <w:t xml:space="preserve">that was implemented </w:t>
      </w:r>
      <w:r w:rsidRPr="00EC14D1">
        <w:t xml:space="preserve">during the blackwater events of 2010 to 2012 mitigated extreme low dissolved oxygen concentrations (Watts et al. 2013) and created an area of refuge habitat </w:t>
      </w:r>
      <w:r>
        <w:t>and water quality conditions to avoid</w:t>
      </w:r>
      <w:r w:rsidRPr="00EC14D1">
        <w:t xml:space="preserve"> critical loss of fish in the upper reaches of the Wakool River and Yallakool Creek.</w:t>
      </w:r>
      <w:r>
        <w:t xml:space="preserve"> </w:t>
      </w:r>
      <w:r w:rsidRPr="00EC14D1">
        <w:t xml:space="preserve">The benefits of those watering actions </w:t>
      </w:r>
      <w:r>
        <w:t>area still</w:t>
      </w:r>
      <w:r w:rsidRPr="00EC14D1">
        <w:t xml:space="preserve"> evident, with fish populations in </w:t>
      </w:r>
      <w:r>
        <w:t xml:space="preserve">the </w:t>
      </w:r>
      <w:r w:rsidRPr="00EC14D1">
        <w:t xml:space="preserve">upper </w:t>
      </w:r>
      <w:r>
        <w:t>reaches</w:t>
      </w:r>
      <w:r w:rsidRPr="00EC14D1">
        <w:t xml:space="preserve"> </w:t>
      </w:r>
      <w:r>
        <w:t>having</w:t>
      </w:r>
      <w:r w:rsidRPr="00EC14D1">
        <w:t xml:space="preserve"> higher biomass th</w:t>
      </w:r>
      <w:r w:rsidR="00BB548D">
        <w:t xml:space="preserve">an those </w:t>
      </w:r>
      <w:r w:rsidRPr="00EC14D1">
        <w:t>in the lower reaches</w:t>
      </w:r>
      <w:r>
        <w:t xml:space="preserve"> (section 10)</w:t>
      </w:r>
      <w:r w:rsidRPr="00EC14D1">
        <w:t xml:space="preserve">. The long-term recovery of fish populations in this system is </w:t>
      </w:r>
      <w:r>
        <w:t>ongoing.</w:t>
      </w:r>
      <w:r w:rsidRPr="00960AA1">
        <w:t xml:space="preserve"> </w:t>
      </w:r>
      <w:r>
        <w:t>S</w:t>
      </w:r>
      <w:r w:rsidRPr="00EC14D1">
        <w:t xml:space="preserve">ome of the benefits of the Commonwealth environmental watering actions are expected to be realised over a much longer time frame </w:t>
      </w:r>
      <w:r>
        <w:t>and should not be expected to eventuate from a single flow action</w:t>
      </w:r>
      <w:r w:rsidR="00957E36">
        <w:t xml:space="preserve"> or within a single year.</w:t>
      </w:r>
    </w:p>
    <w:p w:rsidR="005F65D1" w:rsidRDefault="00E367BE" w:rsidP="0010739D">
      <w:pPr>
        <w:spacing w:after="0" w:line="240" w:lineRule="auto"/>
        <w:jc w:val="left"/>
        <w:rPr>
          <w:sz w:val="20"/>
        </w:rPr>
      </w:pPr>
      <w:r w:rsidRPr="00E367BE">
        <w:rPr>
          <w:b/>
        </w:rPr>
        <w:t>Table 12.1</w:t>
      </w:r>
      <w:r w:rsidRPr="00E367BE">
        <w:t xml:space="preserve">. </w:t>
      </w:r>
      <w:r w:rsidRPr="00E367BE">
        <w:rPr>
          <w:sz w:val="20"/>
        </w:rPr>
        <w:t>Summary</w:t>
      </w:r>
      <w:r w:rsidRPr="00ED04B8">
        <w:rPr>
          <w:sz w:val="20"/>
        </w:rPr>
        <w:t xml:space="preserve"> of ecosystem responses to Commonwealth environmental watering in the Edward-Wakool system in 2014-15. </w:t>
      </w:r>
    </w:p>
    <w:p w:rsidR="005F65D1" w:rsidRPr="005F65D1" w:rsidRDefault="00F671D2" w:rsidP="0010739D">
      <w:pPr>
        <w:spacing w:after="0" w:line="240" w:lineRule="auto"/>
        <w:ind w:left="357" w:firstLine="357"/>
        <w:rPr>
          <w:sz w:val="20"/>
        </w:rPr>
      </w:pPr>
      <w:r>
        <w:rPr>
          <w:noProof/>
          <w:sz w:val="20"/>
          <w:lang w:eastAsia="en-AU"/>
        </w:rPr>
        <w:pict>
          <v:roundrect id="Rounded Rectangle 841" o:spid="_x0000_s1404" style="position:absolute;left:0;text-align:left;margin-left:-.05pt;margin-top:.5pt;width:16.95pt;height:8.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" fillcolor="#c2d69b [1942]" strokecolor="#76923c [2406]">
            <w10:wrap anchorx="margin"/>
          </v:roundrect>
        </w:pict>
      </w:r>
      <w:r w:rsidR="0010739D">
        <w:rPr>
          <w:sz w:val="20"/>
        </w:rPr>
        <w:t>P</w:t>
      </w:r>
      <w:r w:rsidR="005F65D1" w:rsidRPr="005F65D1">
        <w:rPr>
          <w:sz w:val="20"/>
        </w:rPr>
        <w:t>ositive response to environmental watering (green)</w:t>
      </w:r>
    </w:p>
    <w:p w:rsidR="005F65D1" w:rsidRPr="005F65D1" w:rsidRDefault="00F671D2" w:rsidP="0010739D">
      <w:pPr>
        <w:pStyle w:val="ListParagraph"/>
        <w:spacing w:after="0" w:line="240" w:lineRule="auto"/>
        <w:ind w:left="714"/>
        <w:rPr>
          <w:sz w:val="20"/>
        </w:rPr>
      </w:pPr>
      <w:r>
        <w:rPr>
          <w:noProof/>
          <w:sz w:val="20"/>
          <w:lang w:eastAsia="en-AU"/>
        </w:rPr>
        <w:pict>
          <v:roundrect id="Rounded Rectangle 842" o:spid="_x0000_s1403" style="position:absolute;left:0;text-align:left;margin-left:-.05pt;margin-top:.25pt;width:16.95pt;height:8.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" fillcolor="#d99594 [1941]" strokecolor="#943634 [2405]">
            <w10:wrap anchorx="margin"/>
          </v:roundrect>
        </w:pict>
      </w:r>
      <w:r w:rsidR="005F65D1" w:rsidRPr="005F65D1">
        <w:rPr>
          <w:sz w:val="20"/>
        </w:rPr>
        <w:t>Negative response to environmental watering (red)</w:t>
      </w:r>
    </w:p>
    <w:p w:rsidR="005F65D1" w:rsidRPr="005F65D1" w:rsidRDefault="00F671D2" w:rsidP="0010739D">
      <w:pPr>
        <w:spacing w:after="0" w:line="240" w:lineRule="auto"/>
        <w:ind w:firstLine="714"/>
        <w:rPr>
          <w:sz w:val="20"/>
        </w:rPr>
      </w:pPr>
      <w:r>
        <w:rPr>
          <w:noProof/>
          <w:sz w:val="20"/>
          <w:lang w:eastAsia="en-AU"/>
        </w:rPr>
        <w:pict>
          <v:roundrect id="Rounded Rectangle 843" o:spid="_x0000_s1402" style="position:absolute;left:0;text-align:left;margin-left:-.05pt;margin-top:1.2pt;width:16.95pt;height:8.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" fillcolor="#a5a5a5 [2092]" strokecolor="#a5a5a5 [2092]">
            <w10:wrap anchorx="margin"/>
          </v:roundrect>
        </w:pict>
      </w:r>
      <w:r w:rsidR="005F65D1" w:rsidRPr="005F65D1">
        <w:rPr>
          <w:sz w:val="20"/>
        </w:rPr>
        <w:t xml:space="preserve">No detectable response to environmental watering </w:t>
      </w:r>
      <w:r w:rsidR="0010739D">
        <w:rPr>
          <w:sz w:val="20"/>
        </w:rPr>
        <w:t>(neither positive n</w:t>
      </w:r>
      <w:r w:rsidR="005F65D1" w:rsidRPr="005F65D1">
        <w:rPr>
          <w:sz w:val="20"/>
        </w:rPr>
        <w:t>or negative response) (grey)</w:t>
      </w:r>
    </w:p>
    <w:p w:rsidR="00E367BE" w:rsidRPr="0010739D" w:rsidRDefault="00F671D2" w:rsidP="0010739D">
      <w:pPr>
        <w:spacing w:after="120" w:line="240" w:lineRule="auto"/>
        <w:ind w:firstLine="714"/>
        <w:rPr>
          <w:sz w:val="20"/>
        </w:rPr>
      </w:pPr>
      <w:r>
        <w:rPr>
          <w:noProof/>
          <w:sz w:val="20"/>
          <w:lang w:eastAsia="en-AU"/>
        </w:rPr>
        <w:pict>
          <v:roundrect id="Rounded Rectangle 844" o:spid="_x0000_s1401" style="position:absolute;left:0;text-align:left;margin-left:-.05pt;margin-top:.6pt;width:16.95pt;height:8.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" fillcolor="white [3212]" strokecolor="black [3213]">
            <w10:wrap anchorx="margin"/>
          </v:roundrect>
        </w:pict>
      </w:r>
      <w:r w:rsidR="0010739D">
        <w:rPr>
          <w:sz w:val="20"/>
        </w:rPr>
        <w:t>N/A No evaluation undertaken</w:t>
      </w:r>
      <w:r w:rsidR="005F65D1" w:rsidRPr="005F65D1">
        <w:rPr>
          <w:sz w:val="20"/>
        </w:rPr>
        <w:t xml:space="preserve"> by this project (white)</w:t>
      </w: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55"/>
        <w:gridCol w:w="2268"/>
        <w:gridCol w:w="1842"/>
        <w:gridCol w:w="1843"/>
        <w:gridCol w:w="1701"/>
      </w:tblGrid>
      <w:tr w:rsidR="00E367BE" w:rsidRPr="008D4AE6" w:rsidTr="00C636B2">
        <w:trPr>
          <w:trHeight w:val="1247"/>
        </w:trPr>
        <w:tc>
          <w:tcPr>
            <w:tcW w:w="1555" w:type="dxa"/>
            <w:shd w:val="clear" w:color="auto" w:fill="auto"/>
          </w:tcPr>
          <w:p w:rsidR="00E367BE" w:rsidRPr="008D4AE6" w:rsidRDefault="00E367BE" w:rsidP="00C636B2">
            <w:pPr>
              <w:rPr>
                <w:b/>
                <w:sz w:val="20"/>
              </w:rPr>
            </w:pPr>
            <w:r w:rsidRPr="008D4AE6">
              <w:rPr>
                <w:b/>
                <w:sz w:val="20"/>
              </w:rPr>
              <w:t>Indicators</w:t>
            </w:r>
          </w:p>
        </w:tc>
        <w:tc>
          <w:tcPr>
            <w:tcW w:w="2268" w:type="dxa"/>
          </w:tcPr>
          <w:p w:rsidR="00E367BE" w:rsidRPr="007518FC" w:rsidRDefault="00E367BE" w:rsidP="00C636B2">
            <w:pPr>
              <w:spacing w:after="0" w:line="240" w:lineRule="auto"/>
              <w:rPr>
                <w:b/>
                <w:sz w:val="20"/>
              </w:rPr>
            </w:pPr>
            <w:r>
              <w:rPr>
                <w:b/>
                <w:sz w:val="20"/>
              </w:rPr>
              <w:t>Dependant variable</w:t>
            </w:r>
          </w:p>
        </w:tc>
        <w:tc>
          <w:tcPr>
            <w:tcW w:w="1842" w:type="dxa"/>
            <w:shd w:val="clear" w:color="auto" w:fill="auto"/>
            <w:tcMar>
              <w:left w:w="57" w:type="dxa"/>
              <w:right w:w="57" w:type="dxa"/>
            </w:tcMar>
          </w:tcPr>
          <w:p w:rsidR="00E367BE" w:rsidRDefault="00E367BE" w:rsidP="00C636B2">
            <w:pPr>
              <w:spacing w:after="0" w:line="240" w:lineRule="auto"/>
              <w:jc w:val="left"/>
              <w:rPr>
                <w:b/>
                <w:sz w:val="20"/>
              </w:rPr>
            </w:pPr>
            <w:r>
              <w:rPr>
                <w:b/>
                <w:sz w:val="20"/>
              </w:rPr>
              <w:t>Short-term response</w:t>
            </w:r>
            <w:r w:rsidRPr="007518FC">
              <w:rPr>
                <w:b/>
                <w:sz w:val="20"/>
              </w:rPr>
              <w:t xml:space="preserve"> to </w:t>
            </w:r>
            <w:r>
              <w:rPr>
                <w:b/>
                <w:sz w:val="20"/>
              </w:rPr>
              <w:t>Yallakool Creek   e-watering event (Aug 2014-Jan 2015)</w:t>
            </w:r>
          </w:p>
          <w:p w:rsidR="00E367BE" w:rsidRPr="007518FC" w:rsidRDefault="00E367BE" w:rsidP="00C636B2">
            <w:pPr>
              <w:spacing w:after="0" w:line="240" w:lineRule="auto"/>
              <w:jc w:val="left"/>
              <w:rPr>
                <w:b/>
                <w:sz w:val="20"/>
              </w:rPr>
            </w:pPr>
            <w:r>
              <w:rPr>
                <w:b/>
                <w:sz w:val="20"/>
              </w:rPr>
              <w:t>(&lt; 1 year)</w:t>
            </w:r>
          </w:p>
        </w:tc>
        <w:tc>
          <w:tcPr>
            <w:tcW w:w="1843" w:type="dxa"/>
            <w:tcMar>
              <w:left w:w="57" w:type="dxa"/>
              <w:right w:w="57" w:type="dxa"/>
            </w:tcMar>
          </w:tcPr>
          <w:p w:rsidR="00E367BE" w:rsidRDefault="00E367BE" w:rsidP="00C636B2">
            <w:pPr>
              <w:spacing w:after="0" w:line="240" w:lineRule="auto"/>
              <w:jc w:val="left"/>
              <w:rPr>
                <w:b/>
                <w:sz w:val="20"/>
              </w:rPr>
            </w:pPr>
            <w:r>
              <w:rPr>
                <w:b/>
                <w:sz w:val="20"/>
              </w:rPr>
              <w:t>Response to             e-watering assessed across 2014-15 watering year</w:t>
            </w:r>
          </w:p>
          <w:p w:rsidR="00E367BE" w:rsidRPr="008D4AE6" w:rsidRDefault="00E367BE" w:rsidP="00C636B2">
            <w:pPr>
              <w:spacing w:after="0" w:line="240" w:lineRule="auto"/>
              <w:jc w:val="left"/>
              <w:rPr>
                <w:b/>
                <w:sz w:val="20"/>
              </w:rPr>
            </w:pPr>
            <w:r>
              <w:rPr>
                <w:b/>
                <w:sz w:val="20"/>
              </w:rPr>
              <w:t>(1 year)</w:t>
            </w:r>
          </w:p>
        </w:tc>
        <w:tc>
          <w:tcPr>
            <w:tcW w:w="1701" w:type="dxa"/>
            <w:shd w:val="clear" w:color="auto" w:fill="auto"/>
            <w:tcMar>
              <w:left w:w="57" w:type="dxa"/>
              <w:right w:w="57" w:type="dxa"/>
            </w:tcMar>
          </w:tcPr>
          <w:p w:rsidR="00E367BE" w:rsidRDefault="00E367BE" w:rsidP="00C636B2">
            <w:pPr>
              <w:spacing w:after="0" w:line="240" w:lineRule="auto"/>
              <w:jc w:val="left"/>
              <w:rPr>
                <w:b/>
                <w:sz w:val="20"/>
              </w:rPr>
            </w:pPr>
            <w:r w:rsidRPr="008D4AE6">
              <w:rPr>
                <w:b/>
                <w:sz w:val="20"/>
              </w:rPr>
              <w:t>L</w:t>
            </w:r>
            <w:r>
              <w:rPr>
                <w:b/>
                <w:sz w:val="20"/>
              </w:rPr>
              <w:t>onger-term response</w:t>
            </w:r>
            <w:r w:rsidRPr="008D4AE6">
              <w:rPr>
                <w:b/>
                <w:sz w:val="20"/>
              </w:rPr>
              <w:t xml:space="preserve"> </w:t>
            </w:r>
            <w:r>
              <w:rPr>
                <w:b/>
                <w:sz w:val="20"/>
              </w:rPr>
              <w:t>to              e-watering</w:t>
            </w:r>
          </w:p>
          <w:p w:rsidR="00E367BE" w:rsidRPr="008D4AE6" w:rsidRDefault="00E367BE" w:rsidP="00C636B2">
            <w:pPr>
              <w:spacing w:after="0" w:line="240" w:lineRule="auto"/>
              <w:jc w:val="left"/>
              <w:rPr>
                <w:b/>
                <w:sz w:val="20"/>
              </w:rPr>
            </w:pPr>
            <w:r w:rsidRPr="008D4AE6">
              <w:rPr>
                <w:b/>
                <w:sz w:val="20"/>
              </w:rPr>
              <w:t>(</w:t>
            </w:r>
            <w:r>
              <w:rPr>
                <w:b/>
                <w:sz w:val="20"/>
              </w:rPr>
              <w:t xml:space="preserve">assessed across  1-5 </w:t>
            </w:r>
            <w:r w:rsidRPr="008D4AE6">
              <w:rPr>
                <w:b/>
                <w:sz w:val="20"/>
              </w:rPr>
              <w:t>years)</w:t>
            </w:r>
          </w:p>
        </w:tc>
      </w:tr>
      <w:tr w:rsidR="00E367BE" w:rsidRPr="00287858" w:rsidTr="003F4225">
        <w:trPr>
          <w:trHeight w:val="273"/>
        </w:trPr>
        <w:tc>
          <w:tcPr>
            <w:tcW w:w="1555" w:type="dxa"/>
            <w:vMerge w:val="restart"/>
            <w:tcMar>
              <w:left w:w="57" w:type="dxa"/>
              <w:right w:w="57" w:type="dxa"/>
            </w:tcMar>
          </w:tcPr>
          <w:p w:rsidR="00E367BE" w:rsidRPr="00DE3187" w:rsidRDefault="00E367BE" w:rsidP="00C636B2">
            <w:pPr>
              <w:spacing w:after="0" w:line="240" w:lineRule="auto"/>
              <w:rPr>
                <w:b/>
                <w:sz w:val="18"/>
                <w:szCs w:val="18"/>
              </w:rPr>
            </w:pPr>
            <w:r>
              <w:rPr>
                <w:b/>
                <w:sz w:val="18"/>
                <w:szCs w:val="18"/>
              </w:rPr>
              <w:t>Hydrology</w:t>
            </w:r>
          </w:p>
        </w:tc>
        <w:tc>
          <w:tcPr>
            <w:tcW w:w="2268" w:type="dxa"/>
            <w:tcBorders>
              <w:bottom w:val="single" w:sz="4" w:space="0" w:color="000000"/>
            </w:tcBorders>
            <w:shd w:val="clear" w:color="auto" w:fill="auto"/>
          </w:tcPr>
          <w:p w:rsidR="00E367BE" w:rsidRPr="00A11AF6" w:rsidRDefault="00E367BE" w:rsidP="00C636B2">
            <w:pPr>
              <w:spacing w:after="0" w:line="240" w:lineRule="auto"/>
              <w:jc w:val="left"/>
              <w:rPr>
                <w:sz w:val="16"/>
                <w:szCs w:val="16"/>
              </w:rPr>
            </w:pPr>
            <w:r>
              <w:rPr>
                <w:sz w:val="18"/>
                <w:szCs w:val="18"/>
              </w:rPr>
              <w:t>Hydrological connectivity</w:t>
            </w:r>
          </w:p>
        </w:tc>
        <w:tc>
          <w:tcPr>
            <w:tcW w:w="1842" w:type="dxa"/>
            <w:tcBorders>
              <w:bottom w:val="single" w:sz="4" w:space="0" w:color="000000"/>
            </w:tcBorders>
            <w:shd w:val="clear" w:color="auto" w:fill="C2D69B" w:themeFill="accent3" w:themeFillTint="99"/>
            <w:tcMar>
              <w:left w:w="57" w:type="dxa"/>
              <w:right w:w="57" w:type="dxa"/>
            </w:tcMar>
          </w:tcPr>
          <w:p w:rsidR="00E367BE" w:rsidRPr="00A11AF6" w:rsidRDefault="00E367BE" w:rsidP="00C636B2">
            <w:pPr>
              <w:spacing w:after="0" w:line="240" w:lineRule="auto"/>
              <w:jc w:val="center"/>
              <w:rPr>
                <w:sz w:val="16"/>
                <w:szCs w:val="16"/>
              </w:rPr>
            </w:pPr>
          </w:p>
        </w:tc>
        <w:tc>
          <w:tcPr>
            <w:tcW w:w="1843" w:type="dxa"/>
            <w:tcBorders>
              <w:bottom w:val="single" w:sz="4" w:space="0" w:color="000000"/>
            </w:tcBorders>
            <w:shd w:val="clear" w:color="auto" w:fill="C2D69B" w:themeFill="accent3" w:themeFillTint="99"/>
          </w:tcPr>
          <w:p w:rsidR="00E367BE" w:rsidRPr="00A11AF6" w:rsidRDefault="00E367BE" w:rsidP="00C636B2">
            <w:pPr>
              <w:spacing w:after="0" w:line="240" w:lineRule="auto"/>
              <w:jc w:val="center"/>
              <w:rPr>
                <w:rFonts w:asciiTheme="minorHAnsi" w:hAnsiTheme="minorHAnsi" w:cstheme="minorHAnsi"/>
                <w:sz w:val="16"/>
                <w:szCs w:val="16"/>
              </w:rPr>
            </w:pPr>
          </w:p>
        </w:tc>
        <w:tc>
          <w:tcPr>
            <w:tcW w:w="1701" w:type="dxa"/>
            <w:vMerge w:val="restart"/>
            <w:shd w:val="clear" w:color="auto" w:fill="auto"/>
            <w:tcMar>
              <w:left w:w="57" w:type="dxa"/>
              <w:right w:w="57" w:type="dxa"/>
            </w:tcMar>
          </w:tcPr>
          <w:p w:rsidR="00E367BE" w:rsidRDefault="00E367BE" w:rsidP="00C636B2">
            <w:pPr>
              <w:spacing w:after="0" w:line="240" w:lineRule="auto"/>
              <w:jc w:val="center"/>
              <w:rPr>
                <w:sz w:val="16"/>
                <w:szCs w:val="16"/>
              </w:rPr>
            </w:pPr>
            <w:r>
              <w:rPr>
                <w:sz w:val="16"/>
                <w:szCs w:val="16"/>
              </w:rPr>
              <w:t>N/A</w:t>
            </w:r>
          </w:p>
          <w:p w:rsidR="00E367BE" w:rsidRDefault="00E367BE" w:rsidP="00C636B2">
            <w:pPr>
              <w:spacing w:after="0" w:line="240" w:lineRule="auto"/>
              <w:jc w:val="center"/>
              <w:rPr>
                <w:sz w:val="16"/>
                <w:szCs w:val="16"/>
              </w:rPr>
            </w:pPr>
          </w:p>
          <w:p w:rsidR="00E367BE" w:rsidRPr="00EB3A5C" w:rsidRDefault="00E367BE" w:rsidP="00C636B2">
            <w:pPr>
              <w:spacing w:after="0" w:line="240" w:lineRule="auto"/>
              <w:jc w:val="center"/>
              <w:rPr>
                <w:sz w:val="16"/>
                <w:szCs w:val="16"/>
              </w:rPr>
            </w:pPr>
            <w:r>
              <w:rPr>
                <w:sz w:val="16"/>
                <w:szCs w:val="16"/>
              </w:rPr>
              <w:t>TO BE ASSESSED IN YEARS 2 TO 5 OF THE LONG-TERM INTERVENTION MONITORING PROJECT</w:t>
            </w:r>
          </w:p>
          <w:p w:rsidR="00E367BE" w:rsidRPr="00A11AF6" w:rsidRDefault="00E367BE" w:rsidP="00C636B2">
            <w:pPr>
              <w:spacing w:after="0" w:line="240" w:lineRule="auto"/>
              <w:jc w:val="center"/>
              <w:rPr>
                <w:sz w:val="16"/>
                <w:szCs w:val="16"/>
              </w:rPr>
            </w:pPr>
          </w:p>
        </w:tc>
      </w:tr>
      <w:tr w:rsidR="00E367BE" w:rsidRPr="00287858" w:rsidTr="00C636B2">
        <w:trPr>
          <w:trHeight w:val="263"/>
        </w:trPr>
        <w:tc>
          <w:tcPr>
            <w:tcW w:w="1555" w:type="dxa"/>
            <w:vMerge/>
            <w:tcBorders>
              <w:bottom w:val="single" w:sz="4" w:space="0" w:color="000000"/>
            </w:tcBorders>
            <w:tcMar>
              <w:left w:w="57" w:type="dxa"/>
              <w:right w:w="57" w:type="dxa"/>
            </w:tcMar>
          </w:tcPr>
          <w:p w:rsidR="00E367BE" w:rsidRDefault="00E367BE" w:rsidP="00C636B2">
            <w:pPr>
              <w:spacing w:after="0" w:line="240" w:lineRule="auto"/>
              <w:rPr>
                <w:b/>
                <w:sz w:val="18"/>
                <w:szCs w:val="18"/>
              </w:rPr>
            </w:pPr>
          </w:p>
        </w:tc>
        <w:tc>
          <w:tcPr>
            <w:tcW w:w="2268" w:type="dxa"/>
            <w:tcBorders>
              <w:bottom w:val="single" w:sz="4" w:space="0" w:color="000000"/>
            </w:tcBorders>
            <w:shd w:val="clear" w:color="auto" w:fill="auto"/>
          </w:tcPr>
          <w:p w:rsidR="00E367BE" w:rsidRPr="00A11AF6" w:rsidRDefault="00E367BE" w:rsidP="00C636B2">
            <w:pPr>
              <w:spacing w:after="0" w:line="240" w:lineRule="auto"/>
              <w:jc w:val="left"/>
              <w:rPr>
                <w:sz w:val="18"/>
                <w:szCs w:val="18"/>
              </w:rPr>
            </w:pPr>
            <w:r>
              <w:rPr>
                <w:sz w:val="18"/>
                <w:szCs w:val="18"/>
              </w:rPr>
              <w:t>Coefficient of variation of discharge</w:t>
            </w:r>
          </w:p>
        </w:tc>
        <w:tc>
          <w:tcPr>
            <w:tcW w:w="1842" w:type="dxa"/>
            <w:tcBorders>
              <w:bottom w:val="single" w:sz="4" w:space="0" w:color="000000"/>
            </w:tcBorders>
            <w:shd w:val="clear" w:color="auto" w:fill="auto"/>
            <w:tcMar>
              <w:left w:w="57" w:type="dxa"/>
              <w:right w:w="57" w:type="dxa"/>
            </w:tcMar>
          </w:tcPr>
          <w:p w:rsidR="00E367BE" w:rsidRPr="00A11AF6" w:rsidRDefault="00E367BE" w:rsidP="00C636B2">
            <w:pPr>
              <w:spacing w:after="0" w:line="240" w:lineRule="auto"/>
              <w:jc w:val="center"/>
              <w:rPr>
                <w:sz w:val="16"/>
                <w:szCs w:val="16"/>
              </w:rPr>
            </w:pPr>
            <w:r>
              <w:rPr>
                <w:sz w:val="16"/>
                <w:szCs w:val="16"/>
              </w:rPr>
              <w:t>N/A</w:t>
            </w:r>
          </w:p>
        </w:tc>
        <w:tc>
          <w:tcPr>
            <w:tcW w:w="1843" w:type="dxa"/>
            <w:tcBorders>
              <w:bottom w:val="single" w:sz="4" w:space="0" w:color="000000"/>
            </w:tcBorders>
            <w:shd w:val="clear" w:color="auto" w:fill="C2D69B" w:themeFill="accent3" w:themeFillTint="99"/>
          </w:tcPr>
          <w:p w:rsidR="00E367BE" w:rsidRPr="00A11AF6" w:rsidRDefault="009F4D23" w:rsidP="00C636B2">
            <w:pPr>
              <w:spacing w:after="0" w:line="240" w:lineRule="auto"/>
              <w:jc w:val="center"/>
              <w:rPr>
                <w:rFonts w:asciiTheme="minorHAnsi" w:hAnsiTheme="minorHAnsi" w:cstheme="minorHAnsi"/>
                <w:sz w:val="16"/>
                <w:szCs w:val="16"/>
              </w:rPr>
            </w:pPr>
            <w:r>
              <w:rPr>
                <w:rFonts w:asciiTheme="minorHAnsi" w:hAnsiTheme="minorHAnsi" w:cstheme="minorHAnsi"/>
                <w:sz w:val="16"/>
                <w:szCs w:val="16"/>
              </w:rPr>
              <w:t>z</w:t>
            </w:r>
            <w:r w:rsidR="00E367BE">
              <w:rPr>
                <w:rFonts w:asciiTheme="minorHAnsi" w:hAnsiTheme="minorHAnsi" w:cstheme="minorHAnsi"/>
                <w:sz w:val="16"/>
                <w:szCs w:val="16"/>
              </w:rPr>
              <w:t>one 3 and 4 only</w:t>
            </w:r>
          </w:p>
        </w:tc>
        <w:tc>
          <w:tcPr>
            <w:tcW w:w="1701" w:type="dxa"/>
            <w:vMerge/>
            <w:shd w:val="clear" w:color="auto" w:fill="auto"/>
            <w:tcMar>
              <w:left w:w="57" w:type="dxa"/>
              <w:right w:w="57" w:type="dxa"/>
            </w:tcMar>
          </w:tcPr>
          <w:p w:rsidR="00E367BE" w:rsidRPr="00A11AF6" w:rsidRDefault="00E367BE" w:rsidP="00C636B2">
            <w:pPr>
              <w:spacing w:after="0" w:line="240" w:lineRule="auto"/>
              <w:jc w:val="center"/>
              <w:rPr>
                <w:sz w:val="16"/>
                <w:szCs w:val="16"/>
              </w:rPr>
            </w:pPr>
          </w:p>
        </w:tc>
      </w:tr>
      <w:tr w:rsidR="00F45EF8" w:rsidRPr="00287858" w:rsidTr="00C636B2">
        <w:trPr>
          <w:trHeight w:val="390"/>
        </w:trPr>
        <w:tc>
          <w:tcPr>
            <w:tcW w:w="1555" w:type="dxa"/>
            <w:vMerge w:val="restart"/>
            <w:tcMar>
              <w:left w:w="57" w:type="dxa"/>
              <w:right w:w="57" w:type="dxa"/>
            </w:tcMar>
          </w:tcPr>
          <w:p w:rsidR="00F45EF8" w:rsidRPr="00DE3187" w:rsidRDefault="00F45EF8" w:rsidP="00C636B2">
            <w:pPr>
              <w:spacing w:after="0" w:line="240" w:lineRule="auto"/>
              <w:rPr>
                <w:b/>
                <w:sz w:val="18"/>
                <w:szCs w:val="18"/>
              </w:rPr>
            </w:pPr>
            <w:r>
              <w:rPr>
                <w:b/>
                <w:sz w:val="18"/>
                <w:szCs w:val="18"/>
              </w:rPr>
              <w:t>Hydraulic modelling</w:t>
            </w:r>
          </w:p>
        </w:tc>
        <w:tc>
          <w:tcPr>
            <w:tcW w:w="2268" w:type="dxa"/>
            <w:tcBorders>
              <w:bottom w:val="single" w:sz="4" w:space="0" w:color="000000"/>
            </w:tcBorders>
            <w:shd w:val="clear" w:color="auto" w:fill="auto"/>
          </w:tcPr>
          <w:p w:rsidR="00F45EF8" w:rsidRPr="00A11AF6" w:rsidRDefault="00F45EF8" w:rsidP="00C636B2">
            <w:pPr>
              <w:spacing w:after="0" w:line="240" w:lineRule="auto"/>
              <w:jc w:val="left"/>
              <w:rPr>
                <w:sz w:val="18"/>
                <w:szCs w:val="18"/>
              </w:rPr>
            </w:pPr>
            <w:r>
              <w:rPr>
                <w:sz w:val="18"/>
                <w:szCs w:val="18"/>
              </w:rPr>
              <w:t>In-channel w</w:t>
            </w:r>
            <w:r w:rsidRPr="00A11AF6">
              <w:rPr>
                <w:sz w:val="18"/>
                <w:szCs w:val="18"/>
              </w:rPr>
              <w:t>etted benthic ar</w:t>
            </w:r>
            <w:r>
              <w:rPr>
                <w:sz w:val="18"/>
                <w:szCs w:val="18"/>
              </w:rPr>
              <w:t>ea</w:t>
            </w:r>
          </w:p>
        </w:tc>
        <w:tc>
          <w:tcPr>
            <w:tcW w:w="1842" w:type="dxa"/>
            <w:tcBorders>
              <w:bottom w:val="single" w:sz="4" w:space="0" w:color="000000"/>
            </w:tcBorders>
            <w:shd w:val="clear" w:color="auto" w:fill="C2D69B" w:themeFill="accent3" w:themeFillTint="99"/>
            <w:tcMar>
              <w:left w:w="57" w:type="dxa"/>
              <w:right w:w="57" w:type="dxa"/>
            </w:tcMar>
          </w:tcPr>
          <w:p w:rsidR="00F45EF8" w:rsidRPr="00A11AF6" w:rsidRDefault="00F45EF8" w:rsidP="00C636B2">
            <w:pPr>
              <w:spacing w:after="0" w:line="240" w:lineRule="auto"/>
              <w:jc w:val="center"/>
              <w:rPr>
                <w:sz w:val="16"/>
                <w:szCs w:val="16"/>
              </w:rPr>
            </w:pPr>
          </w:p>
        </w:tc>
        <w:tc>
          <w:tcPr>
            <w:tcW w:w="1843" w:type="dxa"/>
            <w:tcBorders>
              <w:bottom w:val="single" w:sz="4" w:space="0" w:color="000000"/>
            </w:tcBorders>
            <w:shd w:val="clear" w:color="auto" w:fill="auto"/>
          </w:tcPr>
          <w:p w:rsidR="00F45EF8" w:rsidRPr="00A11AF6" w:rsidRDefault="00F45EF8" w:rsidP="00C636B2">
            <w:pPr>
              <w:spacing w:after="0" w:line="240" w:lineRule="auto"/>
              <w:jc w:val="center"/>
              <w:rPr>
                <w:rFonts w:asciiTheme="minorHAnsi" w:hAnsiTheme="minorHAnsi" w:cstheme="minorHAnsi"/>
                <w:sz w:val="16"/>
                <w:szCs w:val="16"/>
              </w:rPr>
            </w:pPr>
            <w:r>
              <w:rPr>
                <w:rFonts w:asciiTheme="minorHAnsi" w:hAnsiTheme="minorHAnsi" w:cstheme="minorHAnsi"/>
                <w:sz w:val="16"/>
                <w:szCs w:val="16"/>
              </w:rPr>
              <w:t>N/A</w:t>
            </w:r>
          </w:p>
        </w:tc>
        <w:tc>
          <w:tcPr>
            <w:tcW w:w="1701" w:type="dxa"/>
            <w:vMerge/>
            <w:shd w:val="clear" w:color="auto" w:fill="auto"/>
            <w:tcMar>
              <w:left w:w="57" w:type="dxa"/>
              <w:right w:w="57" w:type="dxa"/>
            </w:tcMar>
          </w:tcPr>
          <w:p w:rsidR="00F45EF8" w:rsidRPr="00A11AF6" w:rsidRDefault="00F45EF8" w:rsidP="00C636B2">
            <w:pPr>
              <w:spacing w:after="0" w:line="240" w:lineRule="auto"/>
              <w:jc w:val="center"/>
              <w:rPr>
                <w:sz w:val="16"/>
                <w:szCs w:val="16"/>
              </w:rPr>
            </w:pPr>
          </w:p>
        </w:tc>
      </w:tr>
      <w:tr w:rsidR="00F45EF8" w:rsidRPr="00287858" w:rsidTr="00C636B2">
        <w:trPr>
          <w:trHeight w:val="390"/>
        </w:trPr>
        <w:tc>
          <w:tcPr>
            <w:tcW w:w="1555" w:type="dxa"/>
            <w:vMerge/>
            <w:tcMar>
              <w:left w:w="57" w:type="dxa"/>
              <w:right w:w="57" w:type="dxa"/>
            </w:tcMar>
          </w:tcPr>
          <w:p w:rsidR="00F45EF8" w:rsidRDefault="00F45EF8" w:rsidP="00C636B2">
            <w:pPr>
              <w:spacing w:after="0" w:line="240" w:lineRule="auto"/>
              <w:rPr>
                <w:b/>
                <w:sz w:val="18"/>
                <w:szCs w:val="18"/>
              </w:rPr>
            </w:pPr>
          </w:p>
        </w:tc>
        <w:tc>
          <w:tcPr>
            <w:tcW w:w="2268" w:type="dxa"/>
            <w:tcBorders>
              <w:bottom w:val="single" w:sz="4" w:space="0" w:color="000000"/>
            </w:tcBorders>
            <w:shd w:val="clear" w:color="auto" w:fill="auto"/>
          </w:tcPr>
          <w:p w:rsidR="00F45EF8" w:rsidRPr="00A11AF6" w:rsidRDefault="00F45EF8" w:rsidP="00C636B2">
            <w:pPr>
              <w:spacing w:after="0" w:line="240" w:lineRule="auto"/>
              <w:jc w:val="left"/>
              <w:rPr>
                <w:sz w:val="18"/>
                <w:szCs w:val="18"/>
              </w:rPr>
            </w:pPr>
            <w:r w:rsidRPr="00A11AF6">
              <w:rPr>
                <w:sz w:val="18"/>
                <w:szCs w:val="18"/>
              </w:rPr>
              <w:t>Area of slackwater</w:t>
            </w:r>
          </w:p>
        </w:tc>
        <w:tc>
          <w:tcPr>
            <w:tcW w:w="1842" w:type="dxa"/>
            <w:tcBorders>
              <w:bottom w:val="single" w:sz="4" w:space="0" w:color="000000"/>
            </w:tcBorders>
            <w:shd w:val="clear" w:color="auto" w:fill="C2D69B" w:themeFill="accent3" w:themeFillTint="99"/>
            <w:tcMar>
              <w:left w:w="57" w:type="dxa"/>
              <w:right w:w="57" w:type="dxa"/>
            </w:tcMar>
          </w:tcPr>
          <w:p w:rsidR="00F45EF8" w:rsidRPr="00A11AF6" w:rsidRDefault="009F4D23" w:rsidP="00524156">
            <w:pPr>
              <w:spacing w:after="0" w:line="240" w:lineRule="auto"/>
              <w:jc w:val="center"/>
              <w:rPr>
                <w:sz w:val="16"/>
                <w:szCs w:val="16"/>
              </w:rPr>
            </w:pPr>
            <w:r>
              <w:rPr>
                <w:sz w:val="16"/>
                <w:szCs w:val="16"/>
              </w:rPr>
              <w:t>z</w:t>
            </w:r>
            <w:r w:rsidR="00F45EF8">
              <w:rPr>
                <w:sz w:val="16"/>
                <w:szCs w:val="16"/>
              </w:rPr>
              <w:t>one 3 and 4 only</w:t>
            </w:r>
          </w:p>
        </w:tc>
        <w:tc>
          <w:tcPr>
            <w:tcW w:w="1843" w:type="dxa"/>
            <w:tcBorders>
              <w:bottom w:val="single" w:sz="4" w:space="0" w:color="000000"/>
            </w:tcBorders>
            <w:shd w:val="clear" w:color="auto" w:fill="auto"/>
          </w:tcPr>
          <w:p w:rsidR="00F45EF8" w:rsidRPr="00A11AF6" w:rsidRDefault="00F45EF8" w:rsidP="00C636B2">
            <w:pPr>
              <w:spacing w:after="0" w:line="240" w:lineRule="auto"/>
              <w:jc w:val="center"/>
              <w:rPr>
                <w:rFonts w:asciiTheme="minorHAnsi" w:hAnsiTheme="minorHAnsi" w:cstheme="minorHAnsi"/>
                <w:sz w:val="16"/>
                <w:szCs w:val="16"/>
              </w:rPr>
            </w:pPr>
            <w:r>
              <w:rPr>
                <w:rFonts w:asciiTheme="minorHAnsi" w:hAnsiTheme="minorHAnsi" w:cstheme="minorHAnsi"/>
                <w:sz w:val="16"/>
                <w:szCs w:val="16"/>
              </w:rPr>
              <w:t>N/A</w:t>
            </w:r>
          </w:p>
        </w:tc>
        <w:tc>
          <w:tcPr>
            <w:tcW w:w="1701" w:type="dxa"/>
            <w:vMerge/>
            <w:shd w:val="clear" w:color="auto" w:fill="auto"/>
            <w:tcMar>
              <w:left w:w="57" w:type="dxa"/>
              <w:right w:w="57" w:type="dxa"/>
            </w:tcMar>
          </w:tcPr>
          <w:p w:rsidR="00F45EF8" w:rsidRPr="00A11AF6" w:rsidRDefault="00F45EF8" w:rsidP="00C636B2">
            <w:pPr>
              <w:spacing w:after="0" w:line="240" w:lineRule="auto"/>
              <w:jc w:val="center"/>
              <w:rPr>
                <w:sz w:val="16"/>
                <w:szCs w:val="16"/>
              </w:rPr>
            </w:pPr>
          </w:p>
        </w:tc>
      </w:tr>
      <w:tr w:rsidR="00F45EF8" w:rsidRPr="00287858" w:rsidTr="00C636B2">
        <w:trPr>
          <w:trHeight w:val="390"/>
        </w:trPr>
        <w:tc>
          <w:tcPr>
            <w:tcW w:w="1555" w:type="dxa"/>
            <w:vMerge/>
            <w:tcMar>
              <w:left w:w="57" w:type="dxa"/>
              <w:right w:w="57" w:type="dxa"/>
            </w:tcMar>
          </w:tcPr>
          <w:p w:rsidR="00F45EF8" w:rsidRDefault="00F45EF8" w:rsidP="00C636B2">
            <w:pPr>
              <w:spacing w:after="0" w:line="240" w:lineRule="auto"/>
              <w:rPr>
                <w:b/>
                <w:sz w:val="18"/>
                <w:szCs w:val="18"/>
              </w:rPr>
            </w:pPr>
          </w:p>
        </w:tc>
        <w:tc>
          <w:tcPr>
            <w:tcW w:w="2268" w:type="dxa"/>
            <w:tcBorders>
              <w:bottom w:val="single" w:sz="4" w:space="0" w:color="000000"/>
            </w:tcBorders>
            <w:shd w:val="clear" w:color="auto" w:fill="auto"/>
          </w:tcPr>
          <w:p w:rsidR="00F45EF8" w:rsidRPr="00A11AF6" w:rsidRDefault="00F45EF8" w:rsidP="00C636B2">
            <w:pPr>
              <w:spacing w:after="0" w:line="240" w:lineRule="auto"/>
              <w:jc w:val="left"/>
              <w:rPr>
                <w:sz w:val="18"/>
                <w:szCs w:val="18"/>
              </w:rPr>
            </w:pPr>
            <w:r w:rsidRPr="00A11AF6">
              <w:rPr>
                <w:sz w:val="18"/>
                <w:szCs w:val="18"/>
              </w:rPr>
              <w:t>Area of slow</w:t>
            </w:r>
            <w:r>
              <w:rPr>
                <w:sz w:val="18"/>
                <w:szCs w:val="18"/>
              </w:rPr>
              <w:t xml:space="preserve"> flowing water</w:t>
            </w:r>
          </w:p>
        </w:tc>
        <w:tc>
          <w:tcPr>
            <w:tcW w:w="1842" w:type="dxa"/>
            <w:tcBorders>
              <w:bottom w:val="single" w:sz="4" w:space="0" w:color="000000"/>
            </w:tcBorders>
            <w:shd w:val="clear" w:color="auto" w:fill="C2D69B" w:themeFill="accent3" w:themeFillTint="99"/>
            <w:tcMar>
              <w:left w:w="57" w:type="dxa"/>
              <w:right w:w="57" w:type="dxa"/>
            </w:tcMar>
          </w:tcPr>
          <w:p w:rsidR="00F45EF8" w:rsidRPr="00A11AF6" w:rsidRDefault="009F4D23" w:rsidP="00C636B2">
            <w:pPr>
              <w:spacing w:after="0" w:line="240" w:lineRule="auto"/>
              <w:jc w:val="center"/>
              <w:rPr>
                <w:sz w:val="16"/>
                <w:szCs w:val="16"/>
              </w:rPr>
            </w:pPr>
            <w:r>
              <w:rPr>
                <w:sz w:val="16"/>
                <w:szCs w:val="16"/>
              </w:rPr>
              <w:t>z</w:t>
            </w:r>
            <w:r w:rsidR="00F45EF8">
              <w:rPr>
                <w:sz w:val="16"/>
                <w:szCs w:val="16"/>
              </w:rPr>
              <w:t>one 3 and 4 only</w:t>
            </w:r>
          </w:p>
        </w:tc>
        <w:tc>
          <w:tcPr>
            <w:tcW w:w="1843" w:type="dxa"/>
            <w:tcBorders>
              <w:bottom w:val="single" w:sz="4" w:space="0" w:color="000000"/>
            </w:tcBorders>
            <w:shd w:val="clear" w:color="auto" w:fill="auto"/>
          </w:tcPr>
          <w:p w:rsidR="00F45EF8" w:rsidRPr="00A11AF6" w:rsidRDefault="00F45EF8" w:rsidP="00C636B2">
            <w:pPr>
              <w:spacing w:after="0" w:line="240" w:lineRule="auto"/>
              <w:jc w:val="center"/>
              <w:rPr>
                <w:rFonts w:asciiTheme="minorHAnsi" w:hAnsiTheme="minorHAnsi" w:cstheme="minorHAnsi"/>
                <w:sz w:val="16"/>
                <w:szCs w:val="16"/>
              </w:rPr>
            </w:pPr>
            <w:r>
              <w:rPr>
                <w:rFonts w:asciiTheme="minorHAnsi" w:hAnsiTheme="minorHAnsi" w:cstheme="minorHAnsi"/>
                <w:sz w:val="16"/>
                <w:szCs w:val="16"/>
              </w:rPr>
              <w:t>N/A</w:t>
            </w:r>
          </w:p>
        </w:tc>
        <w:tc>
          <w:tcPr>
            <w:tcW w:w="1701" w:type="dxa"/>
            <w:vMerge/>
            <w:shd w:val="clear" w:color="auto" w:fill="auto"/>
            <w:tcMar>
              <w:left w:w="57" w:type="dxa"/>
              <w:right w:w="57" w:type="dxa"/>
            </w:tcMar>
          </w:tcPr>
          <w:p w:rsidR="00F45EF8" w:rsidRPr="00A11AF6" w:rsidRDefault="00F45EF8" w:rsidP="00C636B2">
            <w:pPr>
              <w:spacing w:after="0" w:line="240" w:lineRule="auto"/>
              <w:jc w:val="center"/>
              <w:rPr>
                <w:sz w:val="16"/>
                <w:szCs w:val="16"/>
              </w:rPr>
            </w:pPr>
          </w:p>
        </w:tc>
      </w:tr>
      <w:tr w:rsidR="00F45EF8" w:rsidRPr="00287858" w:rsidTr="00F45EF8">
        <w:trPr>
          <w:trHeight w:val="390"/>
        </w:trPr>
        <w:tc>
          <w:tcPr>
            <w:tcW w:w="1555" w:type="dxa"/>
            <w:vMerge/>
            <w:tcMar>
              <w:left w:w="57" w:type="dxa"/>
              <w:right w:w="57" w:type="dxa"/>
            </w:tcMar>
          </w:tcPr>
          <w:p w:rsidR="00F45EF8" w:rsidRDefault="00F45EF8" w:rsidP="00C636B2">
            <w:pPr>
              <w:spacing w:after="0" w:line="240" w:lineRule="auto"/>
              <w:rPr>
                <w:b/>
                <w:sz w:val="18"/>
                <w:szCs w:val="18"/>
              </w:rPr>
            </w:pPr>
          </w:p>
        </w:tc>
        <w:tc>
          <w:tcPr>
            <w:tcW w:w="2268" w:type="dxa"/>
            <w:tcBorders>
              <w:bottom w:val="single" w:sz="4" w:space="0" w:color="000000"/>
            </w:tcBorders>
            <w:shd w:val="clear" w:color="auto" w:fill="auto"/>
          </w:tcPr>
          <w:p w:rsidR="00F45EF8" w:rsidRPr="00A11AF6" w:rsidRDefault="00F45EF8" w:rsidP="00C636B2">
            <w:pPr>
              <w:spacing w:after="0" w:line="240" w:lineRule="auto"/>
              <w:jc w:val="left"/>
              <w:rPr>
                <w:sz w:val="18"/>
                <w:szCs w:val="18"/>
              </w:rPr>
            </w:pPr>
            <w:r>
              <w:rPr>
                <w:sz w:val="18"/>
                <w:szCs w:val="18"/>
              </w:rPr>
              <w:t>Area of fast flowing water</w:t>
            </w:r>
          </w:p>
        </w:tc>
        <w:tc>
          <w:tcPr>
            <w:tcW w:w="1842" w:type="dxa"/>
            <w:tcBorders>
              <w:bottom w:val="single" w:sz="4" w:space="0" w:color="000000"/>
            </w:tcBorders>
            <w:shd w:val="clear" w:color="auto" w:fill="E5B8B7" w:themeFill="accent2" w:themeFillTint="66"/>
            <w:tcMar>
              <w:left w:w="57" w:type="dxa"/>
              <w:right w:w="57" w:type="dxa"/>
            </w:tcMar>
          </w:tcPr>
          <w:p w:rsidR="00F45EF8" w:rsidRDefault="009F4D23" w:rsidP="00C636B2">
            <w:pPr>
              <w:spacing w:after="0" w:line="240" w:lineRule="auto"/>
              <w:jc w:val="center"/>
              <w:rPr>
                <w:sz w:val="16"/>
                <w:szCs w:val="16"/>
              </w:rPr>
            </w:pPr>
            <w:r>
              <w:rPr>
                <w:sz w:val="16"/>
                <w:szCs w:val="16"/>
              </w:rPr>
              <w:t>z</w:t>
            </w:r>
            <w:r w:rsidR="00F45EF8">
              <w:rPr>
                <w:sz w:val="16"/>
                <w:szCs w:val="16"/>
              </w:rPr>
              <w:t>one 1</w:t>
            </w:r>
          </w:p>
        </w:tc>
        <w:tc>
          <w:tcPr>
            <w:tcW w:w="1843" w:type="dxa"/>
            <w:tcBorders>
              <w:bottom w:val="single" w:sz="4" w:space="0" w:color="000000"/>
            </w:tcBorders>
            <w:shd w:val="clear" w:color="auto" w:fill="auto"/>
          </w:tcPr>
          <w:p w:rsidR="00F45EF8" w:rsidRDefault="00F45EF8" w:rsidP="00C636B2">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F45EF8" w:rsidRPr="00A11AF6" w:rsidRDefault="00F45EF8" w:rsidP="00C636B2">
            <w:pPr>
              <w:spacing w:after="0" w:line="240" w:lineRule="auto"/>
              <w:jc w:val="center"/>
              <w:rPr>
                <w:sz w:val="16"/>
                <w:szCs w:val="16"/>
              </w:rPr>
            </w:pPr>
          </w:p>
        </w:tc>
      </w:tr>
      <w:tr w:rsidR="00E367BE" w:rsidRPr="00287858" w:rsidTr="00C636B2">
        <w:trPr>
          <w:trHeight w:val="390"/>
        </w:trPr>
        <w:tc>
          <w:tcPr>
            <w:tcW w:w="1555" w:type="dxa"/>
            <w:vMerge w:val="restart"/>
            <w:tcMar>
              <w:left w:w="57" w:type="dxa"/>
              <w:right w:w="57" w:type="dxa"/>
            </w:tcMar>
          </w:tcPr>
          <w:p w:rsidR="00E367BE" w:rsidRDefault="00E367BE" w:rsidP="00C636B2">
            <w:pPr>
              <w:spacing w:after="0" w:line="240" w:lineRule="auto"/>
              <w:jc w:val="left"/>
              <w:rPr>
                <w:b/>
                <w:sz w:val="18"/>
                <w:szCs w:val="18"/>
              </w:rPr>
            </w:pPr>
            <w:r w:rsidRPr="00DE3187">
              <w:rPr>
                <w:b/>
                <w:sz w:val="18"/>
                <w:szCs w:val="18"/>
              </w:rPr>
              <w:t>Stream metabolism</w:t>
            </w:r>
            <w:r>
              <w:rPr>
                <w:b/>
                <w:sz w:val="18"/>
                <w:szCs w:val="18"/>
              </w:rPr>
              <w:t>, water quality, and o</w:t>
            </w:r>
            <w:r w:rsidRPr="00DE3187">
              <w:rPr>
                <w:b/>
                <w:sz w:val="18"/>
                <w:szCs w:val="18"/>
              </w:rPr>
              <w:t xml:space="preserve">rganic matter </w:t>
            </w:r>
            <w:r w:rsidRPr="00207410">
              <w:rPr>
                <w:b/>
                <w:sz w:val="16"/>
                <w:szCs w:val="16"/>
              </w:rPr>
              <w:t>c</w:t>
            </w:r>
            <w:r w:rsidRPr="00646EF7">
              <w:rPr>
                <w:b/>
                <w:sz w:val="18"/>
                <w:szCs w:val="18"/>
              </w:rPr>
              <w:t>haracterisation</w:t>
            </w:r>
          </w:p>
        </w:tc>
        <w:tc>
          <w:tcPr>
            <w:tcW w:w="2268" w:type="dxa"/>
            <w:tcBorders>
              <w:bottom w:val="single" w:sz="4" w:space="0" w:color="000000"/>
            </w:tcBorders>
            <w:shd w:val="clear" w:color="auto" w:fill="auto"/>
          </w:tcPr>
          <w:p w:rsidR="00E367BE" w:rsidRPr="00A11AF6" w:rsidRDefault="00E367BE" w:rsidP="00932D3E">
            <w:pPr>
              <w:spacing w:after="0" w:line="240" w:lineRule="auto"/>
              <w:jc w:val="left"/>
              <w:rPr>
                <w:sz w:val="18"/>
                <w:szCs w:val="18"/>
              </w:rPr>
            </w:pPr>
            <w:r w:rsidRPr="00BF402A">
              <w:rPr>
                <w:sz w:val="18"/>
                <w:szCs w:val="18"/>
              </w:rPr>
              <w:t xml:space="preserve">Rates of gross primary productivity </w:t>
            </w:r>
          </w:p>
        </w:tc>
        <w:tc>
          <w:tcPr>
            <w:tcW w:w="1842" w:type="dxa"/>
            <w:tcBorders>
              <w:bottom w:val="single" w:sz="4" w:space="0" w:color="000000"/>
            </w:tcBorders>
            <w:shd w:val="clear" w:color="auto" w:fill="D9D9D9" w:themeFill="background1" w:themeFillShade="D9"/>
            <w:tcMar>
              <w:left w:w="57" w:type="dxa"/>
              <w:right w:w="57" w:type="dxa"/>
            </w:tcMar>
          </w:tcPr>
          <w:p w:rsidR="00E367BE" w:rsidRPr="00A11AF6" w:rsidRDefault="00E367BE" w:rsidP="00C636B2">
            <w:pPr>
              <w:spacing w:after="0" w:line="240" w:lineRule="auto"/>
              <w:jc w:val="center"/>
              <w:rPr>
                <w:sz w:val="16"/>
                <w:szCs w:val="16"/>
              </w:rPr>
            </w:pPr>
          </w:p>
        </w:tc>
        <w:tc>
          <w:tcPr>
            <w:tcW w:w="1843" w:type="dxa"/>
            <w:tcBorders>
              <w:bottom w:val="single" w:sz="4" w:space="0" w:color="000000"/>
            </w:tcBorders>
            <w:shd w:val="clear" w:color="auto" w:fill="D9D9D9" w:themeFill="background1" w:themeFillShade="D9"/>
          </w:tcPr>
          <w:p w:rsidR="00E367BE" w:rsidRDefault="00E367BE" w:rsidP="00C636B2">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E367BE" w:rsidRPr="00A11AF6" w:rsidRDefault="00E367BE" w:rsidP="00C636B2">
            <w:pPr>
              <w:spacing w:after="0" w:line="240" w:lineRule="auto"/>
              <w:jc w:val="center"/>
              <w:rPr>
                <w:sz w:val="16"/>
                <w:szCs w:val="16"/>
              </w:rPr>
            </w:pPr>
          </w:p>
        </w:tc>
      </w:tr>
      <w:tr w:rsidR="00932D3E" w:rsidRPr="00287858" w:rsidTr="00932D3E">
        <w:trPr>
          <w:trHeight w:val="390"/>
        </w:trPr>
        <w:tc>
          <w:tcPr>
            <w:tcW w:w="1555" w:type="dxa"/>
            <w:vMerge/>
            <w:tcMar>
              <w:left w:w="57" w:type="dxa"/>
              <w:right w:w="57" w:type="dxa"/>
            </w:tcMar>
          </w:tcPr>
          <w:p w:rsidR="00932D3E" w:rsidRPr="00DE3187" w:rsidRDefault="00932D3E" w:rsidP="00C636B2">
            <w:pPr>
              <w:spacing w:after="0" w:line="240" w:lineRule="auto"/>
              <w:jc w:val="left"/>
              <w:rPr>
                <w:b/>
                <w:sz w:val="18"/>
                <w:szCs w:val="18"/>
              </w:rPr>
            </w:pPr>
          </w:p>
        </w:tc>
        <w:tc>
          <w:tcPr>
            <w:tcW w:w="2268" w:type="dxa"/>
            <w:tcBorders>
              <w:bottom w:val="single" w:sz="4" w:space="0" w:color="000000"/>
            </w:tcBorders>
            <w:shd w:val="clear" w:color="auto" w:fill="auto"/>
          </w:tcPr>
          <w:p w:rsidR="00932D3E" w:rsidRPr="00BF402A" w:rsidRDefault="00932D3E" w:rsidP="00C636B2">
            <w:pPr>
              <w:spacing w:after="0" w:line="240" w:lineRule="auto"/>
              <w:jc w:val="left"/>
              <w:rPr>
                <w:sz w:val="18"/>
                <w:szCs w:val="18"/>
              </w:rPr>
            </w:pPr>
            <w:r>
              <w:rPr>
                <w:sz w:val="18"/>
                <w:szCs w:val="18"/>
              </w:rPr>
              <w:t>Rates of ecosystem respiration</w:t>
            </w:r>
          </w:p>
        </w:tc>
        <w:tc>
          <w:tcPr>
            <w:tcW w:w="1842" w:type="dxa"/>
            <w:tcBorders>
              <w:bottom w:val="single" w:sz="4" w:space="0" w:color="000000"/>
            </w:tcBorders>
            <w:shd w:val="clear" w:color="auto" w:fill="C2D69B" w:themeFill="accent3" w:themeFillTint="99"/>
            <w:tcMar>
              <w:left w:w="57" w:type="dxa"/>
              <w:right w:w="57" w:type="dxa"/>
            </w:tcMar>
          </w:tcPr>
          <w:p w:rsidR="00932D3E" w:rsidRPr="00A11AF6" w:rsidRDefault="00932D3E" w:rsidP="00C636B2">
            <w:pPr>
              <w:spacing w:after="0" w:line="240" w:lineRule="auto"/>
              <w:jc w:val="center"/>
              <w:rPr>
                <w:sz w:val="16"/>
                <w:szCs w:val="16"/>
              </w:rPr>
            </w:pPr>
          </w:p>
        </w:tc>
        <w:tc>
          <w:tcPr>
            <w:tcW w:w="1843" w:type="dxa"/>
            <w:tcBorders>
              <w:bottom w:val="single" w:sz="4" w:space="0" w:color="000000"/>
            </w:tcBorders>
            <w:shd w:val="clear" w:color="auto" w:fill="C2D69B" w:themeFill="accent3" w:themeFillTint="99"/>
          </w:tcPr>
          <w:p w:rsidR="00932D3E" w:rsidRDefault="00932D3E" w:rsidP="00C636B2">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932D3E" w:rsidRPr="00A11AF6" w:rsidRDefault="00932D3E" w:rsidP="00C636B2">
            <w:pPr>
              <w:spacing w:after="0" w:line="240" w:lineRule="auto"/>
              <w:jc w:val="center"/>
              <w:rPr>
                <w:sz w:val="16"/>
                <w:szCs w:val="16"/>
              </w:rPr>
            </w:pPr>
          </w:p>
        </w:tc>
      </w:tr>
      <w:tr w:rsidR="00E367BE" w:rsidRPr="00287858" w:rsidTr="00C636B2">
        <w:trPr>
          <w:trHeight w:val="390"/>
        </w:trPr>
        <w:tc>
          <w:tcPr>
            <w:tcW w:w="1555" w:type="dxa"/>
            <w:vMerge/>
            <w:tcMar>
              <w:left w:w="57" w:type="dxa"/>
              <w:right w:w="57" w:type="dxa"/>
            </w:tcMar>
          </w:tcPr>
          <w:p w:rsidR="00E367BE" w:rsidRPr="00DE3187" w:rsidRDefault="00E367BE" w:rsidP="00C636B2">
            <w:pPr>
              <w:spacing w:after="0" w:line="240" w:lineRule="auto"/>
              <w:rPr>
                <w:b/>
                <w:sz w:val="18"/>
                <w:szCs w:val="18"/>
              </w:rPr>
            </w:pPr>
          </w:p>
        </w:tc>
        <w:tc>
          <w:tcPr>
            <w:tcW w:w="2268" w:type="dxa"/>
            <w:tcBorders>
              <w:bottom w:val="single" w:sz="4" w:space="0" w:color="000000"/>
            </w:tcBorders>
            <w:shd w:val="clear" w:color="auto" w:fill="auto"/>
          </w:tcPr>
          <w:p w:rsidR="00E367BE" w:rsidRPr="00D721FD" w:rsidRDefault="00E367BE" w:rsidP="00C636B2">
            <w:pPr>
              <w:spacing w:after="0" w:line="240" w:lineRule="auto"/>
              <w:jc w:val="left"/>
              <w:rPr>
                <w:sz w:val="18"/>
                <w:szCs w:val="18"/>
              </w:rPr>
            </w:pPr>
            <w:r w:rsidRPr="00BF402A">
              <w:rPr>
                <w:sz w:val="18"/>
                <w:szCs w:val="18"/>
              </w:rPr>
              <w:t>Rates of primary productivity</w:t>
            </w:r>
          </w:p>
        </w:tc>
        <w:tc>
          <w:tcPr>
            <w:tcW w:w="1842" w:type="dxa"/>
            <w:tcBorders>
              <w:bottom w:val="single" w:sz="4" w:space="0" w:color="000000"/>
            </w:tcBorders>
            <w:shd w:val="clear" w:color="auto" w:fill="D9D9D9" w:themeFill="background1" w:themeFillShade="D9"/>
            <w:tcMar>
              <w:left w:w="57" w:type="dxa"/>
              <w:right w:w="57" w:type="dxa"/>
            </w:tcMar>
          </w:tcPr>
          <w:p w:rsidR="00E367BE" w:rsidRPr="00A11AF6" w:rsidRDefault="00E367BE" w:rsidP="00C636B2">
            <w:pPr>
              <w:spacing w:after="0" w:line="240" w:lineRule="auto"/>
              <w:jc w:val="center"/>
              <w:rPr>
                <w:sz w:val="16"/>
                <w:szCs w:val="16"/>
              </w:rPr>
            </w:pPr>
          </w:p>
        </w:tc>
        <w:tc>
          <w:tcPr>
            <w:tcW w:w="1843" w:type="dxa"/>
            <w:tcBorders>
              <w:bottom w:val="single" w:sz="4" w:space="0" w:color="000000"/>
            </w:tcBorders>
            <w:shd w:val="clear" w:color="auto" w:fill="D9D9D9" w:themeFill="background1" w:themeFillShade="D9"/>
          </w:tcPr>
          <w:p w:rsidR="00E367BE" w:rsidRPr="00A11AF6" w:rsidRDefault="00E367BE" w:rsidP="00C636B2">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E367BE" w:rsidRPr="00A11AF6" w:rsidRDefault="00E367BE" w:rsidP="00C636B2">
            <w:pPr>
              <w:spacing w:after="0" w:line="240" w:lineRule="auto"/>
              <w:jc w:val="center"/>
              <w:rPr>
                <w:sz w:val="16"/>
                <w:szCs w:val="16"/>
              </w:rPr>
            </w:pPr>
          </w:p>
        </w:tc>
      </w:tr>
      <w:tr w:rsidR="00E367BE" w:rsidRPr="00287858" w:rsidTr="00C636B2">
        <w:trPr>
          <w:trHeight w:val="390"/>
        </w:trPr>
        <w:tc>
          <w:tcPr>
            <w:tcW w:w="1555" w:type="dxa"/>
            <w:vMerge/>
            <w:tcMar>
              <w:left w:w="57" w:type="dxa"/>
              <w:right w:w="57" w:type="dxa"/>
            </w:tcMar>
          </w:tcPr>
          <w:p w:rsidR="00E367BE" w:rsidRPr="00DE3187" w:rsidRDefault="00E367BE" w:rsidP="00C636B2">
            <w:pPr>
              <w:spacing w:after="0" w:line="240" w:lineRule="auto"/>
              <w:rPr>
                <w:b/>
                <w:sz w:val="18"/>
                <w:szCs w:val="18"/>
              </w:rPr>
            </w:pPr>
          </w:p>
        </w:tc>
        <w:tc>
          <w:tcPr>
            <w:tcW w:w="2268" w:type="dxa"/>
            <w:tcBorders>
              <w:bottom w:val="single" w:sz="4" w:space="0" w:color="000000"/>
            </w:tcBorders>
            <w:shd w:val="clear" w:color="auto" w:fill="auto"/>
          </w:tcPr>
          <w:p w:rsidR="00E367BE" w:rsidRPr="00D721FD" w:rsidRDefault="00E367BE" w:rsidP="00C636B2">
            <w:pPr>
              <w:spacing w:after="0" w:line="240" w:lineRule="auto"/>
              <w:jc w:val="left"/>
              <w:rPr>
                <w:sz w:val="18"/>
                <w:szCs w:val="18"/>
              </w:rPr>
            </w:pPr>
            <w:r w:rsidRPr="00D721FD">
              <w:rPr>
                <w:sz w:val="18"/>
                <w:szCs w:val="18"/>
              </w:rPr>
              <w:t>D</w:t>
            </w:r>
            <w:r>
              <w:rPr>
                <w:sz w:val="18"/>
                <w:szCs w:val="18"/>
              </w:rPr>
              <w:t>issolved organic matter</w:t>
            </w:r>
          </w:p>
        </w:tc>
        <w:tc>
          <w:tcPr>
            <w:tcW w:w="1842" w:type="dxa"/>
            <w:tcBorders>
              <w:bottom w:val="single" w:sz="4" w:space="0" w:color="000000"/>
            </w:tcBorders>
            <w:shd w:val="clear" w:color="auto" w:fill="D9D9D9" w:themeFill="background1" w:themeFillShade="D9"/>
            <w:tcMar>
              <w:left w:w="57" w:type="dxa"/>
              <w:right w:w="57" w:type="dxa"/>
            </w:tcMar>
          </w:tcPr>
          <w:p w:rsidR="00E367BE" w:rsidRPr="00A11AF6" w:rsidRDefault="00E367BE" w:rsidP="00C636B2">
            <w:pPr>
              <w:spacing w:after="0" w:line="240" w:lineRule="auto"/>
              <w:jc w:val="center"/>
              <w:rPr>
                <w:sz w:val="16"/>
                <w:szCs w:val="16"/>
              </w:rPr>
            </w:pPr>
          </w:p>
        </w:tc>
        <w:tc>
          <w:tcPr>
            <w:tcW w:w="1843" w:type="dxa"/>
            <w:tcBorders>
              <w:bottom w:val="single" w:sz="4" w:space="0" w:color="000000"/>
            </w:tcBorders>
            <w:shd w:val="clear" w:color="auto" w:fill="D9D9D9" w:themeFill="background1" w:themeFillShade="D9"/>
          </w:tcPr>
          <w:p w:rsidR="00E367BE" w:rsidRPr="00A11AF6" w:rsidRDefault="00E367BE" w:rsidP="00C636B2">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E367BE" w:rsidRPr="00A11AF6" w:rsidRDefault="00E367BE" w:rsidP="00C636B2">
            <w:pPr>
              <w:spacing w:after="0" w:line="240" w:lineRule="auto"/>
              <w:jc w:val="center"/>
              <w:rPr>
                <w:sz w:val="16"/>
                <w:szCs w:val="16"/>
              </w:rPr>
            </w:pPr>
          </w:p>
        </w:tc>
      </w:tr>
      <w:tr w:rsidR="00E367BE" w:rsidRPr="00287858" w:rsidTr="00C636B2">
        <w:trPr>
          <w:trHeight w:val="247"/>
        </w:trPr>
        <w:tc>
          <w:tcPr>
            <w:tcW w:w="1555" w:type="dxa"/>
            <w:vMerge/>
            <w:tcMar>
              <w:left w:w="57" w:type="dxa"/>
              <w:right w:w="57" w:type="dxa"/>
            </w:tcMar>
          </w:tcPr>
          <w:p w:rsidR="00E367BE" w:rsidRPr="00DE3187" w:rsidRDefault="00E367BE" w:rsidP="00C636B2">
            <w:pPr>
              <w:spacing w:after="0" w:line="240" w:lineRule="auto"/>
              <w:rPr>
                <w:b/>
                <w:sz w:val="18"/>
                <w:szCs w:val="18"/>
              </w:rPr>
            </w:pPr>
          </w:p>
        </w:tc>
        <w:tc>
          <w:tcPr>
            <w:tcW w:w="2268" w:type="dxa"/>
            <w:tcBorders>
              <w:bottom w:val="single" w:sz="4" w:space="0" w:color="000000"/>
            </w:tcBorders>
            <w:shd w:val="clear" w:color="auto" w:fill="auto"/>
          </w:tcPr>
          <w:p w:rsidR="00E367BE" w:rsidRPr="00D721FD" w:rsidRDefault="00E367BE" w:rsidP="00C636B2">
            <w:pPr>
              <w:spacing w:after="0" w:line="240" w:lineRule="auto"/>
              <w:jc w:val="left"/>
              <w:rPr>
                <w:sz w:val="18"/>
                <w:szCs w:val="18"/>
              </w:rPr>
            </w:pPr>
            <w:r>
              <w:rPr>
                <w:sz w:val="18"/>
                <w:szCs w:val="18"/>
              </w:rPr>
              <w:t>Dissolved oxygen</w:t>
            </w:r>
          </w:p>
        </w:tc>
        <w:tc>
          <w:tcPr>
            <w:tcW w:w="1842" w:type="dxa"/>
            <w:tcBorders>
              <w:bottom w:val="single" w:sz="4" w:space="0" w:color="000000"/>
            </w:tcBorders>
            <w:shd w:val="clear" w:color="auto" w:fill="C2D69B" w:themeFill="accent3" w:themeFillTint="99"/>
            <w:tcMar>
              <w:left w:w="57" w:type="dxa"/>
              <w:right w:w="57" w:type="dxa"/>
            </w:tcMar>
          </w:tcPr>
          <w:p w:rsidR="00E367BE" w:rsidRPr="00A11AF6" w:rsidRDefault="00E367BE" w:rsidP="00C636B2">
            <w:pPr>
              <w:spacing w:after="0" w:line="240" w:lineRule="auto"/>
              <w:jc w:val="center"/>
              <w:rPr>
                <w:sz w:val="16"/>
                <w:szCs w:val="16"/>
              </w:rPr>
            </w:pPr>
          </w:p>
        </w:tc>
        <w:tc>
          <w:tcPr>
            <w:tcW w:w="1843" w:type="dxa"/>
            <w:tcBorders>
              <w:bottom w:val="single" w:sz="4" w:space="0" w:color="000000"/>
            </w:tcBorders>
            <w:shd w:val="clear" w:color="auto" w:fill="C2D69B" w:themeFill="accent3" w:themeFillTint="99"/>
          </w:tcPr>
          <w:p w:rsidR="00E367BE" w:rsidRPr="00A11AF6" w:rsidRDefault="00E367BE" w:rsidP="00C636B2">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E367BE" w:rsidRPr="00A11AF6" w:rsidRDefault="00E367BE" w:rsidP="00C636B2">
            <w:pPr>
              <w:spacing w:after="0" w:line="240" w:lineRule="auto"/>
              <w:jc w:val="center"/>
              <w:rPr>
                <w:sz w:val="16"/>
                <w:szCs w:val="16"/>
              </w:rPr>
            </w:pPr>
          </w:p>
        </w:tc>
      </w:tr>
      <w:tr w:rsidR="00E367BE" w:rsidRPr="00287858" w:rsidTr="00C636B2">
        <w:trPr>
          <w:trHeight w:val="247"/>
        </w:trPr>
        <w:tc>
          <w:tcPr>
            <w:tcW w:w="1555" w:type="dxa"/>
            <w:vMerge/>
            <w:tcMar>
              <w:left w:w="57" w:type="dxa"/>
              <w:right w:w="57" w:type="dxa"/>
            </w:tcMar>
          </w:tcPr>
          <w:p w:rsidR="00E367BE" w:rsidRPr="00DE3187" w:rsidRDefault="00E367BE" w:rsidP="00C636B2">
            <w:pPr>
              <w:spacing w:after="0" w:line="240" w:lineRule="auto"/>
              <w:rPr>
                <w:b/>
                <w:sz w:val="18"/>
                <w:szCs w:val="18"/>
              </w:rPr>
            </w:pPr>
          </w:p>
        </w:tc>
        <w:tc>
          <w:tcPr>
            <w:tcW w:w="2268" w:type="dxa"/>
            <w:tcBorders>
              <w:bottom w:val="single" w:sz="4" w:space="0" w:color="000000"/>
            </w:tcBorders>
            <w:shd w:val="clear" w:color="auto" w:fill="auto"/>
          </w:tcPr>
          <w:p w:rsidR="00E367BE" w:rsidRPr="00D721FD" w:rsidRDefault="00E367BE" w:rsidP="00C636B2">
            <w:pPr>
              <w:spacing w:after="0" w:line="240" w:lineRule="auto"/>
              <w:jc w:val="left"/>
              <w:rPr>
                <w:sz w:val="18"/>
                <w:szCs w:val="18"/>
              </w:rPr>
            </w:pPr>
            <w:r w:rsidRPr="00D721FD">
              <w:rPr>
                <w:sz w:val="18"/>
                <w:szCs w:val="18"/>
              </w:rPr>
              <w:t>Temperature</w:t>
            </w:r>
          </w:p>
        </w:tc>
        <w:tc>
          <w:tcPr>
            <w:tcW w:w="1842" w:type="dxa"/>
            <w:tcBorders>
              <w:bottom w:val="single" w:sz="4" w:space="0" w:color="000000"/>
            </w:tcBorders>
            <w:shd w:val="clear" w:color="auto" w:fill="D9D9D9" w:themeFill="background1" w:themeFillShade="D9"/>
            <w:tcMar>
              <w:left w:w="57" w:type="dxa"/>
              <w:right w:w="57" w:type="dxa"/>
            </w:tcMar>
          </w:tcPr>
          <w:p w:rsidR="00E367BE" w:rsidRPr="00A11AF6" w:rsidRDefault="00E367BE" w:rsidP="00C636B2">
            <w:pPr>
              <w:spacing w:after="0" w:line="240" w:lineRule="auto"/>
              <w:jc w:val="center"/>
              <w:rPr>
                <w:sz w:val="16"/>
                <w:szCs w:val="16"/>
              </w:rPr>
            </w:pPr>
          </w:p>
        </w:tc>
        <w:tc>
          <w:tcPr>
            <w:tcW w:w="1843" w:type="dxa"/>
            <w:tcBorders>
              <w:bottom w:val="single" w:sz="4" w:space="0" w:color="000000"/>
            </w:tcBorders>
            <w:shd w:val="clear" w:color="auto" w:fill="D9D9D9" w:themeFill="background1" w:themeFillShade="D9"/>
          </w:tcPr>
          <w:p w:rsidR="00E367BE" w:rsidRPr="00A11AF6" w:rsidRDefault="00E367BE" w:rsidP="00C636B2">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E367BE" w:rsidRPr="00A11AF6" w:rsidRDefault="00E367BE" w:rsidP="00C636B2">
            <w:pPr>
              <w:spacing w:after="0" w:line="240" w:lineRule="auto"/>
              <w:jc w:val="center"/>
              <w:rPr>
                <w:sz w:val="16"/>
                <w:szCs w:val="16"/>
              </w:rPr>
            </w:pPr>
          </w:p>
        </w:tc>
      </w:tr>
      <w:tr w:rsidR="00E367BE" w:rsidRPr="00287858" w:rsidTr="00C636B2">
        <w:trPr>
          <w:trHeight w:val="265"/>
        </w:trPr>
        <w:tc>
          <w:tcPr>
            <w:tcW w:w="1555" w:type="dxa"/>
            <w:vMerge/>
            <w:tcMar>
              <w:left w:w="57" w:type="dxa"/>
              <w:right w:w="57" w:type="dxa"/>
            </w:tcMar>
          </w:tcPr>
          <w:p w:rsidR="00E367BE" w:rsidRPr="00DE3187" w:rsidRDefault="00E367BE" w:rsidP="00C636B2">
            <w:pPr>
              <w:spacing w:after="0" w:line="240" w:lineRule="auto"/>
              <w:rPr>
                <w:b/>
                <w:sz w:val="18"/>
                <w:szCs w:val="18"/>
              </w:rPr>
            </w:pPr>
          </w:p>
        </w:tc>
        <w:tc>
          <w:tcPr>
            <w:tcW w:w="2268" w:type="dxa"/>
            <w:tcBorders>
              <w:bottom w:val="single" w:sz="4" w:space="0" w:color="000000"/>
            </w:tcBorders>
            <w:shd w:val="clear" w:color="auto" w:fill="auto"/>
          </w:tcPr>
          <w:p w:rsidR="00E367BE" w:rsidRPr="00D721FD" w:rsidRDefault="00E367BE" w:rsidP="00C636B2">
            <w:pPr>
              <w:spacing w:after="0" w:line="240" w:lineRule="auto"/>
              <w:jc w:val="left"/>
              <w:rPr>
                <w:sz w:val="18"/>
                <w:szCs w:val="18"/>
              </w:rPr>
            </w:pPr>
            <w:r w:rsidRPr="00D721FD">
              <w:rPr>
                <w:sz w:val="18"/>
                <w:szCs w:val="18"/>
              </w:rPr>
              <w:t>Nutrient concentration</w:t>
            </w:r>
          </w:p>
        </w:tc>
        <w:tc>
          <w:tcPr>
            <w:tcW w:w="1842" w:type="dxa"/>
            <w:tcBorders>
              <w:bottom w:val="single" w:sz="4" w:space="0" w:color="000000"/>
            </w:tcBorders>
            <w:shd w:val="clear" w:color="auto" w:fill="D9D9D9" w:themeFill="background1" w:themeFillShade="D9"/>
            <w:tcMar>
              <w:left w:w="57" w:type="dxa"/>
              <w:right w:w="57" w:type="dxa"/>
            </w:tcMar>
          </w:tcPr>
          <w:p w:rsidR="00E367BE" w:rsidRPr="00A11AF6" w:rsidRDefault="00E367BE" w:rsidP="00C636B2">
            <w:pPr>
              <w:spacing w:after="0" w:line="240" w:lineRule="auto"/>
              <w:jc w:val="center"/>
              <w:rPr>
                <w:sz w:val="16"/>
                <w:szCs w:val="16"/>
              </w:rPr>
            </w:pPr>
          </w:p>
        </w:tc>
        <w:tc>
          <w:tcPr>
            <w:tcW w:w="1843" w:type="dxa"/>
            <w:tcBorders>
              <w:bottom w:val="single" w:sz="4" w:space="0" w:color="000000"/>
            </w:tcBorders>
            <w:shd w:val="clear" w:color="auto" w:fill="D9D9D9" w:themeFill="background1" w:themeFillShade="D9"/>
          </w:tcPr>
          <w:p w:rsidR="00E367BE" w:rsidRPr="00A11AF6" w:rsidRDefault="00E367BE" w:rsidP="00C636B2">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E367BE" w:rsidRPr="00A11AF6" w:rsidRDefault="00E367BE" w:rsidP="00C636B2">
            <w:pPr>
              <w:spacing w:after="0" w:line="240" w:lineRule="auto"/>
              <w:jc w:val="center"/>
              <w:rPr>
                <w:sz w:val="16"/>
                <w:szCs w:val="16"/>
              </w:rPr>
            </w:pPr>
          </w:p>
        </w:tc>
      </w:tr>
      <w:tr w:rsidR="00E367BE" w:rsidRPr="00287858" w:rsidTr="00C636B2">
        <w:trPr>
          <w:trHeight w:val="283"/>
        </w:trPr>
        <w:tc>
          <w:tcPr>
            <w:tcW w:w="1555" w:type="dxa"/>
            <w:vMerge/>
            <w:tcBorders>
              <w:bottom w:val="nil"/>
            </w:tcBorders>
            <w:tcMar>
              <w:left w:w="57" w:type="dxa"/>
              <w:right w:w="57" w:type="dxa"/>
            </w:tcMar>
          </w:tcPr>
          <w:p w:rsidR="00E367BE" w:rsidRPr="00DE3187" w:rsidRDefault="00E367BE" w:rsidP="00C636B2">
            <w:pPr>
              <w:spacing w:after="0" w:line="240" w:lineRule="auto"/>
              <w:rPr>
                <w:b/>
                <w:sz w:val="18"/>
                <w:szCs w:val="18"/>
              </w:rPr>
            </w:pPr>
          </w:p>
        </w:tc>
        <w:tc>
          <w:tcPr>
            <w:tcW w:w="2268" w:type="dxa"/>
            <w:tcBorders>
              <w:bottom w:val="nil"/>
            </w:tcBorders>
            <w:shd w:val="clear" w:color="auto" w:fill="auto"/>
          </w:tcPr>
          <w:p w:rsidR="00E367BE" w:rsidRPr="00D721FD" w:rsidRDefault="00E367BE" w:rsidP="00C636B2">
            <w:pPr>
              <w:spacing w:after="0" w:line="240" w:lineRule="auto"/>
              <w:jc w:val="left"/>
              <w:rPr>
                <w:sz w:val="18"/>
                <w:szCs w:val="18"/>
              </w:rPr>
            </w:pPr>
            <w:r>
              <w:rPr>
                <w:sz w:val="18"/>
                <w:szCs w:val="18"/>
              </w:rPr>
              <w:t>Modification of type and amount of DOM</w:t>
            </w:r>
          </w:p>
        </w:tc>
        <w:tc>
          <w:tcPr>
            <w:tcW w:w="1842" w:type="dxa"/>
            <w:tcBorders>
              <w:bottom w:val="nil"/>
            </w:tcBorders>
            <w:shd w:val="clear" w:color="auto" w:fill="D9D9D9" w:themeFill="background1" w:themeFillShade="D9"/>
            <w:tcMar>
              <w:left w:w="57" w:type="dxa"/>
              <w:right w:w="57" w:type="dxa"/>
            </w:tcMar>
          </w:tcPr>
          <w:p w:rsidR="00E367BE" w:rsidRPr="00A11AF6" w:rsidRDefault="00E367BE" w:rsidP="00C636B2">
            <w:pPr>
              <w:spacing w:after="0" w:line="240" w:lineRule="auto"/>
              <w:jc w:val="center"/>
              <w:rPr>
                <w:sz w:val="16"/>
                <w:szCs w:val="16"/>
              </w:rPr>
            </w:pPr>
          </w:p>
        </w:tc>
        <w:tc>
          <w:tcPr>
            <w:tcW w:w="1843" w:type="dxa"/>
            <w:tcBorders>
              <w:bottom w:val="nil"/>
            </w:tcBorders>
            <w:shd w:val="clear" w:color="auto" w:fill="D9D9D9" w:themeFill="background1" w:themeFillShade="D9"/>
          </w:tcPr>
          <w:p w:rsidR="00E367BE" w:rsidRPr="00A11AF6" w:rsidRDefault="00E367BE" w:rsidP="00C636B2">
            <w:pPr>
              <w:spacing w:after="0" w:line="240" w:lineRule="auto"/>
              <w:jc w:val="center"/>
              <w:rPr>
                <w:rFonts w:asciiTheme="minorHAnsi" w:hAnsiTheme="minorHAnsi" w:cstheme="minorHAnsi"/>
                <w:sz w:val="16"/>
                <w:szCs w:val="16"/>
              </w:rPr>
            </w:pPr>
          </w:p>
        </w:tc>
        <w:tc>
          <w:tcPr>
            <w:tcW w:w="1701" w:type="dxa"/>
            <w:vMerge/>
            <w:shd w:val="clear" w:color="auto" w:fill="auto"/>
            <w:tcMar>
              <w:left w:w="57" w:type="dxa"/>
              <w:right w:w="57" w:type="dxa"/>
            </w:tcMar>
          </w:tcPr>
          <w:p w:rsidR="00E367BE" w:rsidRPr="00A11AF6" w:rsidRDefault="00E367BE" w:rsidP="00C636B2">
            <w:pPr>
              <w:spacing w:after="0" w:line="240" w:lineRule="auto"/>
              <w:jc w:val="center"/>
              <w:rPr>
                <w:sz w:val="16"/>
                <w:szCs w:val="16"/>
              </w:rPr>
            </w:pPr>
          </w:p>
        </w:tc>
      </w:tr>
      <w:tr w:rsidR="00E367BE" w:rsidRPr="00287858" w:rsidTr="00C636B2">
        <w:trPr>
          <w:trHeight w:val="390"/>
        </w:trPr>
        <w:tc>
          <w:tcPr>
            <w:tcW w:w="1555" w:type="dxa"/>
            <w:vMerge w:val="restart"/>
            <w:tcMar>
              <w:left w:w="57" w:type="dxa"/>
              <w:right w:w="57" w:type="dxa"/>
            </w:tcMar>
          </w:tcPr>
          <w:p w:rsidR="00E367BE" w:rsidRPr="00DE3187" w:rsidRDefault="00E367BE" w:rsidP="00C636B2">
            <w:pPr>
              <w:spacing w:after="0" w:line="240" w:lineRule="auto"/>
              <w:jc w:val="left"/>
              <w:rPr>
                <w:b/>
                <w:sz w:val="18"/>
                <w:szCs w:val="18"/>
              </w:rPr>
            </w:pPr>
            <w:r w:rsidRPr="00DE3187">
              <w:rPr>
                <w:b/>
                <w:sz w:val="18"/>
                <w:szCs w:val="18"/>
              </w:rPr>
              <w:t xml:space="preserve">Riverbank and </w:t>
            </w:r>
            <w:r>
              <w:rPr>
                <w:b/>
                <w:sz w:val="18"/>
                <w:szCs w:val="18"/>
              </w:rPr>
              <w:t>aquatic</w:t>
            </w:r>
            <w:r w:rsidRPr="00DE3187">
              <w:rPr>
                <w:b/>
                <w:sz w:val="18"/>
                <w:szCs w:val="18"/>
              </w:rPr>
              <w:t xml:space="preserve"> veg</w:t>
            </w:r>
            <w:r>
              <w:rPr>
                <w:b/>
                <w:sz w:val="18"/>
                <w:szCs w:val="18"/>
              </w:rPr>
              <w:t>etation</w:t>
            </w:r>
          </w:p>
        </w:tc>
        <w:tc>
          <w:tcPr>
            <w:tcW w:w="2268" w:type="dxa"/>
            <w:shd w:val="clear" w:color="auto" w:fill="auto"/>
          </w:tcPr>
          <w:p w:rsidR="00E367BE" w:rsidRPr="00A11AF6" w:rsidRDefault="00E367BE" w:rsidP="00C636B2">
            <w:pPr>
              <w:spacing w:after="0" w:line="240" w:lineRule="auto"/>
              <w:rPr>
                <w:sz w:val="18"/>
                <w:szCs w:val="18"/>
              </w:rPr>
            </w:pPr>
            <w:r>
              <w:rPr>
                <w:sz w:val="18"/>
                <w:szCs w:val="18"/>
              </w:rPr>
              <w:t>Percent c</w:t>
            </w:r>
            <w:r w:rsidRPr="00A11AF6">
              <w:rPr>
                <w:sz w:val="18"/>
                <w:szCs w:val="18"/>
              </w:rPr>
              <w:t>over</w:t>
            </w:r>
            <w:r>
              <w:rPr>
                <w:sz w:val="18"/>
                <w:szCs w:val="18"/>
              </w:rPr>
              <w:t xml:space="preserve"> of riverbank and aquatic vegetation</w:t>
            </w:r>
          </w:p>
        </w:tc>
        <w:tc>
          <w:tcPr>
            <w:tcW w:w="1842" w:type="dxa"/>
            <w:shd w:val="clear" w:color="auto" w:fill="auto"/>
            <w:tcMar>
              <w:left w:w="57" w:type="dxa"/>
              <w:right w:w="57" w:type="dxa"/>
            </w:tcMar>
          </w:tcPr>
          <w:p w:rsidR="00E367BE" w:rsidRPr="00A11AF6" w:rsidRDefault="00E367BE" w:rsidP="00C636B2">
            <w:pPr>
              <w:spacing w:after="0" w:line="240" w:lineRule="auto"/>
              <w:jc w:val="center"/>
              <w:rPr>
                <w:sz w:val="16"/>
                <w:szCs w:val="16"/>
              </w:rPr>
            </w:pPr>
            <w:r>
              <w:rPr>
                <w:sz w:val="16"/>
                <w:szCs w:val="16"/>
              </w:rPr>
              <w:t>N/A</w:t>
            </w:r>
          </w:p>
        </w:tc>
        <w:tc>
          <w:tcPr>
            <w:tcW w:w="1843" w:type="dxa"/>
            <w:shd w:val="clear" w:color="auto" w:fill="C2D69B" w:themeFill="accent3" w:themeFillTint="99"/>
          </w:tcPr>
          <w:p w:rsidR="00E367BE" w:rsidRPr="00A11AF6" w:rsidRDefault="00E367BE" w:rsidP="00C636B2">
            <w:pPr>
              <w:spacing w:after="0" w:line="240" w:lineRule="auto"/>
              <w:jc w:val="center"/>
              <w:rPr>
                <w:sz w:val="16"/>
                <w:szCs w:val="16"/>
              </w:rPr>
            </w:pPr>
          </w:p>
        </w:tc>
        <w:tc>
          <w:tcPr>
            <w:tcW w:w="1701" w:type="dxa"/>
            <w:vMerge/>
            <w:shd w:val="clear" w:color="auto" w:fill="auto"/>
            <w:tcMar>
              <w:left w:w="57" w:type="dxa"/>
              <w:right w:w="57" w:type="dxa"/>
            </w:tcMar>
          </w:tcPr>
          <w:p w:rsidR="00E367BE" w:rsidRPr="00A11AF6" w:rsidRDefault="00E367BE" w:rsidP="00C636B2">
            <w:pPr>
              <w:spacing w:after="0" w:line="240" w:lineRule="auto"/>
              <w:jc w:val="center"/>
              <w:rPr>
                <w:sz w:val="16"/>
                <w:szCs w:val="16"/>
              </w:rPr>
            </w:pPr>
          </w:p>
        </w:tc>
      </w:tr>
      <w:tr w:rsidR="00E367BE" w:rsidRPr="00287858" w:rsidTr="00C636B2">
        <w:trPr>
          <w:trHeight w:val="265"/>
        </w:trPr>
        <w:tc>
          <w:tcPr>
            <w:tcW w:w="1555" w:type="dxa"/>
            <w:vMerge/>
            <w:tcMar>
              <w:left w:w="57" w:type="dxa"/>
              <w:right w:w="57" w:type="dxa"/>
            </w:tcMar>
          </w:tcPr>
          <w:p w:rsidR="00E367BE" w:rsidRPr="00DE3187" w:rsidRDefault="00E367BE" w:rsidP="00C636B2">
            <w:pPr>
              <w:spacing w:after="0" w:line="240" w:lineRule="auto"/>
              <w:rPr>
                <w:b/>
                <w:sz w:val="18"/>
                <w:szCs w:val="18"/>
              </w:rPr>
            </w:pPr>
          </w:p>
        </w:tc>
        <w:tc>
          <w:tcPr>
            <w:tcW w:w="2268" w:type="dxa"/>
            <w:shd w:val="clear" w:color="auto" w:fill="auto"/>
          </w:tcPr>
          <w:p w:rsidR="00E367BE" w:rsidRPr="00A11AF6" w:rsidRDefault="00E367BE" w:rsidP="00C636B2">
            <w:pPr>
              <w:spacing w:after="0" w:line="240" w:lineRule="auto"/>
              <w:rPr>
                <w:sz w:val="18"/>
                <w:szCs w:val="18"/>
              </w:rPr>
            </w:pPr>
            <w:r w:rsidRPr="00A11AF6">
              <w:rPr>
                <w:sz w:val="18"/>
                <w:szCs w:val="18"/>
              </w:rPr>
              <w:t>Diversity</w:t>
            </w:r>
            <w:r>
              <w:rPr>
                <w:sz w:val="18"/>
                <w:szCs w:val="18"/>
              </w:rPr>
              <w:t xml:space="preserve"> of riverbank and aquatic vegetation</w:t>
            </w:r>
          </w:p>
        </w:tc>
        <w:tc>
          <w:tcPr>
            <w:tcW w:w="1842" w:type="dxa"/>
            <w:shd w:val="clear" w:color="auto" w:fill="auto"/>
            <w:tcMar>
              <w:left w:w="57" w:type="dxa"/>
              <w:right w:w="57" w:type="dxa"/>
            </w:tcMar>
          </w:tcPr>
          <w:p w:rsidR="00E367BE" w:rsidRPr="00A11AF6" w:rsidRDefault="00E367BE" w:rsidP="00C636B2">
            <w:pPr>
              <w:spacing w:after="0" w:line="240" w:lineRule="auto"/>
              <w:jc w:val="center"/>
              <w:rPr>
                <w:sz w:val="16"/>
                <w:szCs w:val="16"/>
              </w:rPr>
            </w:pPr>
            <w:r>
              <w:rPr>
                <w:sz w:val="16"/>
                <w:szCs w:val="16"/>
              </w:rPr>
              <w:t>N/A</w:t>
            </w:r>
          </w:p>
        </w:tc>
        <w:tc>
          <w:tcPr>
            <w:tcW w:w="1843" w:type="dxa"/>
            <w:shd w:val="clear" w:color="auto" w:fill="C2D69B" w:themeFill="accent3" w:themeFillTint="99"/>
          </w:tcPr>
          <w:p w:rsidR="00E367BE" w:rsidRPr="00A11AF6" w:rsidRDefault="00E367BE" w:rsidP="00C636B2">
            <w:pPr>
              <w:spacing w:after="0" w:line="240" w:lineRule="auto"/>
              <w:jc w:val="center"/>
              <w:rPr>
                <w:sz w:val="18"/>
                <w:szCs w:val="18"/>
              </w:rPr>
            </w:pPr>
          </w:p>
        </w:tc>
        <w:tc>
          <w:tcPr>
            <w:tcW w:w="1701" w:type="dxa"/>
            <w:vMerge/>
            <w:shd w:val="clear" w:color="auto" w:fill="auto"/>
            <w:tcMar>
              <w:left w:w="57" w:type="dxa"/>
              <w:right w:w="57" w:type="dxa"/>
            </w:tcMar>
          </w:tcPr>
          <w:p w:rsidR="00E367BE" w:rsidRPr="00A11AF6" w:rsidRDefault="00E367BE" w:rsidP="00C636B2">
            <w:pPr>
              <w:spacing w:after="0" w:line="240" w:lineRule="auto"/>
              <w:jc w:val="center"/>
              <w:rPr>
                <w:sz w:val="18"/>
                <w:szCs w:val="18"/>
              </w:rPr>
            </w:pPr>
          </w:p>
        </w:tc>
      </w:tr>
      <w:tr w:rsidR="00E367BE" w:rsidRPr="00287858" w:rsidTr="00C636B2">
        <w:trPr>
          <w:trHeight w:val="215"/>
        </w:trPr>
        <w:tc>
          <w:tcPr>
            <w:tcW w:w="1555" w:type="dxa"/>
            <w:tcMar>
              <w:left w:w="57" w:type="dxa"/>
              <w:right w:w="57" w:type="dxa"/>
            </w:tcMar>
          </w:tcPr>
          <w:p w:rsidR="00E367BE" w:rsidRPr="00DE3187" w:rsidRDefault="00E367BE" w:rsidP="00C636B2">
            <w:pPr>
              <w:spacing w:after="0" w:line="240" w:lineRule="auto"/>
              <w:rPr>
                <w:b/>
                <w:sz w:val="18"/>
                <w:szCs w:val="18"/>
              </w:rPr>
            </w:pPr>
            <w:r w:rsidRPr="00DE3187">
              <w:rPr>
                <w:b/>
                <w:sz w:val="18"/>
                <w:szCs w:val="18"/>
              </w:rPr>
              <w:t>Fish movement</w:t>
            </w:r>
          </w:p>
        </w:tc>
        <w:tc>
          <w:tcPr>
            <w:tcW w:w="2268" w:type="dxa"/>
            <w:shd w:val="clear" w:color="auto" w:fill="auto"/>
          </w:tcPr>
          <w:p w:rsidR="00E367BE" w:rsidRPr="00A11AF6" w:rsidRDefault="00E367BE" w:rsidP="00C636B2">
            <w:pPr>
              <w:spacing w:after="0" w:line="240" w:lineRule="auto"/>
              <w:rPr>
                <w:sz w:val="18"/>
                <w:szCs w:val="18"/>
              </w:rPr>
            </w:pPr>
            <w:r w:rsidRPr="00BF402A">
              <w:rPr>
                <w:sz w:val="18"/>
                <w:szCs w:val="18"/>
              </w:rPr>
              <w:t>Native fish survival, dispersal and synchronised movement</w:t>
            </w:r>
          </w:p>
        </w:tc>
        <w:tc>
          <w:tcPr>
            <w:tcW w:w="1842" w:type="dxa"/>
            <w:shd w:val="clear" w:color="auto" w:fill="auto"/>
            <w:tcMar>
              <w:left w:w="57" w:type="dxa"/>
              <w:right w:w="57" w:type="dxa"/>
            </w:tcMar>
          </w:tcPr>
          <w:p w:rsidR="00E367BE" w:rsidRPr="00A11AF6" w:rsidRDefault="00E367BE" w:rsidP="00C636B2">
            <w:pPr>
              <w:spacing w:after="120" w:line="240" w:lineRule="auto"/>
              <w:jc w:val="center"/>
              <w:rPr>
                <w:sz w:val="16"/>
                <w:szCs w:val="16"/>
              </w:rPr>
            </w:pPr>
            <w:r>
              <w:rPr>
                <w:sz w:val="16"/>
                <w:szCs w:val="16"/>
              </w:rPr>
              <w:t>N/A</w:t>
            </w:r>
          </w:p>
        </w:tc>
        <w:tc>
          <w:tcPr>
            <w:tcW w:w="1843" w:type="dxa"/>
            <w:shd w:val="clear" w:color="auto" w:fill="auto"/>
          </w:tcPr>
          <w:p w:rsidR="00E367BE" w:rsidRPr="00A11AF6" w:rsidRDefault="00E367BE" w:rsidP="00C636B2">
            <w:pPr>
              <w:spacing w:after="0" w:line="240" w:lineRule="auto"/>
              <w:jc w:val="center"/>
              <w:rPr>
                <w:sz w:val="18"/>
                <w:szCs w:val="18"/>
              </w:rPr>
            </w:pPr>
            <w:r>
              <w:rPr>
                <w:sz w:val="16"/>
                <w:szCs w:val="16"/>
              </w:rPr>
              <w:t>N/A</w:t>
            </w:r>
          </w:p>
        </w:tc>
        <w:tc>
          <w:tcPr>
            <w:tcW w:w="1701" w:type="dxa"/>
            <w:vMerge/>
            <w:shd w:val="clear" w:color="auto" w:fill="auto"/>
            <w:tcMar>
              <w:left w:w="57" w:type="dxa"/>
              <w:right w:w="57" w:type="dxa"/>
            </w:tcMar>
          </w:tcPr>
          <w:p w:rsidR="00E367BE" w:rsidRPr="00A11AF6" w:rsidRDefault="00E367BE" w:rsidP="00C636B2">
            <w:pPr>
              <w:spacing w:after="0" w:line="240" w:lineRule="auto"/>
              <w:jc w:val="center"/>
              <w:rPr>
                <w:sz w:val="18"/>
                <w:szCs w:val="18"/>
              </w:rPr>
            </w:pPr>
          </w:p>
        </w:tc>
      </w:tr>
      <w:tr w:rsidR="00E367BE" w:rsidRPr="00287858" w:rsidTr="00C636B2">
        <w:trPr>
          <w:trHeight w:val="390"/>
        </w:trPr>
        <w:tc>
          <w:tcPr>
            <w:tcW w:w="1555" w:type="dxa"/>
            <w:vMerge w:val="restart"/>
            <w:tcMar>
              <w:left w:w="57" w:type="dxa"/>
              <w:right w:w="57" w:type="dxa"/>
            </w:tcMar>
          </w:tcPr>
          <w:p w:rsidR="00E367BE" w:rsidRPr="00DE3187" w:rsidRDefault="00E367BE" w:rsidP="00C636B2">
            <w:pPr>
              <w:spacing w:after="0" w:line="240" w:lineRule="auto"/>
              <w:rPr>
                <w:b/>
                <w:sz w:val="18"/>
                <w:szCs w:val="18"/>
              </w:rPr>
            </w:pPr>
            <w:r w:rsidRPr="00DE3187">
              <w:rPr>
                <w:b/>
                <w:sz w:val="18"/>
                <w:szCs w:val="18"/>
              </w:rPr>
              <w:t>Fish spawning and reproduction</w:t>
            </w:r>
          </w:p>
        </w:tc>
        <w:tc>
          <w:tcPr>
            <w:tcW w:w="2268" w:type="dxa"/>
            <w:shd w:val="clear" w:color="auto" w:fill="auto"/>
          </w:tcPr>
          <w:p w:rsidR="00E367BE" w:rsidRPr="004963F6" w:rsidRDefault="00E367BE" w:rsidP="00C636B2">
            <w:pPr>
              <w:spacing w:after="0" w:line="240" w:lineRule="auto"/>
              <w:rPr>
                <w:sz w:val="18"/>
                <w:szCs w:val="18"/>
              </w:rPr>
            </w:pPr>
            <w:r>
              <w:rPr>
                <w:sz w:val="18"/>
                <w:szCs w:val="18"/>
              </w:rPr>
              <w:t>Abundance</w:t>
            </w:r>
            <w:r w:rsidRPr="007D03D4">
              <w:rPr>
                <w:sz w:val="18"/>
                <w:szCs w:val="18"/>
              </w:rPr>
              <w:t xml:space="preserve"> of 'Opportunistic' (</w:t>
            </w:r>
            <w:r>
              <w:rPr>
                <w:sz w:val="18"/>
                <w:szCs w:val="18"/>
              </w:rPr>
              <w:t>e.g. small bodied fish) species</w:t>
            </w:r>
          </w:p>
        </w:tc>
        <w:tc>
          <w:tcPr>
            <w:tcW w:w="1842" w:type="dxa"/>
            <w:shd w:val="clear" w:color="auto" w:fill="auto"/>
            <w:tcMar>
              <w:left w:w="57" w:type="dxa"/>
              <w:right w:w="57" w:type="dxa"/>
            </w:tcMar>
          </w:tcPr>
          <w:p w:rsidR="00E367BE" w:rsidRPr="00A11AF6" w:rsidRDefault="00E367BE" w:rsidP="00C636B2">
            <w:pPr>
              <w:spacing w:after="0" w:line="240" w:lineRule="auto"/>
              <w:jc w:val="center"/>
              <w:rPr>
                <w:sz w:val="16"/>
                <w:szCs w:val="16"/>
              </w:rPr>
            </w:pPr>
            <w:r>
              <w:rPr>
                <w:sz w:val="16"/>
                <w:szCs w:val="16"/>
              </w:rPr>
              <w:t>N/A</w:t>
            </w:r>
          </w:p>
        </w:tc>
        <w:tc>
          <w:tcPr>
            <w:tcW w:w="1843" w:type="dxa"/>
            <w:shd w:val="clear" w:color="auto" w:fill="D9D9D9" w:themeFill="background1" w:themeFillShade="D9"/>
          </w:tcPr>
          <w:p w:rsidR="00E367BE" w:rsidRPr="00A11AF6" w:rsidRDefault="00E367BE" w:rsidP="00C636B2">
            <w:pPr>
              <w:spacing w:after="0" w:line="240" w:lineRule="auto"/>
              <w:jc w:val="center"/>
              <w:rPr>
                <w:sz w:val="16"/>
                <w:szCs w:val="16"/>
              </w:rPr>
            </w:pPr>
          </w:p>
        </w:tc>
        <w:tc>
          <w:tcPr>
            <w:tcW w:w="1701" w:type="dxa"/>
            <w:vMerge/>
            <w:shd w:val="clear" w:color="auto" w:fill="auto"/>
            <w:tcMar>
              <w:left w:w="57" w:type="dxa"/>
              <w:right w:w="57" w:type="dxa"/>
            </w:tcMar>
          </w:tcPr>
          <w:p w:rsidR="00E367BE" w:rsidRPr="00A11AF6" w:rsidRDefault="00E367BE" w:rsidP="00C636B2">
            <w:pPr>
              <w:spacing w:after="0" w:line="240" w:lineRule="auto"/>
              <w:jc w:val="center"/>
              <w:rPr>
                <w:sz w:val="16"/>
                <w:szCs w:val="16"/>
              </w:rPr>
            </w:pPr>
          </w:p>
        </w:tc>
      </w:tr>
      <w:tr w:rsidR="00E367BE" w:rsidRPr="00287858" w:rsidTr="00C636B2">
        <w:trPr>
          <w:trHeight w:val="389"/>
        </w:trPr>
        <w:tc>
          <w:tcPr>
            <w:tcW w:w="1555" w:type="dxa"/>
            <w:vMerge/>
            <w:tcMar>
              <w:left w:w="57" w:type="dxa"/>
              <w:right w:w="57" w:type="dxa"/>
            </w:tcMar>
          </w:tcPr>
          <w:p w:rsidR="00E367BE" w:rsidRPr="00DE3187" w:rsidRDefault="00E367BE" w:rsidP="00C636B2">
            <w:pPr>
              <w:spacing w:after="0" w:line="240" w:lineRule="auto"/>
              <w:rPr>
                <w:b/>
                <w:sz w:val="18"/>
                <w:szCs w:val="18"/>
              </w:rPr>
            </w:pPr>
          </w:p>
        </w:tc>
        <w:tc>
          <w:tcPr>
            <w:tcW w:w="2268" w:type="dxa"/>
            <w:shd w:val="clear" w:color="auto" w:fill="auto"/>
          </w:tcPr>
          <w:p w:rsidR="00E367BE" w:rsidRPr="00A11AF6" w:rsidRDefault="00E367BE" w:rsidP="00C636B2">
            <w:pPr>
              <w:spacing w:after="0" w:line="240" w:lineRule="auto"/>
              <w:jc w:val="left"/>
              <w:rPr>
                <w:sz w:val="16"/>
                <w:szCs w:val="16"/>
              </w:rPr>
            </w:pPr>
            <w:r>
              <w:rPr>
                <w:sz w:val="18"/>
                <w:szCs w:val="18"/>
              </w:rPr>
              <w:t>Abundance of</w:t>
            </w:r>
            <w:r w:rsidRPr="007D03D4">
              <w:rPr>
                <w:sz w:val="18"/>
                <w:szCs w:val="18"/>
              </w:rPr>
              <w:t xml:space="preserve"> ‘flow-dependent’ spawning species</w:t>
            </w:r>
            <w:r>
              <w:rPr>
                <w:sz w:val="18"/>
                <w:szCs w:val="18"/>
              </w:rPr>
              <w:t xml:space="preserve"> (e.g. golden and silver perch)</w:t>
            </w:r>
          </w:p>
        </w:tc>
        <w:tc>
          <w:tcPr>
            <w:tcW w:w="1842" w:type="dxa"/>
            <w:shd w:val="clear" w:color="auto" w:fill="auto"/>
            <w:tcMar>
              <w:left w:w="57" w:type="dxa"/>
              <w:right w:w="57" w:type="dxa"/>
            </w:tcMar>
          </w:tcPr>
          <w:p w:rsidR="00E367BE" w:rsidRPr="00A11AF6" w:rsidRDefault="00E367BE" w:rsidP="00C636B2">
            <w:pPr>
              <w:spacing w:after="0" w:line="240" w:lineRule="auto"/>
              <w:jc w:val="center"/>
              <w:rPr>
                <w:sz w:val="16"/>
                <w:szCs w:val="16"/>
              </w:rPr>
            </w:pPr>
            <w:r>
              <w:rPr>
                <w:sz w:val="16"/>
                <w:szCs w:val="16"/>
              </w:rPr>
              <w:t>N/A</w:t>
            </w:r>
          </w:p>
        </w:tc>
        <w:tc>
          <w:tcPr>
            <w:tcW w:w="1843" w:type="dxa"/>
            <w:shd w:val="clear" w:color="auto" w:fill="D9D9D9" w:themeFill="background1" w:themeFillShade="D9"/>
          </w:tcPr>
          <w:p w:rsidR="00E367BE" w:rsidRPr="00A11AF6" w:rsidRDefault="00E367BE" w:rsidP="00C636B2">
            <w:pPr>
              <w:spacing w:after="0" w:line="240" w:lineRule="auto"/>
              <w:jc w:val="center"/>
              <w:rPr>
                <w:sz w:val="16"/>
                <w:szCs w:val="16"/>
              </w:rPr>
            </w:pPr>
          </w:p>
        </w:tc>
        <w:tc>
          <w:tcPr>
            <w:tcW w:w="1701" w:type="dxa"/>
            <w:vMerge/>
            <w:shd w:val="clear" w:color="auto" w:fill="auto"/>
            <w:tcMar>
              <w:left w:w="57" w:type="dxa"/>
              <w:right w:w="57" w:type="dxa"/>
            </w:tcMar>
          </w:tcPr>
          <w:p w:rsidR="00E367BE" w:rsidRPr="00A11AF6" w:rsidRDefault="00E367BE" w:rsidP="00C636B2">
            <w:pPr>
              <w:spacing w:after="0" w:line="240" w:lineRule="auto"/>
              <w:jc w:val="center"/>
              <w:rPr>
                <w:sz w:val="16"/>
                <w:szCs w:val="16"/>
              </w:rPr>
            </w:pPr>
          </w:p>
        </w:tc>
      </w:tr>
      <w:tr w:rsidR="00E367BE" w:rsidRPr="00287858" w:rsidTr="00C636B2">
        <w:trPr>
          <w:trHeight w:val="353"/>
        </w:trPr>
        <w:tc>
          <w:tcPr>
            <w:tcW w:w="1555" w:type="dxa"/>
            <w:vMerge w:val="restart"/>
            <w:tcMar>
              <w:left w:w="57" w:type="dxa"/>
              <w:right w:w="57" w:type="dxa"/>
            </w:tcMar>
          </w:tcPr>
          <w:p w:rsidR="00E367BE" w:rsidRPr="00DE3187" w:rsidRDefault="00E367BE" w:rsidP="00C636B2">
            <w:pPr>
              <w:spacing w:after="0" w:line="240" w:lineRule="auto"/>
              <w:rPr>
                <w:b/>
                <w:sz w:val="18"/>
                <w:szCs w:val="18"/>
              </w:rPr>
            </w:pPr>
            <w:r w:rsidRPr="00DE3187">
              <w:rPr>
                <w:b/>
                <w:sz w:val="18"/>
                <w:szCs w:val="18"/>
              </w:rPr>
              <w:t>Fish recruitment</w:t>
            </w:r>
          </w:p>
        </w:tc>
        <w:tc>
          <w:tcPr>
            <w:tcW w:w="2268" w:type="dxa"/>
            <w:shd w:val="clear" w:color="auto" w:fill="auto"/>
          </w:tcPr>
          <w:p w:rsidR="00E367BE" w:rsidRPr="00660948" w:rsidRDefault="00E367BE" w:rsidP="00C636B2">
            <w:pPr>
              <w:spacing w:after="0" w:line="240" w:lineRule="auto"/>
              <w:jc w:val="left"/>
              <w:rPr>
                <w:sz w:val="18"/>
                <w:szCs w:val="18"/>
              </w:rPr>
            </w:pPr>
            <w:r>
              <w:rPr>
                <w:sz w:val="18"/>
                <w:szCs w:val="18"/>
              </w:rPr>
              <w:t>G</w:t>
            </w:r>
            <w:r w:rsidRPr="00660948">
              <w:rPr>
                <w:sz w:val="18"/>
                <w:szCs w:val="18"/>
              </w:rPr>
              <w:t>rowth rate</w:t>
            </w:r>
            <w:r>
              <w:rPr>
                <w:sz w:val="18"/>
                <w:szCs w:val="18"/>
              </w:rPr>
              <w:t xml:space="preserve"> of </w:t>
            </w:r>
            <w:r w:rsidRPr="00660948">
              <w:rPr>
                <w:sz w:val="18"/>
                <w:szCs w:val="18"/>
              </w:rPr>
              <w:t>young-of-year (YOY) and age-class 1 (1+) Murray cod</w:t>
            </w:r>
          </w:p>
        </w:tc>
        <w:tc>
          <w:tcPr>
            <w:tcW w:w="1842" w:type="dxa"/>
            <w:shd w:val="clear" w:color="auto" w:fill="auto"/>
            <w:tcMar>
              <w:left w:w="57" w:type="dxa"/>
              <w:right w:w="57" w:type="dxa"/>
            </w:tcMar>
          </w:tcPr>
          <w:p w:rsidR="00E367BE" w:rsidRPr="00A11AF6" w:rsidRDefault="00E367BE" w:rsidP="00C636B2">
            <w:pPr>
              <w:spacing w:after="0" w:line="240" w:lineRule="auto"/>
              <w:jc w:val="center"/>
              <w:rPr>
                <w:sz w:val="16"/>
                <w:szCs w:val="16"/>
              </w:rPr>
            </w:pPr>
            <w:r>
              <w:rPr>
                <w:sz w:val="16"/>
                <w:szCs w:val="16"/>
              </w:rPr>
              <w:t>N/A</w:t>
            </w:r>
          </w:p>
        </w:tc>
        <w:tc>
          <w:tcPr>
            <w:tcW w:w="1843" w:type="dxa"/>
            <w:shd w:val="clear" w:color="auto" w:fill="D9D9D9" w:themeFill="background1" w:themeFillShade="D9"/>
          </w:tcPr>
          <w:p w:rsidR="00E367BE" w:rsidRPr="00A11AF6" w:rsidRDefault="00E367BE" w:rsidP="00C636B2">
            <w:pPr>
              <w:spacing w:after="0" w:line="240" w:lineRule="auto"/>
              <w:jc w:val="center"/>
              <w:rPr>
                <w:sz w:val="16"/>
                <w:szCs w:val="16"/>
              </w:rPr>
            </w:pPr>
          </w:p>
        </w:tc>
        <w:tc>
          <w:tcPr>
            <w:tcW w:w="1701" w:type="dxa"/>
            <w:vMerge/>
            <w:shd w:val="clear" w:color="auto" w:fill="auto"/>
            <w:tcMar>
              <w:left w:w="57" w:type="dxa"/>
              <w:right w:w="57" w:type="dxa"/>
            </w:tcMar>
          </w:tcPr>
          <w:p w:rsidR="00E367BE" w:rsidRPr="00A11AF6" w:rsidRDefault="00E367BE" w:rsidP="00C636B2">
            <w:pPr>
              <w:spacing w:after="0" w:line="240" w:lineRule="auto"/>
              <w:jc w:val="center"/>
              <w:rPr>
                <w:sz w:val="16"/>
                <w:szCs w:val="16"/>
              </w:rPr>
            </w:pPr>
          </w:p>
        </w:tc>
      </w:tr>
      <w:tr w:rsidR="00E367BE" w:rsidRPr="00287858" w:rsidTr="00C636B2">
        <w:trPr>
          <w:trHeight w:val="390"/>
        </w:trPr>
        <w:tc>
          <w:tcPr>
            <w:tcW w:w="1555" w:type="dxa"/>
            <w:vMerge/>
            <w:tcMar>
              <w:left w:w="57" w:type="dxa"/>
              <w:right w:w="57" w:type="dxa"/>
            </w:tcMar>
          </w:tcPr>
          <w:p w:rsidR="00E367BE" w:rsidRDefault="00E367BE" w:rsidP="00C636B2">
            <w:pPr>
              <w:spacing w:after="0" w:line="240" w:lineRule="auto"/>
              <w:jc w:val="left"/>
              <w:rPr>
                <w:b/>
                <w:sz w:val="18"/>
                <w:szCs w:val="18"/>
              </w:rPr>
            </w:pPr>
          </w:p>
        </w:tc>
        <w:tc>
          <w:tcPr>
            <w:tcW w:w="2268" w:type="dxa"/>
            <w:shd w:val="clear" w:color="auto" w:fill="auto"/>
          </w:tcPr>
          <w:p w:rsidR="00E367BE" w:rsidRPr="00660948" w:rsidRDefault="00E367BE" w:rsidP="00C636B2">
            <w:pPr>
              <w:spacing w:after="0" w:line="240" w:lineRule="auto"/>
              <w:jc w:val="left"/>
              <w:rPr>
                <w:sz w:val="18"/>
                <w:szCs w:val="18"/>
              </w:rPr>
            </w:pPr>
            <w:r>
              <w:rPr>
                <w:sz w:val="18"/>
                <w:szCs w:val="18"/>
              </w:rPr>
              <w:t>R</w:t>
            </w:r>
            <w:r w:rsidRPr="00660948">
              <w:rPr>
                <w:sz w:val="18"/>
                <w:szCs w:val="18"/>
              </w:rPr>
              <w:t>ecruitment</w:t>
            </w:r>
            <w:r>
              <w:rPr>
                <w:sz w:val="18"/>
                <w:szCs w:val="18"/>
              </w:rPr>
              <w:t xml:space="preserve"> of </w:t>
            </w:r>
            <w:r w:rsidRPr="00660948">
              <w:rPr>
                <w:sz w:val="18"/>
                <w:szCs w:val="18"/>
              </w:rPr>
              <w:t>young-of-year (YOY) and age-class 1 (1+) Murray cod</w:t>
            </w:r>
          </w:p>
        </w:tc>
        <w:tc>
          <w:tcPr>
            <w:tcW w:w="1842" w:type="dxa"/>
            <w:shd w:val="clear" w:color="auto" w:fill="auto"/>
            <w:tcMar>
              <w:left w:w="57" w:type="dxa"/>
              <w:right w:w="57" w:type="dxa"/>
            </w:tcMar>
          </w:tcPr>
          <w:p w:rsidR="00E367BE" w:rsidRPr="00A11AF6" w:rsidRDefault="00E367BE" w:rsidP="00C636B2">
            <w:pPr>
              <w:spacing w:after="120" w:line="240" w:lineRule="auto"/>
              <w:jc w:val="center"/>
              <w:rPr>
                <w:sz w:val="16"/>
                <w:szCs w:val="16"/>
              </w:rPr>
            </w:pPr>
            <w:r>
              <w:rPr>
                <w:sz w:val="16"/>
                <w:szCs w:val="16"/>
              </w:rPr>
              <w:t>N/A</w:t>
            </w:r>
          </w:p>
        </w:tc>
        <w:tc>
          <w:tcPr>
            <w:tcW w:w="1843" w:type="dxa"/>
            <w:shd w:val="clear" w:color="auto" w:fill="D9D9D9" w:themeFill="background1" w:themeFillShade="D9"/>
          </w:tcPr>
          <w:p w:rsidR="00E367BE" w:rsidRPr="00A11AF6" w:rsidRDefault="00E367BE" w:rsidP="00C636B2">
            <w:pPr>
              <w:spacing w:after="0" w:line="240" w:lineRule="auto"/>
              <w:jc w:val="center"/>
              <w:rPr>
                <w:sz w:val="16"/>
                <w:szCs w:val="16"/>
              </w:rPr>
            </w:pPr>
          </w:p>
        </w:tc>
        <w:tc>
          <w:tcPr>
            <w:tcW w:w="1701" w:type="dxa"/>
            <w:vMerge/>
            <w:shd w:val="clear" w:color="auto" w:fill="auto"/>
            <w:tcMar>
              <w:left w:w="57" w:type="dxa"/>
              <w:right w:w="57" w:type="dxa"/>
            </w:tcMar>
          </w:tcPr>
          <w:p w:rsidR="00E367BE" w:rsidRPr="00A11AF6" w:rsidRDefault="00E367BE" w:rsidP="00C636B2">
            <w:pPr>
              <w:spacing w:after="0" w:line="240" w:lineRule="auto"/>
              <w:jc w:val="center"/>
              <w:rPr>
                <w:sz w:val="16"/>
                <w:szCs w:val="16"/>
              </w:rPr>
            </w:pPr>
          </w:p>
        </w:tc>
      </w:tr>
      <w:tr w:rsidR="00E367BE" w:rsidRPr="00287858" w:rsidTr="00C636B2">
        <w:trPr>
          <w:trHeight w:val="390"/>
        </w:trPr>
        <w:tc>
          <w:tcPr>
            <w:tcW w:w="1555" w:type="dxa"/>
            <w:vMerge w:val="restart"/>
            <w:tcMar>
              <w:left w:w="57" w:type="dxa"/>
              <w:right w:w="57" w:type="dxa"/>
            </w:tcMar>
          </w:tcPr>
          <w:p w:rsidR="00E367BE" w:rsidRPr="00DE3187" w:rsidRDefault="00E367BE" w:rsidP="00C636B2">
            <w:pPr>
              <w:spacing w:after="0" w:line="240" w:lineRule="auto"/>
              <w:jc w:val="left"/>
              <w:rPr>
                <w:b/>
                <w:sz w:val="18"/>
                <w:szCs w:val="18"/>
              </w:rPr>
            </w:pPr>
            <w:r>
              <w:rPr>
                <w:b/>
                <w:sz w:val="18"/>
                <w:szCs w:val="18"/>
              </w:rPr>
              <w:t>Fish community</w:t>
            </w:r>
          </w:p>
        </w:tc>
        <w:tc>
          <w:tcPr>
            <w:tcW w:w="2268" w:type="dxa"/>
            <w:shd w:val="clear" w:color="auto" w:fill="auto"/>
          </w:tcPr>
          <w:p w:rsidR="00E367BE" w:rsidRPr="00660948" w:rsidRDefault="00E367BE" w:rsidP="00C636B2">
            <w:pPr>
              <w:spacing w:after="0" w:line="240" w:lineRule="auto"/>
              <w:jc w:val="left"/>
              <w:rPr>
                <w:sz w:val="18"/>
                <w:szCs w:val="18"/>
              </w:rPr>
            </w:pPr>
            <w:r w:rsidRPr="0060345B">
              <w:rPr>
                <w:sz w:val="18"/>
                <w:szCs w:val="18"/>
              </w:rPr>
              <w:t>Fish condition</w:t>
            </w:r>
          </w:p>
        </w:tc>
        <w:tc>
          <w:tcPr>
            <w:tcW w:w="1842" w:type="dxa"/>
            <w:shd w:val="clear" w:color="auto" w:fill="auto"/>
            <w:tcMar>
              <w:left w:w="57" w:type="dxa"/>
              <w:right w:w="57" w:type="dxa"/>
            </w:tcMar>
          </w:tcPr>
          <w:p w:rsidR="00E367BE" w:rsidRPr="00A11AF6" w:rsidRDefault="00E367BE" w:rsidP="00C636B2">
            <w:pPr>
              <w:spacing w:after="0" w:line="240" w:lineRule="auto"/>
              <w:jc w:val="center"/>
              <w:rPr>
                <w:sz w:val="16"/>
                <w:szCs w:val="16"/>
              </w:rPr>
            </w:pPr>
            <w:r>
              <w:rPr>
                <w:sz w:val="16"/>
                <w:szCs w:val="16"/>
              </w:rPr>
              <w:t>N/A</w:t>
            </w:r>
          </w:p>
        </w:tc>
        <w:tc>
          <w:tcPr>
            <w:tcW w:w="1843" w:type="dxa"/>
            <w:shd w:val="clear" w:color="auto" w:fill="auto"/>
          </w:tcPr>
          <w:p w:rsidR="00E367BE" w:rsidRPr="00A11AF6" w:rsidRDefault="00E367BE" w:rsidP="00C636B2">
            <w:pPr>
              <w:spacing w:after="0" w:line="240" w:lineRule="auto"/>
              <w:jc w:val="center"/>
              <w:rPr>
                <w:sz w:val="16"/>
                <w:szCs w:val="16"/>
              </w:rPr>
            </w:pPr>
            <w:r>
              <w:rPr>
                <w:sz w:val="16"/>
                <w:szCs w:val="16"/>
              </w:rPr>
              <w:t>N/A</w:t>
            </w:r>
          </w:p>
        </w:tc>
        <w:tc>
          <w:tcPr>
            <w:tcW w:w="1701" w:type="dxa"/>
            <w:vMerge/>
            <w:shd w:val="clear" w:color="auto" w:fill="auto"/>
            <w:tcMar>
              <w:left w:w="57" w:type="dxa"/>
              <w:right w:w="57" w:type="dxa"/>
            </w:tcMar>
          </w:tcPr>
          <w:p w:rsidR="00E367BE" w:rsidRPr="00A11AF6" w:rsidRDefault="00E367BE" w:rsidP="00C636B2">
            <w:pPr>
              <w:spacing w:after="0" w:line="240" w:lineRule="auto"/>
              <w:jc w:val="center"/>
              <w:rPr>
                <w:sz w:val="16"/>
                <w:szCs w:val="16"/>
              </w:rPr>
            </w:pPr>
          </w:p>
        </w:tc>
      </w:tr>
      <w:tr w:rsidR="00E367BE" w:rsidRPr="00287858" w:rsidTr="00C636B2">
        <w:trPr>
          <w:trHeight w:val="390"/>
        </w:trPr>
        <w:tc>
          <w:tcPr>
            <w:tcW w:w="1555" w:type="dxa"/>
            <w:vMerge/>
            <w:tcMar>
              <w:left w:w="57" w:type="dxa"/>
              <w:right w:w="57" w:type="dxa"/>
            </w:tcMar>
          </w:tcPr>
          <w:p w:rsidR="00E367BE" w:rsidRDefault="00E367BE" w:rsidP="00C636B2">
            <w:pPr>
              <w:spacing w:after="0" w:line="240" w:lineRule="auto"/>
              <w:jc w:val="left"/>
              <w:rPr>
                <w:b/>
                <w:sz w:val="18"/>
                <w:szCs w:val="18"/>
              </w:rPr>
            </w:pPr>
          </w:p>
        </w:tc>
        <w:tc>
          <w:tcPr>
            <w:tcW w:w="2268" w:type="dxa"/>
            <w:shd w:val="clear" w:color="auto" w:fill="auto"/>
          </w:tcPr>
          <w:p w:rsidR="00E367BE" w:rsidRPr="0060345B" w:rsidRDefault="00E367BE" w:rsidP="00C636B2">
            <w:pPr>
              <w:spacing w:after="0" w:line="240" w:lineRule="auto"/>
              <w:jc w:val="left"/>
              <w:rPr>
                <w:sz w:val="18"/>
                <w:szCs w:val="18"/>
              </w:rPr>
            </w:pPr>
            <w:r>
              <w:rPr>
                <w:sz w:val="18"/>
                <w:szCs w:val="18"/>
              </w:rPr>
              <w:t>Fish recovery</w:t>
            </w:r>
          </w:p>
        </w:tc>
        <w:tc>
          <w:tcPr>
            <w:tcW w:w="1842" w:type="dxa"/>
            <w:shd w:val="clear" w:color="auto" w:fill="auto"/>
            <w:tcMar>
              <w:left w:w="57" w:type="dxa"/>
              <w:right w:w="57" w:type="dxa"/>
            </w:tcMar>
          </w:tcPr>
          <w:p w:rsidR="00E367BE" w:rsidRDefault="00E367BE" w:rsidP="00C636B2">
            <w:pPr>
              <w:spacing w:after="0" w:line="240" w:lineRule="auto"/>
              <w:jc w:val="center"/>
              <w:rPr>
                <w:sz w:val="16"/>
                <w:szCs w:val="16"/>
              </w:rPr>
            </w:pPr>
            <w:r>
              <w:rPr>
                <w:sz w:val="16"/>
                <w:szCs w:val="16"/>
              </w:rPr>
              <w:t>N/A</w:t>
            </w:r>
          </w:p>
        </w:tc>
        <w:tc>
          <w:tcPr>
            <w:tcW w:w="1843" w:type="dxa"/>
            <w:shd w:val="clear" w:color="auto" w:fill="auto"/>
          </w:tcPr>
          <w:p w:rsidR="00E367BE" w:rsidRDefault="00E367BE" w:rsidP="00C636B2">
            <w:pPr>
              <w:spacing w:after="0" w:line="240" w:lineRule="auto"/>
              <w:jc w:val="center"/>
              <w:rPr>
                <w:sz w:val="16"/>
                <w:szCs w:val="16"/>
              </w:rPr>
            </w:pPr>
            <w:r>
              <w:rPr>
                <w:sz w:val="16"/>
                <w:szCs w:val="16"/>
              </w:rPr>
              <w:t>N/A</w:t>
            </w:r>
          </w:p>
        </w:tc>
        <w:tc>
          <w:tcPr>
            <w:tcW w:w="1701" w:type="dxa"/>
            <w:vMerge/>
            <w:shd w:val="clear" w:color="auto" w:fill="auto"/>
            <w:tcMar>
              <w:left w:w="57" w:type="dxa"/>
              <w:right w:w="57" w:type="dxa"/>
            </w:tcMar>
          </w:tcPr>
          <w:p w:rsidR="00E367BE" w:rsidRPr="00A11AF6" w:rsidRDefault="00E367BE" w:rsidP="00C636B2">
            <w:pPr>
              <w:spacing w:after="0" w:line="240" w:lineRule="auto"/>
              <w:jc w:val="center"/>
              <w:rPr>
                <w:sz w:val="16"/>
                <w:szCs w:val="16"/>
              </w:rPr>
            </w:pPr>
          </w:p>
        </w:tc>
      </w:tr>
    </w:tbl>
    <w:p w:rsidR="00833A6F" w:rsidRPr="00C770B1" w:rsidRDefault="001436D3" w:rsidP="00311640">
      <w:pPr>
        <w:pStyle w:val="NoSpacing"/>
        <w:spacing w:line="360" w:lineRule="auto"/>
        <w:jc w:val="left"/>
        <w:rPr>
          <w:b/>
          <w:color w:val="4F6228" w:themeColor="accent3" w:themeShade="80"/>
          <w:sz w:val="24"/>
          <w:szCs w:val="24"/>
        </w:rPr>
      </w:pPr>
      <w:r w:rsidRPr="00C770B1">
        <w:rPr>
          <w:b/>
          <w:color w:val="4F6228" w:themeColor="accent3" w:themeShade="80"/>
          <w:sz w:val="24"/>
          <w:szCs w:val="24"/>
        </w:rPr>
        <w:t xml:space="preserve">Assessment of </w:t>
      </w:r>
      <w:r w:rsidR="00E03751" w:rsidRPr="00C770B1">
        <w:rPr>
          <w:b/>
          <w:color w:val="4F6228" w:themeColor="accent3" w:themeShade="80"/>
          <w:sz w:val="24"/>
          <w:szCs w:val="24"/>
        </w:rPr>
        <w:t xml:space="preserve">outcomes against the </w:t>
      </w:r>
      <w:r w:rsidR="00833A6F" w:rsidRPr="00C770B1">
        <w:rPr>
          <w:b/>
          <w:color w:val="4F6228" w:themeColor="accent3" w:themeShade="80"/>
          <w:sz w:val="24"/>
          <w:szCs w:val="24"/>
        </w:rPr>
        <w:t>Commonwealth environmental watering</w:t>
      </w:r>
      <w:r w:rsidRPr="00C770B1">
        <w:rPr>
          <w:b/>
          <w:color w:val="4F6228" w:themeColor="accent3" w:themeShade="80"/>
          <w:sz w:val="24"/>
          <w:szCs w:val="24"/>
        </w:rPr>
        <w:t xml:space="preserve"> objectives</w:t>
      </w:r>
    </w:p>
    <w:p w:rsidR="00416871" w:rsidRDefault="00416871" w:rsidP="00416871">
      <w:pPr>
        <w:spacing w:after="120"/>
        <w:jc w:val="left"/>
      </w:pPr>
      <w:r>
        <w:t>An assessment of</w:t>
      </w:r>
      <w:r w:rsidRPr="001436D3">
        <w:t xml:space="preserve"> </w:t>
      </w:r>
      <w:r>
        <w:t xml:space="preserve">the outcomes against the </w:t>
      </w:r>
      <w:r w:rsidRPr="001436D3">
        <w:t xml:space="preserve">ecological objectives for </w:t>
      </w:r>
      <w:r>
        <w:t xml:space="preserve">2014-15 in </w:t>
      </w:r>
      <w:r w:rsidRPr="001436D3">
        <w:t>the Edward-Wakool system outlined in</w:t>
      </w:r>
      <w:r w:rsidRPr="001436D3">
        <w:rPr>
          <w:rFonts w:asciiTheme="minorHAnsi" w:hAnsiTheme="minorHAnsi"/>
        </w:rPr>
        <w:t xml:space="preserve"> the Water Use Minute 10008 (CEWO, 2014) </w:t>
      </w:r>
      <w:r>
        <w:t>is presented in Table 12.2 and an assessment of outcomes against the specific objectives for the Yallakool Creek environmental watering action in 2014-15 is provided in Table 12.3. Some of the watering objectives were achieved, some were not achieved</w:t>
      </w:r>
      <w:r w:rsidRPr="003F4225">
        <w:t xml:space="preserve"> </w:t>
      </w:r>
      <w:r>
        <w:t>and some were not assessed in the Edward-Wakool system in 2014-15. In both of these assessments the water quality and vegetation objectives were met. The lateral and longitudinal connectivity objectives were met at some sites, but not consistently throughout all zones. The objectives for reproduction and recruitment of native fish were not achieved by the Yallakool Creek environmental watering action in 2014-15.</w:t>
      </w:r>
    </w:p>
    <w:p w:rsidR="00416871" w:rsidRDefault="00416871" w:rsidP="00416871">
      <w:pPr>
        <w:spacing w:after="120" w:line="240" w:lineRule="auto"/>
        <w:jc w:val="left"/>
        <w:rPr>
          <w:sz w:val="20"/>
        </w:rPr>
      </w:pPr>
      <w:r>
        <w:rPr>
          <w:b/>
          <w:sz w:val="20"/>
        </w:rPr>
        <w:t>Table 12.2</w:t>
      </w:r>
      <w:r w:rsidRPr="001436D3">
        <w:rPr>
          <w:b/>
          <w:sz w:val="20"/>
        </w:rPr>
        <w:t>.</w:t>
      </w:r>
      <w:r w:rsidRPr="001436D3">
        <w:rPr>
          <w:sz w:val="20"/>
        </w:rPr>
        <w:t xml:space="preserve"> Assessment of outcomes of Commonwealth environmental watering in the Edward-Wakool system in 2014-15 against the </w:t>
      </w:r>
      <w:r>
        <w:rPr>
          <w:sz w:val="20"/>
        </w:rPr>
        <w:t xml:space="preserve">broad </w:t>
      </w:r>
      <w:r w:rsidRPr="001436D3">
        <w:rPr>
          <w:sz w:val="20"/>
        </w:rPr>
        <w:t xml:space="preserve">environmental watering objectives outlined in water use Minute 10008. </w:t>
      </w:r>
      <w:r w:rsidRPr="00C36F54">
        <w:rPr>
          <w:sz w:val="20"/>
        </w:rPr>
        <w:t>Green shading indicates positive response, red shading indicates negative response, grey shading indicates no detectable response (</w:t>
      </w:r>
      <w:proofErr w:type="gramStart"/>
      <w:r>
        <w:rPr>
          <w:sz w:val="20"/>
        </w:rPr>
        <w:t>n</w:t>
      </w:r>
      <w:r w:rsidRPr="00C36F54">
        <w:rPr>
          <w:sz w:val="20"/>
        </w:rPr>
        <w:t>either positive or</w:t>
      </w:r>
      <w:proofErr w:type="gramEnd"/>
      <w:r w:rsidRPr="00C36F54">
        <w:rPr>
          <w:sz w:val="20"/>
        </w:rPr>
        <w:t xml:space="preserve"> negative) to environmental watering. White boxes indicate no evaluation was undertaken.</w:t>
      </w:r>
    </w:p>
    <w:tbl>
      <w:tblPr>
        <w:tblStyle w:val="TableGrid"/>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8"/>
        <w:gridCol w:w="4252"/>
      </w:tblGrid>
      <w:tr w:rsidR="00416871" w:rsidRPr="001436D3" w:rsidTr="00A66CBF">
        <w:tc>
          <w:tcPr>
            <w:tcW w:w="4928" w:type="dxa"/>
            <w:tcBorders>
              <w:top w:val="single" w:sz="4" w:space="0" w:color="auto"/>
              <w:left w:val="single" w:sz="4" w:space="0" w:color="auto"/>
              <w:bottom w:val="single" w:sz="4" w:space="0" w:color="auto"/>
              <w:right w:val="single" w:sz="4" w:space="0" w:color="auto"/>
            </w:tcBorders>
            <w:shd w:val="clear" w:color="auto" w:fill="auto"/>
          </w:tcPr>
          <w:p w:rsidR="00416871" w:rsidRPr="005F605E" w:rsidRDefault="00416871" w:rsidP="00A66CBF">
            <w:pPr>
              <w:shd w:val="clear" w:color="auto" w:fill="FFFFFF"/>
              <w:tabs>
                <w:tab w:val="left" w:pos="426"/>
              </w:tabs>
              <w:spacing w:after="0" w:line="240" w:lineRule="auto"/>
              <w:jc w:val="left"/>
              <w:rPr>
                <w:b/>
              </w:rPr>
            </w:pPr>
            <w:r w:rsidRPr="005F605E">
              <w:rPr>
                <w:b/>
              </w:rPr>
              <w:t>Commonwealth environmental watering objective from Water Use Minute 10008</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416871" w:rsidRPr="005F605E" w:rsidRDefault="00416871" w:rsidP="00A66CBF">
            <w:pPr>
              <w:shd w:val="clear" w:color="auto" w:fill="FFFFFF"/>
              <w:tabs>
                <w:tab w:val="left" w:pos="426"/>
              </w:tabs>
              <w:spacing w:after="0" w:line="240" w:lineRule="auto"/>
              <w:jc w:val="left"/>
              <w:rPr>
                <w:b/>
              </w:rPr>
            </w:pPr>
            <w:r w:rsidRPr="005F605E">
              <w:rPr>
                <w:b/>
              </w:rPr>
              <w:t>Objective achieved or not achieved</w:t>
            </w:r>
          </w:p>
        </w:tc>
      </w:tr>
      <w:tr w:rsidR="00416871" w:rsidRPr="001436D3" w:rsidTr="00A66CBF">
        <w:tc>
          <w:tcPr>
            <w:tcW w:w="4928" w:type="dxa"/>
            <w:vMerge w:val="restart"/>
            <w:tcBorders>
              <w:top w:val="single" w:sz="4" w:space="0" w:color="auto"/>
              <w:left w:val="single" w:sz="4" w:space="0" w:color="auto"/>
              <w:right w:val="single" w:sz="4" w:space="0" w:color="auto"/>
            </w:tcBorders>
          </w:tcPr>
          <w:p w:rsidR="00416871" w:rsidRPr="001436D3" w:rsidRDefault="00416871" w:rsidP="00A66CBF">
            <w:pPr>
              <w:shd w:val="clear" w:color="auto" w:fill="FFFFFF"/>
              <w:tabs>
                <w:tab w:val="left" w:pos="426"/>
              </w:tabs>
              <w:spacing w:after="0" w:line="240" w:lineRule="auto"/>
              <w:jc w:val="left"/>
            </w:pPr>
            <w:r>
              <w:t>I</w:t>
            </w:r>
            <w:r w:rsidRPr="001436D3">
              <w:t>mprove the diversity and condition of native fish and other native species including frogs, turtles and invertebrates through maintaining suitable habitat and providing/supporting opportunities to move, breed and recruit</w:t>
            </w:r>
          </w:p>
        </w:tc>
        <w:tc>
          <w:tcPr>
            <w:tcW w:w="4252" w:type="dxa"/>
            <w:tcBorders>
              <w:top w:val="single" w:sz="4" w:space="0" w:color="auto"/>
              <w:left w:val="single" w:sz="4" w:space="0" w:color="auto"/>
              <w:bottom w:val="single" w:sz="4" w:space="0" w:color="auto"/>
              <w:right w:val="single" w:sz="4" w:space="0" w:color="auto"/>
            </w:tcBorders>
          </w:tcPr>
          <w:p w:rsidR="00416871" w:rsidRPr="00263049" w:rsidRDefault="00416871" w:rsidP="00A66CBF">
            <w:pPr>
              <w:shd w:val="clear" w:color="auto" w:fill="C2D69B" w:themeFill="accent3" w:themeFillTint="99"/>
              <w:tabs>
                <w:tab w:val="left" w:pos="426"/>
              </w:tabs>
              <w:spacing w:after="0" w:line="240" w:lineRule="auto"/>
              <w:jc w:val="left"/>
            </w:pPr>
            <w:r w:rsidRPr="00263049">
              <w:t>Improved diversity of native fish, with one new species detected</w:t>
            </w:r>
          </w:p>
          <w:p w:rsidR="00416871" w:rsidRPr="00263049" w:rsidRDefault="00416871" w:rsidP="00A66CBF">
            <w:pPr>
              <w:shd w:val="clear" w:color="auto" w:fill="FFFFFF"/>
              <w:tabs>
                <w:tab w:val="left" w:pos="426"/>
              </w:tabs>
              <w:spacing w:after="0" w:line="240" w:lineRule="auto"/>
              <w:jc w:val="left"/>
            </w:pPr>
            <w:r w:rsidRPr="00263049">
              <w:t>Diversity and condition of frogs, turtles and invertebrates not assessed</w:t>
            </w:r>
          </w:p>
        </w:tc>
      </w:tr>
      <w:tr w:rsidR="00416871" w:rsidRPr="001436D3" w:rsidTr="00A66CBF">
        <w:tc>
          <w:tcPr>
            <w:tcW w:w="4928" w:type="dxa"/>
            <w:vMerge/>
            <w:tcBorders>
              <w:left w:val="single" w:sz="4" w:space="0" w:color="auto"/>
              <w:bottom w:val="single" w:sz="4" w:space="0" w:color="auto"/>
              <w:right w:val="single" w:sz="4" w:space="0" w:color="auto"/>
            </w:tcBorders>
          </w:tcPr>
          <w:p w:rsidR="00416871" w:rsidRDefault="00416871" w:rsidP="00A66CBF">
            <w:pPr>
              <w:shd w:val="clear" w:color="auto" w:fill="FFFFFF"/>
              <w:tabs>
                <w:tab w:val="left" w:pos="426"/>
              </w:tabs>
              <w:spacing w:after="0" w:line="240" w:lineRule="auto"/>
              <w:jc w:val="left"/>
            </w:pPr>
          </w:p>
        </w:tc>
        <w:tc>
          <w:tcPr>
            <w:tcW w:w="425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16871" w:rsidRPr="00263049" w:rsidRDefault="00416871" w:rsidP="00A66CBF">
            <w:pPr>
              <w:spacing w:after="0" w:line="240" w:lineRule="auto"/>
              <w:jc w:val="left"/>
            </w:pPr>
            <w:r w:rsidRPr="00263049">
              <w:t>Improvement in reproduction and recruitment of native fish not achieved</w:t>
            </w:r>
          </w:p>
        </w:tc>
      </w:tr>
      <w:tr w:rsidR="00416871" w:rsidRPr="001436D3" w:rsidTr="00A66CBF">
        <w:tc>
          <w:tcPr>
            <w:tcW w:w="4928" w:type="dxa"/>
            <w:tcBorders>
              <w:top w:val="single" w:sz="4" w:space="0" w:color="auto"/>
              <w:left w:val="single" w:sz="4" w:space="0" w:color="auto"/>
              <w:bottom w:val="single" w:sz="4" w:space="0" w:color="auto"/>
              <w:right w:val="single" w:sz="4" w:space="0" w:color="auto"/>
            </w:tcBorders>
          </w:tcPr>
          <w:p w:rsidR="00416871" w:rsidRPr="001436D3" w:rsidRDefault="00416871" w:rsidP="00A66CBF">
            <w:pPr>
              <w:shd w:val="clear" w:color="auto" w:fill="FFFFFF"/>
              <w:tabs>
                <w:tab w:val="left" w:pos="426"/>
              </w:tabs>
              <w:spacing w:after="0" w:line="240" w:lineRule="auto"/>
              <w:jc w:val="left"/>
            </w:pPr>
            <w:r>
              <w:t>I</w:t>
            </w:r>
            <w:r w:rsidRPr="001436D3">
              <w:t>mprove habitat quality in ephemeral watercourses</w:t>
            </w:r>
          </w:p>
        </w:tc>
        <w:tc>
          <w:tcPr>
            <w:tcW w:w="4252" w:type="dxa"/>
            <w:tcBorders>
              <w:top w:val="single" w:sz="4" w:space="0" w:color="auto"/>
              <w:left w:val="single" w:sz="4" w:space="0" w:color="auto"/>
              <w:bottom w:val="single" w:sz="4" w:space="0" w:color="auto"/>
              <w:right w:val="single" w:sz="4" w:space="0" w:color="auto"/>
            </w:tcBorders>
          </w:tcPr>
          <w:p w:rsidR="00416871" w:rsidRPr="00263049" w:rsidRDefault="00416871" w:rsidP="00A66CBF">
            <w:pPr>
              <w:shd w:val="clear" w:color="auto" w:fill="FFFFFF"/>
              <w:tabs>
                <w:tab w:val="left" w:pos="426"/>
              </w:tabs>
              <w:spacing w:after="0" w:line="240" w:lineRule="auto"/>
              <w:jc w:val="left"/>
            </w:pPr>
            <w:r w:rsidRPr="00263049">
              <w:t>Ephemeral watercourses not assessed</w:t>
            </w:r>
          </w:p>
        </w:tc>
      </w:tr>
      <w:tr w:rsidR="00416871" w:rsidRPr="001436D3" w:rsidTr="00A66CBF">
        <w:tc>
          <w:tcPr>
            <w:tcW w:w="4928" w:type="dxa"/>
            <w:vMerge w:val="restart"/>
            <w:tcBorders>
              <w:top w:val="single" w:sz="4" w:space="0" w:color="auto"/>
              <w:left w:val="single" w:sz="4" w:space="0" w:color="auto"/>
              <w:right w:val="single" w:sz="4" w:space="0" w:color="auto"/>
            </w:tcBorders>
          </w:tcPr>
          <w:p w:rsidR="00416871" w:rsidRPr="001436D3" w:rsidRDefault="00416871" w:rsidP="00A66CBF">
            <w:pPr>
              <w:shd w:val="clear" w:color="auto" w:fill="FFFFFF"/>
              <w:tabs>
                <w:tab w:val="left" w:pos="426"/>
              </w:tabs>
              <w:spacing w:after="0" w:line="240" w:lineRule="auto"/>
              <w:jc w:val="left"/>
            </w:pPr>
            <w:r>
              <w:t>S</w:t>
            </w:r>
            <w:r w:rsidRPr="001436D3">
              <w:t>upport mobilisation, transport and dispersal of biotic and abiotic material (e.g. sediment, nutrients and organic matter) through longitudinal and lateral hydrological connectivity</w:t>
            </w:r>
          </w:p>
        </w:tc>
        <w:tc>
          <w:tcPr>
            <w:tcW w:w="4252" w:type="dxa"/>
            <w:tcBorders>
              <w:top w:val="single" w:sz="4" w:space="0" w:color="auto"/>
              <w:left w:val="single" w:sz="4" w:space="0" w:color="auto"/>
              <w:bottom w:val="single" w:sz="4" w:space="0" w:color="auto"/>
              <w:right w:val="single" w:sz="4" w:space="0" w:color="auto"/>
            </w:tcBorders>
          </w:tcPr>
          <w:p w:rsidR="00416871" w:rsidRPr="00263049" w:rsidRDefault="00416871" w:rsidP="00A66CBF">
            <w:pPr>
              <w:shd w:val="clear" w:color="auto" w:fill="FFFFFF"/>
              <w:tabs>
                <w:tab w:val="left" w:pos="426"/>
              </w:tabs>
              <w:spacing w:after="0" w:line="240" w:lineRule="auto"/>
              <w:jc w:val="left"/>
            </w:pPr>
            <w:r w:rsidRPr="00263049">
              <w:t>Mobilisation, transport and dispersal not assessed</w:t>
            </w:r>
          </w:p>
        </w:tc>
      </w:tr>
      <w:tr w:rsidR="00416871" w:rsidRPr="001436D3" w:rsidTr="00A66CBF">
        <w:tc>
          <w:tcPr>
            <w:tcW w:w="4928" w:type="dxa"/>
            <w:vMerge/>
            <w:tcBorders>
              <w:left w:val="single" w:sz="4" w:space="0" w:color="auto"/>
              <w:bottom w:val="single" w:sz="4" w:space="0" w:color="auto"/>
              <w:right w:val="single" w:sz="4" w:space="0" w:color="auto"/>
            </w:tcBorders>
          </w:tcPr>
          <w:p w:rsidR="00416871" w:rsidRDefault="00416871" w:rsidP="00A66CBF">
            <w:pPr>
              <w:shd w:val="clear" w:color="auto" w:fill="FFFFFF"/>
              <w:tabs>
                <w:tab w:val="left" w:pos="426"/>
              </w:tabs>
              <w:spacing w:after="0" w:line="240" w:lineRule="auto"/>
              <w:jc w:val="left"/>
            </w:pPr>
          </w:p>
        </w:tc>
        <w:tc>
          <w:tcPr>
            <w:tcW w:w="4252"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416871" w:rsidRPr="00263049" w:rsidRDefault="00416871" w:rsidP="00A66CBF">
            <w:pPr>
              <w:spacing w:after="0" w:line="240" w:lineRule="auto"/>
              <w:jc w:val="left"/>
            </w:pPr>
            <w:r w:rsidRPr="00263049">
              <w:t>Increased longitudinal connectivity</w:t>
            </w:r>
            <w:r>
              <w:t xml:space="preserve">. </w:t>
            </w:r>
            <w:r w:rsidRPr="00263049">
              <w:t>Increased lateral connectivity at some sites</w:t>
            </w:r>
          </w:p>
        </w:tc>
      </w:tr>
      <w:tr w:rsidR="00416871" w:rsidRPr="001436D3" w:rsidTr="00A66CBF">
        <w:tc>
          <w:tcPr>
            <w:tcW w:w="4928" w:type="dxa"/>
            <w:tcBorders>
              <w:top w:val="single" w:sz="4" w:space="0" w:color="auto"/>
              <w:left w:val="single" w:sz="4" w:space="0" w:color="auto"/>
              <w:bottom w:val="single" w:sz="4" w:space="0" w:color="auto"/>
              <w:right w:val="single" w:sz="4" w:space="0" w:color="auto"/>
            </w:tcBorders>
          </w:tcPr>
          <w:p w:rsidR="00416871" w:rsidRPr="001436D3" w:rsidRDefault="00416871" w:rsidP="00A66CBF">
            <w:pPr>
              <w:shd w:val="clear" w:color="auto" w:fill="FFFFFF"/>
              <w:tabs>
                <w:tab w:val="left" w:pos="426"/>
              </w:tabs>
              <w:spacing w:after="0" w:line="240" w:lineRule="auto"/>
              <w:jc w:val="left"/>
            </w:pPr>
            <w:r>
              <w:t>S</w:t>
            </w:r>
            <w:r w:rsidRPr="001436D3">
              <w:t>upport inundation of low-lying wetlands/floodplains habitats within the system</w:t>
            </w:r>
          </w:p>
        </w:tc>
        <w:tc>
          <w:tcPr>
            <w:tcW w:w="4252"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416871" w:rsidRPr="00263049" w:rsidRDefault="00416871" w:rsidP="00A66CBF">
            <w:pPr>
              <w:shd w:val="clear" w:color="auto" w:fill="C2D69B" w:themeFill="accent3" w:themeFillTint="99"/>
              <w:tabs>
                <w:tab w:val="left" w:pos="426"/>
              </w:tabs>
              <w:spacing w:after="0" w:line="240" w:lineRule="auto"/>
              <w:jc w:val="left"/>
            </w:pPr>
            <w:r w:rsidRPr="00263049">
              <w:t>Inundation of low lying in-channel features at some sites</w:t>
            </w:r>
          </w:p>
        </w:tc>
      </w:tr>
      <w:tr w:rsidR="00416871" w:rsidRPr="001436D3" w:rsidTr="00A66CBF">
        <w:tc>
          <w:tcPr>
            <w:tcW w:w="4928" w:type="dxa"/>
            <w:vMerge w:val="restart"/>
            <w:tcBorders>
              <w:top w:val="single" w:sz="4" w:space="0" w:color="auto"/>
              <w:left w:val="single" w:sz="4" w:space="0" w:color="auto"/>
              <w:right w:val="single" w:sz="4" w:space="0" w:color="auto"/>
            </w:tcBorders>
          </w:tcPr>
          <w:p w:rsidR="00416871" w:rsidRPr="001436D3" w:rsidRDefault="00416871" w:rsidP="00A66CBF">
            <w:pPr>
              <w:shd w:val="clear" w:color="auto" w:fill="FFFFFF"/>
              <w:tabs>
                <w:tab w:val="left" w:pos="426"/>
              </w:tabs>
              <w:spacing w:after="0" w:line="240" w:lineRule="auto"/>
              <w:jc w:val="left"/>
            </w:pPr>
            <w:r>
              <w:t>M</w:t>
            </w:r>
            <w:r w:rsidRPr="001436D3">
              <w:t>aintain health of riparian, floodplain and wetland native vegetation communities</w:t>
            </w:r>
          </w:p>
        </w:tc>
        <w:tc>
          <w:tcPr>
            <w:tcW w:w="4252" w:type="dxa"/>
            <w:tcBorders>
              <w:top w:val="single" w:sz="4" w:space="0" w:color="auto"/>
              <w:left w:val="single" w:sz="4" w:space="0" w:color="auto"/>
              <w:bottom w:val="single" w:sz="4" w:space="0" w:color="auto"/>
              <w:right w:val="single" w:sz="4" w:space="0" w:color="auto"/>
            </w:tcBorders>
          </w:tcPr>
          <w:p w:rsidR="00416871" w:rsidRPr="00263049" w:rsidRDefault="00416871" w:rsidP="00A66CBF">
            <w:pPr>
              <w:shd w:val="clear" w:color="auto" w:fill="FFFFFF"/>
              <w:tabs>
                <w:tab w:val="left" w:pos="426"/>
              </w:tabs>
              <w:spacing w:after="0" w:line="240" w:lineRule="auto"/>
              <w:jc w:val="left"/>
            </w:pPr>
            <w:r w:rsidRPr="00263049">
              <w:t xml:space="preserve">Floodplain and wetland vegetation not assessed. </w:t>
            </w:r>
          </w:p>
        </w:tc>
      </w:tr>
      <w:tr w:rsidR="00416871" w:rsidRPr="001436D3" w:rsidTr="00A66CBF">
        <w:tc>
          <w:tcPr>
            <w:tcW w:w="4928" w:type="dxa"/>
            <w:vMerge/>
            <w:tcBorders>
              <w:left w:val="single" w:sz="4" w:space="0" w:color="auto"/>
              <w:bottom w:val="single" w:sz="4" w:space="0" w:color="auto"/>
              <w:right w:val="single" w:sz="4" w:space="0" w:color="auto"/>
            </w:tcBorders>
          </w:tcPr>
          <w:p w:rsidR="00416871" w:rsidRDefault="00416871" w:rsidP="00A66CBF">
            <w:pPr>
              <w:shd w:val="clear" w:color="auto" w:fill="FFFFFF"/>
              <w:tabs>
                <w:tab w:val="left" w:pos="426"/>
              </w:tabs>
              <w:spacing w:after="0" w:line="240" w:lineRule="auto"/>
              <w:jc w:val="left"/>
            </w:pPr>
          </w:p>
        </w:tc>
        <w:tc>
          <w:tcPr>
            <w:tcW w:w="4252"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416871" w:rsidRPr="00263049" w:rsidRDefault="00416871" w:rsidP="00A66CBF">
            <w:pPr>
              <w:spacing w:after="0" w:line="240" w:lineRule="auto"/>
              <w:jc w:val="left"/>
            </w:pPr>
            <w:r w:rsidRPr="00263049">
              <w:t>Cover and diversity of riverbank and aquatic vegetation was improved at most sites</w:t>
            </w:r>
          </w:p>
        </w:tc>
      </w:tr>
      <w:tr w:rsidR="00416871" w:rsidRPr="001436D3" w:rsidTr="00A66CBF">
        <w:trPr>
          <w:trHeight w:val="576"/>
        </w:trPr>
        <w:tc>
          <w:tcPr>
            <w:tcW w:w="4928" w:type="dxa"/>
            <w:tcBorders>
              <w:top w:val="single" w:sz="4" w:space="0" w:color="auto"/>
              <w:left w:val="single" w:sz="4" w:space="0" w:color="auto"/>
              <w:bottom w:val="single" w:sz="4" w:space="0" w:color="auto"/>
              <w:right w:val="single" w:sz="4" w:space="0" w:color="auto"/>
            </w:tcBorders>
          </w:tcPr>
          <w:p w:rsidR="00416871" w:rsidRPr="001436D3" w:rsidRDefault="00416871" w:rsidP="00A66CBF">
            <w:pPr>
              <w:shd w:val="clear" w:color="auto" w:fill="FFFFFF"/>
              <w:tabs>
                <w:tab w:val="left" w:pos="426"/>
              </w:tabs>
              <w:spacing w:after="0" w:line="240" w:lineRule="auto"/>
              <w:jc w:val="left"/>
            </w:pPr>
            <w:r>
              <w:t>C</w:t>
            </w:r>
            <w:r w:rsidRPr="001436D3">
              <w:t>ontribute to a more natural wetting-drying cycle for ephemeral wetlands and watercourses</w:t>
            </w:r>
          </w:p>
        </w:tc>
        <w:tc>
          <w:tcPr>
            <w:tcW w:w="4252" w:type="dxa"/>
            <w:tcBorders>
              <w:top w:val="single" w:sz="4" w:space="0" w:color="auto"/>
              <w:left w:val="single" w:sz="4" w:space="0" w:color="auto"/>
              <w:bottom w:val="single" w:sz="4" w:space="0" w:color="auto"/>
              <w:right w:val="single" w:sz="4" w:space="0" w:color="auto"/>
            </w:tcBorders>
          </w:tcPr>
          <w:p w:rsidR="00416871" w:rsidRPr="00263049" w:rsidRDefault="00416871" w:rsidP="00A66CBF">
            <w:pPr>
              <w:shd w:val="clear" w:color="auto" w:fill="FFFFFF"/>
              <w:tabs>
                <w:tab w:val="left" w:pos="426"/>
              </w:tabs>
              <w:spacing w:after="0" w:line="240" w:lineRule="auto"/>
              <w:jc w:val="left"/>
            </w:pPr>
            <w:r w:rsidRPr="00263049">
              <w:t>Not assessed</w:t>
            </w:r>
          </w:p>
        </w:tc>
      </w:tr>
      <w:tr w:rsidR="00416871" w:rsidRPr="001436D3" w:rsidTr="00A66CBF">
        <w:tc>
          <w:tcPr>
            <w:tcW w:w="4928" w:type="dxa"/>
            <w:tcBorders>
              <w:top w:val="single" w:sz="4" w:space="0" w:color="auto"/>
              <w:left w:val="single" w:sz="4" w:space="0" w:color="auto"/>
              <w:bottom w:val="single" w:sz="4" w:space="0" w:color="auto"/>
              <w:right w:val="single" w:sz="4" w:space="0" w:color="auto"/>
            </w:tcBorders>
          </w:tcPr>
          <w:p w:rsidR="00416871" w:rsidRPr="001436D3" w:rsidRDefault="00416871" w:rsidP="00A66CBF">
            <w:pPr>
              <w:shd w:val="clear" w:color="auto" w:fill="FFFFFF"/>
              <w:tabs>
                <w:tab w:val="left" w:pos="426"/>
              </w:tabs>
              <w:spacing w:after="0" w:line="240" w:lineRule="auto"/>
              <w:jc w:val="left"/>
            </w:pPr>
            <w:r>
              <w:t>M</w:t>
            </w:r>
            <w:r w:rsidRPr="001436D3">
              <w:t>aintain/improve water quality within the system, particularly dissolved oxygen, salinity and pH</w:t>
            </w:r>
          </w:p>
        </w:tc>
        <w:tc>
          <w:tcPr>
            <w:tcW w:w="4252"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416871" w:rsidRPr="00263049" w:rsidRDefault="00416871" w:rsidP="00A66CBF">
            <w:pPr>
              <w:shd w:val="clear" w:color="auto" w:fill="C2D69B" w:themeFill="accent3" w:themeFillTint="99"/>
              <w:tabs>
                <w:tab w:val="left" w:pos="426"/>
              </w:tabs>
              <w:spacing w:after="0" w:line="240" w:lineRule="auto"/>
              <w:jc w:val="left"/>
            </w:pPr>
            <w:r w:rsidRPr="00263049">
              <w:t xml:space="preserve">Concentration of dissolved oxygen and rates of ecosystem respiration </w:t>
            </w:r>
            <w:r>
              <w:t xml:space="preserve">was </w:t>
            </w:r>
            <w:r w:rsidRPr="00263049">
              <w:t>maintained in reaches receiving environmental water</w:t>
            </w:r>
          </w:p>
        </w:tc>
      </w:tr>
      <w:tr w:rsidR="00416871" w:rsidRPr="001436D3" w:rsidTr="00A66CBF">
        <w:tc>
          <w:tcPr>
            <w:tcW w:w="4928" w:type="dxa"/>
            <w:vMerge w:val="restart"/>
            <w:tcBorders>
              <w:top w:val="single" w:sz="4" w:space="0" w:color="auto"/>
              <w:left w:val="single" w:sz="4" w:space="0" w:color="auto"/>
              <w:right w:val="single" w:sz="4" w:space="0" w:color="auto"/>
            </w:tcBorders>
          </w:tcPr>
          <w:p w:rsidR="00416871" w:rsidRPr="001436D3" w:rsidRDefault="00416871" w:rsidP="00A66CBF">
            <w:pPr>
              <w:shd w:val="clear" w:color="auto" w:fill="FFFFFF"/>
              <w:tabs>
                <w:tab w:val="left" w:pos="426"/>
              </w:tabs>
              <w:spacing w:after="0" w:line="240" w:lineRule="auto"/>
              <w:jc w:val="left"/>
            </w:pPr>
            <w:r>
              <w:t>I</w:t>
            </w:r>
            <w:r w:rsidRPr="001436D3">
              <w:t>mprove ecosystem and population resilience through supporting ecological recovery and maintaining aquatic habitat</w:t>
            </w:r>
          </w:p>
        </w:tc>
        <w:tc>
          <w:tcPr>
            <w:tcW w:w="4252"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416871" w:rsidRPr="00263049" w:rsidRDefault="00416871" w:rsidP="00A66CBF">
            <w:pPr>
              <w:shd w:val="clear" w:color="auto" w:fill="C2D69B" w:themeFill="accent3" w:themeFillTint="99"/>
              <w:tabs>
                <w:tab w:val="left" w:pos="426"/>
              </w:tabs>
              <w:spacing w:after="0" w:line="240" w:lineRule="auto"/>
              <w:jc w:val="left"/>
            </w:pPr>
            <w:r w:rsidRPr="00263049">
              <w:t>Aquatic habitat (aquatic vegetation, slackwater) was maintained at most sites receiving environmental water</w:t>
            </w:r>
          </w:p>
        </w:tc>
      </w:tr>
      <w:tr w:rsidR="00416871" w:rsidRPr="001436D3" w:rsidTr="00A66CBF">
        <w:tc>
          <w:tcPr>
            <w:tcW w:w="4928" w:type="dxa"/>
            <w:vMerge/>
            <w:tcBorders>
              <w:left w:val="single" w:sz="4" w:space="0" w:color="auto"/>
              <w:bottom w:val="single" w:sz="4" w:space="0" w:color="auto"/>
              <w:right w:val="single" w:sz="4" w:space="0" w:color="auto"/>
            </w:tcBorders>
          </w:tcPr>
          <w:p w:rsidR="00416871" w:rsidRDefault="00416871" w:rsidP="00A66CBF">
            <w:pPr>
              <w:shd w:val="clear" w:color="auto" w:fill="FFFFFF"/>
              <w:tabs>
                <w:tab w:val="left" w:pos="426"/>
              </w:tabs>
              <w:spacing w:after="0" w:line="240" w:lineRule="auto"/>
              <w:jc w:val="left"/>
            </w:pPr>
          </w:p>
        </w:tc>
        <w:tc>
          <w:tcPr>
            <w:tcW w:w="4252"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rsidR="00416871" w:rsidRPr="00263049" w:rsidRDefault="00416871" w:rsidP="00A66CBF">
            <w:pPr>
              <w:spacing w:after="0" w:line="240" w:lineRule="auto"/>
              <w:jc w:val="left"/>
            </w:pPr>
            <w:r w:rsidRPr="00263049">
              <w:t xml:space="preserve">Reduced area of slackwater in </w:t>
            </w:r>
            <w:r>
              <w:t>Yallakool Creek</w:t>
            </w:r>
          </w:p>
        </w:tc>
      </w:tr>
    </w:tbl>
    <w:p w:rsidR="00416871" w:rsidRPr="001436D3" w:rsidRDefault="00416871" w:rsidP="00416871">
      <w:pPr>
        <w:spacing w:after="120" w:line="240" w:lineRule="auto"/>
        <w:rPr>
          <w:sz w:val="20"/>
        </w:rPr>
      </w:pPr>
      <w:r>
        <w:rPr>
          <w:b/>
          <w:sz w:val="20"/>
        </w:rPr>
        <w:t>Table 12.3</w:t>
      </w:r>
      <w:r w:rsidRPr="001436D3">
        <w:rPr>
          <w:b/>
          <w:sz w:val="20"/>
        </w:rPr>
        <w:t>.</w:t>
      </w:r>
      <w:r w:rsidRPr="001436D3">
        <w:rPr>
          <w:sz w:val="20"/>
        </w:rPr>
        <w:t xml:space="preserve"> Assessment of outcomes of Commonwealth environmental watering against the environmen</w:t>
      </w:r>
      <w:r>
        <w:rPr>
          <w:sz w:val="20"/>
        </w:rPr>
        <w:t>tal watering objectives defined for the Yallakool Creek environmental watering action in 2014-15</w:t>
      </w:r>
      <w:r w:rsidRPr="001436D3">
        <w:rPr>
          <w:sz w:val="20"/>
        </w:rPr>
        <w:t xml:space="preserve">. </w:t>
      </w:r>
      <w:r w:rsidRPr="00C36F54">
        <w:rPr>
          <w:sz w:val="20"/>
        </w:rPr>
        <w:t>Green shading indicates positive response, red shading indicates negative response, grey shading indicates no detectable response (either positive or negative) to environmental watering. White boxes indicat</w:t>
      </w:r>
      <w:r>
        <w:rPr>
          <w:sz w:val="20"/>
        </w:rPr>
        <w:t>e no evaluation was undertaken.</w:t>
      </w:r>
    </w:p>
    <w:tbl>
      <w:tblPr>
        <w:tblStyle w:val="TableGrid"/>
        <w:tblW w:w="8921"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93"/>
        <w:gridCol w:w="3828"/>
      </w:tblGrid>
      <w:tr w:rsidR="00416871" w:rsidRPr="001436D3" w:rsidTr="00416871">
        <w:tc>
          <w:tcPr>
            <w:tcW w:w="5093" w:type="dxa"/>
            <w:tcBorders>
              <w:top w:val="single" w:sz="4" w:space="0" w:color="auto"/>
              <w:left w:val="single" w:sz="4" w:space="0" w:color="auto"/>
              <w:bottom w:val="single" w:sz="4" w:space="0" w:color="auto"/>
              <w:right w:val="single" w:sz="4" w:space="0" w:color="auto"/>
            </w:tcBorders>
            <w:shd w:val="clear" w:color="auto" w:fill="auto"/>
          </w:tcPr>
          <w:p w:rsidR="00416871" w:rsidRPr="008B14FF" w:rsidRDefault="00416871" w:rsidP="00A66CBF">
            <w:pPr>
              <w:shd w:val="clear" w:color="auto" w:fill="FFFFFF"/>
              <w:tabs>
                <w:tab w:val="left" w:pos="426"/>
              </w:tabs>
              <w:spacing w:after="0" w:line="240" w:lineRule="auto"/>
              <w:jc w:val="left"/>
              <w:rPr>
                <w:b/>
              </w:rPr>
            </w:pPr>
            <w:r w:rsidRPr="008B14FF">
              <w:rPr>
                <w:b/>
              </w:rPr>
              <w:t>Commonwealth environmental watering objective for the Yallakool Creek environmental watering action</w:t>
            </w:r>
          </w:p>
        </w:tc>
        <w:tc>
          <w:tcPr>
            <w:tcW w:w="3828" w:type="dxa"/>
            <w:tcBorders>
              <w:top w:val="single" w:sz="4" w:space="0" w:color="auto"/>
              <w:left w:val="single" w:sz="4" w:space="0" w:color="auto"/>
              <w:bottom w:val="single" w:sz="4" w:space="0" w:color="auto"/>
              <w:right w:val="single" w:sz="4" w:space="0" w:color="auto"/>
            </w:tcBorders>
            <w:shd w:val="clear" w:color="auto" w:fill="auto"/>
          </w:tcPr>
          <w:p w:rsidR="00416871" w:rsidRPr="008B14FF" w:rsidRDefault="00416871" w:rsidP="00A66CBF">
            <w:pPr>
              <w:shd w:val="clear" w:color="auto" w:fill="FFFFFF"/>
              <w:tabs>
                <w:tab w:val="left" w:pos="426"/>
              </w:tabs>
              <w:spacing w:after="0"/>
              <w:jc w:val="left"/>
              <w:rPr>
                <w:b/>
              </w:rPr>
            </w:pPr>
            <w:r w:rsidRPr="008B14FF">
              <w:rPr>
                <w:b/>
              </w:rPr>
              <w:t>Objective achieved or not achieved</w:t>
            </w:r>
          </w:p>
        </w:tc>
      </w:tr>
      <w:tr w:rsidR="00416871" w:rsidRPr="001436D3" w:rsidTr="00416871">
        <w:tc>
          <w:tcPr>
            <w:tcW w:w="5093" w:type="dxa"/>
            <w:vMerge w:val="restart"/>
            <w:tcBorders>
              <w:top w:val="single" w:sz="4" w:space="0" w:color="auto"/>
              <w:left w:val="single" w:sz="4" w:space="0" w:color="auto"/>
              <w:right w:val="single" w:sz="4" w:space="0" w:color="auto"/>
            </w:tcBorders>
          </w:tcPr>
          <w:p w:rsidR="00416871" w:rsidRPr="001436D3" w:rsidRDefault="00416871" w:rsidP="00A66CBF">
            <w:pPr>
              <w:shd w:val="clear" w:color="auto" w:fill="FFFFFF"/>
              <w:tabs>
                <w:tab w:val="left" w:pos="426"/>
              </w:tabs>
              <w:spacing w:after="0" w:line="240" w:lineRule="auto"/>
              <w:jc w:val="left"/>
            </w:pPr>
            <w:r>
              <w:t>S</w:t>
            </w:r>
            <w:r w:rsidRPr="0050051F">
              <w:t>upport inundation of Murray cod nesting sites and contribute to maximising Murray cod recruitment</w:t>
            </w:r>
          </w:p>
        </w:tc>
        <w:tc>
          <w:tcPr>
            <w:tcW w:w="3828" w:type="dxa"/>
            <w:tcBorders>
              <w:top w:val="single" w:sz="4" w:space="0" w:color="auto"/>
              <w:left w:val="nil"/>
              <w:bottom w:val="single" w:sz="4" w:space="0" w:color="auto"/>
              <w:right w:val="single" w:sz="4" w:space="0" w:color="auto"/>
            </w:tcBorders>
          </w:tcPr>
          <w:p w:rsidR="00416871" w:rsidRPr="001436D3" w:rsidRDefault="00416871" w:rsidP="00A66CBF">
            <w:pPr>
              <w:shd w:val="clear" w:color="auto" w:fill="FFFFFF"/>
              <w:tabs>
                <w:tab w:val="left" w:pos="426"/>
              </w:tabs>
              <w:spacing w:after="0" w:line="240" w:lineRule="auto"/>
              <w:jc w:val="left"/>
            </w:pPr>
            <w:r>
              <w:t>Extent of inundation of Murray cod nesting sites not assessed, but it is expected that the environmental flow inundated nests</w:t>
            </w:r>
          </w:p>
        </w:tc>
      </w:tr>
      <w:tr w:rsidR="00416871" w:rsidRPr="001436D3" w:rsidTr="00416871">
        <w:tc>
          <w:tcPr>
            <w:tcW w:w="5093" w:type="dxa"/>
            <w:vMerge/>
            <w:tcBorders>
              <w:left w:val="single" w:sz="4" w:space="0" w:color="auto"/>
              <w:bottom w:val="single" w:sz="4" w:space="0" w:color="auto"/>
              <w:right w:val="single" w:sz="4" w:space="0" w:color="auto"/>
            </w:tcBorders>
          </w:tcPr>
          <w:p w:rsidR="00416871" w:rsidRDefault="00416871" w:rsidP="00A66CBF">
            <w:pPr>
              <w:shd w:val="clear" w:color="auto" w:fill="FFFFFF"/>
              <w:tabs>
                <w:tab w:val="left" w:pos="426"/>
              </w:tabs>
              <w:spacing w:after="0" w:line="240" w:lineRule="auto"/>
              <w:jc w:val="left"/>
            </w:pPr>
          </w:p>
        </w:tc>
        <w:tc>
          <w:tcPr>
            <w:tcW w:w="3828" w:type="dxa"/>
            <w:tcBorders>
              <w:top w:val="single" w:sz="4" w:space="0" w:color="auto"/>
              <w:left w:val="nil"/>
              <w:bottom w:val="single" w:sz="4" w:space="0" w:color="auto"/>
              <w:right w:val="single" w:sz="4" w:space="0" w:color="auto"/>
            </w:tcBorders>
            <w:shd w:val="clear" w:color="auto" w:fill="D9D9D9" w:themeFill="background1" w:themeFillShade="D9"/>
          </w:tcPr>
          <w:p w:rsidR="00416871" w:rsidRPr="00263049" w:rsidRDefault="00416871" w:rsidP="00A66CBF">
            <w:pPr>
              <w:spacing w:after="0" w:line="240" w:lineRule="auto"/>
            </w:pPr>
            <w:r>
              <w:t>No detectib</w:t>
            </w:r>
            <w:r w:rsidRPr="00263049">
              <w:t>le improvement in Murray cod recruitment</w:t>
            </w:r>
          </w:p>
        </w:tc>
      </w:tr>
      <w:tr w:rsidR="00416871" w:rsidRPr="001436D3" w:rsidTr="00416871">
        <w:tc>
          <w:tcPr>
            <w:tcW w:w="5093" w:type="dxa"/>
            <w:vMerge w:val="restart"/>
            <w:tcBorders>
              <w:top w:val="single" w:sz="4" w:space="0" w:color="auto"/>
              <w:left w:val="single" w:sz="4" w:space="0" w:color="auto"/>
              <w:right w:val="single" w:sz="4" w:space="0" w:color="auto"/>
            </w:tcBorders>
          </w:tcPr>
          <w:p w:rsidR="00416871" w:rsidRPr="001436D3" w:rsidRDefault="00416871" w:rsidP="00A66CBF">
            <w:pPr>
              <w:shd w:val="clear" w:color="auto" w:fill="FFFFFF"/>
              <w:tabs>
                <w:tab w:val="left" w:pos="426"/>
              </w:tabs>
              <w:spacing w:after="0" w:line="240" w:lineRule="auto"/>
              <w:jc w:val="left"/>
            </w:pPr>
            <w:r>
              <w:t>C</w:t>
            </w:r>
            <w:r w:rsidRPr="0050051F">
              <w:t>ontribute to improved opportunities for movement, condition, reproduction and recruitment of native fish</w:t>
            </w:r>
          </w:p>
        </w:tc>
        <w:tc>
          <w:tcPr>
            <w:tcW w:w="3828" w:type="dxa"/>
            <w:tcBorders>
              <w:top w:val="single" w:sz="4" w:space="0" w:color="auto"/>
              <w:left w:val="nil"/>
              <w:bottom w:val="single" w:sz="4" w:space="0" w:color="auto"/>
              <w:right w:val="single" w:sz="4" w:space="0" w:color="auto"/>
            </w:tcBorders>
          </w:tcPr>
          <w:p w:rsidR="00416871" w:rsidRPr="001436D3" w:rsidRDefault="00416871" w:rsidP="00A66CBF">
            <w:pPr>
              <w:shd w:val="clear" w:color="auto" w:fill="FFFFFF"/>
              <w:tabs>
                <w:tab w:val="left" w:pos="426"/>
              </w:tabs>
              <w:spacing w:after="0" w:line="240" w:lineRule="auto"/>
              <w:jc w:val="left"/>
            </w:pPr>
            <w:r>
              <w:t>Fish movement not assessed in 2014-15</w:t>
            </w:r>
          </w:p>
        </w:tc>
      </w:tr>
      <w:tr w:rsidR="00416871" w:rsidRPr="001436D3" w:rsidTr="00416871">
        <w:tc>
          <w:tcPr>
            <w:tcW w:w="5093" w:type="dxa"/>
            <w:vMerge/>
            <w:tcBorders>
              <w:left w:val="single" w:sz="4" w:space="0" w:color="auto"/>
              <w:bottom w:val="single" w:sz="4" w:space="0" w:color="auto"/>
              <w:right w:val="single" w:sz="4" w:space="0" w:color="auto"/>
            </w:tcBorders>
          </w:tcPr>
          <w:p w:rsidR="00416871" w:rsidRDefault="00416871" w:rsidP="00A66CBF">
            <w:pPr>
              <w:shd w:val="clear" w:color="auto" w:fill="FFFFFF"/>
              <w:tabs>
                <w:tab w:val="left" w:pos="426"/>
              </w:tabs>
              <w:spacing w:after="0" w:line="240" w:lineRule="auto"/>
              <w:jc w:val="left"/>
            </w:pPr>
          </w:p>
        </w:tc>
        <w:tc>
          <w:tcPr>
            <w:tcW w:w="3828" w:type="dxa"/>
            <w:tcBorders>
              <w:top w:val="single" w:sz="4" w:space="0" w:color="auto"/>
              <w:left w:val="nil"/>
              <w:bottom w:val="single" w:sz="4" w:space="0" w:color="auto"/>
              <w:right w:val="single" w:sz="4" w:space="0" w:color="auto"/>
            </w:tcBorders>
            <w:shd w:val="clear" w:color="auto" w:fill="D9D9D9" w:themeFill="background1" w:themeFillShade="D9"/>
          </w:tcPr>
          <w:p w:rsidR="00416871" w:rsidRDefault="00416871" w:rsidP="00A66CBF">
            <w:pPr>
              <w:spacing w:after="0" w:line="240" w:lineRule="auto"/>
            </w:pPr>
            <w:r w:rsidRPr="00263049">
              <w:t>No detectible improvement in reproduction or recruitment of native fish</w:t>
            </w:r>
          </w:p>
        </w:tc>
      </w:tr>
      <w:tr w:rsidR="00416871" w:rsidRPr="001436D3" w:rsidTr="00416871">
        <w:tc>
          <w:tcPr>
            <w:tcW w:w="5093" w:type="dxa"/>
            <w:vMerge w:val="restart"/>
            <w:tcBorders>
              <w:top w:val="single" w:sz="4" w:space="0" w:color="auto"/>
              <w:left w:val="single" w:sz="4" w:space="0" w:color="auto"/>
              <w:right w:val="single" w:sz="4" w:space="0" w:color="auto"/>
            </w:tcBorders>
          </w:tcPr>
          <w:p w:rsidR="00416871" w:rsidRPr="001436D3" w:rsidRDefault="00416871" w:rsidP="00A66CBF">
            <w:pPr>
              <w:shd w:val="clear" w:color="auto" w:fill="FFFFFF"/>
              <w:tabs>
                <w:tab w:val="left" w:pos="426"/>
              </w:tabs>
              <w:spacing w:after="0" w:line="240" w:lineRule="auto"/>
              <w:jc w:val="left"/>
            </w:pPr>
            <w:r>
              <w:t>I</w:t>
            </w:r>
            <w:r w:rsidRPr="0050051F">
              <w:t xml:space="preserve">ncrease hydrological connectivity, including inundation of slackwater habitats areas </w:t>
            </w:r>
            <w:r>
              <w:t>downstream of</w:t>
            </w:r>
            <w:r w:rsidRPr="0050051F">
              <w:t xml:space="preserve"> the Yallakool-Wakool confluence, providing opportunities for recruitment of s</w:t>
            </w:r>
            <w:r>
              <w:t xml:space="preserve">mall bodied native fish, frogs and </w:t>
            </w:r>
            <w:r w:rsidRPr="0050051F">
              <w:t>shrimp</w:t>
            </w:r>
          </w:p>
        </w:tc>
        <w:tc>
          <w:tcPr>
            <w:tcW w:w="3828" w:type="dxa"/>
            <w:tcBorders>
              <w:top w:val="single" w:sz="4" w:space="0" w:color="auto"/>
              <w:left w:val="nil"/>
              <w:bottom w:val="single" w:sz="4" w:space="0" w:color="auto"/>
              <w:right w:val="single" w:sz="4" w:space="0" w:color="auto"/>
            </w:tcBorders>
            <w:shd w:val="clear" w:color="auto" w:fill="C2D69B" w:themeFill="accent3" w:themeFillTint="99"/>
          </w:tcPr>
          <w:p w:rsidR="00416871" w:rsidRPr="00277D02" w:rsidRDefault="00416871" w:rsidP="00A66CBF">
            <w:pPr>
              <w:spacing w:after="0" w:line="240" w:lineRule="auto"/>
            </w:pPr>
            <w:r w:rsidRPr="00263049">
              <w:t>There was increased longitudinal connectivity.</w:t>
            </w:r>
            <w:r>
              <w:t xml:space="preserve"> </w:t>
            </w:r>
            <w:r w:rsidRPr="00263049">
              <w:t>There was increased lateral hydrological connectivity at some sites</w:t>
            </w:r>
          </w:p>
        </w:tc>
      </w:tr>
      <w:tr w:rsidR="00416871" w:rsidRPr="001436D3" w:rsidTr="00416871">
        <w:trPr>
          <w:trHeight w:val="396"/>
        </w:trPr>
        <w:tc>
          <w:tcPr>
            <w:tcW w:w="5093" w:type="dxa"/>
            <w:vMerge/>
            <w:tcBorders>
              <w:left w:val="single" w:sz="4" w:space="0" w:color="auto"/>
              <w:bottom w:val="single" w:sz="4" w:space="0" w:color="auto"/>
              <w:right w:val="single" w:sz="4" w:space="0" w:color="auto"/>
            </w:tcBorders>
          </w:tcPr>
          <w:p w:rsidR="00416871" w:rsidRDefault="00416871" w:rsidP="00A66CBF">
            <w:pPr>
              <w:shd w:val="clear" w:color="auto" w:fill="FFFFFF"/>
              <w:tabs>
                <w:tab w:val="left" w:pos="426"/>
              </w:tabs>
              <w:spacing w:after="0" w:line="240" w:lineRule="auto"/>
              <w:jc w:val="left"/>
            </w:pPr>
          </w:p>
        </w:tc>
        <w:tc>
          <w:tcPr>
            <w:tcW w:w="3828" w:type="dxa"/>
            <w:tcBorders>
              <w:top w:val="single" w:sz="4" w:space="0" w:color="auto"/>
              <w:left w:val="nil"/>
              <w:bottom w:val="single" w:sz="4" w:space="0" w:color="auto"/>
              <w:right w:val="single" w:sz="4" w:space="0" w:color="auto"/>
            </w:tcBorders>
            <w:shd w:val="clear" w:color="auto" w:fill="E5B8B7" w:themeFill="accent2" w:themeFillTint="66"/>
          </w:tcPr>
          <w:p w:rsidR="00416871" w:rsidRPr="00277D02" w:rsidRDefault="00416871" w:rsidP="00A66CBF">
            <w:pPr>
              <w:spacing w:after="0" w:line="240" w:lineRule="auto"/>
            </w:pPr>
            <w:r w:rsidRPr="00277D02">
              <w:t xml:space="preserve">Reduced area of slackwater in </w:t>
            </w:r>
            <w:r>
              <w:t>Yallakool Creek</w:t>
            </w:r>
          </w:p>
        </w:tc>
      </w:tr>
      <w:tr w:rsidR="00416871" w:rsidRPr="001436D3" w:rsidTr="00416871">
        <w:tc>
          <w:tcPr>
            <w:tcW w:w="5093" w:type="dxa"/>
            <w:tcBorders>
              <w:top w:val="single" w:sz="4" w:space="0" w:color="auto"/>
              <w:left w:val="single" w:sz="4" w:space="0" w:color="auto"/>
              <w:bottom w:val="single" w:sz="4" w:space="0" w:color="auto"/>
              <w:right w:val="single" w:sz="4" w:space="0" w:color="auto"/>
            </w:tcBorders>
          </w:tcPr>
          <w:p w:rsidR="00416871" w:rsidRPr="001436D3" w:rsidRDefault="00416871" w:rsidP="00A66CBF">
            <w:pPr>
              <w:shd w:val="clear" w:color="auto" w:fill="FFFFFF"/>
              <w:tabs>
                <w:tab w:val="left" w:pos="426"/>
              </w:tabs>
              <w:spacing w:after="0" w:line="240" w:lineRule="auto"/>
              <w:jc w:val="left"/>
            </w:pPr>
            <w:r>
              <w:t>M</w:t>
            </w:r>
            <w:r w:rsidRPr="0050051F">
              <w:t>aintain/improve vegetation condition, including fringing vegetation and emergent/submerged aquatic plants</w:t>
            </w:r>
          </w:p>
        </w:tc>
        <w:tc>
          <w:tcPr>
            <w:tcW w:w="3828" w:type="dxa"/>
            <w:tcBorders>
              <w:top w:val="single" w:sz="4" w:space="0" w:color="auto"/>
              <w:left w:val="nil"/>
              <w:bottom w:val="single" w:sz="4" w:space="0" w:color="auto"/>
              <w:right w:val="single" w:sz="4" w:space="0" w:color="auto"/>
            </w:tcBorders>
            <w:shd w:val="clear" w:color="auto" w:fill="C2D69B" w:themeFill="accent3" w:themeFillTint="99"/>
          </w:tcPr>
          <w:p w:rsidR="00416871" w:rsidRPr="00277D02" w:rsidRDefault="00416871" w:rsidP="00A66CBF">
            <w:pPr>
              <w:spacing w:after="120" w:line="240" w:lineRule="auto"/>
            </w:pPr>
            <w:r w:rsidRPr="00277D02">
              <w:t xml:space="preserve">Cover and diversity of riverbank and </w:t>
            </w:r>
            <w:r w:rsidRPr="00263049">
              <w:t>aquatic</w:t>
            </w:r>
            <w:r w:rsidRPr="00277D02">
              <w:t xml:space="preserve"> vegetation was improved at most sites</w:t>
            </w:r>
          </w:p>
        </w:tc>
      </w:tr>
      <w:tr w:rsidR="00416871" w:rsidRPr="001436D3" w:rsidTr="00416871">
        <w:tc>
          <w:tcPr>
            <w:tcW w:w="5093" w:type="dxa"/>
            <w:tcBorders>
              <w:top w:val="single" w:sz="4" w:space="0" w:color="auto"/>
              <w:left w:val="single" w:sz="4" w:space="0" w:color="auto"/>
              <w:bottom w:val="single" w:sz="4" w:space="0" w:color="auto"/>
              <w:right w:val="single" w:sz="4" w:space="0" w:color="auto"/>
            </w:tcBorders>
          </w:tcPr>
          <w:p w:rsidR="00416871" w:rsidRPr="001436D3" w:rsidRDefault="00416871" w:rsidP="00A66CBF">
            <w:pPr>
              <w:shd w:val="clear" w:color="auto" w:fill="FFFFFF"/>
              <w:tabs>
                <w:tab w:val="left" w:pos="426"/>
              </w:tabs>
              <w:spacing w:after="0" w:line="240" w:lineRule="auto"/>
              <w:jc w:val="left"/>
            </w:pPr>
            <w:r>
              <w:t>M</w:t>
            </w:r>
            <w:r w:rsidRPr="0050051F">
              <w:t>aintain/improve water quality within the system, particularly dissolved oxygen, salinity and pH</w:t>
            </w:r>
          </w:p>
        </w:tc>
        <w:tc>
          <w:tcPr>
            <w:tcW w:w="3828" w:type="dxa"/>
            <w:tcBorders>
              <w:top w:val="single" w:sz="4" w:space="0" w:color="auto"/>
              <w:left w:val="nil"/>
              <w:bottom w:val="single" w:sz="4" w:space="0" w:color="auto"/>
              <w:right w:val="single" w:sz="4" w:space="0" w:color="auto"/>
            </w:tcBorders>
            <w:shd w:val="clear" w:color="auto" w:fill="C2D69B" w:themeFill="accent3" w:themeFillTint="99"/>
          </w:tcPr>
          <w:p w:rsidR="00416871" w:rsidRPr="00277D02" w:rsidRDefault="00416871" w:rsidP="00A66CBF">
            <w:pPr>
              <w:spacing w:after="0" w:line="240" w:lineRule="auto"/>
            </w:pPr>
            <w:r w:rsidRPr="00263049">
              <w:t xml:space="preserve">Concentration of dissolved oxygen and rates of ecosystem respiration </w:t>
            </w:r>
            <w:r>
              <w:t xml:space="preserve">was </w:t>
            </w:r>
            <w:r w:rsidRPr="00263049">
              <w:t>maintained in reaches receiving environmental water</w:t>
            </w:r>
          </w:p>
        </w:tc>
      </w:tr>
      <w:tr w:rsidR="00416871" w:rsidRPr="001436D3" w:rsidTr="00416871">
        <w:tc>
          <w:tcPr>
            <w:tcW w:w="5093" w:type="dxa"/>
            <w:tcBorders>
              <w:top w:val="single" w:sz="4" w:space="0" w:color="auto"/>
              <w:left w:val="single" w:sz="4" w:space="0" w:color="auto"/>
              <w:bottom w:val="single" w:sz="4" w:space="0" w:color="auto"/>
              <w:right w:val="single" w:sz="4" w:space="0" w:color="auto"/>
            </w:tcBorders>
          </w:tcPr>
          <w:p w:rsidR="00416871" w:rsidRPr="001436D3" w:rsidRDefault="00416871" w:rsidP="00A66CBF">
            <w:pPr>
              <w:shd w:val="clear" w:color="auto" w:fill="FFFFFF"/>
              <w:tabs>
                <w:tab w:val="left" w:pos="426"/>
              </w:tabs>
              <w:spacing w:after="0" w:line="240" w:lineRule="auto"/>
              <w:jc w:val="left"/>
            </w:pPr>
            <w:r>
              <w:t>C</w:t>
            </w:r>
            <w:r w:rsidRPr="0050051F">
              <w:t>ontribute to maximising outcomes in the Wakool from outflows from Koondrook-Perricoota and provide greater volume of receiving water</w:t>
            </w:r>
          </w:p>
        </w:tc>
        <w:tc>
          <w:tcPr>
            <w:tcW w:w="3828" w:type="dxa"/>
            <w:tcBorders>
              <w:top w:val="single" w:sz="4" w:space="0" w:color="auto"/>
              <w:left w:val="nil"/>
              <w:bottom w:val="single" w:sz="4" w:space="0" w:color="auto"/>
              <w:right w:val="single" w:sz="4" w:space="0" w:color="auto"/>
            </w:tcBorders>
          </w:tcPr>
          <w:p w:rsidR="00416871" w:rsidRPr="001436D3" w:rsidRDefault="00416871" w:rsidP="00A66CBF">
            <w:pPr>
              <w:shd w:val="clear" w:color="auto" w:fill="FFFFFF"/>
              <w:tabs>
                <w:tab w:val="left" w:pos="426"/>
              </w:tabs>
              <w:spacing w:after="0" w:line="240" w:lineRule="auto"/>
              <w:jc w:val="left"/>
            </w:pPr>
            <w:r>
              <w:t>Not assessed, because a planned outflow from Koondrook-Perricoota by NSW Forestry did not occur</w:t>
            </w:r>
          </w:p>
        </w:tc>
      </w:tr>
    </w:tbl>
    <w:p w:rsidR="00416871" w:rsidRDefault="00416871" w:rsidP="00416871">
      <w:pPr>
        <w:spacing w:after="0" w:line="240" w:lineRule="auto"/>
        <w:jc w:val="left"/>
        <w:rPr>
          <w:b/>
          <w:sz w:val="24"/>
          <w:szCs w:val="24"/>
        </w:rPr>
      </w:pPr>
    </w:p>
    <w:p w:rsidR="004E49E6" w:rsidRDefault="004E49E6" w:rsidP="00294B5C">
      <w:pPr>
        <w:autoSpaceDE w:val="0"/>
        <w:autoSpaceDN w:val="0"/>
        <w:adjustRightInd w:val="0"/>
        <w:spacing w:after="120"/>
        <w:rPr>
          <w:rFonts w:eastAsia="Times New Roman"/>
          <w:b/>
          <w:smallCaps/>
          <w:noProof/>
          <w:color w:val="4F6228"/>
          <w:spacing w:val="5"/>
          <w:sz w:val="40"/>
          <w:szCs w:val="40"/>
          <w:lang w:val="en-US" w:eastAsia="en-AU"/>
        </w:rPr>
      </w:pPr>
      <w:r>
        <w:br w:type="page"/>
      </w:r>
    </w:p>
    <w:p w:rsidR="00AA1B14" w:rsidRDefault="00DE0DFD" w:rsidP="00ED6D80">
      <w:pPr>
        <w:pStyle w:val="MurrumH1"/>
      </w:pPr>
      <w:bookmarkStart w:id="68" w:name="_Toc450199558"/>
      <w:r>
        <w:t>R</w:t>
      </w:r>
      <w:r w:rsidR="00006CBE">
        <w:t>ecommendations</w:t>
      </w:r>
      <w:r w:rsidR="00312EC3">
        <w:t xml:space="preserve"> and application through a</w:t>
      </w:r>
      <w:r w:rsidR="00E5490E">
        <w:t xml:space="preserve">daptive </w:t>
      </w:r>
      <w:r w:rsidR="00312EC3">
        <w:t>management</w:t>
      </w:r>
      <w:r w:rsidR="00CE141F">
        <w:t xml:space="preserve"> into </w:t>
      </w:r>
      <w:r w:rsidR="00CE141F" w:rsidRPr="000E34C2">
        <w:t>2015-16</w:t>
      </w:r>
      <w:r w:rsidR="000E34C2">
        <w:t xml:space="preserve"> use of Commonwealth environmental water</w:t>
      </w:r>
      <w:bookmarkEnd w:id="68"/>
    </w:p>
    <w:p w:rsidR="000E34C2" w:rsidRDefault="000E34C2" w:rsidP="00312EC3">
      <w:pPr>
        <w:spacing w:after="240"/>
        <w:contextualSpacing/>
      </w:pPr>
    </w:p>
    <w:p w:rsidR="00312EC3" w:rsidRDefault="0058295E" w:rsidP="00DD409C">
      <w:pPr>
        <w:spacing w:after="240"/>
        <w:jc w:val="left"/>
      </w:pPr>
      <w:r>
        <w:t xml:space="preserve">During 2014-15 </w:t>
      </w:r>
      <w:r w:rsidR="00C44508">
        <w:t xml:space="preserve">LTIM </w:t>
      </w:r>
      <w:r w:rsidR="0074210D">
        <w:t xml:space="preserve">progress reports </w:t>
      </w:r>
      <w:r>
        <w:t xml:space="preserve">on </w:t>
      </w:r>
      <w:r w:rsidR="00721193">
        <w:t>Commonwealth environm</w:t>
      </w:r>
      <w:r w:rsidR="00C44508">
        <w:t>e</w:t>
      </w:r>
      <w:r w:rsidR="00721193">
        <w:t>ntal</w:t>
      </w:r>
      <w:r>
        <w:t xml:space="preserve"> watering actions were </w:t>
      </w:r>
      <w:r w:rsidR="0074210D" w:rsidRPr="0002655A">
        <w:t xml:space="preserve">provided to the </w:t>
      </w:r>
      <w:r w:rsidR="00416871">
        <w:t>Commonwealth Environmental Water Office</w:t>
      </w:r>
      <w:r w:rsidR="0074210D" w:rsidRPr="0002655A">
        <w:t xml:space="preserve"> in </w:t>
      </w:r>
      <w:r w:rsidR="00413AFC" w:rsidRPr="0002655A">
        <w:t>September</w:t>
      </w:r>
      <w:r w:rsidR="0074210D" w:rsidRPr="0002655A">
        <w:t xml:space="preserve"> 2014 (</w:t>
      </w:r>
      <w:r w:rsidR="00FC7FF8" w:rsidRPr="0002655A">
        <w:t xml:space="preserve">Watts </w:t>
      </w:r>
      <w:r w:rsidR="00915FE5" w:rsidRPr="0002655A">
        <w:t>2014</w:t>
      </w:r>
      <w:r w:rsidR="0074210D" w:rsidRPr="0002655A">
        <w:t xml:space="preserve">), </w:t>
      </w:r>
      <w:r w:rsidRPr="0002655A">
        <w:t>December 2014 (</w:t>
      </w:r>
      <w:r w:rsidR="00915FE5" w:rsidRPr="0002655A">
        <w:t>Watts 2014b</w:t>
      </w:r>
      <w:r w:rsidRPr="0002655A">
        <w:t>)</w:t>
      </w:r>
      <w:r w:rsidR="0074210D" w:rsidRPr="0002655A">
        <w:t xml:space="preserve"> </w:t>
      </w:r>
      <w:r w:rsidRPr="0002655A">
        <w:t>and March 2015 (</w:t>
      </w:r>
      <w:r w:rsidR="00FC7FF8" w:rsidRPr="0002655A">
        <w:t>Watts 2015</w:t>
      </w:r>
      <w:r w:rsidRPr="0002655A">
        <w:t>).</w:t>
      </w:r>
      <w:r>
        <w:t xml:space="preserve"> The </w:t>
      </w:r>
      <w:r w:rsidR="002D7CE2">
        <w:t xml:space="preserve">LTIM </w:t>
      </w:r>
      <w:r>
        <w:t>progress reports</w:t>
      </w:r>
      <w:r w:rsidR="002D7CE2">
        <w:t>,</w:t>
      </w:r>
      <w:r>
        <w:t xml:space="preserve"> </w:t>
      </w:r>
      <w:r w:rsidR="0074210D">
        <w:t>combined with regular meetings of the Edward Wakool Operation</w:t>
      </w:r>
      <w:r w:rsidR="00F20751">
        <w:t>s Advisory G</w:t>
      </w:r>
      <w:r w:rsidR="0074210D">
        <w:t>roup</w:t>
      </w:r>
      <w:r w:rsidR="002D7CE2">
        <w:t xml:space="preserve"> and </w:t>
      </w:r>
      <w:r w:rsidR="00CE141F">
        <w:t>feedback from local community representative</w:t>
      </w:r>
      <w:r w:rsidR="00721193">
        <w:t>s</w:t>
      </w:r>
      <w:r w:rsidR="0074210D">
        <w:t xml:space="preserve"> throughout </w:t>
      </w:r>
      <w:r>
        <w:t>2014-15</w:t>
      </w:r>
      <w:r w:rsidR="002D7CE2">
        <w:t>,</w:t>
      </w:r>
      <w:r w:rsidR="0074210D">
        <w:t xml:space="preserve"> informed </w:t>
      </w:r>
      <w:r w:rsidR="002D7CE2">
        <w:t xml:space="preserve">the planning of </w:t>
      </w:r>
      <w:r w:rsidR="0074210D">
        <w:t>Commonwealth environmental water use in the Edward-Wakool system during 2015-16.</w:t>
      </w:r>
      <w:r w:rsidR="00F20751">
        <w:t xml:space="preserve"> </w:t>
      </w:r>
    </w:p>
    <w:p w:rsidR="0002655A" w:rsidRDefault="00691472" w:rsidP="0002655A">
      <w:pPr>
        <w:spacing w:after="0"/>
        <w:jc w:val="left"/>
      </w:pPr>
      <w:r>
        <w:t xml:space="preserve">The </w:t>
      </w:r>
      <w:r w:rsidR="0002655A">
        <w:t xml:space="preserve">ten </w:t>
      </w:r>
      <w:r>
        <w:t>recommendation</w:t>
      </w:r>
      <w:r w:rsidR="0058295E">
        <w:t>s</w:t>
      </w:r>
      <w:r>
        <w:t xml:space="preserve"> below include</w:t>
      </w:r>
      <w:r w:rsidR="0058295E">
        <w:t>, where applicable,</w:t>
      </w:r>
      <w:r>
        <w:t xml:space="preserve"> a note to indicate if the recommendation has been applied </w:t>
      </w:r>
      <w:r w:rsidR="0058295E">
        <w:t xml:space="preserve">(as at 31 October 2015) </w:t>
      </w:r>
      <w:r>
        <w:t>in the 2015-16 use of C</w:t>
      </w:r>
      <w:r w:rsidR="002738B7">
        <w:t>ommonwealth environmental water</w:t>
      </w:r>
      <w:r>
        <w:t xml:space="preserve"> in the Edward-Wakool system (commenced on 4 September 2015)</w:t>
      </w:r>
      <w:r w:rsidR="0058295E">
        <w:t xml:space="preserve">. </w:t>
      </w:r>
      <w:r w:rsidR="0002655A">
        <w:t>In summary, the ten recommendations are to:</w:t>
      </w:r>
    </w:p>
    <w:p w:rsidR="0002655A" w:rsidRDefault="0002655A" w:rsidP="0002655A">
      <w:pPr>
        <w:pStyle w:val="ListParagraph"/>
        <w:numPr>
          <w:ilvl w:val="1"/>
          <w:numId w:val="36"/>
        </w:numPr>
        <w:tabs>
          <w:tab w:val="clear" w:pos="4638"/>
          <w:tab w:val="num" w:pos="851"/>
        </w:tabs>
        <w:spacing w:after="0"/>
        <w:ind w:left="851" w:hanging="284"/>
        <w:jc w:val="left"/>
      </w:pPr>
      <w:r>
        <w:t>Increase the duration of the recession of environmental watering actions,</w:t>
      </w:r>
    </w:p>
    <w:p w:rsidR="0002655A" w:rsidRPr="0002655A" w:rsidRDefault="0002655A" w:rsidP="0002655A">
      <w:pPr>
        <w:pStyle w:val="ListParagraph"/>
        <w:numPr>
          <w:ilvl w:val="1"/>
          <w:numId w:val="36"/>
        </w:numPr>
        <w:tabs>
          <w:tab w:val="clear" w:pos="4638"/>
          <w:tab w:val="num" w:pos="851"/>
        </w:tabs>
        <w:spacing w:after="0"/>
        <w:ind w:left="851" w:hanging="284"/>
        <w:jc w:val="left"/>
      </w:pPr>
      <w:r w:rsidRPr="0002655A">
        <w:rPr>
          <w:rFonts w:cstheme="minorHAnsi"/>
          <w:szCs w:val="22"/>
        </w:rPr>
        <w:t>Avoid long periods of constant flows</w:t>
      </w:r>
      <w:r>
        <w:rPr>
          <w:rFonts w:cstheme="minorHAnsi"/>
          <w:szCs w:val="22"/>
        </w:rPr>
        <w:t>,</w:t>
      </w:r>
    </w:p>
    <w:p w:rsidR="0002655A" w:rsidRPr="0002655A" w:rsidRDefault="0002655A" w:rsidP="0002655A">
      <w:pPr>
        <w:pStyle w:val="ListParagraph"/>
        <w:numPr>
          <w:ilvl w:val="1"/>
          <w:numId w:val="36"/>
        </w:numPr>
        <w:tabs>
          <w:tab w:val="clear" w:pos="4638"/>
          <w:tab w:val="num" w:pos="851"/>
        </w:tabs>
        <w:spacing w:after="0"/>
        <w:ind w:left="851" w:hanging="284"/>
        <w:jc w:val="left"/>
      </w:pPr>
      <w:r w:rsidRPr="0002655A">
        <w:t xml:space="preserve">Consider </w:t>
      </w:r>
      <w:r w:rsidR="00416871">
        <w:t xml:space="preserve">a trial of shifting the focus of </w:t>
      </w:r>
      <w:r w:rsidRPr="0002655A">
        <w:t xml:space="preserve">the delivery of environmental water </w:t>
      </w:r>
      <w:r w:rsidR="00416871">
        <w:t>from Yallakool Creek to the Wakool River,</w:t>
      </w:r>
    </w:p>
    <w:p w:rsidR="0002655A" w:rsidRPr="0002655A" w:rsidRDefault="0002655A" w:rsidP="0002655A">
      <w:pPr>
        <w:pStyle w:val="ListParagraph"/>
        <w:numPr>
          <w:ilvl w:val="1"/>
          <w:numId w:val="36"/>
        </w:numPr>
        <w:tabs>
          <w:tab w:val="clear" w:pos="4638"/>
          <w:tab w:val="num" w:pos="851"/>
        </w:tabs>
        <w:spacing w:after="0"/>
        <w:ind w:left="851" w:hanging="284"/>
        <w:jc w:val="left"/>
      </w:pPr>
      <w:r w:rsidRPr="0002655A">
        <w:t>Consider the delivery of base environmental flows during autumn and winter to promote the temporal availability and continuity of instream habitat</w:t>
      </w:r>
      <w:r>
        <w:t>,</w:t>
      </w:r>
    </w:p>
    <w:p w:rsidR="0002655A" w:rsidRPr="0002655A" w:rsidRDefault="0002655A" w:rsidP="0002655A">
      <w:pPr>
        <w:pStyle w:val="ListParagraph"/>
        <w:numPr>
          <w:ilvl w:val="1"/>
          <w:numId w:val="36"/>
        </w:numPr>
        <w:tabs>
          <w:tab w:val="clear" w:pos="4638"/>
          <w:tab w:val="num" w:pos="851"/>
        </w:tabs>
        <w:spacing w:after="0"/>
        <w:ind w:left="851" w:hanging="284"/>
        <w:jc w:val="left"/>
      </w:pPr>
      <w:r w:rsidRPr="0002655A">
        <w:t xml:space="preserve">Continue </w:t>
      </w:r>
      <w:r w:rsidR="00416871">
        <w:t>to include</w:t>
      </w:r>
      <w:r>
        <w:t xml:space="preserve"> </w:t>
      </w:r>
      <w:r w:rsidRPr="0002655A">
        <w:t>a water use option in planning that enables Commonwealth environmental water to be used to mitigate adverse water quality events</w:t>
      </w:r>
      <w:r>
        <w:t>,</w:t>
      </w:r>
    </w:p>
    <w:p w:rsidR="0002655A" w:rsidRPr="0002655A" w:rsidRDefault="0002655A" w:rsidP="0002655A">
      <w:pPr>
        <w:pStyle w:val="ListParagraph"/>
        <w:numPr>
          <w:ilvl w:val="1"/>
          <w:numId w:val="36"/>
        </w:numPr>
        <w:tabs>
          <w:tab w:val="clear" w:pos="4638"/>
          <w:tab w:val="num" w:pos="851"/>
        </w:tabs>
        <w:spacing w:after="0"/>
        <w:ind w:left="851" w:hanging="284"/>
        <w:jc w:val="left"/>
      </w:pPr>
      <w:r w:rsidRPr="0002655A">
        <w:t>Set watering action objectives that identify the temporal and spatial scale at which the response is expected</w:t>
      </w:r>
      <w:r>
        <w:t>,</w:t>
      </w:r>
    </w:p>
    <w:p w:rsidR="0002655A" w:rsidRPr="0002655A" w:rsidRDefault="0002655A" w:rsidP="0002655A">
      <w:pPr>
        <w:pStyle w:val="ListParagraph"/>
        <w:numPr>
          <w:ilvl w:val="1"/>
          <w:numId w:val="36"/>
        </w:numPr>
        <w:tabs>
          <w:tab w:val="clear" w:pos="4638"/>
          <w:tab w:val="num" w:pos="851"/>
        </w:tabs>
        <w:spacing w:after="0"/>
        <w:ind w:left="851" w:hanging="284"/>
        <w:jc w:val="left"/>
      </w:pPr>
      <w:r w:rsidRPr="0002655A">
        <w:t xml:space="preserve">Consider the implementation of a short duration environmental flow trial in late winter/spring </w:t>
      </w:r>
      <w:r w:rsidR="00D95747">
        <w:t xml:space="preserve">2016 </w:t>
      </w:r>
      <w:r w:rsidRPr="0002655A">
        <w:t>at a higher discharge than the current constraint of 600 ML/day</w:t>
      </w:r>
      <w:r>
        <w:t>,</w:t>
      </w:r>
    </w:p>
    <w:p w:rsidR="0002655A" w:rsidRPr="0002655A" w:rsidRDefault="0002655A" w:rsidP="0002655A">
      <w:pPr>
        <w:pStyle w:val="ListParagraph"/>
        <w:numPr>
          <w:ilvl w:val="1"/>
          <w:numId w:val="36"/>
        </w:numPr>
        <w:tabs>
          <w:tab w:val="clear" w:pos="4638"/>
          <w:tab w:val="num" w:pos="851"/>
        </w:tabs>
        <w:spacing w:after="0"/>
        <w:ind w:left="851" w:hanging="284"/>
        <w:jc w:val="left"/>
      </w:pPr>
      <w:r w:rsidRPr="0002655A">
        <w:t>Consider the implementation of an environmental watering action in the Edward River to target golden perch and silver perch spawning</w:t>
      </w:r>
      <w:r>
        <w:t>,</w:t>
      </w:r>
    </w:p>
    <w:p w:rsidR="0002655A" w:rsidRPr="0002655A" w:rsidRDefault="0002655A" w:rsidP="0002655A">
      <w:pPr>
        <w:pStyle w:val="ListParagraph"/>
        <w:numPr>
          <w:ilvl w:val="1"/>
          <w:numId w:val="36"/>
        </w:numPr>
        <w:tabs>
          <w:tab w:val="clear" w:pos="4638"/>
          <w:tab w:val="num" w:pos="851"/>
        </w:tabs>
        <w:spacing w:after="0"/>
        <w:ind w:left="851" w:hanging="284"/>
        <w:jc w:val="left"/>
      </w:pPr>
      <w:r w:rsidRPr="0002655A">
        <w:t>Undertake comprehensive flows assessment for the smaller creeks and rivers of the Edward-Wakool system</w:t>
      </w:r>
      <w:r>
        <w:t>, and</w:t>
      </w:r>
    </w:p>
    <w:p w:rsidR="0002655A" w:rsidRPr="0002655A" w:rsidRDefault="0002655A" w:rsidP="0002655A">
      <w:pPr>
        <w:pStyle w:val="ListParagraph"/>
        <w:numPr>
          <w:ilvl w:val="1"/>
          <w:numId w:val="36"/>
        </w:numPr>
        <w:tabs>
          <w:tab w:val="clear" w:pos="4638"/>
          <w:tab w:val="num" w:pos="851"/>
        </w:tabs>
        <w:spacing w:after="0"/>
        <w:ind w:left="851" w:hanging="284"/>
        <w:jc w:val="left"/>
      </w:pPr>
      <w:r w:rsidRPr="0002655A">
        <w:rPr>
          <w:iCs/>
        </w:rPr>
        <w:t>C</w:t>
      </w:r>
      <w:r w:rsidRPr="0002655A">
        <w:t>ollaborate with other management agencies and the community to maximise the benefits of Commonwealth environmental watering actions</w:t>
      </w:r>
      <w:r>
        <w:t>.</w:t>
      </w:r>
    </w:p>
    <w:p w:rsidR="00FC2F4D" w:rsidRPr="00FC2F4D" w:rsidRDefault="00833A6F" w:rsidP="00853906">
      <w:pPr>
        <w:pBdr>
          <w:top w:val="single" w:sz="4" w:space="1" w:color="auto"/>
          <w:left w:val="single" w:sz="4" w:space="4" w:color="auto"/>
          <w:bottom w:val="single" w:sz="4" w:space="1" w:color="auto"/>
          <w:right w:val="single" w:sz="4" w:space="4" w:color="auto"/>
        </w:pBdr>
        <w:shd w:val="clear" w:color="auto" w:fill="D6E3BC" w:themeFill="accent3" w:themeFillTint="66"/>
        <w:spacing w:after="240"/>
        <w:contextualSpacing/>
        <w:rPr>
          <w:b/>
        </w:rPr>
      </w:pPr>
      <w:r w:rsidRPr="00FC2F4D">
        <w:rPr>
          <w:b/>
        </w:rPr>
        <w:t xml:space="preserve">Recommendation 1. </w:t>
      </w:r>
      <w:r w:rsidR="00FC2F4D" w:rsidRPr="00FC2F4D">
        <w:rPr>
          <w:b/>
        </w:rPr>
        <w:t>Increase the duration of the recession of Commonwealth</w:t>
      </w:r>
      <w:r w:rsidR="009818EC">
        <w:rPr>
          <w:b/>
        </w:rPr>
        <w:t xml:space="preserve"> environmental watering actions relative to the Yallakool Creek environmental watering actions in 2012-13 and 2013-14.</w:t>
      </w:r>
    </w:p>
    <w:p w:rsidR="00BF42F2" w:rsidRDefault="00BF42F2" w:rsidP="00833A6F">
      <w:pPr>
        <w:spacing w:after="240"/>
        <w:contextualSpacing/>
      </w:pPr>
    </w:p>
    <w:p w:rsidR="00FC2F4D" w:rsidRDefault="00BF42F2" w:rsidP="00D95747">
      <w:pPr>
        <w:spacing w:after="120"/>
        <w:contextualSpacing/>
        <w:jc w:val="left"/>
      </w:pPr>
      <w:r>
        <w:t xml:space="preserve">Natural </w:t>
      </w:r>
      <w:r w:rsidR="0011739D">
        <w:t>in-channel river freshes</w:t>
      </w:r>
      <w:r>
        <w:t xml:space="preserve"> are </w:t>
      </w:r>
      <w:r w:rsidR="00990A82">
        <w:t>often</w:t>
      </w:r>
      <w:r>
        <w:t xml:space="preserve"> characterised </w:t>
      </w:r>
      <w:r w:rsidR="00990A82">
        <w:t>as having</w:t>
      </w:r>
      <w:r>
        <w:t xml:space="preserve"> a steep rise and extended recession. </w:t>
      </w:r>
      <w:r w:rsidR="00CF51BF">
        <w:t>An extended recession</w:t>
      </w:r>
      <w:r w:rsidR="00FC2F4D">
        <w:t xml:space="preserve"> </w:t>
      </w:r>
      <w:r w:rsidR="0011739D">
        <w:t xml:space="preserve">at the end of a flow event </w:t>
      </w:r>
      <w:r w:rsidR="00FC2F4D">
        <w:t>will:</w:t>
      </w:r>
    </w:p>
    <w:p w:rsidR="00966CA1" w:rsidRDefault="00FC2F4D" w:rsidP="00311640">
      <w:pPr>
        <w:pStyle w:val="ListParagraph"/>
        <w:numPr>
          <w:ilvl w:val="0"/>
          <w:numId w:val="18"/>
        </w:numPr>
        <w:spacing w:after="240"/>
        <w:contextualSpacing/>
        <w:jc w:val="left"/>
        <w:rPr>
          <w:rFonts w:cstheme="minorHAnsi"/>
          <w:szCs w:val="22"/>
        </w:rPr>
      </w:pPr>
      <w:r w:rsidRPr="00EA0742">
        <w:rPr>
          <w:rFonts w:cstheme="minorHAnsi"/>
          <w:szCs w:val="22"/>
        </w:rPr>
        <w:t xml:space="preserve">Increase the time for </w:t>
      </w:r>
      <w:r w:rsidR="00990A82">
        <w:rPr>
          <w:rFonts w:cstheme="minorHAnsi"/>
          <w:szCs w:val="22"/>
        </w:rPr>
        <w:t xml:space="preserve">some </w:t>
      </w:r>
      <w:r w:rsidRPr="00EA0742">
        <w:rPr>
          <w:rFonts w:cstheme="minorHAnsi"/>
          <w:szCs w:val="22"/>
        </w:rPr>
        <w:t xml:space="preserve">aquatic vegetation </w:t>
      </w:r>
      <w:r w:rsidR="00990A82">
        <w:rPr>
          <w:rFonts w:cstheme="minorHAnsi"/>
          <w:szCs w:val="22"/>
        </w:rPr>
        <w:t xml:space="preserve">taxa to maximise tuber development </w:t>
      </w:r>
      <w:r w:rsidR="00990A82" w:rsidRPr="00EA0742">
        <w:rPr>
          <w:rFonts w:cstheme="minorHAnsi"/>
          <w:szCs w:val="22"/>
        </w:rPr>
        <w:t>before becoming exposed</w:t>
      </w:r>
      <w:r w:rsidR="00990A82">
        <w:rPr>
          <w:rFonts w:cstheme="minorHAnsi"/>
          <w:szCs w:val="22"/>
        </w:rPr>
        <w:t xml:space="preserve"> and so enhance future resilience</w:t>
      </w:r>
      <w:r w:rsidR="00B20E68">
        <w:rPr>
          <w:rFonts w:cstheme="minorHAnsi"/>
          <w:szCs w:val="22"/>
        </w:rPr>
        <w:t>.</w:t>
      </w:r>
    </w:p>
    <w:p w:rsidR="009818EC" w:rsidRDefault="009818EC" w:rsidP="00311640">
      <w:pPr>
        <w:pStyle w:val="ListParagraph"/>
        <w:numPr>
          <w:ilvl w:val="0"/>
          <w:numId w:val="18"/>
        </w:numPr>
        <w:spacing w:after="240"/>
        <w:contextualSpacing/>
        <w:jc w:val="left"/>
        <w:rPr>
          <w:rFonts w:cstheme="minorHAnsi"/>
          <w:szCs w:val="22"/>
        </w:rPr>
      </w:pPr>
      <w:r>
        <w:rPr>
          <w:rFonts w:cstheme="minorHAnsi"/>
          <w:szCs w:val="22"/>
        </w:rPr>
        <w:t>Increase the period of time in which there is an area of shallow inundated riverbank or damp riverbank sediment in</w:t>
      </w:r>
      <w:r w:rsidRPr="00EA0742">
        <w:rPr>
          <w:rFonts w:cstheme="minorHAnsi"/>
          <w:szCs w:val="22"/>
        </w:rPr>
        <w:t xml:space="preserve"> which new vegetation seedlings </w:t>
      </w:r>
      <w:r>
        <w:rPr>
          <w:rFonts w:cstheme="minorHAnsi"/>
          <w:szCs w:val="22"/>
        </w:rPr>
        <w:t>can</w:t>
      </w:r>
      <w:r w:rsidRPr="00EA0742">
        <w:rPr>
          <w:rFonts w:cstheme="minorHAnsi"/>
          <w:szCs w:val="22"/>
        </w:rPr>
        <w:t xml:space="preserve"> emerge</w:t>
      </w:r>
      <w:r>
        <w:rPr>
          <w:rFonts w:cstheme="minorHAnsi"/>
          <w:szCs w:val="22"/>
        </w:rPr>
        <w:t xml:space="preserve"> and grow.</w:t>
      </w:r>
      <w:r w:rsidR="00FA0238">
        <w:rPr>
          <w:rFonts w:cstheme="minorHAnsi"/>
          <w:szCs w:val="22"/>
        </w:rPr>
        <w:t xml:space="preserve"> There was evidence of seedlings emerging following the recession at some sites in zone 3 in 2014-15 (see section 8)</w:t>
      </w:r>
    </w:p>
    <w:p w:rsidR="00990A82" w:rsidRDefault="00990A82" w:rsidP="00311640">
      <w:pPr>
        <w:pStyle w:val="ListParagraph"/>
        <w:numPr>
          <w:ilvl w:val="0"/>
          <w:numId w:val="18"/>
        </w:numPr>
        <w:spacing w:after="240"/>
        <w:contextualSpacing/>
        <w:jc w:val="left"/>
        <w:rPr>
          <w:rFonts w:cstheme="minorHAnsi"/>
          <w:szCs w:val="22"/>
        </w:rPr>
      </w:pPr>
      <w:r>
        <w:rPr>
          <w:rFonts w:cstheme="minorHAnsi"/>
          <w:szCs w:val="22"/>
        </w:rPr>
        <w:t xml:space="preserve">Maximise the opportunity for seed set in some </w:t>
      </w:r>
      <w:r w:rsidR="009818EC">
        <w:rPr>
          <w:rFonts w:cstheme="minorHAnsi"/>
          <w:szCs w:val="22"/>
        </w:rPr>
        <w:t>plants</w:t>
      </w:r>
      <w:r>
        <w:rPr>
          <w:rFonts w:cstheme="minorHAnsi"/>
          <w:szCs w:val="22"/>
        </w:rPr>
        <w:t xml:space="preserve">. </w:t>
      </w:r>
      <w:r w:rsidR="00B20E68">
        <w:rPr>
          <w:rFonts w:cstheme="minorHAnsi"/>
          <w:szCs w:val="22"/>
        </w:rPr>
        <w:t>Conditions for seed set</w:t>
      </w:r>
      <w:r>
        <w:rPr>
          <w:rFonts w:cstheme="minorHAnsi"/>
          <w:szCs w:val="22"/>
        </w:rPr>
        <w:t xml:space="preserve"> can va</w:t>
      </w:r>
      <w:r w:rsidR="00413AFC">
        <w:rPr>
          <w:rFonts w:cstheme="minorHAnsi"/>
          <w:szCs w:val="22"/>
        </w:rPr>
        <w:t xml:space="preserve">ry among taxa but some species </w:t>
      </w:r>
      <w:r>
        <w:rPr>
          <w:rFonts w:cstheme="minorHAnsi"/>
          <w:szCs w:val="22"/>
        </w:rPr>
        <w:t>set seed only occurs if floo</w:t>
      </w:r>
      <w:r w:rsidR="00413AFC">
        <w:rPr>
          <w:rFonts w:cstheme="minorHAnsi"/>
          <w:szCs w:val="22"/>
        </w:rPr>
        <w:t>d recession is slow</w:t>
      </w:r>
      <w:r w:rsidR="007411A9">
        <w:rPr>
          <w:rFonts w:cstheme="minorHAnsi"/>
          <w:szCs w:val="22"/>
        </w:rPr>
        <w:t>.</w:t>
      </w:r>
    </w:p>
    <w:p w:rsidR="008C6664" w:rsidRDefault="008C6664" w:rsidP="00DD409C">
      <w:pPr>
        <w:spacing w:after="240"/>
        <w:jc w:val="left"/>
      </w:pPr>
      <w:r>
        <w:t>Recommendation #1 from</w:t>
      </w:r>
      <w:r w:rsidRPr="00FC2F4D">
        <w:t xml:space="preserve"> the 2013-14 Edward-Wakool monitoring report (Watts et al. 2014) </w:t>
      </w:r>
      <w:r>
        <w:t xml:space="preserve">states </w:t>
      </w:r>
      <w:r w:rsidRPr="00966CA1">
        <w:t>“Use Commonwealth environmental water to manage the recession of unregulated flows and environmental watering actions”</w:t>
      </w:r>
      <w:r>
        <w:t xml:space="preserve">. In response to this, </w:t>
      </w:r>
      <w:r w:rsidR="00E00C73">
        <w:t>environmental water</w:t>
      </w:r>
      <w:r>
        <w:t xml:space="preserve"> was delivered to Yallakool Creek </w:t>
      </w:r>
      <w:r w:rsidR="00E00C73">
        <w:t>in 2014-15 with a</w:t>
      </w:r>
      <w:r w:rsidR="00D95747">
        <w:t xml:space="preserve"> managed recession of about 40cm over 30 days until it reached operational flows in the range of 200 to 240 ML/day</w:t>
      </w:r>
      <w:r>
        <w:t xml:space="preserve">. </w:t>
      </w:r>
      <w:r w:rsidR="00E00C73">
        <w:t xml:space="preserve">Whilst this rate of recession is suitable to avoid stranding of taxa, it is unlikely to </w:t>
      </w:r>
      <w:r w:rsidR="00B0403A">
        <w:t xml:space="preserve">maximise outcomes in aquatic vegetation. </w:t>
      </w:r>
      <w:r w:rsidR="00B0403A" w:rsidRPr="00D95747">
        <w:rPr>
          <w:shd w:val="clear" w:color="auto" w:fill="FFFFFF" w:themeFill="background1"/>
        </w:rPr>
        <w:t>W</w:t>
      </w:r>
      <w:r w:rsidRPr="00D95747">
        <w:rPr>
          <w:shd w:val="clear" w:color="auto" w:fill="FFFFFF" w:themeFill="background1"/>
        </w:rPr>
        <w:t xml:space="preserve">e recommend that the rate of recession be further decreased </w:t>
      </w:r>
      <w:r>
        <w:t xml:space="preserve">and the duration of the recession increased compared to the environmental watering event in 2014-15. </w:t>
      </w:r>
      <w:r w:rsidR="00E00C73">
        <w:t>The rate should be guided by analysis of rates of recession of modelled unregulated e</w:t>
      </w:r>
      <w:r w:rsidR="00032A00">
        <w:t>vents and by ecological requirem</w:t>
      </w:r>
      <w:r w:rsidR="00413AFC">
        <w:t>ents of a wide range of taxa.</w:t>
      </w:r>
    </w:p>
    <w:p w:rsidR="00D95747" w:rsidRDefault="00D95747" w:rsidP="00D95747">
      <w:pPr>
        <w:pBdr>
          <w:top w:val="single" w:sz="4" w:space="1" w:color="auto"/>
          <w:left w:val="single" w:sz="4" w:space="4" w:color="auto"/>
          <w:bottom w:val="single" w:sz="4" w:space="1" w:color="auto"/>
          <w:right w:val="single" w:sz="4" w:space="4" w:color="auto"/>
        </w:pBdr>
        <w:spacing w:after="120"/>
        <w:contextualSpacing/>
        <w:jc w:val="left"/>
      </w:pPr>
      <w:r w:rsidRPr="004A33AB">
        <w:rPr>
          <w:b/>
        </w:rPr>
        <w:t xml:space="preserve">Adaptive management response </w:t>
      </w:r>
      <w:r>
        <w:rPr>
          <w:b/>
        </w:rPr>
        <w:t>in</w:t>
      </w:r>
      <w:r w:rsidRPr="004A33AB">
        <w:rPr>
          <w:b/>
        </w:rPr>
        <w:t xml:space="preserve"> 2015-16:</w:t>
      </w:r>
      <w:r>
        <w:t xml:space="preserve"> This recommendation has been applied in the 2015-16 use of Commonwealth environmental water in the Yallakool Creek and Colligen Creek-Niemur River watering actions, particularly to maximise outcomes for instream aquatic vegetation. For example, the recession period for 2015-16 flows in Yallakool Creek was over nine weeks compared to four weeks in 2014-15.</w:t>
      </w:r>
    </w:p>
    <w:p w:rsidR="00E00C73" w:rsidRDefault="00E00C73">
      <w:pPr>
        <w:spacing w:after="0" w:line="240" w:lineRule="auto"/>
        <w:jc w:val="left"/>
        <w:rPr>
          <w:rFonts w:cstheme="minorHAnsi"/>
          <w:szCs w:val="22"/>
        </w:rPr>
      </w:pPr>
    </w:p>
    <w:p w:rsidR="00D95747" w:rsidRDefault="00D95747">
      <w:pPr>
        <w:spacing w:after="0" w:line="240" w:lineRule="auto"/>
        <w:jc w:val="left"/>
        <w:rPr>
          <w:rFonts w:cstheme="minorHAnsi"/>
          <w:szCs w:val="22"/>
        </w:rPr>
      </w:pPr>
    </w:p>
    <w:p w:rsidR="00E00C73" w:rsidRPr="002F6DA1" w:rsidRDefault="00E00C73" w:rsidP="00A050E8">
      <w:pPr>
        <w:pBdr>
          <w:top w:val="single" w:sz="4" w:space="1" w:color="auto"/>
          <w:left w:val="single" w:sz="4" w:space="4" w:color="auto"/>
          <w:bottom w:val="single" w:sz="4" w:space="1" w:color="auto"/>
          <w:right w:val="single" w:sz="4" w:space="4" w:color="auto"/>
        </w:pBdr>
        <w:shd w:val="clear" w:color="auto" w:fill="D6E3BC" w:themeFill="accent3" w:themeFillTint="66"/>
        <w:spacing w:after="120"/>
        <w:contextualSpacing/>
        <w:jc w:val="left"/>
      </w:pPr>
      <w:r w:rsidRPr="00B0403A">
        <w:rPr>
          <w:rFonts w:cstheme="minorHAnsi"/>
          <w:b/>
          <w:szCs w:val="22"/>
        </w:rPr>
        <w:t>Recom</w:t>
      </w:r>
      <w:r w:rsidR="00C14D85">
        <w:rPr>
          <w:rFonts w:cstheme="minorHAnsi"/>
          <w:b/>
          <w:szCs w:val="22"/>
        </w:rPr>
        <w:t>m</w:t>
      </w:r>
      <w:r w:rsidRPr="00B0403A">
        <w:rPr>
          <w:rFonts w:cstheme="minorHAnsi"/>
          <w:b/>
          <w:szCs w:val="22"/>
        </w:rPr>
        <w:t xml:space="preserve">endation 2. </w:t>
      </w:r>
      <w:r w:rsidR="00B0403A">
        <w:rPr>
          <w:rFonts w:cstheme="minorHAnsi"/>
          <w:b/>
          <w:szCs w:val="22"/>
        </w:rPr>
        <w:t>A</w:t>
      </w:r>
      <w:r w:rsidR="00B0403A" w:rsidRPr="00B0403A">
        <w:rPr>
          <w:rFonts w:cstheme="minorHAnsi"/>
          <w:b/>
          <w:szCs w:val="22"/>
        </w:rPr>
        <w:t xml:space="preserve">void long periods </w:t>
      </w:r>
      <w:r w:rsidR="00B0403A">
        <w:rPr>
          <w:rFonts w:cstheme="minorHAnsi"/>
          <w:b/>
          <w:szCs w:val="22"/>
        </w:rPr>
        <w:t>of constant flows by commencing</w:t>
      </w:r>
      <w:r w:rsidRPr="00B0403A">
        <w:rPr>
          <w:rFonts w:cstheme="minorHAnsi"/>
          <w:b/>
          <w:szCs w:val="22"/>
        </w:rPr>
        <w:t xml:space="preserve"> the recession of environmental watering actions </w:t>
      </w:r>
      <w:r w:rsidR="00B0403A">
        <w:rPr>
          <w:rFonts w:cstheme="minorHAnsi"/>
          <w:b/>
          <w:szCs w:val="22"/>
        </w:rPr>
        <w:t>earlier</w:t>
      </w:r>
      <w:r w:rsidR="002F6DA1">
        <w:rPr>
          <w:rFonts w:cstheme="minorHAnsi"/>
          <w:b/>
          <w:szCs w:val="22"/>
        </w:rPr>
        <w:t xml:space="preserve"> and </w:t>
      </w:r>
      <w:r w:rsidR="002F6DA1">
        <w:rPr>
          <w:b/>
        </w:rPr>
        <w:t>introducing</w:t>
      </w:r>
      <w:r w:rsidR="002F6DA1" w:rsidRPr="00B02767">
        <w:rPr>
          <w:b/>
        </w:rPr>
        <w:t xml:space="preserve"> flow variability into environmental watering actions</w:t>
      </w:r>
      <w:r w:rsidR="002F6DA1">
        <w:t>.</w:t>
      </w:r>
    </w:p>
    <w:p w:rsidR="00E00C73" w:rsidRDefault="00E00C73" w:rsidP="00A050E8">
      <w:pPr>
        <w:spacing w:after="120"/>
        <w:contextualSpacing/>
        <w:rPr>
          <w:rFonts w:cstheme="minorHAnsi"/>
          <w:szCs w:val="22"/>
        </w:rPr>
      </w:pPr>
    </w:p>
    <w:p w:rsidR="002F6DA1" w:rsidRPr="00D95747" w:rsidRDefault="00A050E8" w:rsidP="00D95747">
      <w:pPr>
        <w:spacing w:after="120"/>
        <w:jc w:val="left"/>
      </w:pPr>
      <w:r>
        <w:t>R</w:t>
      </w:r>
      <w:r w:rsidR="00E1021A" w:rsidRPr="00B02767">
        <w:t xml:space="preserve">iver </w:t>
      </w:r>
      <w:r w:rsidR="00E1021A">
        <w:t xml:space="preserve">in the Murray-Darling Basin </w:t>
      </w:r>
      <w:r>
        <w:t>have</w:t>
      </w:r>
      <w:r w:rsidR="00E1021A">
        <w:t xml:space="preserve"> hig</w:t>
      </w:r>
      <w:r w:rsidR="00F34310">
        <w:t>h variability in natural flows</w:t>
      </w:r>
      <w:r w:rsidR="000A4F7E">
        <w:t xml:space="preserve">. </w:t>
      </w:r>
      <w:r w:rsidR="002F6DA1">
        <w:t>L</w:t>
      </w:r>
      <w:r w:rsidR="00E00C73" w:rsidRPr="00B02767">
        <w:t>ong per</w:t>
      </w:r>
      <w:r w:rsidR="00B0403A">
        <w:t>iods of constant flow have been shown to have detrimental effects on river productivity</w:t>
      </w:r>
      <w:r w:rsidR="00310E3B">
        <w:t>, river geomorphology</w:t>
      </w:r>
      <w:r w:rsidR="00B0403A">
        <w:t xml:space="preserve"> and diversity. O</w:t>
      </w:r>
      <w:r w:rsidR="00E00C73" w:rsidRPr="00B02767">
        <w:t>ne of the key recommendations of Thoms et al</w:t>
      </w:r>
      <w:r w:rsidR="000C7056">
        <w:t>.</w:t>
      </w:r>
      <w:r w:rsidR="00E00C73" w:rsidRPr="00B02767">
        <w:t xml:space="preserve"> (2000) </w:t>
      </w:r>
      <w:r w:rsidR="00B0403A">
        <w:t xml:space="preserve">report of the River Murray Scientific Panel on Environmental Flows was </w:t>
      </w:r>
      <w:r w:rsidR="00E00C73" w:rsidRPr="00B02767">
        <w:t xml:space="preserve">that </w:t>
      </w:r>
      <w:r w:rsidR="00E00C73" w:rsidRPr="00B02767">
        <w:rPr>
          <w:i/>
        </w:rPr>
        <w:t>“releases at consta</w:t>
      </w:r>
      <w:r w:rsidR="002F6DA1">
        <w:rPr>
          <w:i/>
        </w:rPr>
        <w:t>nt discharge should be avoided</w:t>
      </w:r>
      <w:r w:rsidR="00E00C73" w:rsidRPr="00B02767">
        <w:rPr>
          <w:i/>
        </w:rPr>
        <w:t>”.</w:t>
      </w:r>
      <w:r w:rsidR="002F6DA1">
        <w:rPr>
          <w:i/>
        </w:rPr>
        <w:t xml:space="preserve"> </w:t>
      </w:r>
    </w:p>
    <w:p w:rsidR="00472521" w:rsidRDefault="009818EC" w:rsidP="00D95747">
      <w:pPr>
        <w:spacing w:after="120"/>
        <w:jc w:val="left"/>
      </w:pPr>
      <w:r>
        <w:t>T</w:t>
      </w:r>
      <w:r w:rsidR="00B0403A">
        <w:t xml:space="preserve">he environmental watering action in Yallakool Creek </w:t>
      </w:r>
      <w:r>
        <w:t xml:space="preserve">in 2014-15 </w:t>
      </w:r>
      <w:r w:rsidR="00B0403A">
        <w:t xml:space="preserve">resulted in an extended period of relatively constant discharge </w:t>
      </w:r>
      <w:r w:rsidR="00310E3B">
        <w:t>of approxi</w:t>
      </w:r>
      <w:r w:rsidR="002A23BF">
        <w:t>mately 500 ML</w:t>
      </w:r>
      <w:r w:rsidR="00310E3B">
        <w:t xml:space="preserve">/day in Yallakool Creek </w:t>
      </w:r>
      <w:r w:rsidR="00B0403A">
        <w:t>from 12</w:t>
      </w:r>
      <w:r w:rsidR="00B0403A" w:rsidRPr="00B0403A">
        <w:rPr>
          <w:vertAlign w:val="superscript"/>
        </w:rPr>
        <w:t>th</w:t>
      </w:r>
      <w:r w:rsidR="00B0403A">
        <w:t xml:space="preserve"> August until mid December 2014. The recession commenced when there were </w:t>
      </w:r>
      <w:r w:rsidR="002A23BF">
        <w:t>no</w:t>
      </w:r>
      <w:r w:rsidR="00B0403A">
        <w:t xml:space="preserve"> Murray cod </w:t>
      </w:r>
      <w:r w:rsidR="002A23BF">
        <w:t>larvae caught in larval light traps</w:t>
      </w:r>
      <w:r>
        <w:t>, with the aim being</w:t>
      </w:r>
      <w:r w:rsidR="002A23BF">
        <w:t xml:space="preserve"> to minimise the</w:t>
      </w:r>
      <w:r w:rsidR="00310E3B">
        <w:t xml:space="preserve"> risk of eggs in </w:t>
      </w:r>
      <w:r w:rsidR="0005230C">
        <w:t>Murray cod nests being exposed.</w:t>
      </w:r>
    </w:p>
    <w:p w:rsidR="004A33AB" w:rsidRDefault="00CF5D81" w:rsidP="00D95747">
      <w:pPr>
        <w:spacing w:after="120"/>
        <w:jc w:val="left"/>
        <w:rPr>
          <w:b/>
        </w:rPr>
      </w:pPr>
      <w:r>
        <w:t>One</w:t>
      </w:r>
      <w:r w:rsidR="00310E3B">
        <w:t xml:space="preserve"> strategy to decrease the period of ‘constant’ flows </w:t>
      </w:r>
      <w:r>
        <w:rPr>
          <w:rFonts w:cstheme="minorHAnsi"/>
          <w:szCs w:val="22"/>
        </w:rPr>
        <w:t xml:space="preserve">is </w:t>
      </w:r>
      <w:r w:rsidR="0005230C">
        <w:rPr>
          <w:rFonts w:cstheme="minorHAnsi"/>
          <w:szCs w:val="22"/>
        </w:rPr>
        <w:t>to commence</w:t>
      </w:r>
      <w:r w:rsidR="008C6664">
        <w:rPr>
          <w:rFonts w:cstheme="minorHAnsi"/>
          <w:szCs w:val="22"/>
        </w:rPr>
        <w:t xml:space="preserve"> </w:t>
      </w:r>
      <w:r w:rsidR="002A23BF">
        <w:rPr>
          <w:rFonts w:cstheme="minorHAnsi"/>
          <w:szCs w:val="22"/>
        </w:rPr>
        <w:t xml:space="preserve">the </w:t>
      </w:r>
      <w:r w:rsidR="008C6664" w:rsidRPr="0011739D">
        <w:rPr>
          <w:rFonts w:cstheme="minorHAnsi"/>
          <w:szCs w:val="22"/>
        </w:rPr>
        <w:t>recession</w:t>
      </w:r>
      <w:r w:rsidR="00310E3B">
        <w:rPr>
          <w:rFonts w:cstheme="minorHAnsi"/>
          <w:szCs w:val="22"/>
        </w:rPr>
        <w:t xml:space="preserve"> </w:t>
      </w:r>
      <w:r w:rsidR="002A23BF">
        <w:rPr>
          <w:rFonts w:cstheme="minorHAnsi"/>
          <w:szCs w:val="22"/>
        </w:rPr>
        <w:t xml:space="preserve">of environmental watering actions of this type </w:t>
      </w:r>
      <w:r w:rsidR="00310E3B">
        <w:rPr>
          <w:rFonts w:cstheme="minorHAnsi"/>
          <w:szCs w:val="22"/>
        </w:rPr>
        <w:t>earlier</w:t>
      </w:r>
      <w:r w:rsidR="002A23BF">
        <w:rPr>
          <w:rFonts w:cstheme="minorHAnsi"/>
          <w:szCs w:val="22"/>
        </w:rPr>
        <w:t>. There is minimal risk of adverse outcomes</w:t>
      </w:r>
      <w:r w:rsidR="008C6664" w:rsidRPr="0011739D">
        <w:rPr>
          <w:rFonts w:cstheme="minorHAnsi"/>
          <w:szCs w:val="22"/>
        </w:rPr>
        <w:t xml:space="preserve"> </w:t>
      </w:r>
      <w:r w:rsidR="00310E3B" w:rsidRPr="0011739D">
        <w:rPr>
          <w:rFonts w:cstheme="minorHAnsi"/>
          <w:szCs w:val="22"/>
        </w:rPr>
        <w:t xml:space="preserve">because </w:t>
      </w:r>
      <w:r w:rsidR="002A23BF">
        <w:rPr>
          <w:rFonts w:cstheme="minorHAnsi"/>
          <w:szCs w:val="22"/>
        </w:rPr>
        <w:t>if a long recession is implemented (see recommendation #1) then there will be a per</w:t>
      </w:r>
      <w:r w:rsidR="00032A00">
        <w:rPr>
          <w:rFonts w:cstheme="minorHAnsi"/>
          <w:szCs w:val="22"/>
        </w:rPr>
        <w:t>i</w:t>
      </w:r>
      <w:r w:rsidR="002A23BF">
        <w:rPr>
          <w:rFonts w:cstheme="minorHAnsi"/>
          <w:szCs w:val="22"/>
        </w:rPr>
        <w:t xml:space="preserve">od </w:t>
      </w:r>
      <w:r w:rsidR="0005230C">
        <w:rPr>
          <w:rFonts w:cstheme="minorHAnsi"/>
          <w:szCs w:val="22"/>
        </w:rPr>
        <w:t xml:space="preserve">of time </w:t>
      </w:r>
      <w:r w:rsidR="002A23BF">
        <w:rPr>
          <w:rFonts w:cstheme="minorHAnsi"/>
          <w:szCs w:val="22"/>
        </w:rPr>
        <w:t>before the</w:t>
      </w:r>
      <w:r w:rsidR="00310E3B" w:rsidRPr="0011739D">
        <w:rPr>
          <w:rFonts w:cstheme="minorHAnsi"/>
          <w:szCs w:val="22"/>
        </w:rPr>
        <w:t xml:space="preserve"> water levels </w:t>
      </w:r>
      <w:r w:rsidR="002A23BF">
        <w:rPr>
          <w:rFonts w:cstheme="minorHAnsi"/>
          <w:szCs w:val="22"/>
        </w:rPr>
        <w:t>would</w:t>
      </w:r>
      <w:r w:rsidR="00310E3B" w:rsidRPr="0011739D">
        <w:rPr>
          <w:rFonts w:cstheme="minorHAnsi"/>
          <w:szCs w:val="22"/>
        </w:rPr>
        <w:t xml:space="preserve"> be lowered to </w:t>
      </w:r>
      <w:r w:rsidR="00310E3B">
        <w:rPr>
          <w:rFonts w:cstheme="minorHAnsi"/>
          <w:szCs w:val="22"/>
        </w:rPr>
        <w:t xml:space="preserve">the depth at which Murray cod nests would </w:t>
      </w:r>
      <w:r w:rsidR="002A23BF">
        <w:rPr>
          <w:rFonts w:cstheme="minorHAnsi"/>
          <w:szCs w:val="22"/>
        </w:rPr>
        <w:t>b</w:t>
      </w:r>
      <w:r w:rsidR="00310E3B">
        <w:rPr>
          <w:rFonts w:cstheme="minorHAnsi"/>
          <w:szCs w:val="22"/>
        </w:rPr>
        <w:t xml:space="preserve">e </w:t>
      </w:r>
      <w:r w:rsidR="009818EC">
        <w:rPr>
          <w:rFonts w:cstheme="minorHAnsi"/>
          <w:szCs w:val="22"/>
        </w:rPr>
        <w:t>exposed</w:t>
      </w:r>
      <w:r w:rsidR="00310E3B">
        <w:rPr>
          <w:rFonts w:cstheme="minorHAnsi"/>
          <w:szCs w:val="22"/>
        </w:rPr>
        <w:t>.</w:t>
      </w:r>
      <w:r w:rsidR="00472521">
        <w:rPr>
          <w:rFonts w:cstheme="minorHAnsi"/>
          <w:szCs w:val="22"/>
        </w:rPr>
        <w:t xml:space="preserve"> </w:t>
      </w:r>
      <w:r w:rsidR="002A23BF">
        <w:rPr>
          <w:rFonts w:cstheme="minorHAnsi"/>
          <w:szCs w:val="22"/>
        </w:rPr>
        <w:t>Using this strategy to r</w:t>
      </w:r>
      <w:r w:rsidR="00032A00">
        <w:rPr>
          <w:rFonts w:cstheme="minorHAnsi"/>
          <w:szCs w:val="22"/>
        </w:rPr>
        <w:t>educe</w:t>
      </w:r>
      <w:r w:rsidR="008C6664">
        <w:rPr>
          <w:rFonts w:cstheme="minorHAnsi"/>
          <w:szCs w:val="22"/>
        </w:rPr>
        <w:t xml:space="preserve"> the period of constant flows </w:t>
      </w:r>
      <w:r w:rsidR="00310E3B">
        <w:rPr>
          <w:rFonts w:cstheme="minorHAnsi"/>
          <w:szCs w:val="22"/>
        </w:rPr>
        <w:t>would also</w:t>
      </w:r>
      <w:r w:rsidR="008C6664">
        <w:rPr>
          <w:rFonts w:cstheme="minorHAnsi"/>
          <w:szCs w:val="22"/>
        </w:rPr>
        <w:t xml:space="preserve"> </w:t>
      </w:r>
      <w:r w:rsidR="008C6664" w:rsidRPr="0011739D">
        <w:rPr>
          <w:rFonts w:cstheme="minorHAnsi"/>
          <w:szCs w:val="22"/>
        </w:rPr>
        <w:t>reduce the risk of notching occurring on riverbank</w:t>
      </w:r>
      <w:r w:rsidR="00032A00">
        <w:rPr>
          <w:rFonts w:cstheme="minorHAnsi"/>
          <w:szCs w:val="22"/>
        </w:rPr>
        <w:t>s</w:t>
      </w:r>
      <w:r w:rsidR="008C6664" w:rsidRPr="0011739D">
        <w:rPr>
          <w:rFonts w:cstheme="minorHAnsi"/>
          <w:szCs w:val="22"/>
        </w:rPr>
        <w:t xml:space="preserve"> due to long </w:t>
      </w:r>
      <w:r w:rsidR="002A23BF">
        <w:rPr>
          <w:rFonts w:cstheme="minorHAnsi"/>
          <w:szCs w:val="22"/>
        </w:rPr>
        <w:t>duration of constant discharge.</w:t>
      </w:r>
      <w:r w:rsidR="00A050E8">
        <w:rPr>
          <w:rFonts w:cstheme="minorHAnsi"/>
          <w:szCs w:val="22"/>
        </w:rPr>
        <w:t xml:space="preserve"> </w:t>
      </w:r>
      <w:r w:rsidR="002F6DA1">
        <w:t>Another strategy to decrease the period of ‘constant’ flows is to incorporate some of the</w:t>
      </w:r>
      <w:r w:rsidR="002F6DA1" w:rsidRPr="00B02767">
        <w:t xml:space="preserve"> natural levels of variability within managed </w:t>
      </w:r>
      <w:r w:rsidR="002F6DA1" w:rsidRPr="00CF5D81">
        <w:t>environmental watering actions</w:t>
      </w:r>
      <w:r w:rsidR="002F6DA1">
        <w:t>, setting bounds for the river operators to work within</w:t>
      </w:r>
      <w:r w:rsidR="002F6DA1" w:rsidRPr="00CF5D81">
        <w:t>. Analysis of historical flow events and modelled natural flow would provide a basis for establishing the extent of variability to be incorporated into environmental flow actions.</w:t>
      </w:r>
      <w:r w:rsidR="002F6DA1">
        <w:t xml:space="preserve"> This recommendation is consistent with one of </w:t>
      </w:r>
      <w:r w:rsidR="002F6DA1" w:rsidRPr="00472521">
        <w:t>the key recommendations of Thoms et al</w:t>
      </w:r>
      <w:r w:rsidR="002F6DA1">
        <w:t>. (2000)</w:t>
      </w:r>
      <w:r w:rsidR="00D95747">
        <w:t>.</w:t>
      </w:r>
      <w:r w:rsidR="00D95747">
        <w:rPr>
          <w:b/>
        </w:rPr>
        <w:t xml:space="preserve"> </w:t>
      </w:r>
    </w:p>
    <w:p w:rsidR="00D95747" w:rsidRDefault="00D95747" w:rsidP="00D95747">
      <w:pPr>
        <w:pBdr>
          <w:top w:val="single" w:sz="4" w:space="1" w:color="auto"/>
          <w:left w:val="single" w:sz="4" w:space="4" w:color="auto"/>
          <w:bottom w:val="single" w:sz="4" w:space="1" w:color="auto"/>
          <w:right w:val="single" w:sz="4" w:space="4" w:color="auto"/>
        </w:pBdr>
        <w:spacing w:after="0"/>
        <w:jc w:val="left"/>
      </w:pPr>
      <w:r>
        <w:rPr>
          <w:b/>
        </w:rPr>
        <w:t>A</w:t>
      </w:r>
      <w:r w:rsidRPr="004A33AB">
        <w:rPr>
          <w:b/>
        </w:rPr>
        <w:t xml:space="preserve">daptive management response </w:t>
      </w:r>
      <w:r>
        <w:rPr>
          <w:b/>
        </w:rPr>
        <w:t>in</w:t>
      </w:r>
      <w:r w:rsidRPr="004A33AB">
        <w:rPr>
          <w:b/>
        </w:rPr>
        <w:t xml:space="preserve"> 2015-16:</w:t>
      </w:r>
      <w:r>
        <w:rPr>
          <w:b/>
        </w:rPr>
        <w:t xml:space="preserve"> </w:t>
      </w:r>
      <w:r>
        <w:t xml:space="preserve">This recommendation has been applied in the 2015-16 use of Commonwealth environmental water in </w:t>
      </w:r>
      <w:r w:rsidR="00A050E8">
        <w:t xml:space="preserve">the </w:t>
      </w:r>
      <w:r>
        <w:t xml:space="preserve">Yallakool Creek, Wakool River and Colligen Creek-Niemur River watering actions. For example, in 2015-16 the River Operator (Water NSW) was provided with an ‘operating range’ during </w:t>
      </w:r>
      <w:r w:rsidRPr="003B7B6D">
        <w:t>the period</w:t>
      </w:r>
      <w:r>
        <w:t xml:space="preserve"> when constant flows were most likely to occur. This trialled the use of the ‘operating range’ to improve flow variability at a small scale whilst not risking the ability to achieve other targeted outcomes, such as providing nesting habitat for Murray cod. Colligen Creek is likely to have increased levels of variability compared to other systems due to the River Operator passing rain rejection or other operational flows through the creek. </w:t>
      </w:r>
      <w:r w:rsidR="00A050E8">
        <w:t>E</w:t>
      </w:r>
      <w:r>
        <w:t>valuation of 2015-16 watering actions will inform the ‘operating range’ in future watering actions.</w:t>
      </w:r>
    </w:p>
    <w:p w:rsidR="00472521" w:rsidRDefault="00E570FA" w:rsidP="00853906">
      <w:pPr>
        <w:pBdr>
          <w:top w:val="single" w:sz="4" w:space="1" w:color="auto"/>
          <w:left w:val="single" w:sz="4" w:space="4" w:color="auto"/>
          <w:bottom w:val="single" w:sz="4" w:space="0" w:color="auto"/>
          <w:right w:val="single" w:sz="4" w:space="4" w:color="auto"/>
        </w:pBdr>
        <w:shd w:val="clear" w:color="auto" w:fill="D6E3BC" w:themeFill="accent3" w:themeFillTint="66"/>
        <w:spacing w:after="240"/>
        <w:contextualSpacing/>
        <w:rPr>
          <w:b/>
        </w:rPr>
      </w:pPr>
      <w:r>
        <w:rPr>
          <w:b/>
        </w:rPr>
        <w:t>Recommendation 3</w:t>
      </w:r>
      <w:r w:rsidR="00472521" w:rsidRPr="00B20E68">
        <w:rPr>
          <w:b/>
        </w:rPr>
        <w:t xml:space="preserve">. </w:t>
      </w:r>
      <w:r w:rsidR="00472521">
        <w:rPr>
          <w:b/>
        </w:rPr>
        <w:t xml:space="preserve">Consider </w:t>
      </w:r>
      <w:r w:rsidR="00F575E5">
        <w:rPr>
          <w:b/>
        </w:rPr>
        <w:t>a trial of shifting the focus</w:t>
      </w:r>
      <w:r w:rsidR="00472521">
        <w:rPr>
          <w:b/>
        </w:rPr>
        <w:t xml:space="preserve"> of </w:t>
      </w:r>
      <w:r w:rsidR="00F575E5">
        <w:rPr>
          <w:b/>
        </w:rPr>
        <w:t xml:space="preserve">the delivery of </w:t>
      </w:r>
      <w:r w:rsidR="00472521">
        <w:rPr>
          <w:b/>
        </w:rPr>
        <w:t xml:space="preserve">environmental water </w:t>
      </w:r>
      <w:r w:rsidR="00F575E5">
        <w:rPr>
          <w:b/>
        </w:rPr>
        <w:t>from</w:t>
      </w:r>
      <w:r w:rsidR="00472521">
        <w:rPr>
          <w:b/>
        </w:rPr>
        <w:t xml:space="preserve"> Yallakool Creek to </w:t>
      </w:r>
      <w:r w:rsidR="00F575E5">
        <w:rPr>
          <w:b/>
        </w:rPr>
        <w:t xml:space="preserve">the Wakool River to </w:t>
      </w:r>
      <w:r w:rsidR="00472521">
        <w:rPr>
          <w:b/>
        </w:rPr>
        <w:t>achieve ecosystem outcomes and at the same time facilitate learning about the system.</w:t>
      </w:r>
    </w:p>
    <w:p w:rsidR="00472521" w:rsidRDefault="00472521" w:rsidP="00A050E8">
      <w:pPr>
        <w:spacing w:after="120"/>
        <w:contextualSpacing/>
        <w:jc w:val="left"/>
        <w:rPr>
          <w:b/>
        </w:rPr>
      </w:pPr>
    </w:p>
    <w:p w:rsidR="00472521" w:rsidRDefault="00472521" w:rsidP="00A050E8">
      <w:pPr>
        <w:spacing w:after="120"/>
        <w:jc w:val="left"/>
      </w:pPr>
      <w:r>
        <w:t xml:space="preserve">Since 2011 Commonwealth </w:t>
      </w:r>
      <w:r w:rsidRPr="00B20E68">
        <w:t>environmental watering actions in the Wakool-</w:t>
      </w:r>
      <w:r>
        <w:t xml:space="preserve">Yallakool Creek system have focussed delivery of </w:t>
      </w:r>
      <w:r w:rsidR="00FA0238">
        <w:t xml:space="preserve">the majority of </w:t>
      </w:r>
      <w:r>
        <w:t>environmental water to the system via Yallakool Creek, whereas over the same period the delivery of environmental water to the upper Wakool River has been very modes</w:t>
      </w:r>
      <w:r w:rsidR="00B80614">
        <w:t>t.</w:t>
      </w:r>
    </w:p>
    <w:p w:rsidR="00DD409C" w:rsidRDefault="00FA0238" w:rsidP="00A050E8">
      <w:pPr>
        <w:spacing w:after="120"/>
        <w:jc w:val="left"/>
      </w:pPr>
      <w:r>
        <w:t xml:space="preserve">The recommendation is to </w:t>
      </w:r>
      <w:r w:rsidR="00070830">
        <w:t>shift</w:t>
      </w:r>
      <w:r>
        <w:t xml:space="preserve"> the </w:t>
      </w:r>
      <w:r w:rsidR="00070830">
        <w:t xml:space="preserve">focus of environmental </w:t>
      </w:r>
      <w:r>
        <w:t xml:space="preserve">watering </w:t>
      </w:r>
      <w:r w:rsidR="00070830">
        <w:t>from Yallakool Creek to</w:t>
      </w:r>
      <w:r>
        <w:t xml:space="preserve"> the </w:t>
      </w:r>
      <w:r w:rsidR="00070830">
        <w:t xml:space="preserve">upper </w:t>
      </w:r>
      <w:r>
        <w:t>Wakool River</w:t>
      </w:r>
      <w:r w:rsidR="00070830">
        <w:t xml:space="preserve">, </w:t>
      </w:r>
      <w:r w:rsidR="00132983">
        <w:t>through the delivery of</w:t>
      </w:r>
      <w:r w:rsidR="00070830">
        <w:t xml:space="preserve"> operational base flows in Yallakool Creek and higher flows in the upper Wakool River. This would not exceed the current operational constraint of 550 </w:t>
      </w:r>
      <w:r w:rsidR="00132983">
        <w:t>to</w:t>
      </w:r>
      <w:r w:rsidR="00070830">
        <w:t xml:space="preserve"> 600 ML/day downstream of the confluence with Yallakool Creek.</w:t>
      </w:r>
      <w:r w:rsidR="00132983">
        <w:t xml:space="preserve"> This proposed action would not result in any difference to the environmental watering outcomes in the Wakool River zones 3 and 4 downstream of the Wakool-Yallakool confluence, because environmental water from the upper Wakool River would flow into that part of the system.</w:t>
      </w:r>
    </w:p>
    <w:p w:rsidR="00472521" w:rsidRDefault="00472521" w:rsidP="00A050E8">
      <w:pPr>
        <w:spacing w:after="0"/>
        <w:contextualSpacing/>
        <w:jc w:val="left"/>
      </w:pPr>
      <w:r>
        <w:t>Shifting the environmental watering action from Yallakool Creek to the Wakool River in 201</w:t>
      </w:r>
      <w:r w:rsidR="008A402C">
        <w:t>5</w:t>
      </w:r>
      <w:r>
        <w:t>-1</w:t>
      </w:r>
      <w:r w:rsidR="008A402C">
        <w:t>6</w:t>
      </w:r>
      <w:r>
        <w:t xml:space="preserve"> </w:t>
      </w:r>
      <w:r w:rsidR="00070830">
        <w:t xml:space="preserve">or subsequent years </w:t>
      </w:r>
      <w:r w:rsidR="00132983">
        <w:t>would</w:t>
      </w:r>
      <w:r>
        <w:t xml:space="preserve"> achieve the following:</w:t>
      </w:r>
    </w:p>
    <w:p w:rsidR="00070830" w:rsidRDefault="00070830" w:rsidP="00A050E8">
      <w:pPr>
        <w:pStyle w:val="ListParagraph"/>
        <w:numPr>
          <w:ilvl w:val="0"/>
          <w:numId w:val="24"/>
        </w:numPr>
        <w:spacing w:after="120"/>
        <w:contextualSpacing/>
        <w:jc w:val="left"/>
      </w:pPr>
      <w:r>
        <w:t>T</w:t>
      </w:r>
      <w:r w:rsidRPr="007D16D0">
        <w:t xml:space="preserve">argeted </w:t>
      </w:r>
      <w:r>
        <w:t xml:space="preserve">environmental </w:t>
      </w:r>
      <w:r w:rsidRPr="007D16D0">
        <w:t xml:space="preserve">watering of the upper Wakool River would </w:t>
      </w:r>
      <w:r w:rsidR="00132983">
        <w:t>facilitate</w:t>
      </w:r>
      <w:r w:rsidRPr="007D16D0">
        <w:t xml:space="preserve"> understanding of responses to flows </w:t>
      </w:r>
      <w:r>
        <w:t xml:space="preserve">in this system </w:t>
      </w:r>
      <w:r w:rsidRPr="007D16D0">
        <w:t xml:space="preserve">by disentangling the </w:t>
      </w:r>
      <w:r w:rsidR="00132983">
        <w:t xml:space="preserve">confounding </w:t>
      </w:r>
      <w:r w:rsidRPr="007D16D0">
        <w:t xml:space="preserve">factors of river and flow. Some </w:t>
      </w:r>
      <w:r>
        <w:t xml:space="preserve">of </w:t>
      </w:r>
      <w:r w:rsidR="00132983">
        <w:t>the monitoring</w:t>
      </w:r>
      <w:r>
        <w:t xml:space="preserve"> results to date </w:t>
      </w:r>
      <w:r w:rsidR="00132983">
        <w:t xml:space="preserve">have been </w:t>
      </w:r>
      <w:r w:rsidRPr="007D16D0">
        <w:t xml:space="preserve">difficult to interpret, as it is not possible to disentangle the responses to </w:t>
      </w:r>
      <w:r w:rsidR="00132983">
        <w:t>environmental watering</w:t>
      </w:r>
      <w:r w:rsidRPr="007D16D0">
        <w:t xml:space="preserve"> from responses related to a specific river. For example, Murray cod have demonstrated a consistent preference to move into the upper Wakool River </w:t>
      </w:r>
      <w:r>
        <w:t xml:space="preserve">during environmental watering actions </w:t>
      </w:r>
      <w:r w:rsidR="00132983">
        <w:t xml:space="preserve">in </w:t>
      </w:r>
      <w:r w:rsidR="00132983" w:rsidRPr="007D16D0">
        <w:t xml:space="preserve">Yallakool Creek </w:t>
      </w:r>
      <w:r w:rsidRPr="007D16D0">
        <w:t xml:space="preserve">(Watts et al. 2013, 2014), however it is unclear whether this is due to a general preference for the Wakool River, or is </w:t>
      </w:r>
      <w:r>
        <w:t>an avoidance of Yallakool Creek when it is receiving environmental water. If flow is a major contributor to this response then one would expect the positive vegetation and water quality responses observed in Yallakool Creek in 2013-14 (Watts et al. 2014) and 2014-15 (this report) to be observed in the upper Wakool River if it were to receive more environmental water.</w:t>
      </w:r>
    </w:p>
    <w:p w:rsidR="00472521" w:rsidRDefault="00132983" w:rsidP="00A050E8">
      <w:pPr>
        <w:pStyle w:val="ListParagraph"/>
        <w:numPr>
          <w:ilvl w:val="0"/>
          <w:numId w:val="24"/>
        </w:numPr>
        <w:spacing w:after="120"/>
        <w:contextualSpacing/>
        <w:jc w:val="left"/>
      </w:pPr>
      <w:r>
        <w:t>E</w:t>
      </w:r>
      <w:r w:rsidR="00472521">
        <w:t>nvironmental water</w:t>
      </w:r>
      <w:r>
        <w:t>ing</w:t>
      </w:r>
      <w:r w:rsidR="00472521">
        <w:t xml:space="preserve"> </w:t>
      </w:r>
      <w:r>
        <w:t>in</w:t>
      </w:r>
      <w:r w:rsidR="00472521">
        <w:t xml:space="preserve"> the upper Wakool</w:t>
      </w:r>
      <w:r w:rsidR="00070830">
        <w:t xml:space="preserve"> River would enable </w:t>
      </w:r>
      <w:r>
        <w:t>an evaluation of</w:t>
      </w:r>
      <w:r w:rsidR="00070830">
        <w:t xml:space="preserve"> whether a substantial environmental flow in this system is capable of scouring the leaf litter that has built up in the channel in lower reaches </w:t>
      </w:r>
      <w:r>
        <w:t>of zone 2. This build-</w:t>
      </w:r>
      <w:r w:rsidR="00070830">
        <w:t xml:space="preserve">up of leaf litter in the shallow water </w:t>
      </w:r>
      <w:r w:rsidR="00A050E8">
        <w:t>may</w:t>
      </w:r>
      <w:r w:rsidR="00070830">
        <w:t xml:space="preserve"> be one of the factors resulting in low dissolved oxygen (section 6) and high ecosystem respiration (section 7) in zone 2.</w:t>
      </w:r>
    </w:p>
    <w:p w:rsidR="00A050E8" w:rsidRDefault="00132983" w:rsidP="00A050E8">
      <w:pPr>
        <w:pStyle w:val="ListParagraph"/>
        <w:numPr>
          <w:ilvl w:val="0"/>
          <w:numId w:val="24"/>
        </w:numPr>
        <w:spacing w:after="120"/>
        <w:contextualSpacing/>
        <w:jc w:val="left"/>
        <w:rPr>
          <w:b/>
        </w:rPr>
      </w:pPr>
      <w:r>
        <w:t xml:space="preserve">Environmental watering in the Wakool River zone 2 would </w:t>
      </w:r>
      <w:r w:rsidR="00472521">
        <w:t>Improve connectivity between the upper Wa</w:t>
      </w:r>
      <w:r w:rsidR="00B80614">
        <w:t xml:space="preserve">kool River and Yallakool Creek because </w:t>
      </w:r>
      <w:r w:rsidR="00472521">
        <w:t xml:space="preserve">the upper Wakool River zone 2 </w:t>
      </w:r>
      <w:r w:rsidR="00B80614">
        <w:t xml:space="preserve">connects to Yallakool Creek via Black Dog Creek when discharge is </w:t>
      </w:r>
      <w:r w:rsidR="00F34310">
        <w:t>greater than</w:t>
      </w:r>
      <w:r w:rsidR="00B80614">
        <w:t xml:space="preserve"> </w:t>
      </w:r>
      <w:r w:rsidR="00FA0238">
        <w:t xml:space="preserve">approximately </w:t>
      </w:r>
      <w:r>
        <w:t>80</w:t>
      </w:r>
      <w:r w:rsidR="00F34310">
        <w:t xml:space="preserve"> MLd</w:t>
      </w:r>
      <w:r w:rsidR="00F34310" w:rsidRPr="00F34310">
        <w:rPr>
          <w:vertAlign w:val="superscript"/>
        </w:rPr>
        <w:t>-1</w:t>
      </w:r>
      <w:r w:rsidR="00B80614">
        <w:t xml:space="preserve"> discharge in the Wakool River (see section </w:t>
      </w:r>
      <w:r w:rsidR="00F34310">
        <w:t>5</w:t>
      </w:r>
      <w:r w:rsidR="00B80614">
        <w:t>)</w:t>
      </w:r>
      <w:r w:rsidR="00A050E8">
        <w:rPr>
          <w:b/>
        </w:rPr>
        <w:t xml:space="preserve"> </w:t>
      </w:r>
    </w:p>
    <w:p w:rsidR="00A050E8" w:rsidRDefault="00A050E8" w:rsidP="00A050E8">
      <w:pPr>
        <w:pBdr>
          <w:top w:val="single" w:sz="4" w:space="1" w:color="auto"/>
          <w:left w:val="single" w:sz="4" w:space="4" w:color="auto"/>
          <w:bottom w:val="single" w:sz="4" w:space="1" w:color="auto"/>
          <w:right w:val="single" w:sz="4" w:space="4" w:color="auto"/>
        </w:pBdr>
        <w:spacing w:after="240"/>
      </w:pPr>
      <w:r w:rsidRPr="00634A28">
        <w:rPr>
          <w:b/>
        </w:rPr>
        <w:t>Adaptive management response in 2015-16:</w:t>
      </w:r>
      <w:r>
        <w:t xml:space="preserve"> During 2015-16 environmental water planning this recommendation was considered, and a small volume of Commonwealth environmental water was delivered to the upper Wakool River to maximise outcomes for instream aquatic vegetation and the potential movement of native fish. However, the full recommendation of shifting the focus of environmental watering from Yallakool Creek to the upper Wakool River has not yet been trialled.</w:t>
      </w:r>
    </w:p>
    <w:p w:rsidR="00A050E8" w:rsidRDefault="00A050E8" w:rsidP="00A050E8">
      <w:pPr>
        <w:spacing w:after="240"/>
      </w:pPr>
    </w:p>
    <w:p w:rsidR="00472521" w:rsidRDefault="00E570FA" w:rsidP="00853906">
      <w:pPr>
        <w:pBdr>
          <w:top w:val="single" w:sz="4" w:space="1" w:color="auto"/>
          <w:left w:val="single" w:sz="4" w:space="4" w:color="auto"/>
          <w:bottom w:val="single" w:sz="4" w:space="1" w:color="auto"/>
          <w:right w:val="single" w:sz="4" w:space="4" w:color="auto"/>
        </w:pBdr>
        <w:shd w:val="clear" w:color="auto" w:fill="D6E3BC" w:themeFill="accent3" w:themeFillTint="66"/>
        <w:spacing w:after="240"/>
        <w:contextualSpacing/>
        <w:rPr>
          <w:b/>
        </w:rPr>
      </w:pPr>
      <w:r>
        <w:rPr>
          <w:b/>
        </w:rPr>
        <w:t>Recommendation 4</w:t>
      </w:r>
      <w:r w:rsidR="00472521">
        <w:rPr>
          <w:b/>
        </w:rPr>
        <w:t xml:space="preserve">. Consider the delivery of base </w:t>
      </w:r>
      <w:r w:rsidR="00B30813">
        <w:rPr>
          <w:b/>
        </w:rPr>
        <w:t xml:space="preserve">environmental </w:t>
      </w:r>
      <w:r w:rsidR="00472521">
        <w:rPr>
          <w:b/>
        </w:rPr>
        <w:t xml:space="preserve">flows during </w:t>
      </w:r>
      <w:r w:rsidR="00462414">
        <w:rPr>
          <w:b/>
        </w:rPr>
        <w:t xml:space="preserve">autumn and </w:t>
      </w:r>
      <w:r w:rsidR="00472521">
        <w:rPr>
          <w:b/>
        </w:rPr>
        <w:t>winter to promote the temporal availability and continuity of instream habitat</w:t>
      </w:r>
    </w:p>
    <w:p w:rsidR="00472521" w:rsidRDefault="00472521" w:rsidP="00472521">
      <w:pPr>
        <w:spacing w:after="240"/>
        <w:contextualSpacing/>
        <w:rPr>
          <w:b/>
        </w:rPr>
      </w:pPr>
    </w:p>
    <w:p w:rsidR="00472521" w:rsidRDefault="00472521" w:rsidP="008E29AF">
      <w:pPr>
        <w:spacing w:after="120"/>
        <w:jc w:val="left"/>
      </w:pPr>
      <w:r w:rsidRPr="00583C18">
        <w:t>Under current operational practices the</w:t>
      </w:r>
      <w:r>
        <w:t xml:space="preserve"> flows to the Wakool River and Y</w:t>
      </w:r>
      <w:r w:rsidRPr="00583C18">
        <w:t>allakool River cease durin</w:t>
      </w:r>
      <w:r>
        <w:t>g late a</w:t>
      </w:r>
      <w:r w:rsidRPr="00583C18">
        <w:t xml:space="preserve">utumn and early winter. </w:t>
      </w:r>
      <w:r>
        <w:t>During this period large sections of the riverbed dry up completely, with the exception of the large</w:t>
      </w:r>
      <w:r w:rsidR="0058366C">
        <w:t>r deeper permanent pools. T</w:t>
      </w:r>
      <w:r>
        <w:t>elemetry has shown that Mu</w:t>
      </w:r>
      <w:r w:rsidR="0058366C">
        <w:t>rray cod, golden perch and sil</w:t>
      </w:r>
      <w:r>
        <w:t>ver perch spend this period in permanent pools (</w:t>
      </w:r>
      <w:r w:rsidR="0058366C">
        <w:t>Watts et al. 2013, 2014</w:t>
      </w:r>
      <w:r w:rsidR="00B30813">
        <w:t xml:space="preserve">). Although </w:t>
      </w:r>
      <w:r>
        <w:t xml:space="preserve">this period of no flow may be </w:t>
      </w:r>
      <w:r w:rsidR="00B30813">
        <w:t>accom</w:t>
      </w:r>
      <w:r w:rsidR="0058366C">
        <w:t>m</w:t>
      </w:r>
      <w:r w:rsidR="00B30813">
        <w:t>odated</w:t>
      </w:r>
      <w:r>
        <w:t xml:space="preserve"> </w:t>
      </w:r>
      <w:r w:rsidR="00B30813">
        <w:t>by</w:t>
      </w:r>
      <w:r>
        <w:t xml:space="preserve"> the large bodied fish species, it may be detrimental </w:t>
      </w:r>
      <w:r w:rsidR="00B30813">
        <w:t xml:space="preserve">for </w:t>
      </w:r>
      <w:r>
        <w:t>some other taxa. For example, river blackfish is a territorial species that</w:t>
      </w:r>
      <w:r w:rsidR="0058366C">
        <w:t xml:space="preserve"> has been shown to maintain a home range of </w:t>
      </w:r>
      <w:r w:rsidR="0048495C">
        <w:t xml:space="preserve">only </w:t>
      </w:r>
      <w:r w:rsidR="0058366C">
        <w:t xml:space="preserve">100’s of </w:t>
      </w:r>
      <w:r w:rsidR="0058366C" w:rsidRPr="0058366C">
        <w:t>metres (Khan</w:t>
      </w:r>
      <w:r w:rsidR="0058366C">
        <w:t xml:space="preserve"> et al. 2004, Koster and Crook 2008). </w:t>
      </w:r>
      <w:r w:rsidR="00A050E8">
        <w:t>B</w:t>
      </w:r>
      <w:r>
        <w:t xml:space="preserve">oth adults and larvae </w:t>
      </w:r>
      <w:r w:rsidR="00A050E8">
        <w:t xml:space="preserve">of this species have been recorded </w:t>
      </w:r>
      <w:r>
        <w:t xml:space="preserve">in the upper Wakool </w:t>
      </w:r>
      <w:r w:rsidRPr="00F34310">
        <w:t>River (</w:t>
      </w:r>
      <w:r w:rsidR="00F34310">
        <w:t>see</w:t>
      </w:r>
      <w:r w:rsidR="00B30813" w:rsidRPr="00F34310">
        <w:t xml:space="preserve"> sections </w:t>
      </w:r>
      <w:r w:rsidR="008E29AF">
        <w:t>9, 10 and 11). T</w:t>
      </w:r>
      <w:r w:rsidR="0048495C">
        <w:t xml:space="preserve">he </w:t>
      </w:r>
      <w:r>
        <w:t xml:space="preserve">period of no flow </w:t>
      </w:r>
      <w:r w:rsidR="008E29AF">
        <w:t xml:space="preserve">in this system </w:t>
      </w:r>
      <w:r w:rsidR="00B30813">
        <w:t xml:space="preserve">would </w:t>
      </w:r>
      <w:r w:rsidR="0058366C">
        <w:t>force</w:t>
      </w:r>
      <w:r>
        <w:t xml:space="preserve"> individuals to move out of their home range to the permanent pools, where they would be </w:t>
      </w:r>
      <w:r w:rsidR="00B30813">
        <w:t>more vulnerable to predation.</w:t>
      </w:r>
    </w:p>
    <w:p w:rsidR="00472521" w:rsidRDefault="00472521" w:rsidP="008E29AF">
      <w:pPr>
        <w:spacing w:after="120"/>
        <w:jc w:val="left"/>
      </w:pPr>
      <w:r>
        <w:t xml:space="preserve">The </w:t>
      </w:r>
      <w:r w:rsidR="0048495C">
        <w:t xml:space="preserve">proposed </w:t>
      </w:r>
      <w:r>
        <w:t xml:space="preserve">delivery of </w:t>
      </w:r>
      <w:r w:rsidR="0048495C">
        <w:t>a small environmental flow (e.g. 40</w:t>
      </w:r>
      <w:r w:rsidR="008E29AF">
        <w:t xml:space="preserve"> </w:t>
      </w:r>
      <w:r w:rsidR="0048495C">
        <w:t xml:space="preserve">ML/day) </w:t>
      </w:r>
      <w:r w:rsidR="00B30813">
        <w:t xml:space="preserve">to the Wakool River and/or Yallakool Creek </w:t>
      </w:r>
      <w:r w:rsidR="0048495C">
        <w:t xml:space="preserve">during winter would </w:t>
      </w:r>
      <w:r>
        <w:t>create more favourable conditions for taxa</w:t>
      </w:r>
      <w:r w:rsidR="0048495C">
        <w:t>,</w:t>
      </w:r>
      <w:r>
        <w:t xml:space="preserve"> </w:t>
      </w:r>
      <w:r w:rsidR="0048495C">
        <w:t xml:space="preserve">such as river blackfish, </w:t>
      </w:r>
      <w:r>
        <w:t>that have different flow requirements to the large bodied fish species</w:t>
      </w:r>
      <w:r w:rsidR="0048495C">
        <w:t>. The proposed environmental watering action</w:t>
      </w:r>
      <w:r>
        <w:t xml:space="preserve"> may increase the </w:t>
      </w:r>
      <w:r w:rsidR="0048495C">
        <w:t xml:space="preserve">resilience of these populations and could potentially increase the </w:t>
      </w:r>
      <w:r>
        <w:t>rat</w:t>
      </w:r>
      <w:r w:rsidR="0058366C">
        <w:t xml:space="preserve">e at which these populations </w:t>
      </w:r>
      <w:r w:rsidR="0048495C">
        <w:t>increase</w:t>
      </w:r>
      <w:r>
        <w:t xml:space="preserve"> over time</w:t>
      </w:r>
      <w:r w:rsidR="0048495C">
        <w:t xml:space="preserve">. The proposed watering action would </w:t>
      </w:r>
      <w:r>
        <w:t xml:space="preserve">not jeopardise the drying </w:t>
      </w:r>
      <w:r w:rsidR="0048495C">
        <w:t xml:space="preserve">of </w:t>
      </w:r>
      <w:r>
        <w:t>the riverbank</w:t>
      </w:r>
      <w:r w:rsidR="0048495C">
        <w:t xml:space="preserve"> that occurs during winter, as the majority of riverbank would </w:t>
      </w:r>
      <w:r w:rsidR="008E29AF">
        <w:t>be</w:t>
      </w:r>
      <w:r w:rsidR="0048495C">
        <w:t xml:space="preserve"> exposed and experience a period of drying</w:t>
      </w:r>
      <w:r>
        <w:t xml:space="preserve"> during the delivery of </w:t>
      </w:r>
      <w:r w:rsidR="0048495C">
        <w:t>the small</w:t>
      </w:r>
      <w:r>
        <w:t xml:space="preserve"> winter </w:t>
      </w:r>
      <w:r w:rsidR="0048495C">
        <w:t>environmental flow</w:t>
      </w:r>
      <w:r>
        <w:t>.</w:t>
      </w:r>
    </w:p>
    <w:p w:rsidR="004A68C8" w:rsidRDefault="00472521" w:rsidP="008E29AF">
      <w:pPr>
        <w:spacing w:after="120"/>
        <w:jc w:val="left"/>
      </w:pPr>
      <w:r>
        <w:t>There are operational issues around the delivery of base flows during</w:t>
      </w:r>
      <w:r w:rsidR="00462414">
        <w:t xml:space="preserve"> autumn and</w:t>
      </w:r>
      <w:r>
        <w:t xml:space="preserve"> winter that would need to be resolved, especially </w:t>
      </w:r>
      <w:r w:rsidR="009662A2">
        <w:t>for the period of time when</w:t>
      </w:r>
      <w:r>
        <w:t xml:space="preserve"> Stevens Weir is </w:t>
      </w:r>
      <w:r w:rsidR="0048495C">
        <w:t xml:space="preserve">traditionally </w:t>
      </w:r>
      <w:r>
        <w:t xml:space="preserve">open and the weirpool level is low. </w:t>
      </w:r>
      <w:r w:rsidR="00462414">
        <w:t>This would mean the water level in the weir</w:t>
      </w:r>
      <w:r w:rsidR="009662A2">
        <w:t xml:space="preserve"> </w:t>
      </w:r>
      <w:r w:rsidR="00462414">
        <w:t>may</w:t>
      </w:r>
      <w:r w:rsidR="009662A2">
        <w:t xml:space="preserve"> not </w:t>
      </w:r>
      <w:r w:rsidR="00462414">
        <w:t xml:space="preserve">be high </w:t>
      </w:r>
      <w:r w:rsidR="009662A2">
        <w:t>e</w:t>
      </w:r>
      <w:r w:rsidR="00462414">
        <w:t>nough</w:t>
      </w:r>
      <w:r w:rsidR="009662A2">
        <w:t xml:space="preserve"> to deliver environmental water through the Wakool regulator by gravity feed. </w:t>
      </w:r>
      <w:r w:rsidR="004A68C8">
        <w:t>O</w:t>
      </w:r>
      <w:r w:rsidR="009662A2">
        <w:t>ther</w:t>
      </w:r>
      <w:r>
        <w:t xml:space="preserve"> options</w:t>
      </w:r>
      <w:r w:rsidR="004A68C8">
        <w:t>, such as those listed below,</w:t>
      </w:r>
      <w:r>
        <w:t xml:space="preserve"> for</w:t>
      </w:r>
      <w:r w:rsidR="009662A2">
        <w:t xml:space="preserve"> the </w:t>
      </w:r>
      <w:r>
        <w:t xml:space="preserve">delivery of </w:t>
      </w:r>
      <w:r w:rsidR="00704E7D">
        <w:t xml:space="preserve">environmental </w:t>
      </w:r>
      <w:r>
        <w:t xml:space="preserve">water to create </w:t>
      </w:r>
      <w:r w:rsidR="00704E7D">
        <w:t xml:space="preserve">adequate </w:t>
      </w:r>
      <w:r>
        <w:t xml:space="preserve">baseflows </w:t>
      </w:r>
      <w:r w:rsidR="000B0F79">
        <w:t xml:space="preserve">in the upper Wakool River </w:t>
      </w:r>
      <w:r>
        <w:t>should be explored</w:t>
      </w:r>
      <w:r w:rsidR="004A68C8" w:rsidRPr="004A68C8">
        <w:t xml:space="preserve"> </w:t>
      </w:r>
      <w:r w:rsidR="004A68C8">
        <w:t xml:space="preserve">as there are potentially benefits for a wide range of taxa from this </w:t>
      </w:r>
      <w:proofErr w:type="gramStart"/>
      <w:r w:rsidR="004A68C8">
        <w:t>action</w:t>
      </w:r>
      <w:r w:rsidR="00A8651A">
        <w:t xml:space="preserve"> </w:t>
      </w:r>
      <w:r w:rsidR="004A68C8">
        <w:t>:</w:t>
      </w:r>
      <w:proofErr w:type="gramEnd"/>
    </w:p>
    <w:p w:rsidR="00704E7D" w:rsidRDefault="0005230C" w:rsidP="008E29AF">
      <w:pPr>
        <w:pStyle w:val="ListParagraph"/>
        <w:numPr>
          <w:ilvl w:val="0"/>
          <w:numId w:val="25"/>
        </w:numPr>
        <w:spacing w:after="120"/>
        <w:contextualSpacing/>
        <w:jc w:val="left"/>
      </w:pPr>
      <w:r>
        <w:t>D</w:t>
      </w:r>
      <w:r w:rsidR="00875F3B">
        <w:t>irect</w:t>
      </w:r>
      <w:r>
        <w:t xml:space="preserve"> </w:t>
      </w:r>
      <w:r w:rsidR="009662A2">
        <w:t>pumping</w:t>
      </w:r>
      <w:r w:rsidR="0048495C">
        <w:t xml:space="preserve"> is a feasible option, as the proposed flow is at a low rate</w:t>
      </w:r>
    </w:p>
    <w:p w:rsidR="00472521" w:rsidRDefault="0005230C" w:rsidP="008E29AF">
      <w:pPr>
        <w:pStyle w:val="ListParagraph"/>
        <w:numPr>
          <w:ilvl w:val="0"/>
          <w:numId w:val="25"/>
        </w:numPr>
        <w:spacing w:after="120"/>
        <w:contextualSpacing/>
        <w:jc w:val="left"/>
      </w:pPr>
      <w:r>
        <w:t>G</w:t>
      </w:r>
      <w:r w:rsidR="00F75DDF">
        <w:t xml:space="preserve">uided by catchment conditions and water availability, </w:t>
      </w:r>
      <w:r w:rsidR="00DD409C">
        <w:t>the</w:t>
      </w:r>
      <w:r w:rsidR="00704E7D">
        <w:t xml:space="preserve"> </w:t>
      </w:r>
      <w:r w:rsidR="009C5AA6">
        <w:t>winter operation of Stevens W</w:t>
      </w:r>
      <w:r w:rsidR="00875F3B">
        <w:t xml:space="preserve">eir </w:t>
      </w:r>
      <w:r w:rsidR="0048495C">
        <w:t xml:space="preserve">could be </w:t>
      </w:r>
      <w:r w:rsidR="00DD409C">
        <w:t xml:space="preserve">alternated from year to year </w:t>
      </w:r>
      <w:r w:rsidR="00875F3B">
        <w:t xml:space="preserve">to provide more system wide variability to flows over years. For example, </w:t>
      </w:r>
      <w:r w:rsidR="00DD409C">
        <w:t xml:space="preserve">in some years </w:t>
      </w:r>
      <w:r w:rsidR="00875F3B">
        <w:t xml:space="preserve">Stevens Weir </w:t>
      </w:r>
      <w:r w:rsidR="00DD409C">
        <w:t xml:space="preserve">could be </w:t>
      </w:r>
      <w:r w:rsidR="00875F3B">
        <w:t xml:space="preserve">kept </w:t>
      </w:r>
      <w:r w:rsidR="009B6B27">
        <w:t xml:space="preserve">sufficiently </w:t>
      </w:r>
      <w:r w:rsidR="00875F3B">
        <w:t>full to enable</w:t>
      </w:r>
      <w:r w:rsidR="009B6B27">
        <w:t xml:space="preserve"> low</w:t>
      </w:r>
      <w:r w:rsidR="00875F3B">
        <w:t xml:space="preserve"> winter base flows to be provided into the upper Wakool, Yallakool and Colligen-Niemur systems, while </w:t>
      </w:r>
      <w:r w:rsidR="00DD409C">
        <w:t>in other years</w:t>
      </w:r>
      <w:r w:rsidR="00875F3B">
        <w:t xml:space="preserve"> the Stevens Weir </w:t>
      </w:r>
      <w:r w:rsidR="00DD409C">
        <w:t xml:space="preserve">could be </w:t>
      </w:r>
      <w:r w:rsidR="00875F3B">
        <w:t>fully opened and the weir fully lower</w:t>
      </w:r>
      <w:r w:rsidR="00FC7FF8">
        <w:t xml:space="preserve"> to enable bank drying to occur</w:t>
      </w:r>
      <w:r w:rsidR="00472521">
        <w:t xml:space="preserve">. </w:t>
      </w:r>
    </w:p>
    <w:p w:rsidR="0005230C" w:rsidRDefault="0005230C">
      <w:pPr>
        <w:spacing w:after="0" w:line="240" w:lineRule="auto"/>
        <w:jc w:val="left"/>
      </w:pPr>
    </w:p>
    <w:p w:rsidR="009662A2" w:rsidRPr="00B02767" w:rsidRDefault="00FD37A0" w:rsidP="000B0F79">
      <w:pPr>
        <w:pBdr>
          <w:top w:val="single" w:sz="4" w:space="1" w:color="auto"/>
          <w:left w:val="single" w:sz="4" w:space="4" w:color="auto"/>
          <w:bottom w:val="single" w:sz="4" w:space="1" w:color="auto"/>
          <w:right w:val="single" w:sz="4" w:space="4" w:color="auto"/>
        </w:pBdr>
        <w:shd w:val="clear" w:color="auto" w:fill="D6E3BC" w:themeFill="accent3" w:themeFillTint="66"/>
        <w:spacing w:after="240"/>
        <w:rPr>
          <w:b/>
        </w:rPr>
      </w:pPr>
      <w:r>
        <w:rPr>
          <w:b/>
        </w:rPr>
        <w:t>Recommendation 5</w:t>
      </w:r>
      <w:r w:rsidR="009662A2" w:rsidRPr="00B02767">
        <w:rPr>
          <w:b/>
        </w:rPr>
        <w:t xml:space="preserve">. Continue to </w:t>
      </w:r>
      <w:r w:rsidR="009662A2">
        <w:rPr>
          <w:b/>
        </w:rPr>
        <w:t>include a water use option in planning that enables</w:t>
      </w:r>
      <w:r w:rsidR="009662A2" w:rsidRPr="00B02767">
        <w:rPr>
          <w:b/>
        </w:rPr>
        <w:t xml:space="preserve"> Commonwealth environmental water to </w:t>
      </w:r>
      <w:r w:rsidR="009662A2">
        <w:rPr>
          <w:b/>
        </w:rPr>
        <w:t xml:space="preserve">be used to </w:t>
      </w:r>
      <w:r w:rsidR="009662A2" w:rsidRPr="00B02767">
        <w:rPr>
          <w:b/>
        </w:rPr>
        <w:t>mitigate adverse water quality events</w:t>
      </w:r>
    </w:p>
    <w:p w:rsidR="009662A2" w:rsidRDefault="009662A2" w:rsidP="000B0F79">
      <w:pPr>
        <w:spacing w:before="240" w:after="240"/>
        <w:jc w:val="left"/>
        <w:rPr>
          <w:rFonts w:cstheme="minorHAnsi"/>
          <w:szCs w:val="22"/>
        </w:rPr>
      </w:pPr>
      <w:r w:rsidRPr="00B02767">
        <w:rPr>
          <w:rFonts w:cstheme="minorHAnsi"/>
          <w:szCs w:val="22"/>
        </w:rPr>
        <w:t>Commonwealth environmental water has been used on severa</w:t>
      </w:r>
      <w:r w:rsidR="0058366C">
        <w:rPr>
          <w:rFonts w:cstheme="minorHAnsi"/>
          <w:szCs w:val="22"/>
        </w:rPr>
        <w:t>l occasions to mitigate the adv</w:t>
      </w:r>
      <w:r w:rsidRPr="00B02767">
        <w:rPr>
          <w:rFonts w:cstheme="minorHAnsi"/>
          <w:szCs w:val="22"/>
        </w:rPr>
        <w:t xml:space="preserve">erse outcomes of </w:t>
      </w:r>
      <w:r>
        <w:rPr>
          <w:rFonts w:cstheme="minorHAnsi"/>
          <w:szCs w:val="22"/>
        </w:rPr>
        <w:t xml:space="preserve">blackwater and other poor water quality </w:t>
      </w:r>
      <w:r w:rsidRPr="00B02767">
        <w:rPr>
          <w:rFonts w:cstheme="minorHAnsi"/>
          <w:szCs w:val="22"/>
        </w:rPr>
        <w:t>events</w:t>
      </w:r>
      <w:r w:rsidR="00C76F3B">
        <w:rPr>
          <w:rFonts w:cstheme="minorHAnsi"/>
          <w:szCs w:val="22"/>
        </w:rPr>
        <w:t>. M</w:t>
      </w:r>
      <w:r w:rsidRPr="00B02767">
        <w:rPr>
          <w:rFonts w:cstheme="minorHAnsi"/>
          <w:szCs w:val="22"/>
        </w:rPr>
        <w:t xml:space="preserve">onitoring </w:t>
      </w:r>
      <w:r w:rsidR="000D666F">
        <w:rPr>
          <w:rFonts w:cstheme="minorHAnsi"/>
          <w:szCs w:val="22"/>
        </w:rPr>
        <w:t>has</w:t>
      </w:r>
      <w:r w:rsidRPr="00B02767">
        <w:rPr>
          <w:rFonts w:cstheme="minorHAnsi"/>
          <w:szCs w:val="22"/>
        </w:rPr>
        <w:t xml:space="preserve"> demonstrated that these actions have been successful in maintaining water quality. Rapid action and coordination of in</w:t>
      </w:r>
      <w:r w:rsidR="0058366C">
        <w:rPr>
          <w:rFonts w:cstheme="minorHAnsi"/>
          <w:szCs w:val="22"/>
        </w:rPr>
        <w:t>formation by the Edward-Wakool Environmental F</w:t>
      </w:r>
      <w:r w:rsidRPr="00B02767">
        <w:rPr>
          <w:rFonts w:cstheme="minorHAnsi"/>
          <w:szCs w:val="22"/>
        </w:rPr>
        <w:t>lows Group and the Water Murray and District Dissolved Oxygen Group are a vital part of this action.</w:t>
      </w:r>
    </w:p>
    <w:tbl>
      <w:tblPr>
        <w:tblStyle w:val="TableGrid"/>
        <w:tblW w:w="0" w:type="auto"/>
        <w:tblLook w:val="04A0"/>
      </w:tblPr>
      <w:tblGrid>
        <w:gridCol w:w="9287"/>
      </w:tblGrid>
      <w:tr w:rsidR="00634A28" w:rsidTr="00634A28">
        <w:tc>
          <w:tcPr>
            <w:tcW w:w="9287" w:type="dxa"/>
          </w:tcPr>
          <w:p w:rsidR="00634A28" w:rsidRDefault="00634A28" w:rsidP="000B0F79">
            <w:pPr>
              <w:spacing w:after="240"/>
              <w:contextualSpacing/>
              <w:rPr>
                <w:rFonts w:cstheme="minorHAnsi"/>
                <w:szCs w:val="22"/>
              </w:rPr>
            </w:pPr>
            <w:r w:rsidRPr="00634A28">
              <w:rPr>
                <w:b/>
              </w:rPr>
              <w:t>Adaptive management response in 2015-16:</w:t>
            </w:r>
            <w:r>
              <w:t xml:space="preserve"> This recommendation </w:t>
            </w:r>
            <w:r w:rsidR="000B0F79">
              <w:t>was</w:t>
            </w:r>
            <w:r>
              <w:t xml:space="preserve"> applied in the 2015-16 planning for the use of </w:t>
            </w:r>
            <w:r w:rsidR="00855BC3">
              <w:t xml:space="preserve">Commonwealth environmental water </w:t>
            </w:r>
            <w:r>
              <w:t xml:space="preserve">in the Edward-Wakool River system, especially </w:t>
            </w:r>
            <w:r w:rsidR="00875CAB">
              <w:t xml:space="preserve">to contribute to </w:t>
            </w:r>
            <w:r>
              <w:t xml:space="preserve">contingency </w:t>
            </w:r>
            <w:r w:rsidR="00875CAB">
              <w:t>responses to</w:t>
            </w:r>
            <w:r>
              <w:t xml:space="preserve"> hypoxic blackwater events should they occur.</w:t>
            </w:r>
          </w:p>
        </w:tc>
      </w:tr>
    </w:tbl>
    <w:p w:rsidR="00634A28" w:rsidRPr="00B02767" w:rsidRDefault="00634A28" w:rsidP="009662A2">
      <w:pPr>
        <w:spacing w:after="240"/>
        <w:rPr>
          <w:rFonts w:cstheme="minorHAnsi"/>
          <w:szCs w:val="22"/>
        </w:rPr>
      </w:pPr>
    </w:p>
    <w:p w:rsidR="009662A2" w:rsidRDefault="009662A2">
      <w:pPr>
        <w:spacing w:after="0" w:line="240" w:lineRule="auto"/>
        <w:jc w:val="left"/>
        <w:rPr>
          <w:b/>
        </w:rPr>
      </w:pPr>
    </w:p>
    <w:p w:rsidR="00667763" w:rsidRPr="00667763" w:rsidRDefault="00FD37A0" w:rsidP="00853906">
      <w:pPr>
        <w:pBdr>
          <w:top w:val="single" w:sz="4" w:space="0" w:color="auto"/>
          <w:left w:val="single" w:sz="4" w:space="4" w:color="auto"/>
          <w:bottom w:val="single" w:sz="4" w:space="1" w:color="auto"/>
          <w:right w:val="single" w:sz="4" w:space="4" w:color="auto"/>
        </w:pBdr>
        <w:shd w:val="clear" w:color="auto" w:fill="D6E3BC" w:themeFill="accent3" w:themeFillTint="66"/>
        <w:spacing w:after="240"/>
        <w:contextualSpacing/>
        <w:rPr>
          <w:b/>
        </w:rPr>
      </w:pPr>
      <w:r>
        <w:rPr>
          <w:b/>
        </w:rPr>
        <w:t>Recommendation 6</w:t>
      </w:r>
      <w:r w:rsidR="00667763" w:rsidRPr="00667763">
        <w:rPr>
          <w:b/>
        </w:rPr>
        <w:t xml:space="preserve">. </w:t>
      </w:r>
      <w:r w:rsidR="00616460">
        <w:rPr>
          <w:b/>
        </w:rPr>
        <w:t xml:space="preserve">Set </w:t>
      </w:r>
      <w:r w:rsidR="008E7F7F">
        <w:rPr>
          <w:b/>
        </w:rPr>
        <w:t xml:space="preserve">watering action </w:t>
      </w:r>
      <w:r w:rsidR="00667763" w:rsidRPr="00667763">
        <w:rPr>
          <w:b/>
        </w:rPr>
        <w:t xml:space="preserve">objectives </w:t>
      </w:r>
      <w:r w:rsidR="00D87EB2">
        <w:rPr>
          <w:b/>
        </w:rPr>
        <w:t xml:space="preserve">that </w:t>
      </w:r>
      <w:r w:rsidR="00D31E3E">
        <w:rPr>
          <w:b/>
        </w:rPr>
        <w:t>identify</w:t>
      </w:r>
      <w:r w:rsidR="00D87EB2">
        <w:rPr>
          <w:b/>
        </w:rPr>
        <w:t xml:space="preserve"> the temporal </w:t>
      </w:r>
      <w:r w:rsidR="00680293">
        <w:rPr>
          <w:b/>
        </w:rPr>
        <w:t xml:space="preserve">and spatial </w:t>
      </w:r>
      <w:r w:rsidR="00D87EB2">
        <w:rPr>
          <w:b/>
        </w:rPr>
        <w:t xml:space="preserve">scale </w:t>
      </w:r>
      <w:r w:rsidR="008E7F7F">
        <w:rPr>
          <w:b/>
        </w:rPr>
        <w:t xml:space="preserve">at which </w:t>
      </w:r>
      <w:r w:rsidR="00D87EB2">
        <w:rPr>
          <w:b/>
        </w:rPr>
        <w:t>the response is expected</w:t>
      </w:r>
      <w:r w:rsidR="0061577C">
        <w:rPr>
          <w:b/>
        </w:rPr>
        <w:t xml:space="preserve"> and are realistic given the magnitude of environmental watering actions proposed</w:t>
      </w:r>
      <w:r w:rsidR="00680293">
        <w:rPr>
          <w:b/>
        </w:rPr>
        <w:t>.</w:t>
      </w:r>
    </w:p>
    <w:p w:rsidR="00667763" w:rsidRDefault="00667763" w:rsidP="00833A6F">
      <w:pPr>
        <w:spacing w:after="240"/>
        <w:contextualSpacing/>
      </w:pPr>
    </w:p>
    <w:p w:rsidR="00D66910" w:rsidRDefault="00D87EB2" w:rsidP="000B0F79">
      <w:pPr>
        <w:spacing w:after="120"/>
        <w:jc w:val="left"/>
      </w:pPr>
      <w:r>
        <w:t xml:space="preserve">Some ecosystem responses to environmental watering can be rapid, occurring </w:t>
      </w:r>
      <w:r w:rsidR="00206027">
        <w:t xml:space="preserve">during </w:t>
      </w:r>
      <w:r w:rsidR="0061577C">
        <w:t xml:space="preserve">an environmental watering action </w:t>
      </w:r>
      <w:r>
        <w:t xml:space="preserve">or </w:t>
      </w:r>
      <w:r w:rsidR="00680293">
        <w:t>a short time immediately</w:t>
      </w:r>
      <w:r>
        <w:t xml:space="preserve"> after </w:t>
      </w:r>
      <w:r w:rsidR="0061577C">
        <w:t>the</w:t>
      </w:r>
      <w:r>
        <w:t xml:space="preserve"> </w:t>
      </w:r>
      <w:r w:rsidR="000B0F79">
        <w:t xml:space="preserve">watering </w:t>
      </w:r>
      <w:r>
        <w:t xml:space="preserve">action. </w:t>
      </w:r>
      <w:r w:rsidR="00D66910">
        <w:t xml:space="preserve">For example, hydrological, water quality and productivity responses </w:t>
      </w:r>
      <w:r w:rsidR="009662A2">
        <w:t xml:space="preserve">to </w:t>
      </w:r>
      <w:r w:rsidR="00D66910">
        <w:t>watering action</w:t>
      </w:r>
      <w:r w:rsidR="009662A2">
        <w:t>s</w:t>
      </w:r>
      <w:r w:rsidR="00D66910">
        <w:t xml:space="preserve"> </w:t>
      </w:r>
      <w:r w:rsidR="009662A2">
        <w:t xml:space="preserve">can occur </w:t>
      </w:r>
      <w:r w:rsidR="00FD37A0">
        <w:t>over a short timeframe</w:t>
      </w:r>
      <w:r w:rsidR="00D66910">
        <w:t xml:space="preserve">. </w:t>
      </w:r>
      <w:r w:rsidR="00206027">
        <w:t>In contrast</w:t>
      </w:r>
      <w:r>
        <w:t xml:space="preserve">, other components of the ecosystem may </w:t>
      </w:r>
      <w:r w:rsidR="00FD37A0">
        <w:t>respond to environmental watering</w:t>
      </w:r>
      <w:r>
        <w:t xml:space="preserve"> </w:t>
      </w:r>
      <w:r w:rsidR="009662A2">
        <w:t xml:space="preserve">only </w:t>
      </w:r>
      <w:r>
        <w:t>after a sequence of watering actions</w:t>
      </w:r>
      <w:r w:rsidR="00D66910">
        <w:t xml:space="preserve"> or after several years of environmental watering</w:t>
      </w:r>
      <w:r>
        <w:t xml:space="preserve">. </w:t>
      </w:r>
      <w:r w:rsidR="00206027">
        <w:t xml:space="preserve">For example, </w:t>
      </w:r>
      <w:r w:rsidR="00825575">
        <w:t xml:space="preserve">ecosystem </w:t>
      </w:r>
      <w:r w:rsidR="00206027">
        <w:t xml:space="preserve">components </w:t>
      </w:r>
      <w:r w:rsidR="0061577C">
        <w:t>such as fish diversity</w:t>
      </w:r>
      <w:r>
        <w:t xml:space="preserve"> </w:t>
      </w:r>
      <w:r w:rsidR="00680293">
        <w:t xml:space="preserve">are more complex and make take several years to </w:t>
      </w:r>
      <w:r w:rsidR="00825575">
        <w:t>show a detectable response</w:t>
      </w:r>
      <w:r w:rsidR="00680293">
        <w:t>.</w:t>
      </w:r>
      <w:r w:rsidR="00D31E3E">
        <w:t xml:space="preserve"> </w:t>
      </w:r>
    </w:p>
    <w:p w:rsidR="00667763" w:rsidRDefault="00D66910" w:rsidP="000B0F79">
      <w:pPr>
        <w:spacing w:after="120"/>
        <w:jc w:val="left"/>
      </w:pPr>
      <w:r>
        <w:t>I</w:t>
      </w:r>
      <w:r w:rsidR="00825575">
        <w:t>n light of this, i</w:t>
      </w:r>
      <w:r>
        <w:t xml:space="preserve">t is </w:t>
      </w:r>
      <w:r w:rsidR="00825575">
        <w:t>important</w:t>
      </w:r>
      <w:r>
        <w:t xml:space="preserve"> </w:t>
      </w:r>
      <w:r w:rsidR="00FD37A0">
        <w:t>that stakeholders</w:t>
      </w:r>
      <w:r>
        <w:t xml:space="preserve"> set realistic </w:t>
      </w:r>
      <w:r w:rsidR="00825575">
        <w:t xml:space="preserve">flow </w:t>
      </w:r>
      <w:r>
        <w:t xml:space="preserve">targets </w:t>
      </w:r>
      <w:r w:rsidR="007F0DFA">
        <w:t xml:space="preserve">that are relevant for the spatial and temporal scale of </w:t>
      </w:r>
      <w:r w:rsidR="009662A2">
        <w:t>environmental watering</w:t>
      </w:r>
      <w:r>
        <w:t xml:space="preserve">. </w:t>
      </w:r>
      <w:r w:rsidR="0061577C">
        <w:t xml:space="preserve">If unrealistic or unclear objectives </w:t>
      </w:r>
      <w:r w:rsidR="006237B8">
        <w:t xml:space="preserve">are set for an environmental watering action </w:t>
      </w:r>
      <w:r w:rsidR="00BB1257">
        <w:t>and</w:t>
      </w:r>
      <w:r w:rsidR="00D31E3E">
        <w:t xml:space="preserve"> </w:t>
      </w:r>
      <w:r w:rsidR="00BB1257">
        <w:t xml:space="preserve">subsequently </w:t>
      </w:r>
      <w:r w:rsidR="00D31E3E">
        <w:t xml:space="preserve">not </w:t>
      </w:r>
      <w:r w:rsidR="0061577C">
        <w:t>achieved</w:t>
      </w:r>
      <w:r w:rsidR="00D31E3E">
        <w:t xml:space="preserve"> </w:t>
      </w:r>
      <w:r w:rsidR="00BB1257">
        <w:t>it will</w:t>
      </w:r>
      <w:r w:rsidR="00D31E3E">
        <w:t xml:space="preserve"> result in perceived failure of </w:t>
      </w:r>
      <w:r w:rsidR="0061577C">
        <w:t>the</w:t>
      </w:r>
      <w:r w:rsidR="00D31E3E">
        <w:t xml:space="preserve"> watering action</w:t>
      </w:r>
      <w:r>
        <w:t xml:space="preserve">. </w:t>
      </w:r>
      <w:r w:rsidR="0061577C">
        <w:t>This is particularly important in the Wakool-Yallakool system</w:t>
      </w:r>
      <w:r>
        <w:t xml:space="preserve"> where there are d</w:t>
      </w:r>
      <w:r w:rsidR="00667763">
        <w:t xml:space="preserve">elivery constraints </w:t>
      </w:r>
      <w:r w:rsidR="00B633B0">
        <w:t xml:space="preserve">(such as the constraint of 600 ML/day at the confluence of the Wakool River and Yallakool Creek) </w:t>
      </w:r>
      <w:r>
        <w:t>that limit</w:t>
      </w:r>
      <w:r w:rsidR="00667763">
        <w:t xml:space="preserve"> the </w:t>
      </w:r>
      <w:r>
        <w:t>magnitude</w:t>
      </w:r>
      <w:r w:rsidR="00367ECA">
        <w:t xml:space="preserve"> </w:t>
      </w:r>
      <w:r w:rsidR="00FD42BE">
        <w:t xml:space="preserve">of </w:t>
      </w:r>
      <w:r>
        <w:t>environmental watering action</w:t>
      </w:r>
      <w:r w:rsidR="00B633B0">
        <w:t>s</w:t>
      </w:r>
      <w:r w:rsidR="0061577C">
        <w:t>.</w:t>
      </w:r>
      <w:r>
        <w:t xml:space="preserve"> </w:t>
      </w:r>
      <w:r w:rsidR="00B633B0">
        <w:t>As t</w:t>
      </w:r>
      <w:r w:rsidR="0061577C">
        <w:t>his constraint limits the</w:t>
      </w:r>
      <w:r>
        <w:t xml:space="preserve"> spatial </w:t>
      </w:r>
      <w:r w:rsidR="00667763">
        <w:t>extent to which riverbanks can be inundated</w:t>
      </w:r>
      <w:r w:rsidR="00B633B0">
        <w:t xml:space="preserve">, </w:t>
      </w:r>
      <w:r w:rsidR="00570428">
        <w:t xml:space="preserve">flow </w:t>
      </w:r>
      <w:r w:rsidR="0061577C">
        <w:t xml:space="preserve">objectives associated with </w:t>
      </w:r>
      <w:r w:rsidR="000B0F79">
        <w:t>environmental watering</w:t>
      </w:r>
      <w:r w:rsidR="0061577C">
        <w:t xml:space="preserve"> events </w:t>
      </w:r>
      <w:r w:rsidR="000B0F79">
        <w:t xml:space="preserve">in this system </w:t>
      </w:r>
      <w:r w:rsidR="0061577C">
        <w:t>need to be appropriate</w:t>
      </w:r>
      <w:r w:rsidR="00667763">
        <w:t xml:space="preserve"> </w:t>
      </w:r>
      <w:r w:rsidR="0061577C">
        <w:t xml:space="preserve">for the </w:t>
      </w:r>
      <w:r>
        <w:t>spatial</w:t>
      </w:r>
      <w:r w:rsidR="00D31E3E">
        <w:t xml:space="preserve"> and temporal scale</w:t>
      </w:r>
      <w:r w:rsidR="00667763">
        <w:t xml:space="preserve"> </w:t>
      </w:r>
      <w:r w:rsidR="0061577C">
        <w:t>of the watering actions</w:t>
      </w:r>
      <w:r w:rsidR="00667763">
        <w:t xml:space="preserve">. </w:t>
      </w:r>
      <w:r w:rsidR="00367ECA">
        <w:t xml:space="preserve">Based on </w:t>
      </w:r>
      <w:r w:rsidR="0061577C">
        <w:t>several years of monitoring</w:t>
      </w:r>
      <w:r w:rsidR="00367ECA">
        <w:t xml:space="preserve"> </w:t>
      </w:r>
      <w:r w:rsidR="006237B8">
        <w:t xml:space="preserve">in this system </w:t>
      </w:r>
      <w:r w:rsidR="0061577C">
        <w:t xml:space="preserve">it is </w:t>
      </w:r>
      <w:r w:rsidR="00570428">
        <w:t>evident</w:t>
      </w:r>
      <w:r w:rsidR="0061577C">
        <w:t xml:space="preserve"> that </w:t>
      </w:r>
      <w:r w:rsidR="00BB1257">
        <w:t>environmental watering actions</w:t>
      </w:r>
      <w:r w:rsidR="0061577C">
        <w:t xml:space="preserve"> </w:t>
      </w:r>
      <w:r w:rsidR="00FD37A0">
        <w:t xml:space="preserve">in Yallakool Creek </w:t>
      </w:r>
      <w:r w:rsidR="00BB1257">
        <w:t>of</w:t>
      </w:r>
      <w:r w:rsidR="0061577C">
        <w:t xml:space="preserve"> </w:t>
      </w:r>
      <w:r w:rsidR="006237B8">
        <w:t xml:space="preserve">a maximum discharge of </w:t>
      </w:r>
      <w:r w:rsidR="0061577C">
        <w:t xml:space="preserve">600 ML/day </w:t>
      </w:r>
      <w:r w:rsidR="00BB1257">
        <w:t>do</w:t>
      </w:r>
      <w:r w:rsidR="00FD37A0">
        <w:t>es</w:t>
      </w:r>
      <w:r w:rsidR="00BB1257">
        <w:t xml:space="preserve"> not result in in</w:t>
      </w:r>
      <w:r w:rsidR="0061577C">
        <w:t>crease</w:t>
      </w:r>
      <w:r w:rsidR="00BB1257">
        <w:t>d</w:t>
      </w:r>
      <w:r w:rsidR="0061577C">
        <w:t xml:space="preserve"> river productivity and </w:t>
      </w:r>
      <w:r w:rsidR="00570428">
        <w:t>does not</w:t>
      </w:r>
      <w:r w:rsidR="00FD37A0">
        <w:t xml:space="preserve"> improve reproduction or recruitment of native fish</w:t>
      </w:r>
      <w:r w:rsidR="00BB1257">
        <w:t>, so</w:t>
      </w:r>
      <w:r w:rsidR="00BC6F55">
        <w:t xml:space="preserve"> </w:t>
      </w:r>
      <w:r w:rsidR="00367ECA">
        <w:t xml:space="preserve">these objectives should </w:t>
      </w:r>
      <w:r w:rsidR="00BB1257">
        <w:t xml:space="preserve">not be set for </w:t>
      </w:r>
      <w:r w:rsidR="00FD37A0">
        <w:t xml:space="preserve">future </w:t>
      </w:r>
      <w:r w:rsidR="00BB1257">
        <w:t>watering actions of this magnitude.</w:t>
      </w:r>
      <w:r w:rsidR="00FD37A0">
        <w:t xml:space="preserve"> Other watering actions could be trialled to achieve these outcomes (see recommendation</w:t>
      </w:r>
      <w:r w:rsidR="001B4B78">
        <w:t>s</w:t>
      </w:r>
      <w:r w:rsidR="00FD37A0">
        <w:t xml:space="preserve"> 7 and 8).</w:t>
      </w:r>
    </w:p>
    <w:tbl>
      <w:tblPr>
        <w:tblStyle w:val="TableGrid"/>
        <w:tblW w:w="0" w:type="auto"/>
        <w:tblLook w:val="04A0"/>
      </w:tblPr>
      <w:tblGrid>
        <w:gridCol w:w="9061"/>
      </w:tblGrid>
      <w:tr w:rsidR="00634A28" w:rsidTr="00FC7FF8">
        <w:tc>
          <w:tcPr>
            <w:tcW w:w="9061" w:type="dxa"/>
          </w:tcPr>
          <w:p w:rsidR="00634A28" w:rsidRDefault="00634A28" w:rsidP="009B6B27">
            <w:pPr>
              <w:spacing w:after="240"/>
              <w:contextualSpacing/>
              <w:rPr>
                <w:rFonts w:cstheme="minorHAnsi"/>
                <w:szCs w:val="22"/>
              </w:rPr>
            </w:pPr>
            <w:r w:rsidRPr="00634A28">
              <w:rPr>
                <w:b/>
              </w:rPr>
              <w:t>Adaptive management response in 2015-16:</w:t>
            </w:r>
            <w:r>
              <w:t xml:space="preserve"> This recommendation has been applied in the setting of objectives for the planned use of </w:t>
            </w:r>
            <w:r w:rsidR="00855BC3">
              <w:t>Commonwealth environmental water</w:t>
            </w:r>
            <w:r>
              <w:t xml:space="preserve"> in the Edward-Wakool River system during 2015-16</w:t>
            </w:r>
            <w:r w:rsidR="007D3274">
              <w:t xml:space="preserve">. Objectives now reflect the maintaining/supporting role from the use </w:t>
            </w:r>
            <w:r w:rsidR="009B6B27">
              <w:t>of</w:t>
            </w:r>
            <w:r w:rsidR="007D3274">
              <w:t xml:space="preserve"> </w:t>
            </w:r>
            <w:r w:rsidR="00855BC3">
              <w:t xml:space="preserve">Commonwealth environmental water </w:t>
            </w:r>
            <w:r w:rsidR="007D3274">
              <w:t>in the Edward-Wakool River system</w:t>
            </w:r>
            <w:r>
              <w:t>.</w:t>
            </w:r>
          </w:p>
        </w:tc>
      </w:tr>
    </w:tbl>
    <w:p w:rsidR="00634A28" w:rsidRDefault="00634A28" w:rsidP="00634A28">
      <w:pPr>
        <w:spacing w:after="240"/>
        <w:rPr>
          <w:rFonts w:cstheme="minorHAnsi"/>
          <w:szCs w:val="22"/>
        </w:rPr>
      </w:pPr>
    </w:p>
    <w:p w:rsidR="000B0F79" w:rsidRDefault="000B0F79" w:rsidP="00634A28">
      <w:pPr>
        <w:spacing w:after="240"/>
        <w:rPr>
          <w:rFonts w:cstheme="minorHAnsi"/>
          <w:szCs w:val="22"/>
        </w:rPr>
      </w:pPr>
    </w:p>
    <w:p w:rsidR="000B0F79" w:rsidRDefault="000B0F79" w:rsidP="00634A28">
      <w:pPr>
        <w:spacing w:after="240"/>
        <w:rPr>
          <w:rFonts w:cstheme="minorHAnsi"/>
          <w:szCs w:val="22"/>
        </w:rPr>
      </w:pPr>
    </w:p>
    <w:p w:rsidR="00FD37A0" w:rsidRPr="00F10534" w:rsidRDefault="00FD37A0" w:rsidP="000D259F">
      <w:pPr>
        <w:pBdr>
          <w:top w:val="single" w:sz="4" w:space="1" w:color="auto"/>
          <w:left w:val="single" w:sz="4" w:space="4" w:color="auto"/>
          <w:bottom w:val="single" w:sz="4" w:space="4" w:color="auto"/>
          <w:right w:val="single" w:sz="4" w:space="4" w:color="auto"/>
        </w:pBdr>
        <w:shd w:val="clear" w:color="auto" w:fill="D6E3BC" w:themeFill="accent3" w:themeFillTint="66"/>
        <w:spacing w:after="240"/>
        <w:contextualSpacing/>
        <w:jc w:val="left"/>
      </w:pPr>
      <w:r w:rsidRPr="00F10534">
        <w:rPr>
          <w:rFonts w:cstheme="minorHAnsi"/>
          <w:b/>
          <w:szCs w:val="22"/>
        </w:rPr>
        <w:t>Recommendation</w:t>
      </w:r>
      <w:r>
        <w:rPr>
          <w:rFonts w:cstheme="minorHAnsi"/>
          <w:b/>
          <w:szCs w:val="22"/>
        </w:rPr>
        <w:t xml:space="preserve"> 7. </w:t>
      </w:r>
      <w:r w:rsidRPr="00367ECA">
        <w:rPr>
          <w:b/>
        </w:rPr>
        <w:t xml:space="preserve">Consider </w:t>
      </w:r>
      <w:r>
        <w:rPr>
          <w:b/>
        </w:rPr>
        <w:t>the implementation</w:t>
      </w:r>
      <w:r w:rsidRPr="00367ECA">
        <w:rPr>
          <w:b/>
        </w:rPr>
        <w:t xml:space="preserve"> of a </w:t>
      </w:r>
      <w:r>
        <w:rPr>
          <w:b/>
        </w:rPr>
        <w:t xml:space="preserve">short duration environmental flow </w:t>
      </w:r>
      <w:r w:rsidRPr="00367ECA">
        <w:rPr>
          <w:b/>
        </w:rPr>
        <w:t xml:space="preserve">trial in </w:t>
      </w:r>
      <w:r>
        <w:rPr>
          <w:b/>
        </w:rPr>
        <w:t>late winter/</w:t>
      </w:r>
      <w:r w:rsidRPr="00367ECA">
        <w:rPr>
          <w:b/>
        </w:rPr>
        <w:t xml:space="preserve">spring </w:t>
      </w:r>
      <w:r>
        <w:rPr>
          <w:b/>
        </w:rPr>
        <w:t xml:space="preserve">2016 </w:t>
      </w:r>
      <w:r w:rsidRPr="00C76F3B">
        <w:rPr>
          <w:b/>
        </w:rPr>
        <w:t>at a higher discharge than the current constraint of 600 ML/day</w:t>
      </w:r>
      <w:r>
        <w:t xml:space="preserve"> </w:t>
      </w:r>
      <w:r w:rsidRPr="00C76F3B">
        <w:rPr>
          <w:b/>
        </w:rPr>
        <w:t>(possibly</w:t>
      </w:r>
      <w:r>
        <w:t xml:space="preserve"> </w:t>
      </w:r>
      <w:r>
        <w:rPr>
          <w:b/>
        </w:rPr>
        <w:t>up to 1000 to 1200 ML/day). This would facilitate a</w:t>
      </w:r>
      <w:r w:rsidRPr="00367ECA">
        <w:rPr>
          <w:b/>
        </w:rPr>
        <w:t xml:space="preserve"> test </w:t>
      </w:r>
      <w:r>
        <w:rPr>
          <w:b/>
        </w:rPr>
        <w:t xml:space="preserve">of </w:t>
      </w:r>
      <w:r w:rsidRPr="00367ECA">
        <w:rPr>
          <w:b/>
        </w:rPr>
        <w:t xml:space="preserve">the hypothesis that larger </w:t>
      </w:r>
      <w:r>
        <w:rPr>
          <w:b/>
        </w:rPr>
        <w:t xml:space="preserve">in-channel environmental watering action </w:t>
      </w:r>
      <w:r w:rsidRPr="00367ECA">
        <w:rPr>
          <w:b/>
        </w:rPr>
        <w:t xml:space="preserve">will result in increased </w:t>
      </w:r>
      <w:r>
        <w:rPr>
          <w:b/>
        </w:rPr>
        <w:t xml:space="preserve">river </w:t>
      </w:r>
      <w:r w:rsidRPr="00367ECA">
        <w:rPr>
          <w:b/>
        </w:rPr>
        <w:t>productivity</w:t>
      </w:r>
      <w:r>
        <w:rPr>
          <w:b/>
        </w:rPr>
        <w:t>.</w:t>
      </w:r>
    </w:p>
    <w:p w:rsidR="00FD37A0" w:rsidRDefault="00FD37A0" w:rsidP="006237B8">
      <w:pPr>
        <w:spacing w:after="120"/>
        <w:contextualSpacing/>
        <w:rPr>
          <w:rFonts w:cstheme="minorHAnsi"/>
          <w:szCs w:val="22"/>
        </w:rPr>
      </w:pPr>
    </w:p>
    <w:p w:rsidR="00FD37A0" w:rsidRDefault="00FD37A0" w:rsidP="006237B8">
      <w:pPr>
        <w:spacing w:after="120"/>
        <w:jc w:val="left"/>
        <w:rPr>
          <w:szCs w:val="22"/>
        </w:rPr>
      </w:pPr>
      <w:r>
        <w:rPr>
          <w:rFonts w:cstheme="minorHAnsi"/>
          <w:szCs w:val="22"/>
        </w:rPr>
        <w:t>T</w:t>
      </w:r>
      <w:r w:rsidRPr="00F10534">
        <w:rPr>
          <w:rFonts w:cstheme="minorHAnsi"/>
          <w:szCs w:val="22"/>
        </w:rPr>
        <w:t xml:space="preserve">he flow regime of the Edward-Wakool system has been </w:t>
      </w:r>
      <w:r w:rsidRPr="00F10534">
        <w:rPr>
          <w:szCs w:val="22"/>
        </w:rPr>
        <w:t xml:space="preserve">significantly altered by river regulation, with changes to the timing and volume of </w:t>
      </w:r>
      <w:r w:rsidRPr="00F34310">
        <w:rPr>
          <w:szCs w:val="22"/>
        </w:rPr>
        <w:t>flows (see section 4).</w:t>
      </w:r>
      <w:r>
        <w:rPr>
          <w:szCs w:val="22"/>
        </w:rPr>
        <w:t xml:space="preserve"> In the absence of river regulation n</w:t>
      </w:r>
      <w:r w:rsidRPr="00F10534">
        <w:rPr>
          <w:szCs w:val="22"/>
        </w:rPr>
        <w:t xml:space="preserve">atural flows in the system would </w:t>
      </w:r>
      <w:r>
        <w:rPr>
          <w:szCs w:val="22"/>
        </w:rPr>
        <w:t>be</w:t>
      </w:r>
      <w:r w:rsidRPr="00F10534">
        <w:rPr>
          <w:szCs w:val="22"/>
        </w:rPr>
        <w:t xml:space="preserve"> </w:t>
      </w:r>
      <w:r>
        <w:rPr>
          <w:szCs w:val="22"/>
        </w:rPr>
        <w:t xml:space="preserve">seasonal, with high flows </w:t>
      </w:r>
      <w:r>
        <w:t>typically occurring from July to November</w:t>
      </w:r>
      <w:r w:rsidRPr="00F10534">
        <w:rPr>
          <w:szCs w:val="22"/>
        </w:rPr>
        <w:t xml:space="preserve"> in </w:t>
      </w:r>
      <w:r>
        <w:rPr>
          <w:szCs w:val="22"/>
        </w:rPr>
        <w:t xml:space="preserve">winter and </w:t>
      </w:r>
      <w:r w:rsidRPr="00F10534">
        <w:rPr>
          <w:szCs w:val="22"/>
        </w:rPr>
        <w:t>spring and low</w:t>
      </w:r>
      <w:r>
        <w:rPr>
          <w:szCs w:val="22"/>
        </w:rPr>
        <w:t>er flows</w:t>
      </w:r>
      <w:r w:rsidRPr="00F10534">
        <w:rPr>
          <w:szCs w:val="22"/>
        </w:rPr>
        <w:t xml:space="preserve"> in</w:t>
      </w:r>
      <w:r>
        <w:rPr>
          <w:szCs w:val="22"/>
        </w:rPr>
        <w:t xml:space="preserve"> summer and autumn. Late winter and </w:t>
      </w:r>
      <w:r w:rsidRPr="00F10534">
        <w:rPr>
          <w:szCs w:val="22"/>
        </w:rPr>
        <w:t xml:space="preserve">spring flows </w:t>
      </w:r>
      <w:r w:rsidRPr="00F10534">
        <w:rPr>
          <w:rFonts w:cstheme="minorHAnsi"/>
          <w:szCs w:val="22"/>
        </w:rPr>
        <w:t>were a key feature in</w:t>
      </w:r>
      <w:r>
        <w:rPr>
          <w:rFonts w:cstheme="minorHAnsi"/>
          <w:szCs w:val="22"/>
        </w:rPr>
        <w:t xml:space="preserve"> this system prior to river regulation</w:t>
      </w:r>
      <w:r w:rsidRPr="00F10534">
        <w:rPr>
          <w:szCs w:val="22"/>
        </w:rPr>
        <w:t xml:space="preserve">. </w:t>
      </w:r>
    </w:p>
    <w:p w:rsidR="00FD37A0" w:rsidRDefault="00FD37A0" w:rsidP="006237B8">
      <w:pPr>
        <w:spacing w:after="120"/>
        <w:jc w:val="left"/>
      </w:pPr>
      <w:r w:rsidRPr="00F10534">
        <w:rPr>
          <w:rFonts w:cstheme="minorHAnsi"/>
          <w:szCs w:val="22"/>
        </w:rPr>
        <w:t>Monitorin</w:t>
      </w:r>
      <w:r>
        <w:rPr>
          <w:rFonts w:cstheme="minorHAnsi"/>
          <w:szCs w:val="22"/>
        </w:rPr>
        <w:t>g undertaken in this system has</w:t>
      </w:r>
      <w:r w:rsidRPr="00F10534">
        <w:rPr>
          <w:rFonts w:cstheme="minorHAnsi"/>
          <w:szCs w:val="22"/>
        </w:rPr>
        <w:t xml:space="preserve"> shown that </w:t>
      </w:r>
      <w:r>
        <w:rPr>
          <w:rFonts w:cstheme="minorHAnsi"/>
          <w:szCs w:val="22"/>
        </w:rPr>
        <w:t>late winter/early spring unregulated flow pulses that occurred in July/August 2012 (max discharge 1913 ML/day in Yallakool Creek), August/September 2012 (max discharge 1360 ML/day Yallakool Creek) and August/September 2013</w:t>
      </w:r>
      <w:r w:rsidRPr="00F10534">
        <w:rPr>
          <w:rFonts w:cstheme="minorHAnsi"/>
          <w:szCs w:val="22"/>
        </w:rPr>
        <w:t xml:space="preserve"> </w:t>
      </w:r>
      <w:r>
        <w:rPr>
          <w:rFonts w:cstheme="minorHAnsi"/>
          <w:szCs w:val="22"/>
        </w:rPr>
        <w:t xml:space="preserve">(max discharge 1224 ML/day Yallakool Creek) </w:t>
      </w:r>
      <w:r w:rsidRPr="00F10534">
        <w:rPr>
          <w:rFonts w:cstheme="minorHAnsi"/>
          <w:szCs w:val="22"/>
        </w:rPr>
        <w:t xml:space="preserve">enabled fish to disperse from the refuge pool into new habitats (Watts et al. 2013, 2014). </w:t>
      </w:r>
      <w:r>
        <w:t>These</w:t>
      </w:r>
      <w:r w:rsidRPr="00F10534">
        <w:t xml:space="preserve"> </w:t>
      </w:r>
      <w:r>
        <w:t xml:space="preserve">short-duration (weeks) events in </w:t>
      </w:r>
      <w:r w:rsidRPr="00F10534">
        <w:t xml:space="preserve">late winter/early spring </w:t>
      </w:r>
      <w:r>
        <w:t>also brought</w:t>
      </w:r>
      <w:r w:rsidRPr="00F10534">
        <w:t xml:space="preserve"> carbon </w:t>
      </w:r>
      <w:r>
        <w:t>into</w:t>
      </w:r>
      <w:r w:rsidRPr="00F10534">
        <w:t xml:space="preserve"> the system from upstream without causing adverse effects on dissolved oxygen</w:t>
      </w:r>
      <w:r>
        <w:t xml:space="preserve"> and water quality</w:t>
      </w:r>
      <w:r w:rsidRPr="00F10534">
        <w:t xml:space="preserve"> (Watts et al. 2013, 2014).</w:t>
      </w:r>
      <w:r w:rsidRPr="00F10534">
        <w:rPr>
          <w:rFonts w:cstheme="minorHAnsi"/>
          <w:szCs w:val="22"/>
        </w:rPr>
        <w:t xml:space="preserve"> </w:t>
      </w:r>
      <w:r>
        <w:t>Current knowledge from four years of monitoring of environmental watering in the Edward-Wakool system from 2011 to 2015 has shown that longer duration 600 ML/day environmental watering actions in Yallakool Creek have not increased river productivity and have</w:t>
      </w:r>
      <w:r w:rsidRPr="0058366C">
        <w:t xml:space="preserve"> not trigger</w:t>
      </w:r>
      <w:r>
        <w:t>ed</w:t>
      </w:r>
      <w:r w:rsidRPr="0058366C">
        <w:t xml:space="preserve"> spawning of golden perch or silver perch (Watts et al. 2013, 2014).</w:t>
      </w:r>
    </w:p>
    <w:p w:rsidR="00FD37A0" w:rsidRDefault="00FD37A0" w:rsidP="006237B8">
      <w:pPr>
        <w:spacing w:after="120"/>
        <w:jc w:val="left"/>
      </w:pPr>
      <w:r>
        <w:rPr>
          <w:rFonts w:cstheme="minorHAnsi"/>
          <w:szCs w:val="22"/>
        </w:rPr>
        <w:t>If a larger magnitude Commonwealth e</w:t>
      </w:r>
      <w:r w:rsidRPr="00F10534">
        <w:rPr>
          <w:rFonts w:cstheme="minorHAnsi"/>
          <w:szCs w:val="22"/>
        </w:rPr>
        <w:t>nvironmental water</w:t>
      </w:r>
      <w:r>
        <w:rPr>
          <w:rFonts w:cstheme="minorHAnsi"/>
          <w:szCs w:val="22"/>
        </w:rPr>
        <w:t>ing action</w:t>
      </w:r>
      <w:r w:rsidRPr="00F10534">
        <w:rPr>
          <w:rFonts w:cstheme="minorHAnsi"/>
          <w:szCs w:val="22"/>
        </w:rPr>
        <w:t xml:space="preserve"> </w:t>
      </w:r>
      <w:r>
        <w:rPr>
          <w:rFonts w:cstheme="minorHAnsi"/>
          <w:szCs w:val="22"/>
        </w:rPr>
        <w:t>trial was undertaken in late winter/spring</w:t>
      </w:r>
      <w:r w:rsidR="006237B8">
        <w:rPr>
          <w:rFonts w:cstheme="minorHAnsi"/>
          <w:szCs w:val="22"/>
        </w:rPr>
        <w:t>,</w:t>
      </w:r>
      <w:r>
        <w:rPr>
          <w:rFonts w:cstheme="minorHAnsi"/>
          <w:szCs w:val="22"/>
        </w:rPr>
        <w:t xml:space="preserve"> based on previous monitoring results we would predict</w:t>
      </w:r>
      <w:r w:rsidRPr="00F10534">
        <w:rPr>
          <w:rFonts w:cstheme="minorHAnsi"/>
          <w:szCs w:val="22"/>
        </w:rPr>
        <w:t xml:space="preserve"> </w:t>
      </w:r>
      <w:r>
        <w:rPr>
          <w:rFonts w:cstheme="minorHAnsi"/>
          <w:szCs w:val="22"/>
        </w:rPr>
        <w:t xml:space="preserve">it would bring pulses of carbon into the system and </w:t>
      </w:r>
      <w:r w:rsidRPr="00F10534">
        <w:rPr>
          <w:rFonts w:cstheme="minorHAnsi"/>
          <w:szCs w:val="22"/>
        </w:rPr>
        <w:t xml:space="preserve">enhance </w:t>
      </w:r>
      <w:r>
        <w:rPr>
          <w:rFonts w:cstheme="minorHAnsi"/>
          <w:szCs w:val="22"/>
        </w:rPr>
        <w:t xml:space="preserve">opportunities for dispersal, growth and reproduction. </w:t>
      </w:r>
      <w:r>
        <w:t xml:space="preserve">A short-duration flow trial in Wakool-Yallakool system at a higher discharge than the current </w:t>
      </w:r>
      <w:r w:rsidR="006237B8">
        <w:t xml:space="preserve">operational </w:t>
      </w:r>
      <w:r>
        <w:t>constraint of 600 ML/day would facilitate learning and improve future delivery of environmental water to this system. Conducting a trial in winter/spring would cause least disruption to landholders farming practices. The trial need not be of long duration because productivity responses can occur in response to shorter duration events (1 to 2 weeks). This proposed flow trial would also facilitate on-ground validation of hydraulic modelling (</w:t>
      </w:r>
      <w:r w:rsidR="00DF65E2">
        <w:t>section</w:t>
      </w:r>
      <w:r>
        <w:t xml:space="preserve"> 5) and facilitate discussion with landholders about third party impacts. Such a trial, involving the use of Commonwealth environmental water, would need the agreement of all poten</w:t>
      </w:r>
      <w:r w:rsidR="006237B8">
        <w:t>tially impacted landholders</w:t>
      </w:r>
      <w:r>
        <w:t>.</w:t>
      </w:r>
    </w:p>
    <w:p w:rsidR="00FD37A0" w:rsidRPr="008A5FEB" w:rsidRDefault="00FD37A0" w:rsidP="00853906">
      <w:pPr>
        <w:pBdr>
          <w:top w:val="single" w:sz="4" w:space="1" w:color="auto"/>
          <w:left w:val="single" w:sz="4" w:space="4" w:color="auto"/>
          <w:bottom w:val="single" w:sz="4" w:space="1" w:color="auto"/>
          <w:right w:val="single" w:sz="4" w:space="4" w:color="auto"/>
        </w:pBdr>
        <w:shd w:val="clear" w:color="auto" w:fill="D6E3BC" w:themeFill="accent3" w:themeFillTint="66"/>
        <w:spacing w:after="240"/>
        <w:contextualSpacing/>
        <w:rPr>
          <w:b/>
        </w:rPr>
      </w:pPr>
      <w:r w:rsidRPr="008A5FEB">
        <w:rPr>
          <w:b/>
        </w:rPr>
        <w:t xml:space="preserve">Recommendation 8: Consider </w:t>
      </w:r>
      <w:r w:rsidR="008A5FEB">
        <w:rPr>
          <w:b/>
        </w:rPr>
        <w:t>the implementation of an</w:t>
      </w:r>
      <w:r w:rsidRPr="008A5FEB">
        <w:rPr>
          <w:b/>
        </w:rPr>
        <w:t xml:space="preserve"> environmental watering action in the Edward River to target golden perch and silver perch spawning</w:t>
      </w:r>
      <w:r w:rsidR="001B4B78" w:rsidRPr="008A5FEB">
        <w:rPr>
          <w:b/>
        </w:rPr>
        <w:t xml:space="preserve">, as this </w:t>
      </w:r>
      <w:r w:rsidR="008A30E5">
        <w:rPr>
          <w:b/>
        </w:rPr>
        <w:t xml:space="preserve">is a larger </w:t>
      </w:r>
      <w:r w:rsidR="001B4B78" w:rsidRPr="008A5FEB">
        <w:rPr>
          <w:b/>
        </w:rPr>
        <w:t xml:space="preserve">system </w:t>
      </w:r>
      <w:r w:rsidR="008A30E5">
        <w:rPr>
          <w:b/>
        </w:rPr>
        <w:t xml:space="preserve">that </w:t>
      </w:r>
      <w:r w:rsidR="001B4B78" w:rsidRPr="008A5FEB">
        <w:rPr>
          <w:b/>
        </w:rPr>
        <w:t xml:space="preserve">does not have the same </w:t>
      </w:r>
      <w:r w:rsidR="008A30E5">
        <w:rPr>
          <w:b/>
        </w:rPr>
        <w:t xml:space="preserve">level of </w:t>
      </w:r>
      <w:r w:rsidR="001B4B78" w:rsidRPr="008A5FEB">
        <w:rPr>
          <w:b/>
        </w:rPr>
        <w:t>delivery constraints as the Wakool-Yallakool system.</w:t>
      </w:r>
    </w:p>
    <w:p w:rsidR="008A30E5" w:rsidRDefault="008A5FEB" w:rsidP="004E3F82">
      <w:pPr>
        <w:pStyle w:val="NoSpacing"/>
        <w:spacing w:after="120" w:line="360" w:lineRule="auto"/>
        <w:jc w:val="left"/>
        <w:rPr>
          <w:szCs w:val="24"/>
        </w:rPr>
      </w:pPr>
      <w:r>
        <w:t>Golden perch and silver perch are long-lived, large-bodied fish species whose spawning, or magnitude of spawning</w:t>
      </w:r>
      <w:r w:rsidR="006237B8">
        <w:t>,</w:t>
      </w:r>
      <w:r>
        <w:t xml:space="preserve"> is thought to </w:t>
      </w:r>
      <w:r w:rsidR="008A30E5">
        <w:t xml:space="preserve">be associated with flow pulses. </w:t>
      </w:r>
      <w:r>
        <w:t>Flow-response studies</w:t>
      </w:r>
      <w:r w:rsidR="008A30E5">
        <w:t xml:space="preserve"> suggest </w:t>
      </w:r>
      <w:r>
        <w:t xml:space="preserve">the importance of flow pulses for golden and silver perch spawning and </w:t>
      </w:r>
      <w:r w:rsidRPr="00434E9E">
        <w:t xml:space="preserve">recruitment (Mallen-Cooper and Stuart </w:t>
      </w:r>
      <w:r>
        <w:t>2003;</w:t>
      </w:r>
      <w:r w:rsidRPr="00434E9E">
        <w:t xml:space="preserve"> Roberts et al. </w:t>
      </w:r>
      <w:r>
        <w:t>2008;</w:t>
      </w:r>
      <w:r w:rsidRPr="00434E9E">
        <w:t xml:space="preserve"> Zampatti </w:t>
      </w:r>
      <w:r>
        <w:t>and L</w:t>
      </w:r>
      <w:r w:rsidR="008A30E5">
        <w:t>eigh 2013).</w:t>
      </w:r>
      <w:r w:rsidRPr="00434E9E">
        <w:t xml:space="preserve"> </w:t>
      </w:r>
      <w:r w:rsidR="008A30E5">
        <w:t>N</w:t>
      </w:r>
      <w:r>
        <w:rPr>
          <w:szCs w:val="24"/>
        </w:rPr>
        <w:t xml:space="preserve">o evidence to date has indicated that </w:t>
      </w:r>
      <w:r w:rsidR="008A30E5">
        <w:rPr>
          <w:szCs w:val="24"/>
        </w:rPr>
        <w:t xml:space="preserve">spawning in these species </w:t>
      </w:r>
      <w:r>
        <w:rPr>
          <w:szCs w:val="24"/>
        </w:rPr>
        <w:t xml:space="preserve">has occurred within the Edward-Wakool system (Watts et </w:t>
      </w:r>
      <w:r w:rsidR="0002655A">
        <w:rPr>
          <w:szCs w:val="24"/>
        </w:rPr>
        <w:t>al. 2014</w:t>
      </w:r>
      <w:r>
        <w:rPr>
          <w:szCs w:val="24"/>
        </w:rPr>
        <w:t>,</w:t>
      </w:r>
      <w:r w:rsidR="008A30E5">
        <w:rPr>
          <w:szCs w:val="24"/>
        </w:rPr>
        <w:t xml:space="preserve"> </w:t>
      </w:r>
      <w:r>
        <w:rPr>
          <w:szCs w:val="24"/>
        </w:rPr>
        <w:t xml:space="preserve">this report). </w:t>
      </w:r>
      <w:r w:rsidR="008A30E5">
        <w:rPr>
          <w:szCs w:val="24"/>
        </w:rPr>
        <w:t>However, the</w:t>
      </w:r>
      <w:r>
        <w:rPr>
          <w:szCs w:val="24"/>
        </w:rPr>
        <w:t xml:space="preserve"> Edward-Wakool system </w:t>
      </w:r>
      <w:r w:rsidR="008A30E5">
        <w:rPr>
          <w:szCs w:val="24"/>
        </w:rPr>
        <w:t>does provide</w:t>
      </w:r>
      <w:r>
        <w:rPr>
          <w:szCs w:val="24"/>
        </w:rPr>
        <w:t xml:space="preserve"> habitat that supports juveniles and adults of both species</w:t>
      </w:r>
      <w:r w:rsidR="0005230C">
        <w:rPr>
          <w:szCs w:val="24"/>
        </w:rPr>
        <w:t>,</w:t>
      </w:r>
      <w:r>
        <w:rPr>
          <w:szCs w:val="24"/>
        </w:rPr>
        <w:t xml:space="preserve"> as they have been captured in this system in </w:t>
      </w:r>
      <w:r w:rsidR="0002655A">
        <w:rPr>
          <w:szCs w:val="24"/>
        </w:rPr>
        <w:t>recent years (Watts et al. 2014</w:t>
      </w:r>
      <w:r>
        <w:rPr>
          <w:szCs w:val="24"/>
        </w:rPr>
        <w:t xml:space="preserve">). Recent evidence suggests that golden perch (and likely silver perch) life-history operates over </w:t>
      </w:r>
      <w:r w:rsidR="008A30E5">
        <w:rPr>
          <w:szCs w:val="24"/>
        </w:rPr>
        <w:t>large</w:t>
      </w:r>
      <w:r>
        <w:rPr>
          <w:szCs w:val="24"/>
        </w:rPr>
        <w:t xml:space="preserve"> spatial scales across the southern connected </w:t>
      </w:r>
      <w:r w:rsidR="008A30E5">
        <w:rPr>
          <w:szCs w:val="24"/>
        </w:rPr>
        <w:t>Murray-Darling Basin (Zampatti et al. 2014). T</w:t>
      </w:r>
      <w:r>
        <w:rPr>
          <w:szCs w:val="24"/>
        </w:rPr>
        <w:t xml:space="preserve">he inter-connectedness of Edward-Wakool golden </w:t>
      </w:r>
      <w:r w:rsidR="006237B8">
        <w:rPr>
          <w:szCs w:val="24"/>
        </w:rPr>
        <w:t xml:space="preserve">perch </w:t>
      </w:r>
      <w:r>
        <w:rPr>
          <w:szCs w:val="24"/>
        </w:rPr>
        <w:t xml:space="preserve">and silver perch </w:t>
      </w:r>
      <w:r w:rsidR="008A30E5">
        <w:rPr>
          <w:szCs w:val="24"/>
        </w:rPr>
        <w:t>populations will be addressed under the Edward-Wakool LTIM</w:t>
      </w:r>
      <w:r>
        <w:rPr>
          <w:szCs w:val="24"/>
        </w:rPr>
        <w:t xml:space="preserve"> project (fish movement) and other concurrent collaborations</w:t>
      </w:r>
      <w:r w:rsidR="008A30E5">
        <w:rPr>
          <w:szCs w:val="24"/>
        </w:rPr>
        <w:t>.</w:t>
      </w:r>
    </w:p>
    <w:p w:rsidR="00FD37A0" w:rsidRDefault="008A30E5" w:rsidP="008A30E5">
      <w:pPr>
        <w:pStyle w:val="NoSpacing"/>
        <w:spacing w:after="240" w:line="360" w:lineRule="auto"/>
        <w:jc w:val="left"/>
      </w:pPr>
      <w:r>
        <w:t xml:space="preserve">Environmental watering actions in the Wakool-Yallakool system are currently constrained </w:t>
      </w:r>
      <w:r w:rsidR="00474CA6">
        <w:t xml:space="preserve">to a maximum of 600 ML/day and actions of this magnitude (whilst not targeting golden perch and silver perch spawning) </w:t>
      </w:r>
      <w:r w:rsidR="006237B8">
        <w:t>have</w:t>
      </w:r>
      <w:r w:rsidR="00474CA6" w:rsidRPr="0058366C">
        <w:t xml:space="preserve"> not trigger</w:t>
      </w:r>
      <w:r w:rsidR="00474CA6">
        <w:t>ed</w:t>
      </w:r>
      <w:r w:rsidR="00474CA6" w:rsidRPr="0058366C">
        <w:t xml:space="preserve"> spawning </w:t>
      </w:r>
      <w:r w:rsidR="00474CA6">
        <w:t xml:space="preserve">in these species. </w:t>
      </w:r>
      <w:r w:rsidR="00FD37A0">
        <w:t xml:space="preserve">The Edward River main stem </w:t>
      </w:r>
      <w:r w:rsidR="00474CA6">
        <w:t xml:space="preserve">is a larger system and </w:t>
      </w:r>
      <w:r w:rsidR="0005230C">
        <w:t>is more similar to other larger river systems (e.g. Goulburn</w:t>
      </w:r>
      <w:r w:rsidR="006237B8">
        <w:t xml:space="preserve"> River</w:t>
      </w:r>
      <w:r w:rsidR="0005230C">
        <w:t xml:space="preserve">) where golden perch have been observed to spawn in recent years. The Edward River </w:t>
      </w:r>
      <w:r w:rsidR="00FD37A0">
        <w:t xml:space="preserve">can </w:t>
      </w:r>
      <w:r w:rsidR="0005230C">
        <w:t xml:space="preserve">also </w:t>
      </w:r>
      <w:r w:rsidR="00474CA6">
        <w:t>receive</w:t>
      </w:r>
      <w:r w:rsidR="00FD37A0">
        <w:t xml:space="preserve"> higher flows</w:t>
      </w:r>
      <w:r w:rsidR="0005230C">
        <w:t xml:space="preserve"> than the Wakool-Yallakool system</w:t>
      </w:r>
      <w:r w:rsidR="00FD37A0">
        <w:t xml:space="preserve">. </w:t>
      </w:r>
      <w:r w:rsidR="0005230C">
        <w:t>We proposed a</w:t>
      </w:r>
      <w:r w:rsidR="00474CA6">
        <w:t xml:space="preserve"> trial environmental watering action and monitoring program be implemented in the Edward River downstream of Stevens Weir targeting p</w:t>
      </w:r>
      <w:r w:rsidR="00FD37A0">
        <w:t>erch recruitment</w:t>
      </w:r>
      <w:r w:rsidR="00474CA6">
        <w:t>. Stevens Weir could be operated to facilitate the delivery of a managed rise and fall in hydrograph</w:t>
      </w:r>
      <w:r w:rsidR="0005230C">
        <w:t>, using results from other systems to guide the development of a hydrograph during an environmental flow planning workshop.</w:t>
      </w:r>
    </w:p>
    <w:p w:rsidR="00570428" w:rsidRDefault="008A5FEB" w:rsidP="00853906">
      <w:pPr>
        <w:pBdr>
          <w:top w:val="single" w:sz="4" w:space="1" w:color="auto"/>
          <w:left w:val="single" w:sz="4" w:space="4" w:color="auto"/>
          <w:bottom w:val="single" w:sz="4" w:space="1" w:color="auto"/>
          <w:right w:val="single" w:sz="4" w:space="4" w:color="auto"/>
        </w:pBdr>
        <w:shd w:val="clear" w:color="auto" w:fill="D6E3BC" w:themeFill="accent3" w:themeFillTint="66"/>
        <w:spacing w:after="240"/>
        <w:contextualSpacing/>
        <w:rPr>
          <w:b/>
        </w:rPr>
      </w:pPr>
      <w:r>
        <w:rPr>
          <w:b/>
        </w:rPr>
        <w:t>Recommendation 9</w:t>
      </w:r>
      <w:r w:rsidR="004B2CBE" w:rsidRPr="004B2CBE">
        <w:rPr>
          <w:b/>
        </w:rPr>
        <w:t>.</w:t>
      </w:r>
      <w:r w:rsidR="004B2CBE" w:rsidRPr="004B2CBE">
        <w:t xml:space="preserve"> </w:t>
      </w:r>
      <w:r w:rsidR="004B2CBE" w:rsidRPr="004B2CBE">
        <w:rPr>
          <w:b/>
        </w:rPr>
        <w:t>Undertake</w:t>
      </w:r>
      <w:r w:rsidR="004B2CBE" w:rsidRPr="007D16D0">
        <w:rPr>
          <w:b/>
        </w:rPr>
        <w:t xml:space="preserve"> comprehensive flows assessment for the smaller creeks and rivers of the Edward-Wakool system</w:t>
      </w:r>
      <w:r w:rsidR="004B2CBE">
        <w:rPr>
          <w:b/>
        </w:rPr>
        <w:t xml:space="preserve">. </w:t>
      </w:r>
    </w:p>
    <w:p w:rsidR="006237B8" w:rsidRDefault="006237B8" w:rsidP="004E3F82">
      <w:pPr>
        <w:spacing w:after="120"/>
        <w:jc w:val="left"/>
      </w:pPr>
    </w:p>
    <w:p w:rsidR="00CE5EEA" w:rsidRDefault="004B2CBE" w:rsidP="004E3F82">
      <w:pPr>
        <w:spacing w:after="240"/>
        <w:jc w:val="left"/>
      </w:pPr>
      <w:r w:rsidRPr="007D16D0">
        <w:t>There is a need for a scientific expert panel to use a reputable flows method to provide guidelines for delivery of environmental water</w:t>
      </w:r>
      <w:r w:rsidR="0005230C">
        <w:t xml:space="preserve"> in the Edward-Wakool system</w:t>
      </w:r>
      <w:r w:rsidRPr="007D16D0">
        <w:t xml:space="preserve">, considering the breadth of </w:t>
      </w:r>
      <w:r w:rsidR="00570428">
        <w:t xml:space="preserve">hydrological, </w:t>
      </w:r>
      <w:r w:rsidRPr="007D16D0">
        <w:t xml:space="preserve">geomorphological and ecological responses. While there has been some </w:t>
      </w:r>
      <w:r>
        <w:t xml:space="preserve">hydrological </w:t>
      </w:r>
      <w:r w:rsidRPr="007D16D0">
        <w:t>modelling undertaken for the Edward River</w:t>
      </w:r>
      <w:r w:rsidR="00CE5EEA">
        <w:t xml:space="preserve"> (</w:t>
      </w:r>
      <w:r w:rsidR="000D666F">
        <w:rPr>
          <w:szCs w:val="22"/>
        </w:rPr>
        <w:t>Green 2001</w:t>
      </w:r>
      <w:r w:rsidR="000D666F" w:rsidRPr="00CE463D">
        <w:rPr>
          <w:szCs w:val="22"/>
        </w:rPr>
        <w:t xml:space="preserve">; Hale </w:t>
      </w:r>
      <w:r w:rsidR="000D666F" w:rsidRPr="000D666F">
        <w:rPr>
          <w:szCs w:val="22"/>
        </w:rPr>
        <w:t>and SKM 2011</w:t>
      </w:r>
      <w:r w:rsidR="00CE5EEA" w:rsidRPr="000D666F">
        <w:t xml:space="preserve">, </w:t>
      </w:r>
      <w:r w:rsidR="000D666F" w:rsidRPr="000D666F">
        <w:t>section</w:t>
      </w:r>
      <w:r w:rsidR="000D666F">
        <w:t xml:space="preserve"> 1 this report)</w:t>
      </w:r>
      <w:r w:rsidRPr="007D16D0">
        <w:t xml:space="preserve"> there is currently </w:t>
      </w:r>
      <w:r w:rsidR="00570428">
        <w:t>no</w:t>
      </w:r>
      <w:r w:rsidRPr="007D16D0">
        <w:t xml:space="preserve"> hydrological modelling on </w:t>
      </w:r>
      <w:r w:rsidR="0005230C">
        <w:t xml:space="preserve">the </w:t>
      </w:r>
      <w:r w:rsidRPr="007D16D0">
        <w:t xml:space="preserve">unregulated flow regimes of the smaller creeks and rivers in the Edward-Wakool system and this information is required to underpin decisions on environmental watering in this system. </w:t>
      </w:r>
      <w:r w:rsidR="00570428">
        <w:t>A</w:t>
      </w:r>
      <w:r w:rsidRPr="007D16D0">
        <w:t xml:space="preserve"> flows assessment </w:t>
      </w:r>
      <w:r w:rsidR="00570428">
        <w:t xml:space="preserve">of this system </w:t>
      </w:r>
      <w:r w:rsidR="00CE5EEA">
        <w:t>should</w:t>
      </w:r>
      <w:r w:rsidRPr="007D16D0">
        <w:t xml:space="preserve"> consider factors such as natural rate of recession and rise in flows, short term and long term variability in changes to water height, timing and duration of instream pulses, and periods</w:t>
      </w:r>
      <w:r w:rsidR="00570428">
        <w:t xml:space="preserve"> of </w:t>
      </w:r>
      <w:r w:rsidR="00570428" w:rsidRPr="007D16D0">
        <w:t>low flow</w:t>
      </w:r>
      <w:r w:rsidR="0005230C">
        <w:t xml:space="preserve"> that would underpin future planning</w:t>
      </w:r>
      <w:r w:rsidR="00CE5EEA">
        <w:t>. This flows assessment would assist</w:t>
      </w:r>
      <w:r>
        <w:t xml:space="preserve"> the planning</w:t>
      </w:r>
      <w:r w:rsidRPr="007D16D0">
        <w:t xml:space="preserve"> of </w:t>
      </w:r>
      <w:r>
        <w:t>environmental watering</w:t>
      </w:r>
      <w:r w:rsidRPr="007D16D0">
        <w:t xml:space="preserve"> to </w:t>
      </w:r>
      <w:r>
        <w:t>environmental</w:t>
      </w:r>
      <w:r w:rsidRPr="007D16D0">
        <w:t xml:space="preserve"> assets of the Edward-Wakool system </w:t>
      </w:r>
      <w:r>
        <w:t xml:space="preserve">and </w:t>
      </w:r>
      <w:r w:rsidR="00570428">
        <w:t>contribute to</w:t>
      </w:r>
      <w:r w:rsidRPr="007D16D0">
        <w:t xml:space="preserve"> decisions and operating guidelines for future environmental watering actions. The flows recommendations should not be </w:t>
      </w:r>
      <w:r w:rsidR="0005230C">
        <w:t xml:space="preserve">targeted for </w:t>
      </w:r>
      <w:r w:rsidRPr="007D16D0">
        <w:t xml:space="preserve">single species, but consider all </w:t>
      </w:r>
      <w:r>
        <w:t xml:space="preserve">aspects of the river ecosystem to </w:t>
      </w:r>
      <w:r w:rsidRPr="007D16D0">
        <w:t>maximise benefit</w:t>
      </w:r>
      <w:r w:rsidR="00570428">
        <w:t>s</w:t>
      </w:r>
      <w:r w:rsidRPr="007D16D0">
        <w:t xml:space="preserve"> for the whole ecosystem.</w:t>
      </w:r>
      <w:r w:rsidR="00CE5EEA">
        <w:t xml:space="preserve"> This recommendation was made in the 2013-14 Edward-Wakool short term monitoring report (Watts et al. 2014) but has not yet been </w:t>
      </w:r>
      <w:r w:rsidR="000F463F">
        <w:t>implemented</w:t>
      </w:r>
      <w:r w:rsidR="002A5C77">
        <w:t>.</w:t>
      </w:r>
    </w:p>
    <w:p w:rsidR="003D665B" w:rsidRPr="003D665B" w:rsidRDefault="003D665B" w:rsidP="00853906">
      <w:pPr>
        <w:pBdr>
          <w:top w:val="single" w:sz="4" w:space="1" w:color="auto"/>
          <w:left w:val="single" w:sz="4" w:space="4" w:color="auto"/>
          <w:bottom w:val="single" w:sz="4" w:space="1" w:color="auto"/>
          <w:right w:val="single" w:sz="4" w:space="4" w:color="auto"/>
        </w:pBdr>
        <w:shd w:val="clear" w:color="auto" w:fill="D6E3BC" w:themeFill="accent3" w:themeFillTint="66"/>
        <w:spacing w:after="240"/>
        <w:contextualSpacing/>
        <w:rPr>
          <w:b/>
          <w:iCs/>
        </w:rPr>
      </w:pPr>
      <w:r w:rsidRPr="003D665B">
        <w:rPr>
          <w:b/>
          <w:iCs/>
        </w:rPr>
        <w:t xml:space="preserve">Recommendation </w:t>
      </w:r>
      <w:r w:rsidR="00915FE5">
        <w:rPr>
          <w:b/>
          <w:iCs/>
        </w:rPr>
        <w:t>10</w:t>
      </w:r>
      <w:r w:rsidRPr="003D665B">
        <w:rPr>
          <w:b/>
          <w:iCs/>
        </w:rPr>
        <w:t>. C</w:t>
      </w:r>
      <w:r w:rsidRPr="003D665B">
        <w:rPr>
          <w:b/>
        </w:rPr>
        <w:t xml:space="preserve">ollaborate with other management agencies and the community to </w:t>
      </w:r>
      <w:r>
        <w:rPr>
          <w:b/>
        </w:rPr>
        <w:t xml:space="preserve">maximise </w:t>
      </w:r>
      <w:r w:rsidRPr="003D665B">
        <w:rPr>
          <w:b/>
        </w:rPr>
        <w:t>the benefits of Commonwealth environmental watering actions</w:t>
      </w:r>
    </w:p>
    <w:p w:rsidR="003D665B" w:rsidRDefault="003D665B" w:rsidP="006237B8">
      <w:pPr>
        <w:spacing w:after="120"/>
        <w:rPr>
          <w:iCs/>
        </w:rPr>
      </w:pPr>
    </w:p>
    <w:p w:rsidR="003D665B" w:rsidRPr="003D665B" w:rsidRDefault="003D665B" w:rsidP="004E3F82">
      <w:pPr>
        <w:spacing w:after="120"/>
        <w:jc w:val="left"/>
        <w:rPr>
          <w:iCs/>
        </w:rPr>
      </w:pPr>
      <w:r w:rsidRPr="003D665B">
        <w:rPr>
          <w:iCs/>
        </w:rPr>
        <w:t>There were no observable increases</w:t>
      </w:r>
      <w:r w:rsidR="004E3F82">
        <w:rPr>
          <w:iCs/>
        </w:rPr>
        <w:t xml:space="preserve"> in gross primary productivity </w:t>
      </w:r>
      <w:r w:rsidRPr="003D665B">
        <w:rPr>
          <w:iCs/>
        </w:rPr>
        <w:t>or fish spawning in response to the Commonwealth environmental watering in 2014-15. This was consistent with observations from monitoring undertaken in 2012-13 (Watts et al. 2013) and 2013-14 (Wa</w:t>
      </w:r>
      <w:r w:rsidR="000F463F">
        <w:rPr>
          <w:iCs/>
        </w:rPr>
        <w:t xml:space="preserve">tts et al. 2014). These results, </w:t>
      </w:r>
      <w:r w:rsidRPr="003D665B">
        <w:rPr>
          <w:iCs/>
        </w:rPr>
        <w:t>along with other research</w:t>
      </w:r>
      <w:r w:rsidR="000F463F">
        <w:rPr>
          <w:iCs/>
        </w:rPr>
        <w:t>,</w:t>
      </w:r>
      <w:r w:rsidRPr="003D665B">
        <w:rPr>
          <w:iCs/>
        </w:rPr>
        <w:t xml:space="preserve"> suggest that a larger area of in</w:t>
      </w:r>
      <w:r w:rsidR="000F463F">
        <w:rPr>
          <w:iCs/>
        </w:rPr>
        <w:t>-</w:t>
      </w:r>
      <w:r w:rsidRPr="003D665B">
        <w:rPr>
          <w:iCs/>
        </w:rPr>
        <w:t>channel riverbank inundation may be required to trigger responses in these parameters. The preliminary 2D hydraulic modelling of in</w:t>
      </w:r>
      <w:r w:rsidR="000F463F">
        <w:rPr>
          <w:iCs/>
        </w:rPr>
        <w:t>-</w:t>
      </w:r>
      <w:r w:rsidRPr="003D665B">
        <w:rPr>
          <w:iCs/>
        </w:rPr>
        <w:t xml:space="preserve">channel </w:t>
      </w:r>
      <w:r w:rsidRPr="000D666F">
        <w:rPr>
          <w:iCs/>
        </w:rPr>
        <w:t>flows (</w:t>
      </w:r>
      <w:r w:rsidR="000D666F" w:rsidRPr="000D666F">
        <w:rPr>
          <w:iCs/>
        </w:rPr>
        <w:t>section 5</w:t>
      </w:r>
      <w:r w:rsidRPr="000D666F">
        <w:rPr>
          <w:iCs/>
        </w:rPr>
        <w:t>) show</w:t>
      </w:r>
      <w:r w:rsidRPr="003D665B">
        <w:rPr>
          <w:iCs/>
        </w:rPr>
        <w:t xml:space="preserve"> examples where key geomorphic features within the channel are inundated at different discharges. A more detailed examination of in-channel </w:t>
      </w:r>
      <w:r w:rsidR="000F463F">
        <w:rPr>
          <w:iCs/>
        </w:rPr>
        <w:t xml:space="preserve">geomorphology and </w:t>
      </w:r>
      <w:r w:rsidRPr="003D665B">
        <w:rPr>
          <w:iCs/>
        </w:rPr>
        <w:t xml:space="preserve">inundation </w:t>
      </w:r>
      <w:r>
        <w:rPr>
          <w:iCs/>
        </w:rPr>
        <w:t xml:space="preserve">patterns </w:t>
      </w:r>
      <w:r w:rsidRPr="003D665B">
        <w:rPr>
          <w:iCs/>
        </w:rPr>
        <w:t>will help determine the discharge at which the best outcomes can be achieved from environmental water at the same time as minimising third party impacts. In the meantime, it is strongly recommended that there is continued monitoring of discharge, metabolism, food resources, habitat and fish community metrics (e.g. recruitment, movement, long term community structure) across a diverse range of base flow, natural flows and watering actions over a wide spread of seasons to better understand the conditions that are required to produce ecosystem responses to flows.</w:t>
      </w:r>
    </w:p>
    <w:p w:rsidR="004F0F4F" w:rsidRDefault="000F463F" w:rsidP="004E3F82">
      <w:pPr>
        <w:spacing w:after="120"/>
        <w:jc w:val="left"/>
      </w:pPr>
      <w:r>
        <w:t>In addition, t</w:t>
      </w:r>
      <w:r w:rsidR="003D665B" w:rsidRPr="003D665B">
        <w:t xml:space="preserve">here are other factors (e.g. </w:t>
      </w:r>
      <w:r>
        <w:t xml:space="preserve">fast recession on operational flows, </w:t>
      </w:r>
      <w:r w:rsidR="003D665B" w:rsidRPr="003D665B">
        <w:t>small instream barriers</w:t>
      </w:r>
      <w:r>
        <w:t xml:space="preserve">, </w:t>
      </w:r>
      <w:proofErr w:type="gramStart"/>
      <w:r>
        <w:t>stock</w:t>
      </w:r>
      <w:proofErr w:type="gramEnd"/>
      <w:r>
        <w:t xml:space="preserve"> management in riparian zones</w:t>
      </w:r>
      <w:r w:rsidR="003D665B" w:rsidRPr="003D665B">
        <w:t xml:space="preserve">) that may limit how the ecosystem responds to Commonwealth environmental watering. The </w:t>
      </w:r>
      <w:r w:rsidR="004E3F82">
        <w:t>Commonwealth Environmental Water Office</w:t>
      </w:r>
      <w:r w:rsidR="003D665B" w:rsidRPr="003D665B">
        <w:t xml:space="preserve"> should actively work with other agencies and the community to identify and reduce the impacts of these factors to produce better ecosystem responses to environmental watering. </w:t>
      </w:r>
    </w:p>
    <w:tbl>
      <w:tblPr>
        <w:tblStyle w:val="TableGrid"/>
        <w:tblW w:w="0" w:type="auto"/>
        <w:tblLook w:val="04A0"/>
      </w:tblPr>
      <w:tblGrid>
        <w:gridCol w:w="9287"/>
      </w:tblGrid>
      <w:tr w:rsidR="00580868" w:rsidTr="00580868">
        <w:tc>
          <w:tcPr>
            <w:tcW w:w="9287" w:type="dxa"/>
          </w:tcPr>
          <w:p w:rsidR="00580868" w:rsidRDefault="00580868" w:rsidP="009B6B27">
            <w:pPr>
              <w:spacing w:after="240"/>
              <w:contextualSpacing/>
              <w:rPr>
                <w:rFonts w:cstheme="minorHAnsi"/>
                <w:szCs w:val="22"/>
              </w:rPr>
            </w:pPr>
            <w:r w:rsidRPr="00634A28">
              <w:rPr>
                <w:b/>
              </w:rPr>
              <w:t>Adaptive management response in 2015-16:</w:t>
            </w:r>
            <w:r>
              <w:t xml:space="preserve"> This recommendation has been applied in the use of </w:t>
            </w:r>
            <w:r w:rsidR="00855BC3">
              <w:t>Commonwealth environmental water</w:t>
            </w:r>
            <w:r>
              <w:t xml:space="preserve"> in the Edward-Wakool River system during 2015-16. Th</w:t>
            </w:r>
            <w:r w:rsidR="00721193">
              <w:t xml:space="preserve">e use </w:t>
            </w:r>
            <w:r w:rsidR="009B6B27">
              <w:t>of</w:t>
            </w:r>
            <w:r w:rsidR="00721193">
              <w:t xml:space="preserve"> </w:t>
            </w:r>
            <w:r w:rsidR="000A4F7E">
              <w:t>Commonwealth environmental water</w:t>
            </w:r>
            <w:r w:rsidR="00721193">
              <w:t xml:space="preserve"> to provide slower, more natural rates of recessions to high flow events (e.g. rain rejections and other operational flows) is an example of this</w:t>
            </w:r>
            <w:r>
              <w:t>.</w:t>
            </w:r>
            <w:r w:rsidR="00721193">
              <w:t xml:space="preserve"> </w:t>
            </w:r>
          </w:p>
        </w:tc>
      </w:tr>
    </w:tbl>
    <w:p w:rsidR="00580868" w:rsidRDefault="00580868" w:rsidP="00833A6F">
      <w:pPr>
        <w:spacing w:after="240"/>
      </w:pPr>
    </w:p>
    <w:p w:rsidR="00910B0E" w:rsidRPr="000D666F" w:rsidRDefault="00910B0E" w:rsidP="00833A6F">
      <w:pPr>
        <w:spacing w:after="240"/>
        <w:rPr>
          <w:b/>
          <w:color w:val="4F6228" w:themeColor="accent3" w:themeShade="80"/>
          <w:sz w:val="24"/>
          <w:szCs w:val="24"/>
        </w:rPr>
      </w:pPr>
      <w:r w:rsidRPr="000D666F">
        <w:rPr>
          <w:b/>
          <w:color w:val="4F6228" w:themeColor="accent3" w:themeShade="80"/>
          <w:sz w:val="24"/>
          <w:szCs w:val="24"/>
        </w:rPr>
        <w:t>References</w:t>
      </w:r>
    </w:p>
    <w:p w:rsidR="000D666F" w:rsidRPr="007411A9" w:rsidRDefault="000D666F" w:rsidP="00311640">
      <w:pPr>
        <w:spacing w:after="0"/>
        <w:ind w:left="284" w:hanging="284"/>
        <w:jc w:val="left"/>
        <w:rPr>
          <w:rFonts w:asciiTheme="minorHAnsi" w:hAnsiTheme="minorHAnsi" w:cstheme="minorHAnsi"/>
          <w:szCs w:val="22"/>
        </w:rPr>
      </w:pPr>
      <w:r w:rsidRPr="007411A9">
        <w:rPr>
          <w:rFonts w:asciiTheme="minorHAnsi" w:hAnsiTheme="minorHAnsi" w:cstheme="minorHAnsi"/>
          <w:szCs w:val="22"/>
        </w:rPr>
        <w:t xml:space="preserve">Green, D. (2001) </w:t>
      </w:r>
      <w:proofErr w:type="gramStart"/>
      <w:r w:rsidRPr="007411A9">
        <w:rPr>
          <w:rFonts w:asciiTheme="minorHAnsi" w:hAnsiTheme="minorHAnsi" w:cstheme="minorHAnsi"/>
          <w:szCs w:val="22"/>
        </w:rPr>
        <w:t>The</w:t>
      </w:r>
      <w:proofErr w:type="gramEnd"/>
      <w:r w:rsidRPr="007411A9">
        <w:rPr>
          <w:rFonts w:asciiTheme="minorHAnsi" w:hAnsiTheme="minorHAnsi" w:cstheme="minorHAnsi"/>
          <w:szCs w:val="22"/>
        </w:rPr>
        <w:t xml:space="preserve"> Edward-Wakool System: River Regulation and Environmental Flows. Department of Land and Water Conservation. Unpublished Report.</w:t>
      </w:r>
    </w:p>
    <w:p w:rsidR="007411A9" w:rsidRPr="007411A9" w:rsidRDefault="007411A9" w:rsidP="00311640">
      <w:pPr>
        <w:spacing w:after="0"/>
        <w:ind w:left="284" w:hanging="284"/>
        <w:jc w:val="left"/>
        <w:rPr>
          <w:rFonts w:asciiTheme="minorHAnsi" w:hAnsiTheme="minorHAnsi" w:cstheme="minorHAnsi"/>
          <w:szCs w:val="22"/>
        </w:rPr>
      </w:pPr>
      <w:r w:rsidRPr="007411A9">
        <w:rPr>
          <w:rFonts w:asciiTheme="minorHAnsi" w:hAnsiTheme="minorHAnsi" w:cstheme="minorHAnsi"/>
          <w:szCs w:val="22"/>
        </w:rPr>
        <w:t>Hale and SKM (2011) Environmental Water Delivery: Edward-Wakool. Prepared for Commonwealth</w:t>
      </w:r>
      <w:r>
        <w:rPr>
          <w:rFonts w:asciiTheme="minorHAnsi" w:hAnsiTheme="minorHAnsi" w:cstheme="minorHAnsi"/>
          <w:szCs w:val="22"/>
        </w:rPr>
        <w:t xml:space="preserve"> </w:t>
      </w:r>
      <w:r w:rsidRPr="007411A9">
        <w:rPr>
          <w:rFonts w:asciiTheme="minorHAnsi" w:hAnsiTheme="minorHAnsi" w:cstheme="minorHAnsi"/>
          <w:szCs w:val="22"/>
        </w:rPr>
        <w:t>Environmental Water, Department of Sustainability, Environment, Water, Population and Communities.</w:t>
      </w:r>
    </w:p>
    <w:p w:rsidR="00910B0E" w:rsidRPr="007411A9" w:rsidRDefault="00910B0E" w:rsidP="00311640">
      <w:pPr>
        <w:spacing w:after="0"/>
        <w:ind w:left="284" w:hanging="284"/>
        <w:jc w:val="left"/>
        <w:rPr>
          <w:rFonts w:asciiTheme="minorHAnsi" w:hAnsiTheme="minorHAnsi" w:cstheme="minorHAnsi"/>
          <w:szCs w:val="22"/>
        </w:rPr>
      </w:pPr>
      <w:r w:rsidRPr="007411A9">
        <w:rPr>
          <w:rFonts w:asciiTheme="minorHAnsi" w:hAnsiTheme="minorHAnsi" w:cstheme="minorHAnsi"/>
          <w:szCs w:val="22"/>
        </w:rPr>
        <w:t xml:space="preserve">Koster WM, Crook DA. </w:t>
      </w:r>
      <w:r w:rsidR="007411A9">
        <w:rPr>
          <w:rFonts w:asciiTheme="minorHAnsi" w:hAnsiTheme="minorHAnsi" w:cstheme="minorHAnsi"/>
          <w:szCs w:val="22"/>
        </w:rPr>
        <w:t xml:space="preserve">(2008) </w:t>
      </w:r>
      <w:r w:rsidRPr="007411A9">
        <w:rPr>
          <w:rFonts w:asciiTheme="minorHAnsi" w:hAnsiTheme="minorHAnsi" w:cstheme="minorHAnsi"/>
          <w:szCs w:val="22"/>
        </w:rPr>
        <w:t xml:space="preserve">Diurnal and nocturnal movements of river blackfish (Gadopsis marmoratus) in a south-eastern Australian upland stream. </w:t>
      </w:r>
      <w:r w:rsidR="007411A9">
        <w:rPr>
          <w:rFonts w:asciiTheme="minorHAnsi" w:hAnsiTheme="minorHAnsi" w:cstheme="minorHAnsi"/>
          <w:szCs w:val="22"/>
        </w:rPr>
        <w:t>Ecology of Freshwater Fish</w:t>
      </w:r>
      <w:r w:rsidRPr="007411A9">
        <w:rPr>
          <w:rFonts w:asciiTheme="minorHAnsi" w:hAnsiTheme="minorHAnsi" w:cstheme="minorHAnsi"/>
          <w:szCs w:val="22"/>
        </w:rPr>
        <w:t xml:space="preserve"> 17: 146–154.</w:t>
      </w:r>
    </w:p>
    <w:p w:rsidR="00910B0E" w:rsidRPr="007411A9" w:rsidRDefault="00910B0E" w:rsidP="00311640">
      <w:pPr>
        <w:spacing w:after="0"/>
        <w:ind w:left="284" w:hanging="284"/>
        <w:jc w:val="left"/>
        <w:rPr>
          <w:rFonts w:asciiTheme="minorHAnsi" w:hAnsiTheme="minorHAnsi" w:cstheme="minorHAnsi"/>
          <w:szCs w:val="22"/>
        </w:rPr>
      </w:pPr>
      <w:r w:rsidRPr="007411A9">
        <w:rPr>
          <w:rFonts w:asciiTheme="minorHAnsi" w:hAnsiTheme="minorHAnsi" w:cstheme="minorHAnsi"/>
          <w:szCs w:val="22"/>
        </w:rPr>
        <w:t>Khan MT, Khan TA, Wilson ME. Habitat use and movement of river blackfish (Gadopsis marmoratus R.) in a highly modified Victorian stream, Australia. Ecology of Freshwater Fish 2004: 13: 285–293.</w:t>
      </w:r>
    </w:p>
    <w:p w:rsidR="00910B0E" w:rsidRPr="007411A9" w:rsidRDefault="00910B0E" w:rsidP="00311640">
      <w:pPr>
        <w:spacing w:after="0"/>
        <w:ind w:left="284" w:hanging="284"/>
        <w:jc w:val="left"/>
        <w:rPr>
          <w:rFonts w:asciiTheme="minorHAnsi" w:hAnsiTheme="minorHAnsi" w:cstheme="minorHAnsi"/>
          <w:szCs w:val="22"/>
        </w:rPr>
      </w:pPr>
      <w:r w:rsidRPr="007411A9">
        <w:rPr>
          <w:rFonts w:asciiTheme="minorHAnsi" w:hAnsiTheme="minorHAnsi" w:cstheme="minorHAnsi"/>
          <w:szCs w:val="22"/>
        </w:rPr>
        <w:t>Thoms</w:t>
      </w:r>
      <w:r w:rsidR="001B2C5A" w:rsidRPr="007411A9">
        <w:rPr>
          <w:rFonts w:asciiTheme="minorHAnsi" w:hAnsiTheme="minorHAnsi" w:cstheme="minorHAnsi"/>
          <w:szCs w:val="22"/>
        </w:rPr>
        <w:t xml:space="preserve"> M, Suter P., Roberts J., Koehn J., Jones G., Hillman T. and Close G. (</w:t>
      </w:r>
      <w:r w:rsidRPr="007411A9">
        <w:rPr>
          <w:rFonts w:asciiTheme="minorHAnsi" w:hAnsiTheme="minorHAnsi" w:cstheme="minorHAnsi"/>
          <w:szCs w:val="22"/>
        </w:rPr>
        <w:t>2000</w:t>
      </w:r>
      <w:r w:rsidR="001B2C5A" w:rsidRPr="007411A9">
        <w:rPr>
          <w:rFonts w:asciiTheme="minorHAnsi" w:hAnsiTheme="minorHAnsi" w:cstheme="minorHAnsi"/>
          <w:szCs w:val="22"/>
        </w:rPr>
        <w:t>) Report of the River Murray scientific Panel on Environmental Flows. River Murray – Dartmouth to wellington and the Lower Darling River. Murray-Darling Basin Commission, Canberra.</w:t>
      </w:r>
    </w:p>
    <w:p w:rsidR="007411A9" w:rsidRPr="00BC675D" w:rsidRDefault="007411A9" w:rsidP="00311640">
      <w:pPr>
        <w:spacing w:after="0"/>
        <w:ind w:left="284" w:hanging="284"/>
        <w:jc w:val="left"/>
        <w:rPr>
          <w:rFonts w:asciiTheme="minorHAnsi" w:hAnsiTheme="minorHAnsi" w:cstheme="minorHAnsi"/>
          <w:szCs w:val="22"/>
        </w:rPr>
      </w:pPr>
      <w:r w:rsidRPr="00BC675D">
        <w:rPr>
          <w:rFonts w:asciiTheme="minorHAnsi" w:hAnsiTheme="minorHAnsi" w:cstheme="minorHAnsi"/>
          <w:szCs w:val="22"/>
        </w:rPr>
        <w:t>Watts, R.J., McCasker, N., Baumgartner, L., Bowen, P., Burns, A., Conallin, A., Dyer, J.G., Grace, M., Healy, S., Howitt, J.A., Kopf, R.K., Wassens, S., Watkins, S., Wooden I. (2013b) Monitoring the ecosystem responses to Commonwealth environmental water delivered to the Edward-Wakool river system, 2012-13. Institute for Land, Water and Society, Charles Sturt University, Final Report. Prepared for Commonwealth Environmental Water.</w:t>
      </w:r>
    </w:p>
    <w:p w:rsidR="007411A9" w:rsidRDefault="007411A9" w:rsidP="00915FE5">
      <w:pPr>
        <w:spacing w:after="0"/>
        <w:ind w:left="284" w:hanging="284"/>
        <w:jc w:val="left"/>
        <w:rPr>
          <w:rFonts w:asciiTheme="minorHAnsi" w:hAnsiTheme="minorHAnsi" w:cstheme="minorHAnsi"/>
          <w:szCs w:val="22"/>
        </w:rPr>
      </w:pPr>
      <w:r w:rsidRPr="00BC675D">
        <w:rPr>
          <w:rFonts w:asciiTheme="minorHAnsi" w:hAnsiTheme="minorHAnsi" w:cstheme="minorHAnsi"/>
          <w:szCs w:val="22"/>
        </w:rPr>
        <w:t>Watts, R.J., McCasker, N., Thiem, J., Howitt, J.A., Grace, M. Healy, S., Kopf, R.K., Dyer, J.G., Conallin, A., Wooden I., Baumgartner L., Bowen P. 2014</w:t>
      </w:r>
      <w:r w:rsidR="00FC7FF8">
        <w:rPr>
          <w:rFonts w:asciiTheme="minorHAnsi" w:hAnsiTheme="minorHAnsi" w:cstheme="minorHAnsi"/>
          <w:szCs w:val="22"/>
        </w:rPr>
        <w:t>a</w:t>
      </w:r>
      <w:r w:rsidRPr="00BC675D">
        <w:rPr>
          <w:rFonts w:asciiTheme="minorHAnsi" w:hAnsiTheme="minorHAnsi" w:cstheme="minorHAnsi"/>
          <w:szCs w:val="22"/>
        </w:rPr>
        <w:t>. Monitoring the ecosystem responses to Commonwealth environmental water delivered to the Edward-Wakool river system, 2013-14. Institute for Land, Water and Society, Charles Sturt University, Final Report. Prepared for Commonwealth Environmental Water Office.</w:t>
      </w:r>
    </w:p>
    <w:p w:rsidR="00915FE5" w:rsidRPr="00915FE5" w:rsidRDefault="00915FE5" w:rsidP="00915FE5">
      <w:pPr>
        <w:spacing w:after="0"/>
        <w:ind w:left="567" w:right="-1" w:hanging="567"/>
        <w:rPr>
          <w:rFonts w:asciiTheme="minorHAnsi" w:hAnsiTheme="minorHAnsi" w:cstheme="minorHAnsi"/>
          <w:szCs w:val="22"/>
        </w:rPr>
      </w:pPr>
      <w:r w:rsidRPr="00915FE5">
        <w:rPr>
          <w:rFonts w:asciiTheme="minorHAnsi" w:hAnsiTheme="minorHAnsi" w:cstheme="minorHAnsi"/>
          <w:szCs w:val="22"/>
        </w:rPr>
        <w:t>Watts, R.J. (2014a). Long term intervention monitoring project, Edward-Wakool River System Selected Area, Progress Report number 1, 3 October 2014. Charles Sturt University, Institute for Land, Water and Society. Prepared for the Commonwealth Environmental Water Office.</w:t>
      </w:r>
    </w:p>
    <w:p w:rsidR="00915FE5" w:rsidRPr="00915FE5" w:rsidRDefault="00915FE5" w:rsidP="00915FE5">
      <w:pPr>
        <w:spacing w:after="0"/>
        <w:ind w:left="567" w:right="-1" w:hanging="567"/>
        <w:rPr>
          <w:rFonts w:asciiTheme="minorHAnsi" w:hAnsiTheme="minorHAnsi" w:cstheme="minorHAnsi"/>
          <w:szCs w:val="22"/>
        </w:rPr>
      </w:pPr>
      <w:r w:rsidRPr="00915FE5">
        <w:rPr>
          <w:rFonts w:asciiTheme="minorHAnsi" w:hAnsiTheme="minorHAnsi" w:cstheme="minorHAnsi"/>
          <w:szCs w:val="22"/>
        </w:rPr>
        <w:t>Watts, R.J. (2014b). Long term intervention monitoring project, Edward-Wakool River System Selected Area, Progress Report number 2, 18 December 2014. Charles Sturt University, Institute for Land, Water and Society. Prepared for the Commonwealth Environmental Water Office.</w:t>
      </w:r>
    </w:p>
    <w:p w:rsidR="00915FE5" w:rsidRPr="00915FE5" w:rsidRDefault="00915FE5" w:rsidP="00915FE5">
      <w:pPr>
        <w:spacing w:after="0"/>
        <w:ind w:left="567" w:right="-1" w:hanging="567"/>
        <w:rPr>
          <w:rFonts w:asciiTheme="minorHAnsi" w:hAnsiTheme="minorHAnsi" w:cstheme="minorHAnsi"/>
          <w:szCs w:val="22"/>
        </w:rPr>
      </w:pPr>
      <w:r w:rsidRPr="00915FE5">
        <w:rPr>
          <w:rFonts w:asciiTheme="minorHAnsi" w:hAnsiTheme="minorHAnsi" w:cstheme="minorHAnsi"/>
          <w:szCs w:val="22"/>
        </w:rPr>
        <w:t>Watts, R.J. (2015). Long term intervention monitoring project, Edward-Wakool River System Selected Area, Progress Report number 3, March 2015. Charles Sturt University, Institute for Land, Water and Society. Prepared for the Commonwealth Environmental Water Office.</w:t>
      </w:r>
    </w:p>
    <w:p w:rsidR="000D666F" w:rsidRDefault="000D666F">
      <w:pPr>
        <w:spacing w:after="0" w:line="240" w:lineRule="auto"/>
        <w:jc w:val="left"/>
        <w:rPr>
          <w:rFonts w:eastAsia="Times New Roman"/>
          <w:b/>
          <w:smallCaps/>
          <w:noProof/>
          <w:color w:val="4F6228"/>
          <w:spacing w:val="5"/>
          <w:sz w:val="40"/>
          <w:szCs w:val="40"/>
          <w:lang w:val="en-US" w:eastAsia="en-AU"/>
        </w:rPr>
      </w:pPr>
    </w:p>
    <w:p w:rsidR="00AA1B14" w:rsidRDefault="00AA1B14" w:rsidP="00ED6D80">
      <w:pPr>
        <w:pStyle w:val="MurrumH1"/>
      </w:pPr>
      <w:bookmarkStart w:id="69" w:name="_Toc450199559"/>
      <w:r w:rsidRPr="00FD79A0">
        <w:t>Acknowledgements</w:t>
      </w:r>
      <w:bookmarkEnd w:id="69"/>
    </w:p>
    <w:p w:rsidR="000552CC" w:rsidRPr="00616460" w:rsidRDefault="000552CC" w:rsidP="00311640">
      <w:pPr>
        <w:pStyle w:val="NoSpacing"/>
        <w:spacing w:line="360" w:lineRule="auto"/>
        <w:jc w:val="left"/>
      </w:pPr>
      <w:r w:rsidRPr="00616460">
        <w:t>We respectfully acknowledge the Traditional Owners, their Elders past and present, their Nations of the Murray–Darling Basin, and their cultural, social, environmental, spiritual and economic connection to their lands and waters.</w:t>
      </w:r>
    </w:p>
    <w:p w:rsidR="000552CC" w:rsidRPr="00616460" w:rsidRDefault="000552CC" w:rsidP="00971EE2">
      <w:pPr>
        <w:pStyle w:val="NoSpacing"/>
        <w:spacing w:line="360" w:lineRule="auto"/>
      </w:pPr>
    </w:p>
    <w:p w:rsidR="00B60A33" w:rsidRPr="00B60A33" w:rsidRDefault="000D666F" w:rsidP="00311640">
      <w:pPr>
        <w:pStyle w:val="NoSpacing"/>
        <w:spacing w:line="360" w:lineRule="auto"/>
        <w:jc w:val="left"/>
      </w:pPr>
      <w:r w:rsidRPr="002E3B49">
        <w:t xml:space="preserve">We extend our thanks </w:t>
      </w:r>
      <w:r>
        <w:t xml:space="preserve">to the Wakool River Association, the Edward-Wakool Anglers Association </w:t>
      </w:r>
      <w:r w:rsidRPr="002E3B49">
        <w:t xml:space="preserve">and landholders in the Edward-Wakool river system for allowing access to their properties and for their keen interest in this project. </w:t>
      </w:r>
      <w:r w:rsidR="005D7104" w:rsidRPr="00616460">
        <w:t>C</w:t>
      </w:r>
      <w:r w:rsidR="000C13D2" w:rsidRPr="00616460">
        <w:t xml:space="preserve">ommunity liaison </w:t>
      </w:r>
      <w:r w:rsidR="005D7104" w:rsidRPr="00616460">
        <w:t>was</w:t>
      </w:r>
      <w:r w:rsidR="000C13D2" w:rsidRPr="00616460">
        <w:t xml:space="preserve"> </w:t>
      </w:r>
      <w:r w:rsidR="002E3B49" w:rsidRPr="00616460">
        <w:t>undertaken</w:t>
      </w:r>
      <w:r w:rsidR="000C13D2" w:rsidRPr="00616460">
        <w:t xml:space="preserve"> by staff </w:t>
      </w:r>
      <w:r w:rsidR="005D7104" w:rsidRPr="00616460">
        <w:t>from</w:t>
      </w:r>
      <w:r w:rsidR="000C13D2" w:rsidRPr="00616460">
        <w:t xml:space="preserve"> the Murray </w:t>
      </w:r>
      <w:r w:rsidR="00724DF7" w:rsidRPr="00616460">
        <w:t>Local Land Services</w:t>
      </w:r>
      <w:r w:rsidR="000C13D2" w:rsidRPr="00616460">
        <w:t xml:space="preserve">, with particular thanks to </w:t>
      </w:r>
      <w:r w:rsidR="001F1D8E" w:rsidRPr="00616460">
        <w:t>Josh Campbell</w:t>
      </w:r>
      <w:r w:rsidR="000C13D2" w:rsidRPr="00616460">
        <w:t xml:space="preserve">. </w:t>
      </w:r>
      <w:r w:rsidR="005D7104" w:rsidRPr="00616460">
        <w:t xml:space="preserve">We particularly thank </w:t>
      </w:r>
      <w:r w:rsidR="000C13D2" w:rsidRPr="00616460">
        <w:t>James Abell</w:t>
      </w:r>
      <w:r w:rsidR="002E3B49" w:rsidRPr="00616460">
        <w:t xml:space="preserve"> and Chris Smith </w:t>
      </w:r>
      <w:r w:rsidR="005D7104" w:rsidRPr="00616460">
        <w:t xml:space="preserve">who </w:t>
      </w:r>
      <w:r w:rsidR="002E3B49" w:rsidRPr="00616460">
        <w:t>undertook the majority of the field work. Assistance with fi</w:t>
      </w:r>
      <w:r w:rsidR="002E3B49" w:rsidRPr="000D666F">
        <w:t xml:space="preserve">eldwork and/or laboratory work </w:t>
      </w:r>
      <w:r w:rsidR="005D7104" w:rsidRPr="000D666F">
        <w:t xml:space="preserve">was undertaken </w:t>
      </w:r>
      <w:r w:rsidR="002E3B49" w:rsidRPr="000D666F">
        <w:t xml:space="preserve">by </w:t>
      </w:r>
      <w:r w:rsidR="00BB4BDE" w:rsidRPr="00BB4BDE">
        <w:t xml:space="preserve">James Abell, Tom Butterfield, </w:t>
      </w:r>
      <w:r w:rsidR="000C13D2" w:rsidRPr="00BB4BDE">
        <w:t xml:space="preserve">Josh Campbell, Jonathon Doyle, </w:t>
      </w:r>
      <w:r w:rsidR="00BB4BDE" w:rsidRPr="00BB4BDE">
        <w:t xml:space="preserve">Peter Graham, Duncan McLay, Timothy McGarry, Glenn Miller, Sean Lethlean, </w:t>
      </w:r>
      <w:r w:rsidR="00B7063F" w:rsidRPr="00BB4BDE">
        <w:t xml:space="preserve">Kate Martin, </w:t>
      </w:r>
      <w:r w:rsidR="00BB4BDE" w:rsidRPr="00BB4BDE">
        <w:t xml:space="preserve">Rod Martin, </w:t>
      </w:r>
      <w:r w:rsidR="000C13D2" w:rsidRPr="00BB4BDE">
        <w:t xml:space="preserve">Rohan Rehwinkel, </w:t>
      </w:r>
      <w:r w:rsidR="00BB4BDE" w:rsidRPr="00BB4BDE">
        <w:t xml:space="preserve">Chris Smith, </w:t>
      </w:r>
      <w:r w:rsidR="001E0492">
        <w:t xml:space="preserve">Lachlan Webster, </w:t>
      </w:r>
      <w:r w:rsidR="00BB4BDE" w:rsidRPr="00BB4BDE">
        <w:t xml:space="preserve">John St Vincent Welch, </w:t>
      </w:r>
      <w:r w:rsidR="00B05953">
        <w:t xml:space="preserve">and </w:t>
      </w:r>
      <w:r w:rsidR="00BB4BDE" w:rsidRPr="00BB4BDE">
        <w:t>Ian Wooden</w:t>
      </w:r>
      <w:r w:rsidR="000C13D2" w:rsidRPr="000D666F">
        <w:t xml:space="preserve">. </w:t>
      </w:r>
      <w:r w:rsidR="000C13D2" w:rsidRPr="00EF7FBC">
        <w:t>Maps were prepared by Simon McDonald</w:t>
      </w:r>
      <w:r w:rsidR="00FC132F" w:rsidRPr="00EF7FBC">
        <w:t xml:space="preserve"> and Deanna Duffy</w:t>
      </w:r>
      <w:r w:rsidR="000C13D2" w:rsidRPr="00EF7FBC">
        <w:t xml:space="preserve"> (Charles Sturt University Spatial Analysis Unit), </w:t>
      </w:r>
      <w:r w:rsidR="00B7063F" w:rsidRPr="00EF7FBC">
        <w:t xml:space="preserve">Rod </w:t>
      </w:r>
      <w:r w:rsidR="00B7063F" w:rsidRPr="000D666F">
        <w:t xml:space="preserve">Martin </w:t>
      </w:r>
      <w:r w:rsidR="000C13D2" w:rsidRPr="000D666F">
        <w:t>(NSW DPI) and Ian Wooden (NSW DPI). Tina Hines at the Monash University Water Studies Centre processed carbon and nutrient samples. Fish sampling was carried out under NSW Fisheries license (P11/0003-1.0) and approved by the CSU Animal Care and Ethics Committee (10/101). This project</w:t>
      </w:r>
      <w:r w:rsidR="000C13D2" w:rsidRPr="00EF7FBC">
        <w:t xml:space="preserve"> was funded by </w:t>
      </w:r>
      <w:r w:rsidR="000552CC" w:rsidRPr="00EF7FBC">
        <w:t xml:space="preserve">the </w:t>
      </w:r>
      <w:r w:rsidR="000C13D2" w:rsidRPr="00EF7FBC">
        <w:t xml:space="preserve">Commonwealth Environmental Water </w:t>
      </w:r>
      <w:r w:rsidR="000552CC" w:rsidRPr="00EF7FBC">
        <w:t xml:space="preserve">Office </w:t>
      </w:r>
      <w:r w:rsidR="000C13D2" w:rsidRPr="00EF7FBC">
        <w:t xml:space="preserve">with in-kind contributions from Charles Sturt University, Murray </w:t>
      </w:r>
      <w:r w:rsidR="00724DF7" w:rsidRPr="00EF7FBC">
        <w:t>Local Land Services</w:t>
      </w:r>
      <w:r w:rsidR="000C13D2" w:rsidRPr="00EF7FBC">
        <w:t>, NSW</w:t>
      </w:r>
      <w:r w:rsidR="00D40942" w:rsidRPr="00EF7FBC">
        <w:t xml:space="preserve"> Department of Primary Industries</w:t>
      </w:r>
      <w:r w:rsidR="000C13D2" w:rsidRPr="00EF7FBC">
        <w:t>, Monash University and NSW Office of Environment and Heritage.</w:t>
      </w:r>
    </w:p>
    <w:p w:rsidR="00B4781A" w:rsidRPr="00981D26" w:rsidRDefault="00B4781A" w:rsidP="00981D26">
      <w:pPr>
        <w:spacing w:after="0" w:line="240" w:lineRule="auto"/>
        <w:jc w:val="left"/>
        <w:rPr>
          <w:rFonts w:eastAsia="Times New Roman"/>
          <w:b/>
          <w:smallCaps/>
          <w:noProof/>
          <w:color w:val="000000" w:themeColor="text1"/>
          <w:spacing w:val="5"/>
          <w:szCs w:val="22"/>
          <w:lang w:val="en-US" w:eastAsia="en-AU"/>
        </w:rPr>
      </w:pPr>
    </w:p>
    <w:sectPr w:rsidR="00B4781A" w:rsidRPr="00981D26" w:rsidSect="00116BE4">
      <w:pgSz w:w="11906" w:h="16838"/>
      <w:pgMar w:top="1247" w:right="1134" w:bottom="1701"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7684C" w:rsidRDefault="0097684C" w:rsidP="003D4358">
      <w:pPr>
        <w:spacing w:after="0" w:line="240" w:lineRule="auto"/>
      </w:pPr>
      <w:r>
        <w:separator/>
      </w:r>
    </w:p>
  </w:endnote>
  <w:endnote w:type="continuationSeparator" w:id="0">
    <w:p w:rsidR="0097684C" w:rsidRDefault="0097684C" w:rsidP="003D435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Arial Bold">
    <w:panose1 w:val="020B070402020202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eridien-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Neue LT 45 Lt">
    <w:altName w:val="HelveticaNeue LT 45 Lt"/>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Georgia">
    <w:panose1 w:val="02040502050405020303"/>
    <w:charset w:val="00"/>
    <w:family w:val="roman"/>
    <w:pitch w:val="variable"/>
    <w:sig w:usb0="00000287" w:usb1="00000000" w:usb2="00000000" w:usb3="00000000" w:csb0="0000009F" w:csb1="00000000"/>
  </w:font>
  <w:font w:name="AdvPSPAL-R">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dvPSSym">
    <w:panose1 w:val="00000000000000000000"/>
    <w:charset w:val="00"/>
    <w:family w:val="auto"/>
    <w:notTrueType/>
    <w:pitch w:val="default"/>
    <w:sig w:usb0="00000003" w:usb1="00000000" w:usb2="00000000" w:usb3="00000000" w:csb0="00000001" w:csb1="00000000"/>
  </w:font>
  <w:font w:name="AdvTimes">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684C" w:rsidRDefault="00F671D2">
    <w:pPr>
      <w:pStyle w:val="Footer"/>
      <w:jc w:val="right"/>
    </w:pPr>
    <w:fldSimple w:instr=" PAGE   \* MERGEFORMAT ">
      <w:r w:rsidR="0097684C">
        <w:rPr>
          <w:noProof/>
        </w:rPr>
        <w:t>1</w:t>
      </w:r>
    </w:fldSimple>
  </w:p>
  <w:p w:rsidR="0097684C" w:rsidRDefault="0097684C">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684C" w:rsidRDefault="00F671D2" w:rsidP="00F26112">
    <w:pPr>
      <w:pStyle w:val="Footer"/>
      <w:tabs>
        <w:tab w:val="right" w:pos="9071"/>
      </w:tabs>
      <w:jc w:val="center"/>
    </w:pPr>
    <w:fldSimple w:instr=" PAGE   \* MERGEFORMAT ">
      <w:r w:rsidR="00032E93">
        <w:rPr>
          <w:noProof/>
        </w:rPr>
        <w:t>ii</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32E93" w:rsidRDefault="00032E93">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95483169"/>
      <w:docPartObj>
        <w:docPartGallery w:val="Page Numbers (Bottom of Page)"/>
        <w:docPartUnique/>
      </w:docPartObj>
    </w:sdtPr>
    <w:sdtEndPr>
      <w:rPr>
        <w:noProof/>
      </w:rPr>
    </w:sdtEndPr>
    <w:sdtContent>
      <w:p w:rsidR="0097684C" w:rsidRDefault="00F671D2">
        <w:pPr>
          <w:pStyle w:val="Footer"/>
          <w:jc w:val="center"/>
        </w:pPr>
        <w:fldSimple w:instr=" PAGE   \* MERGEFORMAT ">
          <w:r w:rsidR="00032E93">
            <w:rPr>
              <w:noProof/>
            </w:rPr>
            <w:t>145</w:t>
          </w:r>
        </w:fldSimple>
      </w:p>
    </w:sdtContent>
  </w:sdt>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684C" w:rsidRDefault="00F671D2" w:rsidP="00ED6D80">
    <w:pPr>
      <w:pStyle w:val="Footer"/>
      <w:spacing w:line="240" w:lineRule="auto"/>
      <w:jc w:val="center"/>
    </w:pPr>
    <w:fldSimple w:instr=" PAGE   \* MERGEFORMAT ">
      <w:r w:rsidR="00032E93">
        <w:rPr>
          <w:noProof/>
        </w:rPr>
        <w:t>184</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7684C" w:rsidRDefault="0097684C" w:rsidP="003D4358">
      <w:pPr>
        <w:spacing w:after="0" w:line="240" w:lineRule="auto"/>
      </w:pPr>
      <w:r>
        <w:separator/>
      </w:r>
    </w:p>
  </w:footnote>
  <w:footnote w:type="continuationSeparator" w:id="0">
    <w:p w:rsidR="0097684C" w:rsidRDefault="0097684C" w:rsidP="003D435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32E93" w:rsidRDefault="00032E93">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684C" w:rsidRPr="00A15430" w:rsidRDefault="0097684C" w:rsidP="006470AD">
    <w:pPr>
      <w:pBdr>
        <w:bottom w:val="single" w:sz="4" w:space="1" w:color="auto"/>
      </w:pBdr>
      <w:spacing w:line="240" w:lineRule="auto"/>
      <w:rPr>
        <w:b/>
        <w:bCs/>
        <w:i/>
        <w:sz w:val="20"/>
      </w:rPr>
    </w:pPr>
    <w:r w:rsidRPr="008C6047">
      <w:rPr>
        <w:b/>
        <w:bCs/>
        <w:i/>
        <w:sz w:val="20"/>
      </w:rPr>
      <w:t>Watts, R.J. et al. (2015).</w:t>
    </w:r>
    <w:r w:rsidRPr="001B2C5A">
      <w:rPr>
        <w:b/>
        <w:bCs/>
        <w:i/>
        <w:sz w:val="20"/>
      </w:rPr>
      <w:t xml:space="preserve"> Commonwealth Environmental Water Office Long Term Intervention Monitoring Project: Edward-Wakool Selected Area Technical Report, 2014-15</w:t>
    </w:r>
    <w:r w:rsidRPr="008C6047">
      <w:rPr>
        <w:b/>
        <w:bCs/>
        <w:i/>
        <w:sz w:val="20"/>
      </w:rPr>
      <w:t>.</w:t>
    </w:r>
    <w:r>
      <w:rPr>
        <w:b/>
        <w:bCs/>
        <w:i/>
        <w:sz w:val="20"/>
      </w:rPr>
      <w:t xml:space="preserve">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684C" w:rsidRDefault="0097684C" w:rsidP="00D63BA5">
    <w:pPr>
      <w:pStyle w:val="Header"/>
      <w:ind w:left="-70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416883E6"/>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2">
    <w:nsid w:val="00CD79F1"/>
    <w:multiLevelType w:val="hybridMultilevel"/>
    <w:tmpl w:val="B0F091EA"/>
    <w:lvl w:ilvl="0" w:tplc="F15CD80C">
      <w:start w:val="1"/>
      <w:numFmt w:val="decimal"/>
      <w:pStyle w:val="TableNew"/>
      <w:lvlText w:val="Table %1."/>
      <w:lvlJc w:val="left"/>
      <w:pPr>
        <w:tabs>
          <w:tab w:val="num" w:pos="1134"/>
        </w:tabs>
        <w:ind w:left="1134" w:hanging="1134"/>
      </w:pPr>
      <w:rPr>
        <w:rFonts w:ascii="Arial Bold" w:hAnsi="Arial Bold" w:hint="default"/>
        <w:b/>
        <w:i w:val="0"/>
        <w:sz w:val="18"/>
        <w:szCs w:val="18"/>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
    <w:nsid w:val="0ACD1F03"/>
    <w:multiLevelType w:val="hybridMultilevel"/>
    <w:tmpl w:val="E49249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AFA5CBA"/>
    <w:multiLevelType w:val="hybridMultilevel"/>
    <w:tmpl w:val="47C6FD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0B8C2F65"/>
    <w:multiLevelType w:val="hybridMultilevel"/>
    <w:tmpl w:val="461AD84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0E917A08"/>
    <w:multiLevelType w:val="hybridMultilevel"/>
    <w:tmpl w:val="6EB451D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nsid w:val="127E2123"/>
    <w:multiLevelType w:val="multilevel"/>
    <w:tmpl w:val="DEEC8C18"/>
    <w:name w:val="StandardBulletedList"/>
    <w:lvl w:ilvl="0">
      <w:start w:val="1"/>
      <w:numFmt w:val="bullet"/>
      <w:lvlText w:val=""/>
      <w:lvlJc w:val="left"/>
      <w:pPr>
        <w:tabs>
          <w:tab w:val="num" w:pos="3918"/>
        </w:tabs>
        <w:ind w:left="3918" w:hanging="360"/>
      </w:pPr>
      <w:rPr>
        <w:rFonts w:ascii="Symbol" w:hAnsi="Symbol" w:hint="default"/>
        <w:sz w:val="20"/>
      </w:rPr>
    </w:lvl>
    <w:lvl w:ilvl="1">
      <w:start w:val="1"/>
      <w:numFmt w:val="decimal"/>
      <w:lvlText w:val="%2."/>
      <w:lvlJc w:val="left"/>
      <w:pPr>
        <w:tabs>
          <w:tab w:val="num" w:pos="4638"/>
        </w:tabs>
        <w:ind w:left="4638" w:hanging="360"/>
      </w:pPr>
    </w:lvl>
    <w:lvl w:ilvl="2">
      <w:start w:val="1"/>
      <w:numFmt w:val="decimal"/>
      <w:lvlText w:val="%3."/>
      <w:lvlJc w:val="left"/>
      <w:pPr>
        <w:tabs>
          <w:tab w:val="num" w:pos="5358"/>
        </w:tabs>
        <w:ind w:left="5358" w:hanging="360"/>
      </w:pPr>
    </w:lvl>
    <w:lvl w:ilvl="3">
      <w:start w:val="1"/>
      <w:numFmt w:val="decimal"/>
      <w:lvlText w:val="%4."/>
      <w:lvlJc w:val="left"/>
      <w:pPr>
        <w:tabs>
          <w:tab w:val="num" w:pos="6078"/>
        </w:tabs>
        <w:ind w:left="6078" w:hanging="360"/>
      </w:pPr>
    </w:lvl>
    <w:lvl w:ilvl="4">
      <w:start w:val="1"/>
      <w:numFmt w:val="decimal"/>
      <w:lvlText w:val="%5."/>
      <w:lvlJc w:val="left"/>
      <w:pPr>
        <w:tabs>
          <w:tab w:val="num" w:pos="6798"/>
        </w:tabs>
        <w:ind w:left="6798" w:hanging="360"/>
      </w:pPr>
    </w:lvl>
    <w:lvl w:ilvl="5">
      <w:start w:val="1"/>
      <w:numFmt w:val="decimal"/>
      <w:lvlText w:val="%6."/>
      <w:lvlJc w:val="left"/>
      <w:pPr>
        <w:tabs>
          <w:tab w:val="num" w:pos="7518"/>
        </w:tabs>
        <w:ind w:left="7518" w:hanging="360"/>
      </w:pPr>
    </w:lvl>
    <w:lvl w:ilvl="6">
      <w:start w:val="1"/>
      <w:numFmt w:val="decimal"/>
      <w:lvlText w:val="%7."/>
      <w:lvlJc w:val="left"/>
      <w:pPr>
        <w:tabs>
          <w:tab w:val="num" w:pos="8238"/>
        </w:tabs>
        <w:ind w:left="8238" w:hanging="360"/>
      </w:pPr>
    </w:lvl>
    <w:lvl w:ilvl="7">
      <w:start w:val="1"/>
      <w:numFmt w:val="decimal"/>
      <w:lvlText w:val="%8."/>
      <w:lvlJc w:val="left"/>
      <w:pPr>
        <w:tabs>
          <w:tab w:val="num" w:pos="8958"/>
        </w:tabs>
        <w:ind w:left="8958" w:hanging="360"/>
      </w:pPr>
    </w:lvl>
    <w:lvl w:ilvl="8">
      <w:start w:val="1"/>
      <w:numFmt w:val="decimal"/>
      <w:lvlText w:val="%9."/>
      <w:lvlJc w:val="left"/>
      <w:pPr>
        <w:tabs>
          <w:tab w:val="num" w:pos="9678"/>
        </w:tabs>
        <w:ind w:left="9678" w:hanging="360"/>
      </w:pPr>
    </w:lvl>
  </w:abstractNum>
  <w:abstractNum w:abstractNumId="8">
    <w:nsid w:val="162675E7"/>
    <w:multiLevelType w:val="hybridMultilevel"/>
    <w:tmpl w:val="D5DCEA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1E9858D9"/>
    <w:multiLevelType w:val="hybridMultilevel"/>
    <w:tmpl w:val="76F27F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1F87285E"/>
    <w:multiLevelType w:val="hybridMultilevel"/>
    <w:tmpl w:val="86865C32"/>
    <w:lvl w:ilvl="0" w:tplc="811C705A">
      <w:start w:val="2"/>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21394E60"/>
    <w:multiLevelType w:val="hybridMultilevel"/>
    <w:tmpl w:val="B5F626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22E55ECB"/>
    <w:multiLevelType w:val="hybridMultilevel"/>
    <w:tmpl w:val="37B477EC"/>
    <w:lvl w:ilvl="0" w:tplc="0C090001">
      <w:start w:val="1"/>
      <w:numFmt w:val="bullet"/>
      <w:lvlText w:val=""/>
      <w:lvlJc w:val="left"/>
      <w:pPr>
        <w:ind w:left="720" w:hanging="360"/>
      </w:pPr>
      <w:rPr>
        <w:rFonts w:ascii="Symbol" w:hAnsi="Symbol" w:hint="default"/>
      </w:rPr>
    </w:lvl>
    <w:lvl w:ilvl="1" w:tplc="C9963BAA">
      <w:numFmt w:val="bullet"/>
      <w:lvlText w:val="•"/>
      <w:lvlJc w:val="left"/>
      <w:pPr>
        <w:ind w:left="1440" w:hanging="360"/>
      </w:pPr>
      <w:rPr>
        <w:rFonts w:ascii="Meridien-Roman" w:eastAsia="Calibri" w:hAnsi="Meridien-Roman" w:cs="Meridien-Roman"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236476FE"/>
    <w:multiLevelType w:val="hybridMultilevel"/>
    <w:tmpl w:val="73CA72C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24867081"/>
    <w:multiLevelType w:val="hybridMultilevel"/>
    <w:tmpl w:val="B7A482C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nsid w:val="266C3473"/>
    <w:multiLevelType w:val="hybridMultilevel"/>
    <w:tmpl w:val="A2C4D2C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29EB445E"/>
    <w:multiLevelType w:val="hybridMultilevel"/>
    <w:tmpl w:val="8FDEC2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nsid w:val="3B445697"/>
    <w:multiLevelType w:val="hybridMultilevel"/>
    <w:tmpl w:val="FE548FD6"/>
    <w:lvl w:ilvl="0" w:tplc="0C090001">
      <w:start w:val="1"/>
      <w:numFmt w:val="bullet"/>
      <w:lvlText w:val=""/>
      <w:lvlJc w:val="left"/>
      <w:pPr>
        <w:ind w:left="2160" w:hanging="360"/>
      </w:pPr>
      <w:rPr>
        <w:rFonts w:ascii="Symbol" w:hAnsi="Symbol" w:hint="default"/>
      </w:rPr>
    </w:lvl>
    <w:lvl w:ilvl="1" w:tplc="0C090003">
      <w:start w:val="1"/>
      <w:numFmt w:val="bullet"/>
      <w:lvlText w:val="o"/>
      <w:lvlJc w:val="left"/>
      <w:pPr>
        <w:ind w:left="2880" w:hanging="360"/>
      </w:pPr>
      <w:rPr>
        <w:rFonts w:ascii="Courier New" w:hAnsi="Courier New" w:cs="Courier New" w:hint="default"/>
      </w:rPr>
    </w:lvl>
    <w:lvl w:ilvl="2" w:tplc="0C090005">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8">
    <w:nsid w:val="3D6D3EEB"/>
    <w:multiLevelType w:val="hybridMultilevel"/>
    <w:tmpl w:val="00B6BD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3DAD5C99"/>
    <w:multiLevelType w:val="hybridMultilevel"/>
    <w:tmpl w:val="54EEAF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3DE42204"/>
    <w:multiLevelType w:val="multilevel"/>
    <w:tmpl w:val="739C9E4C"/>
    <w:styleLink w:val="MurrumListStyle"/>
    <w:lvl w:ilvl="0">
      <w:start w:val="1"/>
      <w:numFmt w:val="decimal"/>
      <w:pStyle w:val="MurrumH1"/>
      <w:suff w:val="space"/>
      <w:lvlText w:val="%1."/>
      <w:lvlJc w:val="left"/>
      <w:pPr>
        <w:ind w:left="785" w:hanging="360"/>
      </w:pPr>
      <w:rPr>
        <w:rFonts w:cs="Times New Roman" w:hint="default"/>
      </w:rPr>
    </w:lvl>
    <w:lvl w:ilvl="1">
      <w:start w:val="1"/>
      <w:numFmt w:val="decimal"/>
      <w:pStyle w:val="MurrumH2"/>
      <w:lvlText w:val="%1.%2."/>
      <w:lvlJc w:val="left"/>
      <w:pPr>
        <w:ind w:left="432" w:hanging="432"/>
      </w:pPr>
      <w:rPr>
        <w:rFonts w:cs="Times New Roman" w:hint="default"/>
      </w:rPr>
    </w:lvl>
    <w:lvl w:ilvl="2">
      <w:start w:val="1"/>
      <w:numFmt w:val="decimal"/>
      <w:pStyle w:val="MurrumH3"/>
      <w:lvlText w:val="%1.%2.%3."/>
      <w:lvlJc w:val="left"/>
      <w:pPr>
        <w:ind w:left="1072" w:hanging="504"/>
      </w:pPr>
      <w:rPr>
        <w:rFonts w:cs="Times New Roman" w:hint="default"/>
      </w:rPr>
    </w:lvl>
    <w:lvl w:ilvl="3">
      <w:start w:val="1"/>
      <w:numFmt w:val="decimal"/>
      <w:lvlText w:val="%1.%2.%3.%4."/>
      <w:lvlJc w:val="left"/>
      <w:pPr>
        <w:ind w:left="2448" w:hanging="648"/>
      </w:pPr>
      <w:rPr>
        <w:rFonts w:cs="Times New Roman" w:hint="default"/>
      </w:rPr>
    </w:lvl>
    <w:lvl w:ilvl="4">
      <w:start w:val="1"/>
      <w:numFmt w:val="decimal"/>
      <w:lvlText w:val="%1.%2.%3.%4.%5."/>
      <w:lvlJc w:val="left"/>
      <w:pPr>
        <w:ind w:left="2952" w:hanging="792"/>
      </w:pPr>
      <w:rPr>
        <w:rFonts w:cs="Times New Roman" w:hint="default"/>
      </w:rPr>
    </w:lvl>
    <w:lvl w:ilvl="5">
      <w:start w:val="1"/>
      <w:numFmt w:val="decimal"/>
      <w:lvlText w:val="%1.%2.%3.%4.%5.%6."/>
      <w:lvlJc w:val="left"/>
      <w:pPr>
        <w:ind w:left="3456" w:hanging="936"/>
      </w:pPr>
      <w:rPr>
        <w:rFonts w:cs="Times New Roman" w:hint="default"/>
      </w:rPr>
    </w:lvl>
    <w:lvl w:ilvl="6">
      <w:start w:val="1"/>
      <w:numFmt w:val="decimal"/>
      <w:lvlText w:val="%1.%2.%3.%4.%5.%6.%7."/>
      <w:lvlJc w:val="left"/>
      <w:pPr>
        <w:ind w:left="3960" w:hanging="1080"/>
      </w:pPr>
      <w:rPr>
        <w:rFonts w:cs="Times New Roman" w:hint="default"/>
      </w:rPr>
    </w:lvl>
    <w:lvl w:ilvl="7">
      <w:start w:val="1"/>
      <w:numFmt w:val="decimal"/>
      <w:lvlText w:val="%1.%2.%3.%4.%5.%6.%7.%8."/>
      <w:lvlJc w:val="left"/>
      <w:pPr>
        <w:ind w:left="4464" w:hanging="1224"/>
      </w:pPr>
      <w:rPr>
        <w:rFonts w:cs="Times New Roman" w:hint="default"/>
      </w:rPr>
    </w:lvl>
    <w:lvl w:ilvl="8">
      <w:start w:val="1"/>
      <w:numFmt w:val="decimal"/>
      <w:lvlText w:val="%1.%2.%3.%4.%5.%6.%7.%8.%9."/>
      <w:lvlJc w:val="left"/>
      <w:pPr>
        <w:ind w:left="5040" w:hanging="1440"/>
      </w:pPr>
      <w:rPr>
        <w:rFonts w:cs="Times New Roman" w:hint="default"/>
      </w:rPr>
    </w:lvl>
  </w:abstractNum>
  <w:abstractNum w:abstractNumId="21">
    <w:nsid w:val="3F40321B"/>
    <w:multiLevelType w:val="hybridMultilevel"/>
    <w:tmpl w:val="C8E0BED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nsid w:val="43432F7D"/>
    <w:multiLevelType w:val="hybridMultilevel"/>
    <w:tmpl w:val="2A4AA4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45477344"/>
    <w:multiLevelType w:val="multilevel"/>
    <w:tmpl w:val="83303C0A"/>
    <w:lvl w:ilvl="0">
      <w:start w:val="1"/>
      <w:numFmt w:val="decimal"/>
      <w:pStyle w:val="ChapterTitle-FinalReport"/>
      <w:lvlText w:val="%1."/>
      <w:lvlJc w:val="left"/>
      <w:pPr>
        <w:tabs>
          <w:tab w:val="num" w:pos="1134"/>
        </w:tabs>
        <w:ind w:left="1134" w:hanging="1134"/>
      </w:pPr>
      <w:rPr>
        <w:rFonts w:ascii="Times New Roman" w:hAnsi="Times New Roman" w:cs="Times New Roman" w:hint="default"/>
        <w:b/>
        <w:i w:val="0"/>
        <w:sz w:val="28"/>
      </w:rPr>
    </w:lvl>
    <w:lvl w:ilvl="1">
      <w:start w:val="1"/>
      <w:numFmt w:val="decimal"/>
      <w:pStyle w:val="SubHeading1-FinalReport"/>
      <w:lvlText w:val="%1.%2."/>
      <w:lvlJc w:val="left"/>
      <w:pPr>
        <w:tabs>
          <w:tab w:val="num" w:pos="1134"/>
        </w:tabs>
        <w:ind w:left="1134" w:hanging="1134"/>
      </w:pPr>
      <w:rPr>
        <w:rFonts w:ascii="Times New Roman" w:hAnsi="Times New Roman" w:cs="Times New Roman" w:hint="default"/>
        <w:b/>
        <w:i w:val="0"/>
        <w:sz w:val="22"/>
      </w:rPr>
    </w:lvl>
    <w:lvl w:ilvl="2">
      <w:start w:val="1"/>
      <w:numFmt w:val="decimal"/>
      <w:pStyle w:val="SubHeading2-FinalReport"/>
      <w:lvlText w:val="%1.%2.%3."/>
      <w:lvlJc w:val="left"/>
      <w:pPr>
        <w:tabs>
          <w:tab w:val="num" w:pos="1134"/>
        </w:tabs>
        <w:ind w:left="1134" w:hanging="1134"/>
      </w:pPr>
      <w:rPr>
        <w:rFonts w:ascii="Times New Roman" w:hAnsi="Times New Roman" w:cs="Times New Roman" w:hint="default"/>
        <w:b/>
        <w:i/>
        <w:sz w:val="22"/>
      </w:rPr>
    </w:lvl>
    <w:lvl w:ilvl="3">
      <w:start w:val="1"/>
      <w:numFmt w:val="decimal"/>
      <w:pStyle w:val="SubHeading3-FinalReport"/>
      <w:lvlText w:val="%1.%2.%3.%4."/>
      <w:lvlJc w:val="left"/>
      <w:pPr>
        <w:tabs>
          <w:tab w:val="num" w:pos="1134"/>
        </w:tabs>
        <w:ind w:left="1134" w:hanging="1134"/>
      </w:pPr>
      <w:rPr>
        <w:rFonts w:ascii="Times New Roman" w:hAnsi="Times New Roman" w:cs="Times New Roman" w:hint="default"/>
        <w:b w:val="0"/>
        <w:i/>
        <w:sz w:val="22"/>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4">
    <w:nsid w:val="4759728C"/>
    <w:multiLevelType w:val="hybridMultilevel"/>
    <w:tmpl w:val="9F3E9D1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nsid w:val="4B890C47"/>
    <w:multiLevelType w:val="hybridMultilevel"/>
    <w:tmpl w:val="43487AD8"/>
    <w:lvl w:ilvl="0" w:tplc="48E879AA">
      <w:start w:val="1"/>
      <w:numFmt w:val="bullet"/>
      <w:lvlText w:val=""/>
      <w:lvlJc w:val="left"/>
      <w:pPr>
        <w:ind w:left="-33" w:hanging="360"/>
      </w:pPr>
      <w:rPr>
        <w:rFonts w:ascii="Symbol" w:hAnsi="Symbol" w:hint="default"/>
      </w:rPr>
    </w:lvl>
    <w:lvl w:ilvl="1" w:tplc="0C090001">
      <w:start w:val="1"/>
      <w:numFmt w:val="bullet"/>
      <w:lvlText w:val=""/>
      <w:lvlJc w:val="left"/>
      <w:pPr>
        <w:tabs>
          <w:tab w:val="num" w:pos="1047"/>
        </w:tabs>
        <w:ind w:left="1047" w:hanging="360"/>
      </w:pPr>
      <w:rPr>
        <w:rFonts w:ascii="Symbol" w:hAnsi="Symbol" w:hint="default"/>
      </w:rPr>
    </w:lvl>
    <w:lvl w:ilvl="2" w:tplc="4F6410B2">
      <w:start w:val="1"/>
      <w:numFmt w:val="decimal"/>
      <w:lvlText w:val="%3."/>
      <w:lvlJc w:val="left"/>
      <w:pPr>
        <w:tabs>
          <w:tab w:val="num" w:pos="1767"/>
        </w:tabs>
        <w:ind w:left="1767" w:hanging="360"/>
      </w:pPr>
    </w:lvl>
    <w:lvl w:ilvl="3" w:tplc="F4D2CA6E">
      <w:start w:val="1"/>
      <w:numFmt w:val="decimal"/>
      <w:lvlText w:val="%4."/>
      <w:lvlJc w:val="left"/>
      <w:pPr>
        <w:tabs>
          <w:tab w:val="num" w:pos="2487"/>
        </w:tabs>
        <w:ind w:left="2487" w:hanging="360"/>
      </w:pPr>
    </w:lvl>
    <w:lvl w:ilvl="4" w:tplc="73BA3FDE">
      <w:start w:val="1"/>
      <w:numFmt w:val="decimal"/>
      <w:lvlText w:val="%5."/>
      <w:lvlJc w:val="left"/>
      <w:pPr>
        <w:tabs>
          <w:tab w:val="num" w:pos="3207"/>
        </w:tabs>
        <w:ind w:left="3207" w:hanging="360"/>
      </w:pPr>
    </w:lvl>
    <w:lvl w:ilvl="5" w:tplc="9C8E7F06">
      <w:start w:val="1"/>
      <w:numFmt w:val="decimal"/>
      <w:lvlText w:val="%6."/>
      <w:lvlJc w:val="left"/>
      <w:pPr>
        <w:tabs>
          <w:tab w:val="num" w:pos="3927"/>
        </w:tabs>
        <w:ind w:left="3927" w:hanging="360"/>
      </w:pPr>
    </w:lvl>
    <w:lvl w:ilvl="6" w:tplc="ABF8B86C">
      <w:start w:val="1"/>
      <w:numFmt w:val="decimal"/>
      <w:lvlText w:val="%7."/>
      <w:lvlJc w:val="left"/>
      <w:pPr>
        <w:tabs>
          <w:tab w:val="num" w:pos="4647"/>
        </w:tabs>
        <w:ind w:left="4647" w:hanging="360"/>
      </w:pPr>
    </w:lvl>
    <w:lvl w:ilvl="7" w:tplc="8C3EC020">
      <w:start w:val="1"/>
      <w:numFmt w:val="decimal"/>
      <w:lvlText w:val="%8."/>
      <w:lvlJc w:val="left"/>
      <w:pPr>
        <w:tabs>
          <w:tab w:val="num" w:pos="5367"/>
        </w:tabs>
        <w:ind w:left="5367" w:hanging="360"/>
      </w:pPr>
    </w:lvl>
    <w:lvl w:ilvl="8" w:tplc="27228748">
      <w:start w:val="1"/>
      <w:numFmt w:val="decimal"/>
      <w:lvlText w:val="%9."/>
      <w:lvlJc w:val="left"/>
      <w:pPr>
        <w:tabs>
          <w:tab w:val="num" w:pos="6087"/>
        </w:tabs>
        <w:ind w:left="6087" w:hanging="360"/>
      </w:pPr>
    </w:lvl>
  </w:abstractNum>
  <w:abstractNum w:abstractNumId="26">
    <w:nsid w:val="4C367099"/>
    <w:multiLevelType w:val="multilevel"/>
    <w:tmpl w:val="739C9E4C"/>
    <w:numStyleLink w:val="MurrumListStyle"/>
  </w:abstractNum>
  <w:abstractNum w:abstractNumId="27">
    <w:nsid w:val="4E4854AE"/>
    <w:multiLevelType w:val="hybridMultilevel"/>
    <w:tmpl w:val="E2EE530C"/>
    <w:lvl w:ilvl="0" w:tplc="F872B39C">
      <w:start w:val="1"/>
      <w:numFmt w:val="lowerRoman"/>
      <w:lvlText w:val="%1)"/>
      <w:lvlJc w:val="left"/>
      <w:pPr>
        <w:ind w:left="720" w:hanging="72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
    <w:nsid w:val="548F30EB"/>
    <w:multiLevelType w:val="hybridMultilevel"/>
    <w:tmpl w:val="A2D2BA9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nsid w:val="57C01F3C"/>
    <w:multiLevelType w:val="hybridMultilevel"/>
    <w:tmpl w:val="F228B1DC"/>
    <w:lvl w:ilvl="0" w:tplc="F5960384">
      <w:start w:val="1"/>
      <w:numFmt w:val="bullet"/>
      <w:lvlText w:val=""/>
      <w:lvlJc w:val="left"/>
      <w:pPr>
        <w:ind w:left="720" w:hanging="360"/>
      </w:pPr>
      <w:rPr>
        <w:rFonts w:ascii="Symbol" w:hAnsi="Symbol" w:hint="default"/>
      </w:rPr>
    </w:lvl>
    <w:lvl w:ilvl="1" w:tplc="574ECB2C" w:tentative="1">
      <w:start w:val="1"/>
      <w:numFmt w:val="bullet"/>
      <w:lvlText w:val="o"/>
      <w:lvlJc w:val="left"/>
      <w:pPr>
        <w:ind w:left="1440" w:hanging="360"/>
      </w:pPr>
      <w:rPr>
        <w:rFonts w:ascii="Courier New" w:hAnsi="Courier New" w:cs="Courier New" w:hint="default"/>
      </w:rPr>
    </w:lvl>
    <w:lvl w:ilvl="2" w:tplc="DADCB70A" w:tentative="1">
      <w:start w:val="1"/>
      <w:numFmt w:val="bullet"/>
      <w:lvlText w:val=""/>
      <w:lvlJc w:val="left"/>
      <w:pPr>
        <w:ind w:left="2160" w:hanging="360"/>
      </w:pPr>
      <w:rPr>
        <w:rFonts w:ascii="Wingdings" w:hAnsi="Wingdings" w:hint="default"/>
      </w:rPr>
    </w:lvl>
    <w:lvl w:ilvl="3" w:tplc="9064E81A" w:tentative="1">
      <w:start w:val="1"/>
      <w:numFmt w:val="bullet"/>
      <w:lvlText w:val=""/>
      <w:lvlJc w:val="left"/>
      <w:pPr>
        <w:ind w:left="2880" w:hanging="360"/>
      </w:pPr>
      <w:rPr>
        <w:rFonts w:ascii="Symbol" w:hAnsi="Symbol" w:hint="default"/>
      </w:rPr>
    </w:lvl>
    <w:lvl w:ilvl="4" w:tplc="E8F23F5C" w:tentative="1">
      <w:start w:val="1"/>
      <w:numFmt w:val="bullet"/>
      <w:lvlText w:val="o"/>
      <w:lvlJc w:val="left"/>
      <w:pPr>
        <w:ind w:left="3600" w:hanging="360"/>
      </w:pPr>
      <w:rPr>
        <w:rFonts w:ascii="Courier New" w:hAnsi="Courier New" w:cs="Courier New" w:hint="default"/>
      </w:rPr>
    </w:lvl>
    <w:lvl w:ilvl="5" w:tplc="16307F02" w:tentative="1">
      <w:start w:val="1"/>
      <w:numFmt w:val="bullet"/>
      <w:lvlText w:val=""/>
      <w:lvlJc w:val="left"/>
      <w:pPr>
        <w:ind w:left="4320" w:hanging="360"/>
      </w:pPr>
      <w:rPr>
        <w:rFonts w:ascii="Wingdings" w:hAnsi="Wingdings" w:hint="default"/>
      </w:rPr>
    </w:lvl>
    <w:lvl w:ilvl="6" w:tplc="083E9138" w:tentative="1">
      <w:start w:val="1"/>
      <w:numFmt w:val="bullet"/>
      <w:lvlText w:val=""/>
      <w:lvlJc w:val="left"/>
      <w:pPr>
        <w:ind w:left="5040" w:hanging="360"/>
      </w:pPr>
      <w:rPr>
        <w:rFonts w:ascii="Symbol" w:hAnsi="Symbol" w:hint="default"/>
      </w:rPr>
    </w:lvl>
    <w:lvl w:ilvl="7" w:tplc="ADFA053E" w:tentative="1">
      <w:start w:val="1"/>
      <w:numFmt w:val="bullet"/>
      <w:lvlText w:val="o"/>
      <w:lvlJc w:val="left"/>
      <w:pPr>
        <w:ind w:left="5760" w:hanging="360"/>
      </w:pPr>
      <w:rPr>
        <w:rFonts w:ascii="Courier New" w:hAnsi="Courier New" w:cs="Courier New" w:hint="default"/>
      </w:rPr>
    </w:lvl>
    <w:lvl w:ilvl="8" w:tplc="7AC2C23A" w:tentative="1">
      <w:start w:val="1"/>
      <w:numFmt w:val="bullet"/>
      <w:lvlText w:val=""/>
      <w:lvlJc w:val="left"/>
      <w:pPr>
        <w:ind w:left="6480" w:hanging="360"/>
      </w:pPr>
      <w:rPr>
        <w:rFonts w:ascii="Wingdings" w:hAnsi="Wingdings" w:hint="default"/>
      </w:rPr>
    </w:lvl>
  </w:abstractNum>
  <w:abstractNum w:abstractNumId="30">
    <w:nsid w:val="581273F6"/>
    <w:multiLevelType w:val="hybridMultilevel"/>
    <w:tmpl w:val="E0887D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nsid w:val="5F3E0EC0"/>
    <w:multiLevelType w:val="hybridMultilevel"/>
    <w:tmpl w:val="AFF84100"/>
    <w:lvl w:ilvl="0" w:tplc="D668146C">
      <w:start w:val="1"/>
      <w:numFmt w:val="lowerRoman"/>
      <w:lvlText w:val="%1)"/>
      <w:lvlJc w:val="left"/>
      <w:pPr>
        <w:ind w:left="1474" w:hanging="720"/>
      </w:pPr>
      <w:rPr>
        <w:rFonts w:hint="default"/>
      </w:rPr>
    </w:lvl>
    <w:lvl w:ilvl="1" w:tplc="0C090019" w:tentative="1">
      <w:start w:val="1"/>
      <w:numFmt w:val="lowerLetter"/>
      <w:lvlText w:val="%2."/>
      <w:lvlJc w:val="left"/>
      <w:pPr>
        <w:ind w:left="1834" w:hanging="360"/>
      </w:pPr>
    </w:lvl>
    <w:lvl w:ilvl="2" w:tplc="0C09001B" w:tentative="1">
      <w:start w:val="1"/>
      <w:numFmt w:val="lowerRoman"/>
      <w:lvlText w:val="%3."/>
      <w:lvlJc w:val="right"/>
      <w:pPr>
        <w:ind w:left="2554" w:hanging="180"/>
      </w:pPr>
    </w:lvl>
    <w:lvl w:ilvl="3" w:tplc="0C09000F" w:tentative="1">
      <w:start w:val="1"/>
      <w:numFmt w:val="decimal"/>
      <w:lvlText w:val="%4."/>
      <w:lvlJc w:val="left"/>
      <w:pPr>
        <w:ind w:left="3274" w:hanging="360"/>
      </w:pPr>
    </w:lvl>
    <w:lvl w:ilvl="4" w:tplc="0C090019" w:tentative="1">
      <w:start w:val="1"/>
      <w:numFmt w:val="lowerLetter"/>
      <w:lvlText w:val="%5."/>
      <w:lvlJc w:val="left"/>
      <w:pPr>
        <w:ind w:left="3994" w:hanging="360"/>
      </w:pPr>
    </w:lvl>
    <w:lvl w:ilvl="5" w:tplc="0C09001B" w:tentative="1">
      <w:start w:val="1"/>
      <w:numFmt w:val="lowerRoman"/>
      <w:lvlText w:val="%6."/>
      <w:lvlJc w:val="right"/>
      <w:pPr>
        <w:ind w:left="4714" w:hanging="180"/>
      </w:pPr>
    </w:lvl>
    <w:lvl w:ilvl="6" w:tplc="0C09000F" w:tentative="1">
      <w:start w:val="1"/>
      <w:numFmt w:val="decimal"/>
      <w:lvlText w:val="%7."/>
      <w:lvlJc w:val="left"/>
      <w:pPr>
        <w:ind w:left="5434" w:hanging="360"/>
      </w:pPr>
    </w:lvl>
    <w:lvl w:ilvl="7" w:tplc="0C090019" w:tentative="1">
      <w:start w:val="1"/>
      <w:numFmt w:val="lowerLetter"/>
      <w:lvlText w:val="%8."/>
      <w:lvlJc w:val="left"/>
      <w:pPr>
        <w:ind w:left="6154" w:hanging="360"/>
      </w:pPr>
    </w:lvl>
    <w:lvl w:ilvl="8" w:tplc="0C09001B" w:tentative="1">
      <w:start w:val="1"/>
      <w:numFmt w:val="lowerRoman"/>
      <w:lvlText w:val="%9."/>
      <w:lvlJc w:val="right"/>
      <w:pPr>
        <w:ind w:left="6874" w:hanging="180"/>
      </w:pPr>
    </w:lvl>
  </w:abstractNum>
  <w:abstractNum w:abstractNumId="32">
    <w:nsid w:val="608632F2"/>
    <w:multiLevelType w:val="hybridMultilevel"/>
    <w:tmpl w:val="D382DA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nsid w:val="629C3F5B"/>
    <w:multiLevelType w:val="hybridMultilevel"/>
    <w:tmpl w:val="B02ABDC6"/>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nsid w:val="62F34106"/>
    <w:multiLevelType w:val="hybridMultilevel"/>
    <w:tmpl w:val="C44C1B12"/>
    <w:lvl w:ilvl="0" w:tplc="6B32FD0E">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5">
    <w:nsid w:val="66BD281F"/>
    <w:multiLevelType w:val="hybridMultilevel"/>
    <w:tmpl w:val="D51E6AD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360" w:hanging="360"/>
      </w:pPr>
      <w:rPr>
        <w:rFonts w:ascii="Courier New" w:hAnsi="Courier New" w:cs="Courier New" w:hint="default"/>
      </w:rPr>
    </w:lvl>
    <w:lvl w:ilvl="2" w:tplc="0C090005" w:tentative="1">
      <w:start w:val="1"/>
      <w:numFmt w:val="bullet"/>
      <w:lvlText w:val=""/>
      <w:lvlJc w:val="left"/>
      <w:pPr>
        <w:ind w:left="1080" w:hanging="360"/>
      </w:pPr>
      <w:rPr>
        <w:rFonts w:ascii="Wingdings" w:hAnsi="Wingdings" w:hint="default"/>
      </w:rPr>
    </w:lvl>
    <w:lvl w:ilvl="3" w:tplc="0C090001" w:tentative="1">
      <w:start w:val="1"/>
      <w:numFmt w:val="bullet"/>
      <w:lvlText w:val=""/>
      <w:lvlJc w:val="left"/>
      <w:pPr>
        <w:ind w:left="1800" w:hanging="360"/>
      </w:pPr>
      <w:rPr>
        <w:rFonts w:ascii="Symbol" w:hAnsi="Symbol" w:hint="default"/>
      </w:rPr>
    </w:lvl>
    <w:lvl w:ilvl="4" w:tplc="0C090003" w:tentative="1">
      <w:start w:val="1"/>
      <w:numFmt w:val="bullet"/>
      <w:lvlText w:val="o"/>
      <w:lvlJc w:val="left"/>
      <w:pPr>
        <w:ind w:left="2520" w:hanging="360"/>
      </w:pPr>
      <w:rPr>
        <w:rFonts w:ascii="Courier New" w:hAnsi="Courier New" w:cs="Courier New" w:hint="default"/>
      </w:rPr>
    </w:lvl>
    <w:lvl w:ilvl="5" w:tplc="0C090005" w:tentative="1">
      <w:start w:val="1"/>
      <w:numFmt w:val="bullet"/>
      <w:lvlText w:val=""/>
      <w:lvlJc w:val="left"/>
      <w:pPr>
        <w:ind w:left="3240" w:hanging="360"/>
      </w:pPr>
      <w:rPr>
        <w:rFonts w:ascii="Wingdings" w:hAnsi="Wingdings" w:hint="default"/>
      </w:rPr>
    </w:lvl>
    <w:lvl w:ilvl="6" w:tplc="0C090001" w:tentative="1">
      <w:start w:val="1"/>
      <w:numFmt w:val="bullet"/>
      <w:lvlText w:val=""/>
      <w:lvlJc w:val="left"/>
      <w:pPr>
        <w:ind w:left="3960" w:hanging="360"/>
      </w:pPr>
      <w:rPr>
        <w:rFonts w:ascii="Symbol" w:hAnsi="Symbol" w:hint="default"/>
      </w:rPr>
    </w:lvl>
    <w:lvl w:ilvl="7" w:tplc="0C090003" w:tentative="1">
      <w:start w:val="1"/>
      <w:numFmt w:val="bullet"/>
      <w:lvlText w:val="o"/>
      <w:lvlJc w:val="left"/>
      <w:pPr>
        <w:ind w:left="4680" w:hanging="360"/>
      </w:pPr>
      <w:rPr>
        <w:rFonts w:ascii="Courier New" w:hAnsi="Courier New" w:cs="Courier New" w:hint="default"/>
      </w:rPr>
    </w:lvl>
    <w:lvl w:ilvl="8" w:tplc="0C090005" w:tentative="1">
      <w:start w:val="1"/>
      <w:numFmt w:val="bullet"/>
      <w:lvlText w:val=""/>
      <w:lvlJc w:val="left"/>
      <w:pPr>
        <w:ind w:left="5400" w:hanging="360"/>
      </w:pPr>
      <w:rPr>
        <w:rFonts w:ascii="Wingdings" w:hAnsi="Wingdings" w:hint="default"/>
      </w:rPr>
    </w:lvl>
  </w:abstractNum>
  <w:abstractNum w:abstractNumId="36">
    <w:nsid w:val="66C271E2"/>
    <w:multiLevelType w:val="hybridMultilevel"/>
    <w:tmpl w:val="828EE5F0"/>
    <w:lvl w:ilvl="0" w:tplc="3690C3F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nsid w:val="6A690C8B"/>
    <w:multiLevelType w:val="hybridMultilevel"/>
    <w:tmpl w:val="C45C94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nsid w:val="6A9C4083"/>
    <w:multiLevelType w:val="hybridMultilevel"/>
    <w:tmpl w:val="5C104D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nsid w:val="70BC36FE"/>
    <w:multiLevelType w:val="hybridMultilevel"/>
    <w:tmpl w:val="DA9E7D40"/>
    <w:lvl w:ilvl="0" w:tplc="0C09000F">
      <w:start w:val="1"/>
      <w:numFmt w:val="decimal"/>
      <w:lvlText w:val="%1."/>
      <w:lvlJc w:val="left"/>
      <w:pPr>
        <w:ind w:left="777" w:hanging="360"/>
      </w:pPr>
    </w:lvl>
    <w:lvl w:ilvl="1" w:tplc="0C090019" w:tentative="1">
      <w:start w:val="1"/>
      <w:numFmt w:val="lowerLetter"/>
      <w:lvlText w:val="%2."/>
      <w:lvlJc w:val="left"/>
      <w:pPr>
        <w:ind w:left="1497" w:hanging="360"/>
      </w:pPr>
    </w:lvl>
    <w:lvl w:ilvl="2" w:tplc="0C09001B" w:tentative="1">
      <w:start w:val="1"/>
      <w:numFmt w:val="lowerRoman"/>
      <w:lvlText w:val="%3."/>
      <w:lvlJc w:val="right"/>
      <w:pPr>
        <w:ind w:left="2217" w:hanging="180"/>
      </w:pPr>
    </w:lvl>
    <w:lvl w:ilvl="3" w:tplc="0C09000F" w:tentative="1">
      <w:start w:val="1"/>
      <w:numFmt w:val="decimal"/>
      <w:lvlText w:val="%4."/>
      <w:lvlJc w:val="left"/>
      <w:pPr>
        <w:ind w:left="2937" w:hanging="360"/>
      </w:pPr>
    </w:lvl>
    <w:lvl w:ilvl="4" w:tplc="0C090019" w:tentative="1">
      <w:start w:val="1"/>
      <w:numFmt w:val="lowerLetter"/>
      <w:lvlText w:val="%5."/>
      <w:lvlJc w:val="left"/>
      <w:pPr>
        <w:ind w:left="3657" w:hanging="360"/>
      </w:pPr>
    </w:lvl>
    <w:lvl w:ilvl="5" w:tplc="0C09001B" w:tentative="1">
      <w:start w:val="1"/>
      <w:numFmt w:val="lowerRoman"/>
      <w:lvlText w:val="%6."/>
      <w:lvlJc w:val="right"/>
      <w:pPr>
        <w:ind w:left="4377" w:hanging="180"/>
      </w:pPr>
    </w:lvl>
    <w:lvl w:ilvl="6" w:tplc="0C09000F" w:tentative="1">
      <w:start w:val="1"/>
      <w:numFmt w:val="decimal"/>
      <w:lvlText w:val="%7."/>
      <w:lvlJc w:val="left"/>
      <w:pPr>
        <w:ind w:left="5097" w:hanging="360"/>
      </w:pPr>
    </w:lvl>
    <w:lvl w:ilvl="7" w:tplc="0C090019" w:tentative="1">
      <w:start w:val="1"/>
      <w:numFmt w:val="lowerLetter"/>
      <w:lvlText w:val="%8."/>
      <w:lvlJc w:val="left"/>
      <w:pPr>
        <w:ind w:left="5817" w:hanging="360"/>
      </w:pPr>
    </w:lvl>
    <w:lvl w:ilvl="8" w:tplc="0C09001B" w:tentative="1">
      <w:start w:val="1"/>
      <w:numFmt w:val="lowerRoman"/>
      <w:lvlText w:val="%9."/>
      <w:lvlJc w:val="right"/>
      <w:pPr>
        <w:ind w:left="6537" w:hanging="180"/>
      </w:pPr>
    </w:lvl>
  </w:abstractNum>
  <w:abstractNum w:abstractNumId="40">
    <w:nsid w:val="75CF57AA"/>
    <w:multiLevelType w:val="hybridMultilevel"/>
    <w:tmpl w:val="3BE2ABB4"/>
    <w:lvl w:ilvl="0" w:tplc="0C090001">
      <w:start w:val="1"/>
      <w:numFmt w:val="bullet"/>
      <w:lvlText w:val=""/>
      <w:lvlJc w:val="left"/>
      <w:pPr>
        <w:ind w:left="720" w:hanging="360"/>
      </w:pPr>
      <w:rPr>
        <w:rFonts w:ascii="Symbol" w:hAnsi="Symbol" w:hint="default"/>
      </w:rPr>
    </w:lvl>
    <w:lvl w:ilvl="1" w:tplc="0C090003" w:tentative="1">
      <w:start w:val="1"/>
      <w:numFmt w:val="lowerLetter"/>
      <w:lvlText w:val="%2."/>
      <w:lvlJc w:val="left"/>
      <w:pPr>
        <w:ind w:left="1440" w:hanging="360"/>
      </w:pPr>
    </w:lvl>
    <w:lvl w:ilvl="2" w:tplc="0C090005" w:tentative="1">
      <w:start w:val="1"/>
      <w:numFmt w:val="lowerRoman"/>
      <w:lvlText w:val="%3."/>
      <w:lvlJc w:val="right"/>
      <w:pPr>
        <w:ind w:left="2160" w:hanging="180"/>
      </w:pPr>
    </w:lvl>
    <w:lvl w:ilvl="3" w:tplc="0C090001" w:tentative="1">
      <w:start w:val="1"/>
      <w:numFmt w:val="decimal"/>
      <w:lvlText w:val="%4."/>
      <w:lvlJc w:val="left"/>
      <w:pPr>
        <w:ind w:left="2880" w:hanging="360"/>
      </w:pPr>
    </w:lvl>
    <w:lvl w:ilvl="4" w:tplc="0C090003" w:tentative="1">
      <w:start w:val="1"/>
      <w:numFmt w:val="lowerLetter"/>
      <w:lvlText w:val="%5."/>
      <w:lvlJc w:val="left"/>
      <w:pPr>
        <w:ind w:left="3600" w:hanging="360"/>
      </w:pPr>
    </w:lvl>
    <w:lvl w:ilvl="5" w:tplc="0C090005" w:tentative="1">
      <w:start w:val="1"/>
      <w:numFmt w:val="lowerRoman"/>
      <w:lvlText w:val="%6."/>
      <w:lvlJc w:val="right"/>
      <w:pPr>
        <w:ind w:left="4320" w:hanging="180"/>
      </w:pPr>
    </w:lvl>
    <w:lvl w:ilvl="6" w:tplc="0C090001" w:tentative="1">
      <w:start w:val="1"/>
      <w:numFmt w:val="decimal"/>
      <w:lvlText w:val="%7."/>
      <w:lvlJc w:val="left"/>
      <w:pPr>
        <w:ind w:left="5040" w:hanging="360"/>
      </w:pPr>
    </w:lvl>
    <w:lvl w:ilvl="7" w:tplc="0C090003" w:tentative="1">
      <w:start w:val="1"/>
      <w:numFmt w:val="lowerLetter"/>
      <w:lvlText w:val="%8."/>
      <w:lvlJc w:val="left"/>
      <w:pPr>
        <w:ind w:left="5760" w:hanging="360"/>
      </w:pPr>
    </w:lvl>
    <w:lvl w:ilvl="8" w:tplc="0C090005" w:tentative="1">
      <w:start w:val="1"/>
      <w:numFmt w:val="lowerRoman"/>
      <w:lvlText w:val="%9."/>
      <w:lvlJc w:val="right"/>
      <w:pPr>
        <w:ind w:left="6480" w:hanging="180"/>
      </w:pPr>
    </w:lvl>
  </w:abstractNum>
  <w:abstractNum w:abstractNumId="41">
    <w:nsid w:val="762964D5"/>
    <w:multiLevelType w:val="multilevel"/>
    <w:tmpl w:val="E898CC72"/>
    <w:styleLink w:val="KeyPoints"/>
    <w:lvl w:ilvl="0">
      <w:start w:val="1"/>
      <w:numFmt w:val="decimal"/>
      <w:pStyle w:val="ListNumber"/>
      <w:lvlText w:val="%1."/>
      <w:lvlJc w:val="left"/>
      <w:pPr>
        <w:ind w:left="369" w:hanging="369"/>
      </w:pPr>
      <w:rPr>
        <w:rFonts w:ascii="Arial" w:hAnsi="Arial" w:cs="Times New Roman" w:hint="default"/>
        <w:sz w:val="22"/>
      </w:rPr>
    </w:lvl>
    <w:lvl w:ilvl="1">
      <w:start w:val="1"/>
      <w:numFmt w:val="lowerLetter"/>
      <w:pStyle w:val="ListNumber2"/>
      <w:lvlText w:val="%2."/>
      <w:lvlJc w:val="left"/>
      <w:pPr>
        <w:ind w:left="738" w:hanging="369"/>
      </w:pPr>
    </w:lvl>
    <w:lvl w:ilvl="2">
      <w:start w:val="1"/>
      <w:numFmt w:val="lowerRoman"/>
      <w:pStyle w:val="ListNumber3"/>
      <w:lvlText w:val="%3."/>
      <w:lvlJc w:val="left"/>
      <w:pPr>
        <w:ind w:left="1107" w:hanging="369"/>
      </w:pPr>
    </w:lvl>
    <w:lvl w:ilvl="3">
      <w:start w:val="1"/>
      <w:numFmt w:val="none"/>
      <w:pStyle w:val="ListNumber4"/>
      <w:lvlText w:val="%4"/>
      <w:lvlJc w:val="left"/>
      <w:pPr>
        <w:ind w:left="1476" w:hanging="369"/>
      </w:pPr>
    </w:lvl>
    <w:lvl w:ilvl="4">
      <w:start w:val="1"/>
      <w:numFmt w:val="none"/>
      <w:pStyle w:val="ListNumber5"/>
      <w:lvlText w:val=""/>
      <w:lvlJc w:val="left"/>
      <w:pPr>
        <w:ind w:left="1845" w:hanging="369"/>
      </w:pPr>
    </w:lvl>
    <w:lvl w:ilvl="5">
      <w:start w:val="1"/>
      <w:numFmt w:val="none"/>
      <w:lvlText w:val=""/>
      <w:lvlJc w:val="left"/>
      <w:pPr>
        <w:ind w:left="2214" w:hanging="369"/>
      </w:pPr>
    </w:lvl>
    <w:lvl w:ilvl="6">
      <w:start w:val="1"/>
      <w:numFmt w:val="none"/>
      <w:lvlText w:val=""/>
      <w:lvlJc w:val="left"/>
      <w:pPr>
        <w:ind w:left="2583" w:hanging="369"/>
      </w:pPr>
    </w:lvl>
    <w:lvl w:ilvl="7">
      <w:start w:val="1"/>
      <w:numFmt w:val="none"/>
      <w:lvlText w:val=""/>
      <w:lvlJc w:val="left"/>
      <w:pPr>
        <w:ind w:left="2952" w:hanging="369"/>
      </w:pPr>
    </w:lvl>
    <w:lvl w:ilvl="8">
      <w:start w:val="1"/>
      <w:numFmt w:val="none"/>
      <w:lvlText w:val=""/>
      <w:lvlJc w:val="left"/>
      <w:pPr>
        <w:ind w:left="3321" w:hanging="369"/>
      </w:pPr>
    </w:lvl>
  </w:abstractNum>
  <w:abstractNum w:abstractNumId="42">
    <w:nsid w:val="78801ECF"/>
    <w:multiLevelType w:val="hybridMultilevel"/>
    <w:tmpl w:val="36B29276"/>
    <w:lvl w:ilvl="0" w:tplc="0C090013">
      <w:start w:val="1"/>
      <w:numFmt w:val="upp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nsid w:val="793B3041"/>
    <w:multiLevelType w:val="hybridMultilevel"/>
    <w:tmpl w:val="B6FA13C2"/>
    <w:lvl w:ilvl="0" w:tplc="2AF8C5D6">
      <w:start w:val="7"/>
      <w:numFmt w:val="bullet"/>
      <w:lvlText w:val=""/>
      <w:lvlJc w:val="left"/>
      <w:pPr>
        <w:ind w:left="720" w:hanging="360"/>
      </w:pPr>
      <w:rPr>
        <w:rFonts w:ascii="Symbol" w:eastAsia="Calibri"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nsid w:val="7B623A16"/>
    <w:multiLevelType w:val="hybridMultilevel"/>
    <w:tmpl w:val="161A40B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20"/>
  </w:num>
  <w:num w:numId="2">
    <w:abstractNumId w:val="2"/>
  </w:num>
  <w:num w:numId="3">
    <w:abstractNumId w:val="26"/>
    <w:lvlOverride w:ilvl="0">
      <w:lvl w:ilvl="0">
        <w:start w:val="1"/>
        <w:numFmt w:val="decimal"/>
        <w:pStyle w:val="MurrumH1"/>
        <w:suff w:val="space"/>
        <w:lvlText w:val="%1."/>
        <w:lvlJc w:val="left"/>
        <w:pPr>
          <w:ind w:left="785" w:hanging="360"/>
        </w:pPr>
        <w:rPr>
          <w:rFonts w:cs="Times New Roman" w:hint="default"/>
        </w:rPr>
      </w:lvl>
    </w:lvlOverride>
    <w:lvlOverride w:ilvl="1">
      <w:lvl w:ilvl="1">
        <w:start w:val="1"/>
        <w:numFmt w:val="decimal"/>
        <w:pStyle w:val="MurrumH2"/>
        <w:lvlText w:val="%1.%2."/>
        <w:lvlJc w:val="left"/>
        <w:pPr>
          <w:ind w:left="432" w:hanging="432"/>
        </w:pPr>
        <w:rPr>
          <w:rFonts w:cs="Times New Roman" w:hint="default"/>
          <w:b/>
          <w:sz w:val="32"/>
          <w:szCs w:val="32"/>
        </w:rPr>
      </w:lvl>
    </w:lvlOverride>
    <w:lvlOverride w:ilvl="2">
      <w:lvl w:ilvl="2">
        <w:start w:val="1"/>
        <w:numFmt w:val="decimal"/>
        <w:pStyle w:val="MurrumH3"/>
        <w:lvlText w:val="%1.%2.%3."/>
        <w:lvlJc w:val="left"/>
        <w:pPr>
          <w:ind w:left="1072" w:hanging="504"/>
        </w:pPr>
        <w:rPr>
          <w:rFonts w:cs="Times New Roman" w:hint="default"/>
        </w:rPr>
      </w:lvl>
    </w:lvlOverride>
    <w:lvlOverride w:ilvl="3">
      <w:lvl w:ilvl="3">
        <w:start w:val="1"/>
        <w:numFmt w:val="decimal"/>
        <w:lvlText w:val="%1.%2.%3.%4."/>
        <w:lvlJc w:val="left"/>
        <w:pPr>
          <w:ind w:left="2448" w:hanging="648"/>
        </w:pPr>
        <w:rPr>
          <w:rFonts w:cs="Times New Roman" w:hint="default"/>
        </w:rPr>
      </w:lvl>
    </w:lvlOverride>
    <w:lvlOverride w:ilvl="4">
      <w:lvl w:ilvl="4">
        <w:start w:val="1"/>
        <w:numFmt w:val="decimal"/>
        <w:lvlText w:val="%1.%2.%3.%4.%5."/>
        <w:lvlJc w:val="left"/>
        <w:pPr>
          <w:ind w:left="2952" w:hanging="792"/>
        </w:pPr>
        <w:rPr>
          <w:rFonts w:cs="Times New Roman" w:hint="default"/>
        </w:rPr>
      </w:lvl>
    </w:lvlOverride>
    <w:lvlOverride w:ilvl="5">
      <w:lvl w:ilvl="5">
        <w:start w:val="1"/>
        <w:numFmt w:val="decimal"/>
        <w:lvlText w:val="%1.%2.%3.%4.%5.%6."/>
        <w:lvlJc w:val="left"/>
        <w:pPr>
          <w:ind w:left="3456" w:hanging="936"/>
        </w:pPr>
        <w:rPr>
          <w:rFonts w:cs="Times New Roman" w:hint="default"/>
        </w:rPr>
      </w:lvl>
    </w:lvlOverride>
    <w:lvlOverride w:ilvl="6">
      <w:lvl w:ilvl="6">
        <w:start w:val="1"/>
        <w:numFmt w:val="decimal"/>
        <w:lvlText w:val="%1.%2.%3.%4.%5.%6.%7."/>
        <w:lvlJc w:val="left"/>
        <w:pPr>
          <w:ind w:left="3960" w:hanging="1080"/>
        </w:pPr>
        <w:rPr>
          <w:rFonts w:cs="Times New Roman" w:hint="default"/>
        </w:rPr>
      </w:lvl>
    </w:lvlOverride>
    <w:lvlOverride w:ilvl="7">
      <w:lvl w:ilvl="7">
        <w:start w:val="1"/>
        <w:numFmt w:val="decimal"/>
        <w:lvlText w:val="%1.%2.%3.%4.%5.%6.%7.%8."/>
        <w:lvlJc w:val="left"/>
        <w:pPr>
          <w:ind w:left="4464" w:hanging="1224"/>
        </w:pPr>
        <w:rPr>
          <w:rFonts w:cs="Times New Roman" w:hint="default"/>
        </w:rPr>
      </w:lvl>
    </w:lvlOverride>
    <w:lvlOverride w:ilvl="8">
      <w:lvl w:ilvl="8">
        <w:start w:val="1"/>
        <w:numFmt w:val="decimal"/>
        <w:lvlText w:val="%1.%2.%3.%4.%5.%6.%7.%8.%9."/>
        <w:lvlJc w:val="left"/>
        <w:pPr>
          <w:ind w:left="5040" w:hanging="1440"/>
        </w:pPr>
        <w:rPr>
          <w:rFonts w:cs="Times New Roman" w:hint="default"/>
        </w:rPr>
      </w:lvl>
    </w:lvlOverride>
  </w:num>
  <w:num w:numId="4">
    <w:abstractNumId w:val="32"/>
  </w:num>
  <w:num w:numId="5">
    <w:abstractNumId w:val="40"/>
  </w:num>
  <w:num w:numId="6">
    <w:abstractNumId w:val="23"/>
  </w:num>
  <w:num w:numId="7">
    <w:abstractNumId w:val="1"/>
  </w:num>
  <w:num w:numId="8">
    <w:abstractNumId w:val="0"/>
  </w:num>
  <w:num w:numId="9">
    <w:abstractNumId w:val="41"/>
  </w:num>
  <w:num w:numId="10">
    <w:abstractNumId w:val="6"/>
  </w:num>
  <w:num w:numId="11">
    <w:abstractNumId w:val="39"/>
  </w:num>
  <w:num w:numId="12">
    <w:abstractNumId w:val="36"/>
  </w:num>
  <w:num w:numId="13">
    <w:abstractNumId w:val="12"/>
  </w:num>
  <w:num w:numId="14">
    <w:abstractNumId w:val="14"/>
  </w:num>
  <w:num w:numId="15">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num>
  <w:num w:numId="17">
    <w:abstractNumId w:val="10"/>
  </w:num>
  <w:num w:numId="18">
    <w:abstractNumId w:val="8"/>
  </w:num>
  <w:num w:numId="19">
    <w:abstractNumId w:val="15"/>
  </w:num>
  <w:num w:numId="20">
    <w:abstractNumId w:val="22"/>
  </w:num>
  <w:num w:numId="21">
    <w:abstractNumId w:val="24"/>
  </w:num>
  <w:num w:numId="22">
    <w:abstractNumId w:val="3"/>
  </w:num>
  <w:num w:numId="23">
    <w:abstractNumId w:val="19"/>
  </w:num>
  <w:num w:numId="24">
    <w:abstractNumId w:val="11"/>
  </w:num>
  <w:num w:numId="25">
    <w:abstractNumId w:val="18"/>
  </w:num>
  <w:num w:numId="26">
    <w:abstractNumId w:val="21"/>
  </w:num>
  <w:num w:numId="27">
    <w:abstractNumId w:val="34"/>
  </w:num>
  <w:num w:numId="28">
    <w:abstractNumId w:val="29"/>
  </w:num>
  <w:num w:numId="29">
    <w:abstractNumId w:val="17"/>
  </w:num>
  <w:num w:numId="30">
    <w:abstractNumId w:val="38"/>
  </w:num>
  <w:num w:numId="31">
    <w:abstractNumId w:val="35"/>
  </w:num>
  <w:num w:numId="32">
    <w:abstractNumId w:val="25"/>
  </w:num>
  <w:num w:numId="33">
    <w:abstractNumId w:val="28"/>
  </w:num>
  <w:num w:numId="34">
    <w:abstractNumId w:val="31"/>
  </w:num>
  <w:num w:numId="35">
    <w:abstractNumId w:val="44"/>
  </w:num>
  <w:num w:numId="36">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3"/>
  </w:num>
  <w:num w:numId="38">
    <w:abstractNumId w:val="16"/>
  </w:num>
  <w:num w:numId="39">
    <w:abstractNumId w:val="30"/>
  </w:num>
  <w:num w:numId="40">
    <w:abstractNumId w:val="42"/>
  </w:num>
  <w:num w:numId="41">
    <w:abstractNumId w:val="9"/>
  </w:num>
  <w:num w:numId="42">
    <w:abstractNumId w:val="37"/>
  </w:num>
  <w:num w:numId="43">
    <w:abstractNumId w:val="33"/>
  </w:num>
  <w:num w:numId="44">
    <w:abstractNumId w:val="27"/>
  </w:num>
  <w:num w:numId="45">
    <w:abstractNumId w:val="13"/>
  </w:num>
  <w:num w:numId="46">
    <w:abstractNumId w:val="4"/>
  </w:num>
  <w:numIdMacAtCleanup w:val="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7"/>
  <w:removePersonalInformation/>
  <w:removeDateAndTime/>
  <w:embedSystemFonts/>
  <w:proofState w:grammar="clean"/>
  <w:stylePaneFormatFilter w:val="3F01"/>
  <w:defaultTabStop w:val="720"/>
  <w:doNotHyphenateCaps/>
  <w:drawingGridHorizontalSpacing w:val="110"/>
  <w:displayHorizontalDrawingGridEvery w:val="2"/>
  <w:characterSpacingControl w:val="doNotCompress"/>
  <w:doNotValidateAgainstSchema/>
  <w:doNotDemarcateInvalidXml/>
  <w:hdrShapeDefaults>
    <o:shapedefaults v:ext="edit" spidmax="8193"/>
  </w:hdrShapeDefaults>
  <w:footnotePr>
    <w:footnote w:id="-1"/>
    <w:footnote w:id="0"/>
  </w:footnotePr>
  <w:endnotePr>
    <w:endnote w:id="-1"/>
    <w:endnote w:id="0"/>
  </w:endnotePr>
  <w:compat/>
  <w:docVars>
    <w:docVar w:name="EN.InstantFormat" w:val="&lt;ENInstantFormat&gt;&lt;Enabled&gt;0&lt;/Enabled&gt;&lt;ScanUnformatted&gt;1&lt;/ScanUnformatted&gt;&lt;ScanChanges&gt;1&lt;/ScanChanges&gt;&lt;Suspended&gt;0&lt;/Suspended&gt;&lt;/ENInstantFormat&gt;"/>
    <w:docVar w:name="EN.Layout" w:val="&lt;ENLayout&gt;&lt;Style&gt;Marine Freshwater Researc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vxxvsda2b05fxpeaw2dp552mtrd5trxdrf0s&quot;&gt;main database&lt;record-ids&gt;&lt;item&gt;906&lt;/item&gt;&lt;item&gt;1147&lt;/item&gt;&lt;item&gt;1259&lt;/item&gt;&lt;item&gt;1326&lt;/item&gt;&lt;item&gt;1337&lt;/item&gt;&lt;item&gt;1696&lt;/item&gt;&lt;item&gt;1754&lt;/item&gt;&lt;item&gt;2473&lt;/item&gt;&lt;item&gt;2531&lt;/item&gt;&lt;item&gt;2647&lt;/item&gt;&lt;item&gt;2733&lt;/item&gt;&lt;item&gt;2755&lt;/item&gt;&lt;item&gt;2791&lt;/item&gt;&lt;item&gt;2834&lt;/item&gt;&lt;item&gt;2935&lt;/item&gt;&lt;item&gt;2951&lt;/item&gt;&lt;item&gt;2955&lt;/item&gt;&lt;item&gt;2983&lt;/item&gt;&lt;item&gt;3062&lt;/item&gt;&lt;item&gt;3063&lt;/item&gt;&lt;item&gt;3094&lt;/item&gt;&lt;item&gt;3106&lt;/item&gt;&lt;item&gt;3124&lt;/item&gt;&lt;item&gt;3161&lt;/item&gt;&lt;item&gt;3162&lt;/item&gt;&lt;item&gt;3163&lt;/item&gt;&lt;item&gt;3164&lt;/item&gt;&lt;item&gt;3165&lt;/item&gt;&lt;item&gt;3166&lt;/item&gt;&lt;item&gt;3168&lt;/item&gt;&lt;item&gt;3171&lt;/item&gt;&lt;item&gt;3172&lt;/item&gt;&lt;item&gt;3177&lt;/item&gt;&lt;item&gt;3178&lt;/item&gt;&lt;item&gt;3179&lt;/item&gt;&lt;item&gt;3181&lt;/item&gt;&lt;item&gt;3182&lt;/item&gt;&lt;item&gt;3184&lt;/item&gt;&lt;item&gt;3185&lt;/item&gt;&lt;item&gt;3186&lt;/item&gt;&lt;item&gt;3199&lt;/item&gt;&lt;item&gt;3205&lt;/item&gt;&lt;item&gt;3208&lt;/item&gt;&lt;item&gt;3216&lt;/item&gt;&lt;item&gt;3217&lt;/item&gt;&lt;item&gt;3218&lt;/item&gt;&lt;item&gt;3219&lt;/item&gt;&lt;item&gt;3220&lt;/item&gt;&lt;item&gt;3222&lt;/item&gt;&lt;item&gt;3223&lt;/item&gt;&lt;item&gt;3248&lt;/item&gt;&lt;item&gt;3249&lt;/item&gt;&lt;item&gt;3250&lt;/item&gt;&lt;item&gt;3251&lt;/item&gt;&lt;item&gt;3252&lt;/item&gt;&lt;item&gt;3253&lt;/item&gt;&lt;item&gt;3254&lt;/item&gt;&lt;item&gt;3255&lt;/item&gt;&lt;item&gt;3256&lt;/item&gt;&lt;item&gt;3257&lt;/item&gt;&lt;item&gt;3258&lt;/item&gt;&lt;item&gt;3259&lt;/item&gt;&lt;item&gt;3260&lt;/item&gt;&lt;item&gt;3261&lt;/item&gt;&lt;item&gt;3262&lt;/item&gt;&lt;item&gt;3263&lt;/item&gt;&lt;item&gt;3265&lt;/item&gt;&lt;item&gt;3266&lt;/item&gt;&lt;item&gt;3267&lt;/item&gt;&lt;item&gt;3268&lt;/item&gt;&lt;item&gt;3269&lt;/item&gt;&lt;item&gt;3270&lt;/item&gt;&lt;item&gt;3271&lt;/item&gt;&lt;/record-ids&gt;&lt;/item&gt;&lt;/Libraries&gt;"/>
  </w:docVars>
  <w:rsids>
    <w:rsidRoot w:val="003D4358"/>
    <w:rsid w:val="00000076"/>
    <w:rsid w:val="00000318"/>
    <w:rsid w:val="00000472"/>
    <w:rsid w:val="00000B8C"/>
    <w:rsid w:val="00000FED"/>
    <w:rsid w:val="000010A0"/>
    <w:rsid w:val="000010E4"/>
    <w:rsid w:val="0000118E"/>
    <w:rsid w:val="000011E6"/>
    <w:rsid w:val="00001306"/>
    <w:rsid w:val="00001AC1"/>
    <w:rsid w:val="00001E11"/>
    <w:rsid w:val="0000218C"/>
    <w:rsid w:val="000022FB"/>
    <w:rsid w:val="00002561"/>
    <w:rsid w:val="00002774"/>
    <w:rsid w:val="000028D4"/>
    <w:rsid w:val="00002BDF"/>
    <w:rsid w:val="00003368"/>
    <w:rsid w:val="00003CDE"/>
    <w:rsid w:val="0000447F"/>
    <w:rsid w:val="000048E0"/>
    <w:rsid w:val="00005496"/>
    <w:rsid w:val="00005BFF"/>
    <w:rsid w:val="00005EEB"/>
    <w:rsid w:val="00005F4B"/>
    <w:rsid w:val="0000604C"/>
    <w:rsid w:val="00006AA2"/>
    <w:rsid w:val="00006C43"/>
    <w:rsid w:val="00006C65"/>
    <w:rsid w:val="00006CBE"/>
    <w:rsid w:val="00006E85"/>
    <w:rsid w:val="000070E1"/>
    <w:rsid w:val="000076FD"/>
    <w:rsid w:val="000077DC"/>
    <w:rsid w:val="00007A57"/>
    <w:rsid w:val="00007B4B"/>
    <w:rsid w:val="00007F7F"/>
    <w:rsid w:val="00007FB4"/>
    <w:rsid w:val="0001002D"/>
    <w:rsid w:val="00010189"/>
    <w:rsid w:val="0001069D"/>
    <w:rsid w:val="000106CF"/>
    <w:rsid w:val="00010AFE"/>
    <w:rsid w:val="00012407"/>
    <w:rsid w:val="0001263E"/>
    <w:rsid w:val="00012C75"/>
    <w:rsid w:val="000136AC"/>
    <w:rsid w:val="0001389A"/>
    <w:rsid w:val="00014B24"/>
    <w:rsid w:val="00014C6E"/>
    <w:rsid w:val="0001607F"/>
    <w:rsid w:val="000169D1"/>
    <w:rsid w:val="00017291"/>
    <w:rsid w:val="0001737B"/>
    <w:rsid w:val="0001769D"/>
    <w:rsid w:val="00017957"/>
    <w:rsid w:val="00017C45"/>
    <w:rsid w:val="00017CB3"/>
    <w:rsid w:val="00022456"/>
    <w:rsid w:val="00022E13"/>
    <w:rsid w:val="00023224"/>
    <w:rsid w:val="000232C2"/>
    <w:rsid w:val="000236BC"/>
    <w:rsid w:val="000236C9"/>
    <w:rsid w:val="00023981"/>
    <w:rsid w:val="00024AD6"/>
    <w:rsid w:val="000254C2"/>
    <w:rsid w:val="00025851"/>
    <w:rsid w:val="00025DDA"/>
    <w:rsid w:val="0002623B"/>
    <w:rsid w:val="0002630A"/>
    <w:rsid w:val="0002655A"/>
    <w:rsid w:val="00026BF1"/>
    <w:rsid w:val="00026BF2"/>
    <w:rsid w:val="000271AF"/>
    <w:rsid w:val="00027E80"/>
    <w:rsid w:val="00027FC8"/>
    <w:rsid w:val="00030110"/>
    <w:rsid w:val="000303AD"/>
    <w:rsid w:val="000303F9"/>
    <w:rsid w:val="000304BF"/>
    <w:rsid w:val="000304E0"/>
    <w:rsid w:val="0003072D"/>
    <w:rsid w:val="00030863"/>
    <w:rsid w:val="000311A7"/>
    <w:rsid w:val="00031412"/>
    <w:rsid w:val="0003143B"/>
    <w:rsid w:val="00031C81"/>
    <w:rsid w:val="0003256D"/>
    <w:rsid w:val="00032A00"/>
    <w:rsid w:val="00032E93"/>
    <w:rsid w:val="00032F7C"/>
    <w:rsid w:val="00033119"/>
    <w:rsid w:val="0003336C"/>
    <w:rsid w:val="000335FE"/>
    <w:rsid w:val="0003365C"/>
    <w:rsid w:val="00033C35"/>
    <w:rsid w:val="00034747"/>
    <w:rsid w:val="00034F65"/>
    <w:rsid w:val="000354E3"/>
    <w:rsid w:val="00036304"/>
    <w:rsid w:val="00036528"/>
    <w:rsid w:val="00036CD6"/>
    <w:rsid w:val="00037BAE"/>
    <w:rsid w:val="00037F02"/>
    <w:rsid w:val="0004010B"/>
    <w:rsid w:val="0004030C"/>
    <w:rsid w:val="000408C9"/>
    <w:rsid w:val="00040B24"/>
    <w:rsid w:val="00040C45"/>
    <w:rsid w:val="00041326"/>
    <w:rsid w:val="00041B8F"/>
    <w:rsid w:val="00041CBE"/>
    <w:rsid w:val="000421DE"/>
    <w:rsid w:val="00042426"/>
    <w:rsid w:val="00042A47"/>
    <w:rsid w:val="00042DFD"/>
    <w:rsid w:val="00043617"/>
    <w:rsid w:val="000444AE"/>
    <w:rsid w:val="00044643"/>
    <w:rsid w:val="00044DE1"/>
    <w:rsid w:val="00045264"/>
    <w:rsid w:val="000458AA"/>
    <w:rsid w:val="0004597B"/>
    <w:rsid w:val="00045B27"/>
    <w:rsid w:val="00045DA0"/>
    <w:rsid w:val="000460B5"/>
    <w:rsid w:val="00046251"/>
    <w:rsid w:val="000462F7"/>
    <w:rsid w:val="000464E2"/>
    <w:rsid w:val="0004661D"/>
    <w:rsid w:val="00046914"/>
    <w:rsid w:val="0004717B"/>
    <w:rsid w:val="000471B0"/>
    <w:rsid w:val="00047D23"/>
    <w:rsid w:val="00047D9D"/>
    <w:rsid w:val="000504AD"/>
    <w:rsid w:val="00050725"/>
    <w:rsid w:val="00051512"/>
    <w:rsid w:val="0005178A"/>
    <w:rsid w:val="00051D45"/>
    <w:rsid w:val="00051EE1"/>
    <w:rsid w:val="0005230C"/>
    <w:rsid w:val="00052348"/>
    <w:rsid w:val="0005244A"/>
    <w:rsid w:val="00052477"/>
    <w:rsid w:val="000528AA"/>
    <w:rsid w:val="000529FF"/>
    <w:rsid w:val="00053856"/>
    <w:rsid w:val="00053A16"/>
    <w:rsid w:val="00053B0F"/>
    <w:rsid w:val="00053D27"/>
    <w:rsid w:val="0005434C"/>
    <w:rsid w:val="00054678"/>
    <w:rsid w:val="00054718"/>
    <w:rsid w:val="00054B0C"/>
    <w:rsid w:val="00054C1E"/>
    <w:rsid w:val="00054F26"/>
    <w:rsid w:val="000552CC"/>
    <w:rsid w:val="0005531A"/>
    <w:rsid w:val="00055354"/>
    <w:rsid w:val="000558D0"/>
    <w:rsid w:val="00055920"/>
    <w:rsid w:val="00055EAA"/>
    <w:rsid w:val="0005645C"/>
    <w:rsid w:val="000565FF"/>
    <w:rsid w:val="000566C4"/>
    <w:rsid w:val="00056851"/>
    <w:rsid w:val="00056BE3"/>
    <w:rsid w:val="00056E18"/>
    <w:rsid w:val="00056F24"/>
    <w:rsid w:val="00056FA0"/>
    <w:rsid w:val="00057856"/>
    <w:rsid w:val="00057DD3"/>
    <w:rsid w:val="000602B4"/>
    <w:rsid w:val="000604B2"/>
    <w:rsid w:val="00060642"/>
    <w:rsid w:val="0006073E"/>
    <w:rsid w:val="00060C43"/>
    <w:rsid w:val="00060FCB"/>
    <w:rsid w:val="0006173A"/>
    <w:rsid w:val="00062455"/>
    <w:rsid w:val="0006247C"/>
    <w:rsid w:val="00062837"/>
    <w:rsid w:val="00062B04"/>
    <w:rsid w:val="000632BD"/>
    <w:rsid w:val="00063AAE"/>
    <w:rsid w:val="00063D61"/>
    <w:rsid w:val="00064254"/>
    <w:rsid w:val="00065225"/>
    <w:rsid w:val="00065B96"/>
    <w:rsid w:val="00065E84"/>
    <w:rsid w:val="00066046"/>
    <w:rsid w:val="00066057"/>
    <w:rsid w:val="000661CE"/>
    <w:rsid w:val="000664ED"/>
    <w:rsid w:val="00066C8C"/>
    <w:rsid w:val="00066DDA"/>
    <w:rsid w:val="00067CF0"/>
    <w:rsid w:val="00070830"/>
    <w:rsid w:val="00070B07"/>
    <w:rsid w:val="00070D41"/>
    <w:rsid w:val="00070FB1"/>
    <w:rsid w:val="000715D2"/>
    <w:rsid w:val="000717D9"/>
    <w:rsid w:val="0007224D"/>
    <w:rsid w:val="00072C97"/>
    <w:rsid w:val="00072CDE"/>
    <w:rsid w:val="000734B1"/>
    <w:rsid w:val="00074D2A"/>
    <w:rsid w:val="00074DF8"/>
    <w:rsid w:val="00074E88"/>
    <w:rsid w:val="00074FE7"/>
    <w:rsid w:val="000751B0"/>
    <w:rsid w:val="000757B4"/>
    <w:rsid w:val="00076B27"/>
    <w:rsid w:val="00077775"/>
    <w:rsid w:val="00077AD4"/>
    <w:rsid w:val="00077BDD"/>
    <w:rsid w:val="00077D07"/>
    <w:rsid w:val="00080486"/>
    <w:rsid w:val="000813E3"/>
    <w:rsid w:val="0008155B"/>
    <w:rsid w:val="00081606"/>
    <w:rsid w:val="00082043"/>
    <w:rsid w:val="000824D0"/>
    <w:rsid w:val="0008260E"/>
    <w:rsid w:val="00082E15"/>
    <w:rsid w:val="0008361C"/>
    <w:rsid w:val="00083A75"/>
    <w:rsid w:val="00083D2B"/>
    <w:rsid w:val="000842A2"/>
    <w:rsid w:val="00084F55"/>
    <w:rsid w:val="000858D7"/>
    <w:rsid w:val="00085D64"/>
    <w:rsid w:val="00085FA6"/>
    <w:rsid w:val="000863FF"/>
    <w:rsid w:val="000868CE"/>
    <w:rsid w:val="00086C2A"/>
    <w:rsid w:val="00086FEE"/>
    <w:rsid w:val="00086FF4"/>
    <w:rsid w:val="000872D2"/>
    <w:rsid w:val="0008796E"/>
    <w:rsid w:val="00087F65"/>
    <w:rsid w:val="000901C7"/>
    <w:rsid w:val="00090B0F"/>
    <w:rsid w:val="00091208"/>
    <w:rsid w:val="0009147C"/>
    <w:rsid w:val="00091743"/>
    <w:rsid w:val="00092180"/>
    <w:rsid w:val="00092AA4"/>
    <w:rsid w:val="00092E09"/>
    <w:rsid w:val="00093B24"/>
    <w:rsid w:val="00093C2A"/>
    <w:rsid w:val="0009435E"/>
    <w:rsid w:val="0009501A"/>
    <w:rsid w:val="0009516D"/>
    <w:rsid w:val="000952A6"/>
    <w:rsid w:val="000954C6"/>
    <w:rsid w:val="0009589A"/>
    <w:rsid w:val="0009650E"/>
    <w:rsid w:val="00096C51"/>
    <w:rsid w:val="00096E57"/>
    <w:rsid w:val="00096F4B"/>
    <w:rsid w:val="0009713A"/>
    <w:rsid w:val="000974B5"/>
    <w:rsid w:val="00097512"/>
    <w:rsid w:val="0009777A"/>
    <w:rsid w:val="00097FE4"/>
    <w:rsid w:val="000A0280"/>
    <w:rsid w:val="000A097B"/>
    <w:rsid w:val="000A0B6B"/>
    <w:rsid w:val="000A0DF0"/>
    <w:rsid w:val="000A1B27"/>
    <w:rsid w:val="000A1C85"/>
    <w:rsid w:val="000A204A"/>
    <w:rsid w:val="000A218C"/>
    <w:rsid w:val="000A269E"/>
    <w:rsid w:val="000A2A70"/>
    <w:rsid w:val="000A2BC9"/>
    <w:rsid w:val="000A3542"/>
    <w:rsid w:val="000A3633"/>
    <w:rsid w:val="000A377E"/>
    <w:rsid w:val="000A4C59"/>
    <w:rsid w:val="000A4C5A"/>
    <w:rsid w:val="000A4F7E"/>
    <w:rsid w:val="000A544D"/>
    <w:rsid w:val="000A5595"/>
    <w:rsid w:val="000A7373"/>
    <w:rsid w:val="000A7760"/>
    <w:rsid w:val="000A7FFB"/>
    <w:rsid w:val="000B0293"/>
    <w:rsid w:val="000B0417"/>
    <w:rsid w:val="000B0C8D"/>
    <w:rsid w:val="000B0F79"/>
    <w:rsid w:val="000B11BF"/>
    <w:rsid w:val="000B1443"/>
    <w:rsid w:val="000B154F"/>
    <w:rsid w:val="000B1771"/>
    <w:rsid w:val="000B2D5D"/>
    <w:rsid w:val="000B2DB6"/>
    <w:rsid w:val="000B3666"/>
    <w:rsid w:val="000B3D78"/>
    <w:rsid w:val="000B480E"/>
    <w:rsid w:val="000B513B"/>
    <w:rsid w:val="000B53FF"/>
    <w:rsid w:val="000B5518"/>
    <w:rsid w:val="000B5816"/>
    <w:rsid w:val="000B5D36"/>
    <w:rsid w:val="000B61B6"/>
    <w:rsid w:val="000B6FEC"/>
    <w:rsid w:val="000B78D1"/>
    <w:rsid w:val="000B7C55"/>
    <w:rsid w:val="000C028D"/>
    <w:rsid w:val="000C0806"/>
    <w:rsid w:val="000C13D2"/>
    <w:rsid w:val="000C1ACC"/>
    <w:rsid w:val="000C1F42"/>
    <w:rsid w:val="000C2237"/>
    <w:rsid w:val="000C25FB"/>
    <w:rsid w:val="000C2720"/>
    <w:rsid w:val="000C28CD"/>
    <w:rsid w:val="000C2A4D"/>
    <w:rsid w:val="000C2A6F"/>
    <w:rsid w:val="000C30D3"/>
    <w:rsid w:val="000C329E"/>
    <w:rsid w:val="000C3552"/>
    <w:rsid w:val="000C3771"/>
    <w:rsid w:val="000C38A8"/>
    <w:rsid w:val="000C3F9C"/>
    <w:rsid w:val="000C41CB"/>
    <w:rsid w:val="000C4278"/>
    <w:rsid w:val="000C5C16"/>
    <w:rsid w:val="000C5EE6"/>
    <w:rsid w:val="000C6016"/>
    <w:rsid w:val="000C6192"/>
    <w:rsid w:val="000C63DB"/>
    <w:rsid w:val="000C6BA7"/>
    <w:rsid w:val="000C6BDD"/>
    <w:rsid w:val="000C7056"/>
    <w:rsid w:val="000C7234"/>
    <w:rsid w:val="000C7605"/>
    <w:rsid w:val="000C7D76"/>
    <w:rsid w:val="000D0387"/>
    <w:rsid w:val="000D0526"/>
    <w:rsid w:val="000D0669"/>
    <w:rsid w:val="000D09FF"/>
    <w:rsid w:val="000D0DB3"/>
    <w:rsid w:val="000D0DCB"/>
    <w:rsid w:val="000D105B"/>
    <w:rsid w:val="000D13BE"/>
    <w:rsid w:val="000D16F8"/>
    <w:rsid w:val="000D17D4"/>
    <w:rsid w:val="000D1CC6"/>
    <w:rsid w:val="000D1FB1"/>
    <w:rsid w:val="000D259F"/>
    <w:rsid w:val="000D26CC"/>
    <w:rsid w:val="000D2D0D"/>
    <w:rsid w:val="000D2DB0"/>
    <w:rsid w:val="000D30CA"/>
    <w:rsid w:val="000D3A12"/>
    <w:rsid w:val="000D3D27"/>
    <w:rsid w:val="000D4074"/>
    <w:rsid w:val="000D4B51"/>
    <w:rsid w:val="000D4E0B"/>
    <w:rsid w:val="000D50A6"/>
    <w:rsid w:val="000D5416"/>
    <w:rsid w:val="000D5675"/>
    <w:rsid w:val="000D569B"/>
    <w:rsid w:val="000D58BB"/>
    <w:rsid w:val="000D5B75"/>
    <w:rsid w:val="000D64E2"/>
    <w:rsid w:val="000D666F"/>
    <w:rsid w:val="000D6CBF"/>
    <w:rsid w:val="000D6E21"/>
    <w:rsid w:val="000D7392"/>
    <w:rsid w:val="000D78E6"/>
    <w:rsid w:val="000D7937"/>
    <w:rsid w:val="000D7AF4"/>
    <w:rsid w:val="000D7EE6"/>
    <w:rsid w:val="000E02CD"/>
    <w:rsid w:val="000E049D"/>
    <w:rsid w:val="000E0D45"/>
    <w:rsid w:val="000E0F8B"/>
    <w:rsid w:val="000E10A7"/>
    <w:rsid w:val="000E1152"/>
    <w:rsid w:val="000E1469"/>
    <w:rsid w:val="000E1549"/>
    <w:rsid w:val="000E15F6"/>
    <w:rsid w:val="000E1FA3"/>
    <w:rsid w:val="000E34C2"/>
    <w:rsid w:val="000E3882"/>
    <w:rsid w:val="000E3D3D"/>
    <w:rsid w:val="000E43F3"/>
    <w:rsid w:val="000E44DD"/>
    <w:rsid w:val="000E4E8A"/>
    <w:rsid w:val="000E5066"/>
    <w:rsid w:val="000E522F"/>
    <w:rsid w:val="000E52D3"/>
    <w:rsid w:val="000E5A28"/>
    <w:rsid w:val="000E606D"/>
    <w:rsid w:val="000E6186"/>
    <w:rsid w:val="000E63F8"/>
    <w:rsid w:val="000E6630"/>
    <w:rsid w:val="000E673A"/>
    <w:rsid w:val="000E6759"/>
    <w:rsid w:val="000E6CE3"/>
    <w:rsid w:val="000E6DA4"/>
    <w:rsid w:val="000E6EFC"/>
    <w:rsid w:val="000E7247"/>
    <w:rsid w:val="000E741F"/>
    <w:rsid w:val="000E7CA6"/>
    <w:rsid w:val="000E7CB0"/>
    <w:rsid w:val="000F07D1"/>
    <w:rsid w:val="000F0FDF"/>
    <w:rsid w:val="000F2207"/>
    <w:rsid w:val="000F236C"/>
    <w:rsid w:val="000F2AE2"/>
    <w:rsid w:val="000F2AEB"/>
    <w:rsid w:val="000F2CF3"/>
    <w:rsid w:val="000F30AA"/>
    <w:rsid w:val="000F3967"/>
    <w:rsid w:val="000F3A05"/>
    <w:rsid w:val="000F3E83"/>
    <w:rsid w:val="000F40CE"/>
    <w:rsid w:val="000F4114"/>
    <w:rsid w:val="000F41C5"/>
    <w:rsid w:val="000F4257"/>
    <w:rsid w:val="000F463F"/>
    <w:rsid w:val="000F47A7"/>
    <w:rsid w:val="000F47F5"/>
    <w:rsid w:val="000F5796"/>
    <w:rsid w:val="000F5A97"/>
    <w:rsid w:val="000F6005"/>
    <w:rsid w:val="000F6424"/>
    <w:rsid w:val="000F6526"/>
    <w:rsid w:val="000F6B94"/>
    <w:rsid w:val="000F7707"/>
    <w:rsid w:val="001006F2"/>
    <w:rsid w:val="00100AAE"/>
    <w:rsid w:val="00100ECB"/>
    <w:rsid w:val="00102122"/>
    <w:rsid w:val="001022E3"/>
    <w:rsid w:val="0010331B"/>
    <w:rsid w:val="0010371E"/>
    <w:rsid w:val="001038F4"/>
    <w:rsid w:val="001041B0"/>
    <w:rsid w:val="0010455D"/>
    <w:rsid w:val="00105A03"/>
    <w:rsid w:val="001064DA"/>
    <w:rsid w:val="0010688E"/>
    <w:rsid w:val="0010739D"/>
    <w:rsid w:val="0011009D"/>
    <w:rsid w:val="00110120"/>
    <w:rsid w:val="0011031E"/>
    <w:rsid w:val="00110704"/>
    <w:rsid w:val="00111A24"/>
    <w:rsid w:val="00112051"/>
    <w:rsid w:val="00112114"/>
    <w:rsid w:val="00112CD3"/>
    <w:rsid w:val="0011305D"/>
    <w:rsid w:val="001130BF"/>
    <w:rsid w:val="00113421"/>
    <w:rsid w:val="001134A0"/>
    <w:rsid w:val="00113B28"/>
    <w:rsid w:val="00113BF0"/>
    <w:rsid w:val="001148AE"/>
    <w:rsid w:val="00114FB2"/>
    <w:rsid w:val="0011558C"/>
    <w:rsid w:val="00115C34"/>
    <w:rsid w:val="00116064"/>
    <w:rsid w:val="00116153"/>
    <w:rsid w:val="0011625C"/>
    <w:rsid w:val="00116302"/>
    <w:rsid w:val="00116BE4"/>
    <w:rsid w:val="00116E4B"/>
    <w:rsid w:val="00116EDF"/>
    <w:rsid w:val="00116F49"/>
    <w:rsid w:val="0011739D"/>
    <w:rsid w:val="00117EB3"/>
    <w:rsid w:val="00120454"/>
    <w:rsid w:val="001213D1"/>
    <w:rsid w:val="00121BC4"/>
    <w:rsid w:val="00122D20"/>
    <w:rsid w:val="0012382B"/>
    <w:rsid w:val="00123BCE"/>
    <w:rsid w:val="00123BDD"/>
    <w:rsid w:val="00123D8B"/>
    <w:rsid w:val="00123FCC"/>
    <w:rsid w:val="00124327"/>
    <w:rsid w:val="0012481D"/>
    <w:rsid w:val="00124B65"/>
    <w:rsid w:val="0012505E"/>
    <w:rsid w:val="00125679"/>
    <w:rsid w:val="00125954"/>
    <w:rsid w:val="00125E10"/>
    <w:rsid w:val="0012612B"/>
    <w:rsid w:val="0012677A"/>
    <w:rsid w:val="00127CA0"/>
    <w:rsid w:val="00130077"/>
    <w:rsid w:val="001300C7"/>
    <w:rsid w:val="001304B2"/>
    <w:rsid w:val="001306B0"/>
    <w:rsid w:val="001311C6"/>
    <w:rsid w:val="00131506"/>
    <w:rsid w:val="00131B4D"/>
    <w:rsid w:val="00131B79"/>
    <w:rsid w:val="00131BA4"/>
    <w:rsid w:val="0013281B"/>
    <w:rsid w:val="00132983"/>
    <w:rsid w:val="00133158"/>
    <w:rsid w:val="00133B75"/>
    <w:rsid w:val="00133BCA"/>
    <w:rsid w:val="00133CFD"/>
    <w:rsid w:val="001344AD"/>
    <w:rsid w:val="001349AF"/>
    <w:rsid w:val="0013624C"/>
    <w:rsid w:val="00136A58"/>
    <w:rsid w:val="00136A92"/>
    <w:rsid w:val="001371F5"/>
    <w:rsid w:val="001402B5"/>
    <w:rsid w:val="00140313"/>
    <w:rsid w:val="00140347"/>
    <w:rsid w:val="0014038C"/>
    <w:rsid w:val="0014040D"/>
    <w:rsid w:val="00140C4B"/>
    <w:rsid w:val="00140C77"/>
    <w:rsid w:val="00140D24"/>
    <w:rsid w:val="00140EF9"/>
    <w:rsid w:val="00141079"/>
    <w:rsid w:val="001413A3"/>
    <w:rsid w:val="00141837"/>
    <w:rsid w:val="00141F8B"/>
    <w:rsid w:val="001423F0"/>
    <w:rsid w:val="0014263C"/>
    <w:rsid w:val="0014264D"/>
    <w:rsid w:val="00142AE8"/>
    <w:rsid w:val="00143052"/>
    <w:rsid w:val="001430F9"/>
    <w:rsid w:val="001436D3"/>
    <w:rsid w:val="00143EBA"/>
    <w:rsid w:val="0014481A"/>
    <w:rsid w:val="00144E1C"/>
    <w:rsid w:val="0014543E"/>
    <w:rsid w:val="001458D2"/>
    <w:rsid w:val="001459A3"/>
    <w:rsid w:val="00145E37"/>
    <w:rsid w:val="00145EB3"/>
    <w:rsid w:val="00146A82"/>
    <w:rsid w:val="00146F64"/>
    <w:rsid w:val="001472CC"/>
    <w:rsid w:val="001474CD"/>
    <w:rsid w:val="0014773F"/>
    <w:rsid w:val="0015022D"/>
    <w:rsid w:val="001503C2"/>
    <w:rsid w:val="0015099A"/>
    <w:rsid w:val="00151451"/>
    <w:rsid w:val="00151761"/>
    <w:rsid w:val="00151B0D"/>
    <w:rsid w:val="00151D8C"/>
    <w:rsid w:val="001526E6"/>
    <w:rsid w:val="00153BB4"/>
    <w:rsid w:val="00153C15"/>
    <w:rsid w:val="0015409A"/>
    <w:rsid w:val="00154100"/>
    <w:rsid w:val="0015451F"/>
    <w:rsid w:val="001547BB"/>
    <w:rsid w:val="00154BE1"/>
    <w:rsid w:val="00154E45"/>
    <w:rsid w:val="001551A5"/>
    <w:rsid w:val="00155EF3"/>
    <w:rsid w:val="00155FC0"/>
    <w:rsid w:val="00156263"/>
    <w:rsid w:val="00157897"/>
    <w:rsid w:val="0015799A"/>
    <w:rsid w:val="00157EA8"/>
    <w:rsid w:val="0016014F"/>
    <w:rsid w:val="001608CC"/>
    <w:rsid w:val="00160EF4"/>
    <w:rsid w:val="00161435"/>
    <w:rsid w:val="00161E72"/>
    <w:rsid w:val="00161EDA"/>
    <w:rsid w:val="00162111"/>
    <w:rsid w:val="001621B2"/>
    <w:rsid w:val="001625D5"/>
    <w:rsid w:val="001628B2"/>
    <w:rsid w:val="001635D0"/>
    <w:rsid w:val="001635EC"/>
    <w:rsid w:val="0016373D"/>
    <w:rsid w:val="00163ACE"/>
    <w:rsid w:val="00163B8B"/>
    <w:rsid w:val="001643AC"/>
    <w:rsid w:val="00164C10"/>
    <w:rsid w:val="00164C82"/>
    <w:rsid w:val="00164D74"/>
    <w:rsid w:val="001657B6"/>
    <w:rsid w:val="001666B0"/>
    <w:rsid w:val="001666D2"/>
    <w:rsid w:val="001666FD"/>
    <w:rsid w:val="00166D86"/>
    <w:rsid w:val="00166F1C"/>
    <w:rsid w:val="00167A43"/>
    <w:rsid w:val="00167C42"/>
    <w:rsid w:val="001700C6"/>
    <w:rsid w:val="00170100"/>
    <w:rsid w:val="0017018D"/>
    <w:rsid w:val="00172947"/>
    <w:rsid w:val="00173246"/>
    <w:rsid w:val="00173491"/>
    <w:rsid w:val="001739FF"/>
    <w:rsid w:val="00173E99"/>
    <w:rsid w:val="001754E7"/>
    <w:rsid w:val="00175824"/>
    <w:rsid w:val="00175B52"/>
    <w:rsid w:val="00175BC2"/>
    <w:rsid w:val="00176537"/>
    <w:rsid w:val="0017687B"/>
    <w:rsid w:val="00176976"/>
    <w:rsid w:val="001769A6"/>
    <w:rsid w:val="001774B5"/>
    <w:rsid w:val="00177DD4"/>
    <w:rsid w:val="0018009E"/>
    <w:rsid w:val="001805A2"/>
    <w:rsid w:val="00180695"/>
    <w:rsid w:val="00180914"/>
    <w:rsid w:val="00180BBF"/>
    <w:rsid w:val="00180D4F"/>
    <w:rsid w:val="0018186E"/>
    <w:rsid w:val="0018195B"/>
    <w:rsid w:val="00181BF3"/>
    <w:rsid w:val="00181EB9"/>
    <w:rsid w:val="00181F18"/>
    <w:rsid w:val="00182122"/>
    <w:rsid w:val="00182255"/>
    <w:rsid w:val="00183005"/>
    <w:rsid w:val="0018318A"/>
    <w:rsid w:val="0018366C"/>
    <w:rsid w:val="00183A4F"/>
    <w:rsid w:val="00183AB3"/>
    <w:rsid w:val="00183DDE"/>
    <w:rsid w:val="00184042"/>
    <w:rsid w:val="001850A7"/>
    <w:rsid w:val="00185150"/>
    <w:rsid w:val="00186B30"/>
    <w:rsid w:val="00187DB9"/>
    <w:rsid w:val="00187EF7"/>
    <w:rsid w:val="00190394"/>
    <w:rsid w:val="00190725"/>
    <w:rsid w:val="00191B05"/>
    <w:rsid w:val="00191B11"/>
    <w:rsid w:val="00192193"/>
    <w:rsid w:val="001922B5"/>
    <w:rsid w:val="0019275F"/>
    <w:rsid w:val="00192A3C"/>
    <w:rsid w:val="00193B1C"/>
    <w:rsid w:val="00193D29"/>
    <w:rsid w:val="00193D83"/>
    <w:rsid w:val="00194172"/>
    <w:rsid w:val="001941A0"/>
    <w:rsid w:val="0019442F"/>
    <w:rsid w:val="00194454"/>
    <w:rsid w:val="0019479C"/>
    <w:rsid w:val="00194AE2"/>
    <w:rsid w:val="00194E1A"/>
    <w:rsid w:val="00195686"/>
    <w:rsid w:val="001960EF"/>
    <w:rsid w:val="00196543"/>
    <w:rsid w:val="0019683D"/>
    <w:rsid w:val="00196E47"/>
    <w:rsid w:val="00197D76"/>
    <w:rsid w:val="001A01AC"/>
    <w:rsid w:val="001A0ABC"/>
    <w:rsid w:val="001A10B4"/>
    <w:rsid w:val="001A1335"/>
    <w:rsid w:val="001A1ABD"/>
    <w:rsid w:val="001A1AE1"/>
    <w:rsid w:val="001A1B68"/>
    <w:rsid w:val="001A203B"/>
    <w:rsid w:val="001A2B48"/>
    <w:rsid w:val="001A2C2F"/>
    <w:rsid w:val="001A2D1B"/>
    <w:rsid w:val="001A2F18"/>
    <w:rsid w:val="001A34C6"/>
    <w:rsid w:val="001A4057"/>
    <w:rsid w:val="001A496F"/>
    <w:rsid w:val="001A5480"/>
    <w:rsid w:val="001A59E1"/>
    <w:rsid w:val="001A6E43"/>
    <w:rsid w:val="001A7002"/>
    <w:rsid w:val="001A7311"/>
    <w:rsid w:val="001A7B04"/>
    <w:rsid w:val="001B0884"/>
    <w:rsid w:val="001B0AC4"/>
    <w:rsid w:val="001B10C3"/>
    <w:rsid w:val="001B1DEE"/>
    <w:rsid w:val="001B1E41"/>
    <w:rsid w:val="001B211F"/>
    <w:rsid w:val="001B2648"/>
    <w:rsid w:val="001B27C6"/>
    <w:rsid w:val="001B286D"/>
    <w:rsid w:val="001B2C5A"/>
    <w:rsid w:val="001B2D8C"/>
    <w:rsid w:val="001B2DDE"/>
    <w:rsid w:val="001B329E"/>
    <w:rsid w:val="001B359F"/>
    <w:rsid w:val="001B3A04"/>
    <w:rsid w:val="001B3DCF"/>
    <w:rsid w:val="001B3EC2"/>
    <w:rsid w:val="001B3F30"/>
    <w:rsid w:val="001B4148"/>
    <w:rsid w:val="001B436C"/>
    <w:rsid w:val="001B43F6"/>
    <w:rsid w:val="001B4B78"/>
    <w:rsid w:val="001B53BF"/>
    <w:rsid w:val="001B56A7"/>
    <w:rsid w:val="001B57C6"/>
    <w:rsid w:val="001B676B"/>
    <w:rsid w:val="001B6BD1"/>
    <w:rsid w:val="001B79D7"/>
    <w:rsid w:val="001C0619"/>
    <w:rsid w:val="001C072E"/>
    <w:rsid w:val="001C1043"/>
    <w:rsid w:val="001C1170"/>
    <w:rsid w:val="001C1306"/>
    <w:rsid w:val="001C15FE"/>
    <w:rsid w:val="001C1640"/>
    <w:rsid w:val="001C2686"/>
    <w:rsid w:val="001C2E34"/>
    <w:rsid w:val="001C2E53"/>
    <w:rsid w:val="001C32E8"/>
    <w:rsid w:val="001C3469"/>
    <w:rsid w:val="001C38E5"/>
    <w:rsid w:val="001C433A"/>
    <w:rsid w:val="001C441F"/>
    <w:rsid w:val="001C47A5"/>
    <w:rsid w:val="001C4883"/>
    <w:rsid w:val="001C4C5A"/>
    <w:rsid w:val="001C5373"/>
    <w:rsid w:val="001C5531"/>
    <w:rsid w:val="001C56EA"/>
    <w:rsid w:val="001C5DCC"/>
    <w:rsid w:val="001C63D9"/>
    <w:rsid w:val="001C67C3"/>
    <w:rsid w:val="001C69B0"/>
    <w:rsid w:val="001C6A10"/>
    <w:rsid w:val="001C7158"/>
    <w:rsid w:val="001C7328"/>
    <w:rsid w:val="001C735B"/>
    <w:rsid w:val="001C7796"/>
    <w:rsid w:val="001C7A33"/>
    <w:rsid w:val="001C7CBF"/>
    <w:rsid w:val="001D0150"/>
    <w:rsid w:val="001D0702"/>
    <w:rsid w:val="001D0DC1"/>
    <w:rsid w:val="001D14D8"/>
    <w:rsid w:val="001D15F1"/>
    <w:rsid w:val="001D1854"/>
    <w:rsid w:val="001D1E31"/>
    <w:rsid w:val="001D2113"/>
    <w:rsid w:val="001D220A"/>
    <w:rsid w:val="001D2C02"/>
    <w:rsid w:val="001D3E87"/>
    <w:rsid w:val="001D4A0F"/>
    <w:rsid w:val="001D4EA7"/>
    <w:rsid w:val="001D5E3E"/>
    <w:rsid w:val="001D5FB3"/>
    <w:rsid w:val="001D63E4"/>
    <w:rsid w:val="001D69B4"/>
    <w:rsid w:val="001D7084"/>
    <w:rsid w:val="001D7479"/>
    <w:rsid w:val="001D7505"/>
    <w:rsid w:val="001D78E1"/>
    <w:rsid w:val="001E0492"/>
    <w:rsid w:val="001E0EDE"/>
    <w:rsid w:val="001E16ED"/>
    <w:rsid w:val="001E1B61"/>
    <w:rsid w:val="001E1DBA"/>
    <w:rsid w:val="001E1F4E"/>
    <w:rsid w:val="001E225E"/>
    <w:rsid w:val="001E2A6C"/>
    <w:rsid w:val="001E2E59"/>
    <w:rsid w:val="001E2EEA"/>
    <w:rsid w:val="001E3156"/>
    <w:rsid w:val="001E44BE"/>
    <w:rsid w:val="001E4987"/>
    <w:rsid w:val="001E4D71"/>
    <w:rsid w:val="001E54E7"/>
    <w:rsid w:val="001E6336"/>
    <w:rsid w:val="001E6C51"/>
    <w:rsid w:val="001E6D65"/>
    <w:rsid w:val="001E6DFB"/>
    <w:rsid w:val="001E7499"/>
    <w:rsid w:val="001E7E0E"/>
    <w:rsid w:val="001F020C"/>
    <w:rsid w:val="001F024E"/>
    <w:rsid w:val="001F05B2"/>
    <w:rsid w:val="001F0AFB"/>
    <w:rsid w:val="001F0F0F"/>
    <w:rsid w:val="001F11B1"/>
    <w:rsid w:val="001F13A0"/>
    <w:rsid w:val="001F1411"/>
    <w:rsid w:val="001F1C76"/>
    <w:rsid w:val="001F1D8E"/>
    <w:rsid w:val="001F1FE0"/>
    <w:rsid w:val="001F2F03"/>
    <w:rsid w:val="001F319C"/>
    <w:rsid w:val="001F3337"/>
    <w:rsid w:val="001F34A7"/>
    <w:rsid w:val="001F3BF9"/>
    <w:rsid w:val="001F3E19"/>
    <w:rsid w:val="001F413C"/>
    <w:rsid w:val="001F4547"/>
    <w:rsid w:val="001F4680"/>
    <w:rsid w:val="001F5569"/>
    <w:rsid w:val="001F5B29"/>
    <w:rsid w:val="001F61E9"/>
    <w:rsid w:val="001F6A6B"/>
    <w:rsid w:val="001F6F99"/>
    <w:rsid w:val="001F70D5"/>
    <w:rsid w:val="001F7112"/>
    <w:rsid w:val="001F7E41"/>
    <w:rsid w:val="00200A1C"/>
    <w:rsid w:val="00200A9F"/>
    <w:rsid w:val="00200B93"/>
    <w:rsid w:val="0020146E"/>
    <w:rsid w:val="002029C1"/>
    <w:rsid w:val="00202A3F"/>
    <w:rsid w:val="002035D0"/>
    <w:rsid w:val="002037BD"/>
    <w:rsid w:val="00205408"/>
    <w:rsid w:val="002056DD"/>
    <w:rsid w:val="00205995"/>
    <w:rsid w:val="002059B5"/>
    <w:rsid w:val="00205A71"/>
    <w:rsid w:val="00205AA8"/>
    <w:rsid w:val="00205C8A"/>
    <w:rsid w:val="00206027"/>
    <w:rsid w:val="00206580"/>
    <w:rsid w:val="0020669F"/>
    <w:rsid w:val="00207942"/>
    <w:rsid w:val="00207AE3"/>
    <w:rsid w:val="00207DFB"/>
    <w:rsid w:val="00207EAF"/>
    <w:rsid w:val="00207FAE"/>
    <w:rsid w:val="002102BD"/>
    <w:rsid w:val="0021038F"/>
    <w:rsid w:val="00210F18"/>
    <w:rsid w:val="00210FC9"/>
    <w:rsid w:val="002114EB"/>
    <w:rsid w:val="002117E4"/>
    <w:rsid w:val="00211821"/>
    <w:rsid w:val="00211DFD"/>
    <w:rsid w:val="00211F3B"/>
    <w:rsid w:val="002121EC"/>
    <w:rsid w:val="00212C92"/>
    <w:rsid w:val="00212CEA"/>
    <w:rsid w:val="002132FA"/>
    <w:rsid w:val="002135B1"/>
    <w:rsid w:val="00213B52"/>
    <w:rsid w:val="00213F2B"/>
    <w:rsid w:val="00215333"/>
    <w:rsid w:val="0021578D"/>
    <w:rsid w:val="00215AD0"/>
    <w:rsid w:val="00215C98"/>
    <w:rsid w:val="00215F7B"/>
    <w:rsid w:val="00215FDE"/>
    <w:rsid w:val="002165C7"/>
    <w:rsid w:val="002167AA"/>
    <w:rsid w:val="00216877"/>
    <w:rsid w:val="00217378"/>
    <w:rsid w:val="00217427"/>
    <w:rsid w:val="00217553"/>
    <w:rsid w:val="0022024C"/>
    <w:rsid w:val="00220336"/>
    <w:rsid w:val="00220391"/>
    <w:rsid w:val="00221973"/>
    <w:rsid w:val="00221DA6"/>
    <w:rsid w:val="002224EC"/>
    <w:rsid w:val="00222A41"/>
    <w:rsid w:val="00222C19"/>
    <w:rsid w:val="00222EA7"/>
    <w:rsid w:val="002237E7"/>
    <w:rsid w:val="0022392A"/>
    <w:rsid w:val="002239DE"/>
    <w:rsid w:val="0022423A"/>
    <w:rsid w:val="002242ED"/>
    <w:rsid w:val="00224306"/>
    <w:rsid w:val="002243B6"/>
    <w:rsid w:val="002245B4"/>
    <w:rsid w:val="00224C75"/>
    <w:rsid w:val="00224F05"/>
    <w:rsid w:val="0022520E"/>
    <w:rsid w:val="0022651F"/>
    <w:rsid w:val="00226529"/>
    <w:rsid w:val="00226B73"/>
    <w:rsid w:val="00226F34"/>
    <w:rsid w:val="00227A5F"/>
    <w:rsid w:val="00227BF2"/>
    <w:rsid w:val="00227F80"/>
    <w:rsid w:val="002307C6"/>
    <w:rsid w:val="002307DC"/>
    <w:rsid w:val="00230D4E"/>
    <w:rsid w:val="00231500"/>
    <w:rsid w:val="002315D6"/>
    <w:rsid w:val="00231A76"/>
    <w:rsid w:val="00231F26"/>
    <w:rsid w:val="00232299"/>
    <w:rsid w:val="00233391"/>
    <w:rsid w:val="0023387A"/>
    <w:rsid w:val="00234483"/>
    <w:rsid w:val="00234AFE"/>
    <w:rsid w:val="00234D7D"/>
    <w:rsid w:val="00235483"/>
    <w:rsid w:val="00235926"/>
    <w:rsid w:val="00235A18"/>
    <w:rsid w:val="00235C16"/>
    <w:rsid w:val="002361D1"/>
    <w:rsid w:val="002365E8"/>
    <w:rsid w:val="002367F9"/>
    <w:rsid w:val="00236E98"/>
    <w:rsid w:val="0023755E"/>
    <w:rsid w:val="00237AF5"/>
    <w:rsid w:val="00237BA9"/>
    <w:rsid w:val="00240A46"/>
    <w:rsid w:val="00240FCC"/>
    <w:rsid w:val="002416D9"/>
    <w:rsid w:val="0024256B"/>
    <w:rsid w:val="002444F5"/>
    <w:rsid w:val="00244640"/>
    <w:rsid w:val="002453CB"/>
    <w:rsid w:val="00245448"/>
    <w:rsid w:val="00245A45"/>
    <w:rsid w:val="00245C83"/>
    <w:rsid w:val="002460A1"/>
    <w:rsid w:val="00246470"/>
    <w:rsid w:val="00246B2D"/>
    <w:rsid w:val="002473EF"/>
    <w:rsid w:val="00247686"/>
    <w:rsid w:val="002479C6"/>
    <w:rsid w:val="0025071C"/>
    <w:rsid w:val="00250FF8"/>
    <w:rsid w:val="00252352"/>
    <w:rsid w:val="00252749"/>
    <w:rsid w:val="002527F2"/>
    <w:rsid w:val="0025300E"/>
    <w:rsid w:val="002542DF"/>
    <w:rsid w:val="0025435D"/>
    <w:rsid w:val="0025451E"/>
    <w:rsid w:val="0025471F"/>
    <w:rsid w:val="00254934"/>
    <w:rsid w:val="00254DB4"/>
    <w:rsid w:val="0025554A"/>
    <w:rsid w:val="00256501"/>
    <w:rsid w:val="00256B1A"/>
    <w:rsid w:val="00256BDD"/>
    <w:rsid w:val="0025707D"/>
    <w:rsid w:val="0025743B"/>
    <w:rsid w:val="00257B61"/>
    <w:rsid w:val="00257E09"/>
    <w:rsid w:val="00257FA0"/>
    <w:rsid w:val="002601A0"/>
    <w:rsid w:val="002616E1"/>
    <w:rsid w:val="00261F9A"/>
    <w:rsid w:val="0026226B"/>
    <w:rsid w:val="002623C4"/>
    <w:rsid w:val="002636CB"/>
    <w:rsid w:val="0026386E"/>
    <w:rsid w:val="00263CCF"/>
    <w:rsid w:val="00263DC4"/>
    <w:rsid w:val="00264C9A"/>
    <w:rsid w:val="002654A9"/>
    <w:rsid w:val="002656D2"/>
    <w:rsid w:val="00265A8C"/>
    <w:rsid w:val="00265C5F"/>
    <w:rsid w:val="00265CDD"/>
    <w:rsid w:val="00265D2A"/>
    <w:rsid w:val="002661EA"/>
    <w:rsid w:val="00266881"/>
    <w:rsid w:val="00266EEA"/>
    <w:rsid w:val="00267361"/>
    <w:rsid w:val="00267AC4"/>
    <w:rsid w:val="0027182D"/>
    <w:rsid w:val="00271B69"/>
    <w:rsid w:val="002729D2"/>
    <w:rsid w:val="002738B7"/>
    <w:rsid w:val="00274245"/>
    <w:rsid w:val="00274412"/>
    <w:rsid w:val="00274DFE"/>
    <w:rsid w:val="0027506C"/>
    <w:rsid w:val="00275EC4"/>
    <w:rsid w:val="00276123"/>
    <w:rsid w:val="002763E5"/>
    <w:rsid w:val="0027648F"/>
    <w:rsid w:val="00276A17"/>
    <w:rsid w:val="00276D2C"/>
    <w:rsid w:val="00277074"/>
    <w:rsid w:val="002772DC"/>
    <w:rsid w:val="00277395"/>
    <w:rsid w:val="0027742B"/>
    <w:rsid w:val="00277925"/>
    <w:rsid w:val="002779D5"/>
    <w:rsid w:val="00280A80"/>
    <w:rsid w:val="00280BE1"/>
    <w:rsid w:val="0028115D"/>
    <w:rsid w:val="00281466"/>
    <w:rsid w:val="00281A59"/>
    <w:rsid w:val="00281BCD"/>
    <w:rsid w:val="00281CCB"/>
    <w:rsid w:val="00281DFC"/>
    <w:rsid w:val="002824D0"/>
    <w:rsid w:val="002829FA"/>
    <w:rsid w:val="00283F91"/>
    <w:rsid w:val="00284CCD"/>
    <w:rsid w:val="00284FF2"/>
    <w:rsid w:val="00285E6C"/>
    <w:rsid w:val="0028612E"/>
    <w:rsid w:val="00286FEF"/>
    <w:rsid w:val="00287024"/>
    <w:rsid w:val="0028716C"/>
    <w:rsid w:val="0028726B"/>
    <w:rsid w:val="00287F51"/>
    <w:rsid w:val="002900E1"/>
    <w:rsid w:val="00290970"/>
    <w:rsid w:val="00290BEA"/>
    <w:rsid w:val="00290E46"/>
    <w:rsid w:val="00291460"/>
    <w:rsid w:val="00291610"/>
    <w:rsid w:val="002918AB"/>
    <w:rsid w:val="00291C9B"/>
    <w:rsid w:val="00291DBA"/>
    <w:rsid w:val="0029227D"/>
    <w:rsid w:val="00292377"/>
    <w:rsid w:val="002931E0"/>
    <w:rsid w:val="00293704"/>
    <w:rsid w:val="0029462E"/>
    <w:rsid w:val="00294B5C"/>
    <w:rsid w:val="00294E87"/>
    <w:rsid w:val="00294EA4"/>
    <w:rsid w:val="0029503A"/>
    <w:rsid w:val="00295045"/>
    <w:rsid w:val="00295064"/>
    <w:rsid w:val="002950DF"/>
    <w:rsid w:val="00295A23"/>
    <w:rsid w:val="00295CCE"/>
    <w:rsid w:val="00296228"/>
    <w:rsid w:val="00296CB9"/>
    <w:rsid w:val="00296CD6"/>
    <w:rsid w:val="00296EB2"/>
    <w:rsid w:val="00296EE8"/>
    <w:rsid w:val="0029724B"/>
    <w:rsid w:val="00297352"/>
    <w:rsid w:val="0029748D"/>
    <w:rsid w:val="0029750B"/>
    <w:rsid w:val="0029766F"/>
    <w:rsid w:val="002977D7"/>
    <w:rsid w:val="002A0360"/>
    <w:rsid w:val="002A03B9"/>
    <w:rsid w:val="002A0480"/>
    <w:rsid w:val="002A04F3"/>
    <w:rsid w:val="002A06A3"/>
    <w:rsid w:val="002A0C6B"/>
    <w:rsid w:val="002A135A"/>
    <w:rsid w:val="002A1427"/>
    <w:rsid w:val="002A1527"/>
    <w:rsid w:val="002A16E6"/>
    <w:rsid w:val="002A1BE9"/>
    <w:rsid w:val="002A23BF"/>
    <w:rsid w:val="002A23E2"/>
    <w:rsid w:val="002A2940"/>
    <w:rsid w:val="002A30B6"/>
    <w:rsid w:val="002A3B1D"/>
    <w:rsid w:val="002A3EB9"/>
    <w:rsid w:val="002A4026"/>
    <w:rsid w:val="002A474E"/>
    <w:rsid w:val="002A49B3"/>
    <w:rsid w:val="002A4CE5"/>
    <w:rsid w:val="002A528A"/>
    <w:rsid w:val="002A5BA8"/>
    <w:rsid w:val="002A5C77"/>
    <w:rsid w:val="002A6121"/>
    <w:rsid w:val="002A696C"/>
    <w:rsid w:val="002A7520"/>
    <w:rsid w:val="002A7960"/>
    <w:rsid w:val="002B00C2"/>
    <w:rsid w:val="002B0FC7"/>
    <w:rsid w:val="002B10D6"/>
    <w:rsid w:val="002B1135"/>
    <w:rsid w:val="002B167A"/>
    <w:rsid w:val="002B1E5E"/>
    <w:rsid w:val="002B1FC0"/>
    <w:rsid w:val="002B2090"/>
    <w:rsid w:val="002B21C8"/>
    <w:rsid w:val="002B2694"/>
    <w:rsid w:val="002B38FD"/>
    <w:rsid w:val="002B3F48"/>
    <w:rsid w:val="002B4024"/>
    <w:rsid w:val="002B4155"/>
    <w:rsid w:val="002B47BA"/>
    <w:rsid w:val="002B502F"/>
    <w:rsid w:val="002B55BC"/>
    <w:rsid w:val="002B58A4"/>
    <w:rsid w:val="002B593C"/>
    <w:rsid w:val="002B6064"/>
    <w:rsid w:val="002B6186"/>
    <w:rsid w:val="002B63C6"/>
    <w:rsid w:val="002B6491"/>
    <w:rsid w:val="002B6586"/>
    <w:rsid w:val="002B6CA1"/>
    <w:rsid w:val="002B6D58"/>
    <w:rsid w:val="002B79E4"/>
    <w:rsid w:val="002C0398"/>
    <w:rsid w:val="002C0790"/>
    <w:rsid w:val="002C08CC"/>
    <w:rsid w:val="002C08F4"/>
    <w:rsid w:val="002C0CB8"/>
    <w:rsid w:val="002C1C4F"/>
    <w:rsid w:val="002C1FDB"/>
    <w:rsid w:val="002C27F3"/>
    <w:rsid w:val="002C3585"/>
    <w:rsid w:val="002C3DAF"/>
    <w:rsid w:val="002C4315"/>
    <w:rsid w:val="002C4A5D"/>
    <w:rsid w:val="002C57E4"/>
    <w:rsid w:val="002C5C45"/>
    <w:rsid w:val="002C6055"/>
    <w:rsid w:val="002C642E"/>
    <w:rsid w:val="002C6CED"/>
    <w:rsid w:val="002C7349"/>
    <w:rsid w:val="002C74D1"/>
    <w:rsid w:val="002C781F"/>
    <w:rsid w:val="002D0605"/>
    <w:rsid w:val="002D0748"/>
    <w:rsid w:val="002D0D70"/>
    <w:rsid w:val="002D109E"/>
    <w:rsid w:val="002D14B5"/>
    <w:rsid w:val="002D1736"/>
    <w:rsid w:val="002D17F7"/>
    <w:rsid w:val="002D2D9C"/>
    <w:rsid w:val="002D2EBD"/>
    <w:rsid w:val="002D3DBF"/>
    <w:rsid w:val="002D4288"/>
    <w:rsid w:val="002D42AF"/>
    <w:rsid w:val="002D47C7"/>
    <w:rsid w:val="002D4BB8"/>
    <w:rsid w:val="002D4C85"/>
    <w:rsid w:val="002D5B8F"/>
    <w:rsid w:val="002D5C93"/>
    <w:rsid w:val="002D5E6A"/>
    <w:rsid w:val="002D5F13"/>
    <w:rsid w:val="002D5F41"/>
    <w:rsid w:val="002D63DD"/>
    <w:rsid w:val="002D6984"/>
    <w:rsid w:val="002D70D5"/>
    <w:rsid w:val="002D7198"/>
    <w:rsid w:val="002D7947"/>
    <w:rsid w:val="002D7CE2"/>
    <w:rsid w:val="002D7F80"/>
    <w:rsid w:val="002D7FC4"/>
    <w:rsid w:val="002E052B"/>
    <w:rsid w:val="002E0672"/>
    <w:rsid w:val="002E1A02"/>
    <w:rsid w:val="002E1F80"/>
    <w:rsid w:val="002E20CD"/>
    <w:rsid w:val="002E21B4"/>
    <w:rsid w:val="002E2A18"/>
    <w:rsid w:val="002E2CB6"/>
    <w:rsid w:val="002E36CA"/>
    <w:rsid w:val="002E3B49"/>
    <w:rsid w:val="002E3F0C"/>
    <w:rsid w:val="002E4064"/>
    <w:rsid w:val="002E4233"/>
    <w:rsid w:val="002E480B"/>
    <w:rsid w:val="002E539B"/>
    <w:rsid w:val="002E5B9B"/>
    <w:rsid w:val="002E5C55"/>
    <w:rsid w:val="002E5EE0"/>
    <w:rsid w:val="002E7293"/>
    <w:rsid w:val="002E742E"/>
    <w:rsid w:val="002F02B8"/>
    <w:rsid w:val="002F111F"/>
    <w:rsid w:val="002F1182"/>
    <w:rsid w:val="002F1542"/>
    <w:rsid w:val="002F1C52"/>
    <w:rsid w:val="002F227A"/>
    <w:rsid w:val="002F23A2"/>
    <w:rsid w:val="002F23F8"/>
    <w:rsid w:val="002F26FD"/>
    <w:rsid w:val="002F35CA"/>
    <w:rsid w:val="002F365A"/>
    <w:rsid w:val="002F3E92"/>
    <w:rsid w:val="002F3EA4"/>
    <w:rsid w:val="002F423D"/>
    <w:rsid w:val="002F443C"/>
    <w:rsid w:val="002F4529"/>
    <w:rsid w:val="002F4955"/>
    <w:rsid w:val="002F4D97"/>
    <w:rsid w:val="002F5A42"/>
    <w:rsid w:val="002F6459"/>
    <w:rsid w:val="002F6625"/>
    <w:rsid w:val="002F66A2"/>
    <w:rsid w:val="002F6DA1"/>
    <w:rsid w:val="002F700D"/>
    <w:rsid w:val="002F7380"/>
    <w:rsid w:val="002F742F"/>
    <w:rsid w:val="003001DF"/>
    <w:rsid w:val="0030087D"/>
    <w:rsid w:val="003014CA"/>
    <w:rsid w:val="00301E21"/>
    <w:rsid w:val="00302051"/>
    <w:rsid w:val="00302312"/>
    <w:rsid w:val="0030232D"/>
    <w:rsid w:val="0030280B"/>
    <w:rsid w:val="00303498"/>
    <w:rsid w:val="00303B0B"/>
    <w:rsid w:val="00303B94"/>
    <w:rsid w:val="00303BE9"/>
    <w:rsid w:val="00303DD5"/>
    <w:rsid w:val="00303F81"/>
    <w:rsid w:val="003053DF"/>
    <w:rsid w:val="00305BAE"/>
    <w:rsid w:val="00306331"/>
    <w:rsid w:val="00306365"/>
    <w:rsid w:val="00306F67"/>
    <w:rsid w:val="00307767"/>
    <w:rsid w:val="003106EF"/>
    <w:rsid w:val="00310E3B"/>
    <w:rsid w:val="00310F1F"/>
    <w:rsid w:val="00311640"/>
    <w:rsid w:val="00311EEE"/>
    <w:rsid w:val="00312C58"/>
    <w:rsid w:val="00312EC3"/>
    <w:rsid w:val="003131FC"/>
    <w:rsid w:val="00313C41"/>
    <w:rsid w:val="00314572"/>
    <w:rsid w:val="00314680"/>
    <w:rsid w:val="003146F3"/>
    <w:rsid w:val="00314985"/>
    <w:rsid w:val="00314B51"/>
    <w:rsid w:val="00314B8C"/>
    <w:rsid w:val="00315193"/>
    <w:rsid w:val="0031530F"/>
    <w:rsid w:val="0031534B"/>
    <w:rsid w:val="003153BD"/>
    <w:rsid w:val="00315CB4"/>
    <w:rsid w:val="003166B6"/>
    <w:rsid w:val="003167A8"/>
    <w:rsid w:val="00316BAA"/>
    <w:rsid w:val="00316C1C"/>
    <w:rsid w:val="00316FB9"/>
    <w:rsid w:val="0031721E"/>
    <w:rsid w:val="003179C6"/>
    <w:rsid w:val="0032000B"/>
    <w:rsid w:val="00320C67"/>
    <w:rsid w:val="0032103B"/>
    <w:rsid w:val="00321194"/>
    <w:rsid w:val="003212AF"/>
    <w:rsid w:val="003216F0"/>
    <w:rsid w:val="0032189D"/>
    <w:rsid w:val="003218A1"/>
    <w:rsid w:val="00321AEB"/>
    <w:rsid w:val="00322663"/>
    <w:rsid w:val="00322813"/>
    <w:rsid w:val="003232D5"/>
    <w:rsid w:val="0032396B"/>
    <w:rsid w:val="00324474"/>
    <w:rsid w:val="00324513"/>
    <w:rsid w:val="00324584"/>
    <w:rsid w:val="00324611"/>
    <w:rsid w:val="00324697"/>
    <w:rsid w:val="00324756"/>
    <w:rsid w:val="00324F70"/>
    <w:rsid w:val="00325DB6"/>
    <w:rsid w:val="0032656F"/>
    <w:rsid w:val="00326E6D"/>
    <w:rsid w:val="00326F7F"/>
    <w:rsid w:val="003275FE"/>
    <w:rsid w:val="003277E0"/>
    <w:rsid w:val="00327D5A"/>
    <w:rsid w:val="00330436"/>
    <w:rsid w:val="003308E1"/>
    <w:rsid w:val="0033109C"/>
    <w:rsid w:val="00331CF8"/>
    <w:rsid w:val="0033213B"/>
    <w:rsid w:val="003324CA"/>
    <w:rsid w:val="003325FA"/>
    <w:rsid w:val="00332D6B"/>
    <w:rsid w:val="00332EB2"/>
    <w:rsid w:val="0033327A"/>
    <w:rsid w:val="00333437"/>
    <w:rsid w:val="0033375B"/>
    <w:rsid w:val="00333FCA"/>
    <w:rsid w:val="00333FFE"/>
    <w:rsid w:val="0033465F"/>
    <w:rsid w:val="00334EED"/>
    <w:rsid w:val="003353FA"/>
    <w:rsid w:val="00335777"/>
    <w:rsid w:val="0033584E"/>
    <w:rsid w:val="00336165"/>
    <w:rsid w:val="003364B2"/>
    <w:rsid w:val="003374FD"/>
    <w:rsid w:val="00337FD4"/>
    <w:rsid w:val="00340043"/>
    <w:rsid w:val="00340324"/>
    <w:rsid w:val="00340368"/>
    <w:rsid w:val="0034080F"/>
    <w:rsid w:val="00340FF3"/>
    <w:rsid w:val="0034149F"/>
    <w:rsid w:val="0034152B"/>
    <w:rsid w:val="003423D9"/>
    <w:rsid w:val="0034401B"/>
    <w:rsid w:val="00344043"/>
    <w:rsid w:val="00345169"/>
    <w:rsid w:val="00345436"/>
    <w:rsid w:val="00345890"/>
    <w:rsid w:val="003458F4"/>
    <w:rsid w:val="00345B5F"/>
    <w:rsid w:val="00345D22"/>
    <w:rsid w:val="00345E81"/>
    <w:rsid w:val="00346175"/>
    <w:rsid w:val="00346192"/>
    <w:rsid w:val="003462D6"/>
    <w:rsid w:val="00346483"/>
    <w:rsid w:val="00346BE5"/>
    <w:rsid w:val="00346FBA"/>
    <w:rsid w:val="0034707C"/>
    <w:rsid w:val="0034725D"/>
    <w:rsid w:val="003473D1"/>
    <w:rsid w:val="00347BF0"/>
    <w:rsid w:val="00347F16"/>
    <w:rsid w:val="00350131"/>
    <w:rsid w:val="00350224"/>
    <w:rsid w:val="0035070C"/>
    <w:rsid w:val="003509B7"/>
    <w:rsid w:val="003509D2"/>
    <w:rsid w:val="00350B60"/>
    <w:rsid w:val="00350F10"/>
    <w:rsid w:val="0035121A"/>
    <w:rsid w:val="003516E1"/>
    <w:rsid w:val="00352816"/>
    <w:rsid w:val="00353138"/>
    <w:rsid w:val="0035354F"/>
    <w:rsid w:val="00353715"/>
    <w:rsid w:val="00353896"/>
    <w:rsid w:val="00353C24"/>
    <w:rsid w:val="00353F6C"/>
    <w:rsid w:val="00354953"/>
    <w:rsid w:val="00354B70"/>
    <w:rsid w:val="003551E4"/>
    <w:rsid w:val="003559C7"/>
    <w:rsid w:val="00355A20"/>
    <w:rsid w:val="00355EA0"/>
    <w:rsid w:val="00356085"/>
    <w:rsid w:val="00356440"/>
    <w:rsid w:val="0035661F"/>
    <w:rsid w:val="00356D3A"/>
    <w:rsid w:val="00356DE7"/>
    <w:rsid w:val="00356FFB"/>
    <w:rsid w:val="003571ED"/>
    <w:rsid w:val="00357512"/>
    <w:rsid w:val="00357771"/>
    <w:rsid w:val="003578E1"/>
    <w:rsid w:val="00357A54"/>
    <w:rsid w:val="00357F9B"/>
    <w:rsid w:val="00360AFE"/>
    <w:rsid w:val="003612BD"/>
    <w:rsid w:val="0036149F"/>
    <w:rsid w:val="00361A33"/>
    <w:rsid w:val="003621ED"/>
    <w:rsid w:val="003629CF"/>
    <w:rsid w:val="00363199"/>
    <w:rsid w:val="003640E0"/>
    <w:rsid w:val="0036418E"/>
    <w:rsid w:val="00364A13"/>
    <w:rsid w:val="00364FEA"/>
    <w:rsid w:val="00365430"/>
    <w:rsid w:val="0036552E"/>
    <w:rsid w:val="00365540"/>
    <w:rsid w:val="00365F0F"/>
    <w:rsid w:val="00367586"/>
    <w:rsid w:val="00367C3C"/>
    <w:rsid w:val="00367C84"/>
    <w:rsid w:val="00367ECA"/>
    <w:rsid w:val="003702A3"/>
    <w:rsid w:val="003704E9"/>
    <w:rsid w:val="003708AC"/>
    <w:rsid w:val="003708EB"/>
    <w:rsid w:val="0037096A"/>
    <w:rsid w:val="00371399"/>
    <w:rsid w:val="003713BD"/>
    <w:rsid w:val="003726E8"/>
    <w:rsid w:val="00375145"/>
    <w:rsid w:val="0037541D"/>
    <w:rsid w:val="00377421"/>
    <w:rsid w:val="00377604"/>
    <w:rsid w:val="003779AA"/>
    <w:rsid w:val="003800CE"/>
    <w:rsid w:val="0038073B"/>
    <w:rsid w:val="00380B54"/>
    <w:rsid w:val="00380E37"/>
    <w:rsid w:val="00381166"/>
    <w:rsid w:val="00381C61"/>
    <w:rsid w:val="003831E3"/>
    <w:rsid w:val="00383252"/>
    <w:rsid w:val="003832CC"/>
    <w:rsid w:val="00383E0E"/>
    <w:rsid w:val="00383E22"/>
    <w:rsid w:val="00383F6A"/>
    <w:rsid w:val="00384143"/>
    <w:rsid w:val="003844B1"/>
    <w:rsid w:val="00384927"/>
    <w:rsid w:val="00384C3A"/>
    <w:rsid w:val="00385C45"/>
    <w:rsid w:val="00385F33"/>
    <w:rsid w:val="003862AF"/>
    <w:rsid w:val="00386444"/>
    <w:rsid w:val="003868C4"/>
    <w:rsid w:val="003910E9"/>
    <w:rsid w:val="00391782"/>
    <w:rsid w:val="003918B6"/>
    <w:rsid w:val="00391D45"/>
    <w:rsid w:val="0039319E"/>
    <w:rsid w:val="003933DF"/>
    <w:rsid w:val="00393D55"/>
    <w:rsid w:val="00393E7B"/>
    <w:rsid w:val="00394DD7"/>
    <w:rsid w:val="00394E85"/>
    <w:rsid w:val="003952F6"/>
    <w:rsid w:val="0039532F"/>
    <w:rsid w:val="003954BF"/>
    <w:rsid w:val="00396649"/>
    <w:rsid w:val="00396D70"/>
    <w:rsid w:val="003973BA"/>
    <w:rsid w:val="00397498"/>
    <w:rsid w:val="003A0553"/>
    <w:rsid w:val="003A05F7"/>
    <w:rsid w:val="003A0A28"/>
    <w:rsid w:val="003A144E"/>
    <w:rsid w:val="003A1637"/>
    <w:rsid w:val="003A19F3"/>
    <w:rsid w:val="003A2151"/>
    <w:rsid w:val="003A2492"/>
    <w:rsid w:val="003A2843"/>
    <w:rsid w:val="003A2AC2"/>
    <w:rsid w:val="003A2B2D"/>
    <w:rsid w:val="003A2CA2"/>
    <w:rsid w:val="003A2CB1"/>
    <w:rsid w:val="003A2CF6"/>
    <w:rsid w:val="003A30D5"/>
    <w:rsid w:val="003A3A7F"/>
    <w:rsid w:val="003A4166"/>
    <w:rsid w:val="003A4190"/>
    <w:rsid w:val="003A47ED"/>
    <w:rsid w:val="003A4859"/>
    <w:rsid w:val="003A4FF6"/>
    <w:rsid w:val="003A581B"/>
    <w:rsid w:val="003A5CB0"/>
    <w:rsid w:val="003A5D86"/>
    <w:rsid w:val="003A6084"/>
    <w:rsid w:val="003A67DC"/>
    <w:rsid w:val="003A693D"/>
    <w:rsid w:val="003A7328"/>
    <w:rsid w:val="003B005C"/>
    <w:rsid w:val="003B08A5"/>
    <w:rsid w:val="003B0D1D"/>
    <w:rsid w:val="003B0D42"/>
    <w:rsid w:val="003B1056"/>
    <w:rsid w:val="003B1355"/>
    <w:rsid w:val="003B2592"/>
    <w:rsid w:val="003B2876"/>
    <w:rsid w:val="003B2E69"/>
    <w:rsid w:val="003B2ECB"/>
    <w:rsid w:val="003B33C8"/>
    <w:rsid w:val="003B3E69"/>
    <w:rsid w:val="003B3F9D"/>
    <w:rsid w:val="003B4238"/>
    <w:rsid w:val="003B4344"/>
    <w:rsid w:val="003B4408"/>
    <w:rsid w:val="003B5539"/>
    <w:rsid w:val="003B5D67"/>
    <w:rsid w:val="003B622C"/>
    <w:rsid w:val="003B7227"/>
    <w:rsid w:val="003B779D"/>
    <w:rsid w:val="003B7A2F"/>
    <w:rsid w:val="003B7DB1"/>
    <w:rsid w:val="003C0422"/>
    <w:rsid w:val="003C13D4"/>
    <w:rsid w:val="003C22C7"/>
    <w:rsid w:val="003C23BE"/>
    <w:rsid w:val="003C29A2"/>
    <w:rsid w:val="003C3A60"/>
    <w:rsid w:val="003C3B8A"/>
    <w:rsid w:val="003C3C87"/>
    <w:rsid w:val="003C401F"/>
    <w:rsid w:val="003C4474"/>
    <w:rsid w:val="003C447A"/>
    <w:rsid w:val="003C4E02"/>
    <w:rsid w:val="003C5389"/>
    <w:rsid w:val="003C5F3D"/>
    <w:rsid w:val="003C7128"/>
    <w:rsid w:val="003C731A"/>
    <w:rsid w:val="003C747F"/>
    <w:rsid w:val="003C757F"/>
    <w:rsid w:val="003C75DF"/>
    <w:rsid w:val="003C761C"/>
    <w:rsid w:val="003C783E"/>
    <w:rsid w:val="003C7910"/>
    <w:rsid w:val="003D022D"/>
    <w:rsid w:val="003D0C55"/>
    <w:rsid w:val="003D1CDA"/>
    <w:rsid w:val="003D1F27"/>
    <w:rsid w:val="003D2052"/>
    <w:rsid w:val="003D2264"/>
    <w:rsid w:val="003D28F1"/>
    <w:rsid w:val="003D2929"/>
    <w:rsid w:val="003D2A6A"/>
    <w:rsid w:val="003D2E6B"/>
    <w:rsid w:val="003D2F1F"/>
    <w:rsid w:val="003D35D1"/>
    <w:rsid w:val="003D3DDF"/>
    <w:rsid w:val="003D4358"/>
    <w:rsid w:val="003D4486"/>
    <w:rsid w:val="003D4876"/>
    <w:rsid w:val="003D48F0"/>
    <w:rsid w:val="003D48FF"/>
    <w:rsid w:val="003D4F18"/>
    <w:rsid w:val="003D521C"/>
    <w:rsid w:val="003D5670"/>
    <w:rsid w:val="003D5808"/>
    <w:rsid w:val="003D5A6F"/>
    <w:rsid w:val="003D5EAE"/>
    <w:rsid w:val="003D6418"/>
    <w:rsid w:val="003D665B"/>
    <w:rsid w:val="003D6858"/>
    <w:rsid w:val="003D7227"/>
    <w:rsid w:val="003D757D"/>
    <w:rsid w:val="003D7A0C"/>
    <w:rsid w:val="003D7E99"/>
    <w:rsid w:val="003E02B6"/>
    <w:rsid w:val="003E0D6A"/>
    <w:rsid w:val="003E10BB"/>
    <w:rsid w:val="003E132F"/>
    <w:rsid w:val="003E17B1"/>
    <w:rsid w:val="003E201A"/>
    <w:rsid w:val="003E21A0"/>
    <w:rsid w:val="003E26CB"/>
    <w:rsid w:val="003E2ABB"/>
    <w:rsid w:val="003E2DF5"/>
    <w:rsid w:val="003E372B"/>
    <w:rsid w:val="003E3759"/>
    <w:rsid w:val="003E3E10"/>
    <w:rsid w:val="003E3EE7"/>
    <w:rsid w:val="003E3FD2"/>
    <w:rsid w:val="003E466F"/>
    <w:rsid w:val="003E475A"/>
    <w:rsid w:val="003E47E8"/>
    <w:rsid w:val="003E49AE"/>
    <w:rsid w:val="003E4D3D"/>
    <w:rsid w:val="003E5B7A"/>
    <w:rsid w:val="003E72CA"/>
    <w:rsid w:val="003E73EE"/>
    <w:rsid w:val="003E7844"/>
    <w:rsid w:val="003F0728"/>
    <w:rsid w:val="003F0BC4"/>
    <w:rsid w:val="003F0CD5"/>
    <w:rsid w:val="003F10CB"/>
    <w:rsid w:val="003F16CE"/>
    <w:rsid w:val="003F212D"/>
    <w:rsid w:val="003F2532"/>
    <w:rsid w:val="003F2589"/>
    <w:rsid w:val="003F3044"/>
    <w:rsid w:val="003F38DB"/>
    <w:rsid w:val="003F3976"/>
    <w:rsid w:val="003F3B8D"/>
    <w:rsid w:val="003F3BAF"/>
    <w:rsid w:val="003F3E1D"/>
    <w:rsid w:val="003F3E4A"/>
    <w:rsid w:val="003F40A7"/>
    <w:rsid w:val="003F4225"/>
    <w:rsid w:val="003F43C5"/>
    <w:rsid w:val="003F4E69"/>
    <w:rsid w:val="003F50FB"/>
    <w:rsid w:val="003F5C5B"/>
    <w:rsid w:val="003F5DA7"/>
    <w:rsid w:val="003F618D"/>
    <w:rsid w:val="003F64E3"/>
    <w:rsid w:val="003F6A32"/>
    <w:rsid w:val="003F739D"/>
    <w:rsid w:val="003F73A8"/>
    <w:rsid w:val="003F7AB7"/>
    <w:rsid w:val="003F7C06"/>
    <w:rsid w:val="003F7C70"/>
    <w:rsid w:val="003F7D07"/>
    <w:rsid w:val="003F7F1D"/>
    <w:rsid w:val="00400244"/>
    <w:rsid w:val="004005B6"/>
    <w:rsid w:val="0040090B"/>
    <w:rsid w:val="004009F8"/>
    <w:rsid w:val="004012F4"/>
    <w:rsid w:val="00401578"/>
    <w:rsid w:val="0040167F"/>
    <w:rsid w:val="004018F8"/>
    <w:rsid w:val="00401E92"/>
    <w:rsid w:val="0040290A"/>
    <w:rsid w:val="004032BE"/>
    <w:rsid w:val="00403302"/>
    <w:rsid w:val="00403490"/>
    <w:rsid w:val="00403753"/>
    <w:rsid w:val="00403F2C"/>
    <w:rsid w:val="00404057"/>
    <w:rsid w:val="0040492F"/>
    <w:rsid w:val="00404A70"/>
    <w:rsid w:val="00404B61"/>
    <w:rsid w:val="00404B86"/>
    <w:rsid w:val="004055DF"/>
    <w:rsid w:val="00405E9E"/>
    <w:rsid w:val="00406638"/>
    <w:rsid w:val="004075A8"/>
    <w:rsid w:val="00407A94"/>
    <w:rsid w:val="00407D53"/>
    <w:rsid w:val="00411543"/>
    <w:rsid w:val="004119BD"/>
    <w:rsid w:val="00411EF8"/>
    <w:rsid w:val="00411FFF"/>
    <w:rsid w:val="00412721"/>
    <w:rsid w:val="00413134"/>
    <w:rsid w:val="0041313E"/>
    <w:rsid w:val="004136D8"/>
    <w:rsid w:val="00413AFC"/>
    <w:rsid w:val="00413E51"/>
    <w:rsid w:val="00414152"/>
    <w:rsid w:val="00414BA6"/>
    <w:rsid w:val="004150A9"/>
    <w:rsid w:val="0041539D"/>
    <w:rsid w:val="0041554B"/>
    <w:rsid w:val="00415D0F"/>
    <w:rsid w:val="00416474"/>
    <w:rsid w:val="00416871"/>
    <w:rsid w:val="00417DAA"/>
    <w:rsid w:val="00417DD3"/>
    <w:rsid w:val="004203F0"/>
    <w:rsid w:val="0042069B"/>
    <w:rsid w:val="00420883"/>
    <w:rsid w:val="00420B92"/>
    <w:rsid w:val="00420D7E"/>
    <w:rsid w:val="004210AD"/>
    <w:rsid w:val="00421EA3"/>
    <w:rsid w:val="00422563"/>
    <w:rsid w:val="004226EF"/>
    <w:rsid w:val="004228E1"/>
    <w:rsid w:val="00422F6C"/>
    <w:rsid w:val="00423361"/>
    <w:rsid w:val="004237F5"/>
    <w:rsid w:val="00424AE0"/>
    <w:rsid w:val="0042507D"/>
    <w:rsid w:val="00425755"/>
    <w:rsid w:val="004263A6"/>
    <w:rsid w:val="00426C41"/>
    <w:rsid w:val="00426EB6"/>
    <w:rsid w:val="004274BD"/>
    <w:rsid w:val="00427ABB"/>
    <w:rsid w:val="00427B5F"/>
    <w:rsid w:val="00427D52"/>
    <w:rsid w:val="004300E1"/>
    <w:rsid w:val="004306A6"/>
    <w:rsid w:val="00430A21"/>
    <w:rsid w:val="00430B0F"/>
    <w:rsid w:val="00430C37"/>
    <w:rsid w:val="00430F36"/>
    <w:rsid w:val="00431271"/>
    <w:rsid w:val="004313C7"/>
    <w:rsid w:val="00431667"/>
    <w:rsid w:val="00431746"/>
    <w:rsid w:val="00431CEC"/>
    <w:rsid w:val="00431FF7"/>
    <w:rsid w:val="0043299D"/>
    <w:rsid w:val="00432A86"/>
    <w:rsid w:val="0043310E"/>
    <w:rsid w:val="0043384F"/>
    <w:rsid w:val="00433A11"/>
    <w:rsid w:val="00434190"/>
    <w:rsid w:val="00434880"/>
    <w:rsid w:val="004349CF"/>
    <w:rsid w:val="00434A53"/>
    <w:rsid w:val="00434D16"/>
    <w:rsid w:val="00434E9E"/>
    <w:rsid w:val="004350A7"/>
    <w:rsid w:val="004351A9"/>
    <w:rsid w:val="00435A99"/>
    <w:rsid w:val="004372F5"/>
    <w:rsid w:val="004373E2"/>
    <w:rsid w:val="00437782"/>
    <w:rsid w:val="00437DF8"/>
    <w:rsid w:val="00437EE0"/>
    <w:rsid w:val="0044033A"/>
    <w:rsid w:val="00440E9E"/>
    <w:rsid w:val="0044193C"/>
    <w:rsid w:val="00442293"/>
    <w:rsid w:val="00442402"/>
    <w:rsid w:val="00442B49"/>
    <w:rsid w:val="004430A3"/>
    <w:rsid w:val="00443373"/>
    <w:rsid w:val="00443623"/>
    <w:rsid w:val="00444385"/>
    <w:rsid w:val="004446CF"/>
    <w:rsid w:val="004447CF"/>
    <w:rsid w:val="004456B8"/>
    <w:rsid w:val="00445C46"/>
    <w:rsid w:val="00446951"/>
    <w:rsid w:val="00446FF4"/>
    <w:rsid w:val="00447C4B"/>
    <w:rsid w:val="00450153"/>
    <w:rsid w:val="004501DC"/>
    <w:rsid w:val="00450AFE"/>
    <w:rsid w:val="00451616"/>
    <w:rsid w:val="004516CC"/>
    <w:rsid w:val="00451797"/>
    <w:rsid w:val="00451988"/>
    <w:rsid w:val="0045286E"/>
    <w:rsid w:val="00452CB2"/>
    <w:rsid w:val="00452CDD"/>
    <w:rsid w:val="00452D3E"/>
    <w:rsid w:val="004535F2"/>
    <w:rsid w:val="00453D37"/>
    <w:rsid w:val="004542B3"/>
    <w:rsid w:val="00454328"/>
    <w:rsid w:val="004557A5"/>
    <w:rsid w:val="00455928"/>
    <w:rsid w:val="00456730"/>
    <w:rsid w:val="004567E0"/>
    <w:rsid w:val="00456B96"/>
    <w:rsid w:val="00456D68"/>
    <w:rsid w:val="004607B7"/>
    <w:rsid w:val="004612B2"/>
    <w:rsid w:val="00461C74"/>
    <w:rsid w:val="004623D4"/>
    <w:rsid w:val="00462414"/>
    <w:rsid w:val="004626DF"/>
    <w:rsid w:val="00462A01"/>
    <w:rsid w:val="00463772"/>
    <w:rsid w:val="0046384A"/>
    <w:rsid w:val="00463A95"/>
    <w:rsid w:val="00464ADD"/>
    <w:rsid w:val="004654F7"/>
    <w:rsid w:val="004658D6"/>
    <w:rsid w:val="00465DFD"/>
    <w:rsid w:val="00466821"/>
    <w:rsid w:val="00466851"/>
    <w:rsid w:val="00466D27"/>
    <w:rsid w:val="0046745E"/>
    <w:rsid w:val="00467ACA"/>
    <w:rsid w:val="004708E9"/>
    <w:rsid w:val="0047146C"/>
    <w:rsid w:val="004716A3"/>
    <w:rsid w:val="00471AA8"/>
    <w:rsid w:val="00472436"/>
    <w:rsid w:val="00472521"/>
    <w:rsid w:val="00472F41"/>
    <w:rsid w:val="004734AF"/>
    <w:rsid w:val="00473ADE"/>
    <w:rsid w:val="00474CA6"/>
    <w:rsid w:val="00474F69"/>
    <w:rsid w:val="004752A7"/>
    <w:rsid w:val="00475485"/>
    <w:rsid w:val="00475A78"/>
    <w:rsid w:val="004760EB"/>
    <w:rsid w:val="00476835"/>
    <w:rsid w:val="004774EB"/>
    <w:rsid w:val="00477AB1"/>
    <w:rsid w:val="00477B3A"/>
    <w:rsid w:val="00477CD5"/>
    <w:rsid w:val="00480378"/>
    <w:rsid w:val="00480760"/>
    <w:rsid w:val="004809B2"/>
    <w:rsid w:val="00480FF0"/>
    <w:rsid w:val="00481B23"/>
    <w:rsid w:val="004826F1"/>
    <w:rsid w:val="00482ABF"/>
    <w:rsid w:val="00482E90"/>
    <w:rsid w:val="00484250"/>
    <w:rsid w:val="004846B1"/>
    <w:rsid w:val="0048495C"/>
    <w:rsid w:val="00484AE6"/>
    <w:rsid w:val="00485033"/>
    <w:rsid w:val="00485464"/>
    <w:rsid w:val="004856E9"/>
    <w:rsid w:val="004860C0"/>
    <w:rsid w:val="0048694B"/>
    <w:rsid w:val="00486E80"/>
    <w:rsid w:val="00486F2E"/>
    <w:rsid w:val="00487110"/>
    <w:rsid w:val="0048726D"/>
    <w:rsid w:val="0048745F"/>
    <w:rsid w:val="0048767E"/>
    <w:rsid w:val="00487BDA"/>
    <w:rsid w:val="00490AE6"/>
    <w:rsid w:val="00490D03"/>
    <w:rsid w:val="00490F20"/>
    <w:rsid w:val="00491403"/>
    <w:rsid w:val="0049154A"/>
    <w:rsid w:val="00491A4D"/>
    <w:rsid w:val="00491E39"/>
    <w:rsid w:val="004925C4"/>
    <w:rsid w:val="004932ED"/>
    <w:rsid w:val="004932FD"/>
    <w:rsid w:val="00494152"/>
    <w:rsid w:val="004948C8"/>
    <w:rsid w:val="00494B78"/>
    <w:rsid w:val="00495E63"/>
    <w:rsid w:val="00495FC9"/>
    <w:rsid w:val="004961F0"/>
    <w:rsid w:val="004963F6"/>
    <w:rsid w:val="00496498"/>
    <w:rsid w:val="00496ADA"/>
    <w:rsid w:val="004976E8"/>
    <w:rsid w:val="00497D0E"/>
    <w:rsid w:val="004A0162"/>
    <w:rsid w:val="004A07A6"/>
    <w:rsid w:val="004A0E99"/>
    <w:rsid w:val="004A0FE5"/>
    <w:rsid w:val="004A14C3"/>
    <w:rsid w:val="004A1898"/>
    <w:rsid w:val="004A1AFA"/>
    <w:rsid w:val="004A1F7B"/>
    <w:rsid w:val="004A2440"/>
    <w:rsid w:val="004A2986"/>
    <w:rsid w:val="004A33AB"/>
    <w:rsid w:val="004A38D0"/>
    <w:rsid w:val="004A38F1"/>
    <w:rsid w:val="004A3D2F"/>
    <w:rsid w:val="004A52CE"/>
    <w:rsid w:val="004A5951"/>
    <w:rsid w:val="004A5A0D"/>
    <w:rsid w:val="004A5C8B"/>
    <w:rsid w:val="004A648F"/>
    <w:rsid w:val="004A68C8"/>
    <w:rsid w:val="004A6A72"/>
    <w:rsid w:val="004A7186"/>
    <w:rsid w:val="004A72D7"/>
    <w:rsid w:val="004A789D"/>
    <w:rsid w:val="004B025E"/>
    <w:rsid w:val="004B038C"/>
    <w:rsid w:val="004B04D2"/>
    <w:rsid w:val="004B0C5D"/>
    <w:rsid w:val="004B100E"/>
    <w:rsid w:val="004B1976"/>
    <w:rsid w:val="004B1DD4"/>
    <w:rsid w:val="004B239C"/>
    <w:rsid w:val="004B2617"/>
    <w:rsid w:val="004B2A71"/>
    <w:rsid w:val="004B2CBE"/>
    <w:rsid w:val="004B30D7"/>
    <w:rsid w:val="004B30EC"/>
    <w:rsid w:val="004B312B"/>
    <w:rsid w:val="004B312E"/>
    <w:rsid w:val="004B32EC"/>
    <w:rsid w:val="004B34E0"/>
    <w:rsid w:val="004B3B84"/>
    <w:rsid w:val="004B4740"/>
    <w:rsid w:val="004B47A1"/>
    <w:rsid w:val="004B4FB0"/>
    <w:rsid w:val="004B5233"/>
    <w:rsid w:val="004B54EB"/>
    <w:rsid w:val="004B55BE"/>
    <w:rsid w:val="004B5857"/>
    <w:rsid w:val="004B58B4"/>
    <w:rsid w:val="004B5CE8"/>
    <w:rsid w:val="004B73DA"/>
    <w:rsid w:val="004B7700"/>
    <w:rsid w:val="004B773C"/>
    <w:rsid w:val="004B7BC1"/>
    <w:rsid w:val="004B7D23"/>
    <w:rsid w:val="004C0238"/>
    <w:rsid w:val="004C077C"/>
    <w:rsid w:val="004C12A6"/>
    <w:rsid w:val="004C15F4"/>
    <w:rsid w:val="004C189F"/>
    <w:rsid w:val="004C2D74"/>
    <w:rsid w:val="004C33F2"/>
    <w:rsid w:val="004C348C"/>
    <w:rsid w:val="004C3AC9"/>
    <w:rsid w:val="004C3CAB"/>
    <w:rsid w:val="004C4022"/>
    <w:rsid w:val="004C42F6"/>
    <w:rsid w:val="004C4465"/>
    <w:rsid w:val="004C47B2"/>
    <w:rsid w:val="004C4D3B"/>
    <w:rsid w:val="004C531B"/>
    <w:rsid w:val="004C5452"/>
    <w:rsid w:val="004C6237"/>
    <w:rsid w:val="004C6273"/>
    <w:rsid w:val="004C63E2"/>
    <w:rsid w:val="004C6835"/>
    <w:rsid w:val="004C6A4B"/>
    <w:rsid w:val="004C6DDB"/>
    <w:rsid w:val="004C6DE4"/>
    <w:rsid w:val="004C7558"/>
    <w:rsid w:val="004C76BA"/>
    <w:rsid w:val="004C7BD6"/>
    <w:rsid w:val="004C7F5D"/>
    <w:rsid w:val="004D061C"/>
    <w:rsid w:val="004D1B6E"/>
    <w:rsid w:val="004D1B89"/>
    <w:rsid w:val="004D200A"/>
    <w:rsid w:val="004D2510"/>
    <w:rsid w:val="004D2513"/>
    <w:rsid w:val="004D2772"/>
    <w:rsid w:val="004D298D"/>
    <w:rsid w:val="004D29C3"/>
    <w:rsid w:val="004D2BF7"/>
    <w:rsid w:val="004D3653"/>
    <w:rsid w:val="004D37F9"/>
    <w:rsid w:val="004D3CD3"/>
    <w:rsid w:val="004D50C3"/>
    <w:rsid w:val="004D547C"/>
    <w:rsid w:val="004D5913"/>
    <w:rsid w:val="004D5F63"/>
    <w:rsid w:val="004D5FA2"/>
    <w:rsid w:val="004D5FB1"/>
    <w:rsid w:val="004D70AF"/>
    <w:rsid w:val="004D740E"/>
    <w:rsid w:val="004D769F"/>
    <w:rsid w:val="004D79C6"/>
    <w:rsid w:val="004D7E2A"/>
    <w:rsid w:val="004E01FA"/>
    <w:rsid w:val="004E07DD"/>
    <w:rsid w:val="004E0B69"/>
    <w:rsid w:val="004E187A"/>
    <w:rsid w:val="004E2F10"/>
    <w:rsid w:val="004E3F82"/>
    <w:rsid w:val="004E459B"/>
    <w:rsid w:val="004E487A"/>
    <w:rsid w:val="004E49E6"/>
    <w:rsid w:val="004E4A0C"/>
    <w:rsid w:val="004E50E1"/>
    <w:rsid w:val="004E56E9"/>
    <w:rsid w:val="004E57BA"/>
    <w:rsid w:val="004E5CA4"/>
    <w:rsid w:val="004E5FD5"/>
    <w:rsid w:val="004E6A8D"/>
    <w:rsid w:val="004E6C15"/>
    <w:rsid w:val="004E6DF9"/>
    <w:rsid w:val="004E71A4"/>
    <w:rsid w:val="004E733D"/>
    <w:rsid w:val="004E73A6"/>
    <w:rsid w:val="004E749B"/>
    <w:rsid w:val="004E7A30"/>
    <w:rsid w:val="004F022B"/>
    <w:rsid w:val="004F04BD"/>
    <w:rsid w:val="004F0686"/>
    <w:rsid w:val="004F0CFA"/>
    <w:rsid w:val="004F0F4F"/>
    <w:rsid w:val="004F1050"/>
    <w:rsid w:val="004F1346"/>
    <w:rsid w:val="004F192C"/>
    <w:rsid w:val="004F1C13"/>
    <w:rsid w:val="004F1C54"/>
    <w:rsid w:val="004F1CDA"/>
    <w:rsid w:val="004F247A"/>
    <w:rsid w:val="004F2960"/>
    <w:rsid w:val="004F2D6B"/>
    <w:rsid w:val="004F2E0C"/>
    <w:rsid w:val="004F2E5F"/>
    <w:rsid w:val="004F346C"/>
    <w:rsid w:val="004F399E"/>
    <w:rsid w:val="004F3A9D"/>
    <w:rsid w:val="004F4A0E"/>
    <w:rsid w:val="004F4D2D"/>
    <w:rsid w:val="004F527E"/>
    <w:rsid w:val="004F5C74"/>
    <w:rsid w:val="004F5E9F"/>
    <w:rsid w:val="004F6088"/>
    <w:rsid w:val="004F6599"/>
    <w:rsid w:val="004F662D"/>
    <w:rsid w:val="004F72A8"/>
    <w:rsid w:val="004F72F8"/>
    <w:rsid w:val="004F7622"/>
    <w:rsid w:val="0050051F"/>
    <w:rsid w:val="005006DB"/>
    <w:rsid w:val="005013EA"/>
    <w:rsid w:val="00501495"/>
    <w:rsid w:val="0050172D"/>
    <w:rsid w:val="0050255E"/>
    <w:rsid w:val="0050278F"/>
    <w:rsid w:val="005027EA"/>
    <w:rsid w:val="00503158"/>
    <w:rsid w:val="005035A7"/>
    <w:rsid w:val="0050392F"/>
    <w:rsid w:val="00503BC4"/>
    <w:rsid w:val="0050418B"/>
    <w:rsid w:val="00504A93"/>
    <w:rsid w:val="005052B3"/>
    <w:rsid w:val="005054EC"/>
    <w:rsid w:val="005055E3"/>
    <w:rsid w:val="00506A5E"/>
    <w:rsid w:val="0050725E"/>
    <w:rsid w:val="00507617"/>
    <w:rsid w:val="005104F1"/>
    <w:rsid w:val="005113C0"/>
    <w:rsid w:val="005116F4"/>
    <w:rsid w:val="00511758"/>
    <w:rsid w:val="00511F80"/>
    <w:rsid w:val="00511FE2"/>
    <w:rsid w:val="005126A0"/>
    <w:rsid w:val="005127D6"/>
    <w:rsid w:val="00512E13"/>
    <w:rsid w:val="005130D6"/>
    <w:rsid w:val="005132B2"/>
    <w:rsid w:val="00513594"/>
    <w:rsid w:val="005137E9"/>
    <w:rsid w:val="00513B49"/>
    <w:rsid w:val="00513B9C"/>
    <w:rsid w:val="00513E08"/>
    <w:rsid w:val="00513EBA"/>
    <w:rsid w:val="00514BAC"/>
    <w:rsid w:val="00514F17"/>
    <w:rsid w:val="005152E9"/>
    <w:rsid w:val="005153BD"/>
    <w:rsid w:val="00515A8C"/>
    <w:rsid w:val="005160B2"/>
    <w:rsid w:val="0051616D"/>
    <w:rsid w:val="005166D1"/>
    <w:rsid w:val="00516D83"/>
    <w:rsid w:val="00516F9B"/>
    <w:rsid w:val="00517438"/>
    <w:rsid w:val="00517940"/>
    <w:rsid w:val="00517E59"/>
    <w:rsid w:val="0052035F"/>
    <w:rsid w:val="00520472"/>
    <w:rsid w:val="005208ED"/>
    <w:rsid w:val="00520EE5"/>
    <w:rsid w:val="005211B5"/>
    <w:rsid w:val="00521E67"/>
    <w:rsid w:val="00521FDB"/>
    <w:rsid w:val="0052207D"/>
    <w:rsid w:val="00523617"/>
    <w:rsid w:val="005239D6"/>
    <w:rsid w:val="00523A33"/>
    <w:rsid w:val="00523D94"/>
    <w:rsid w:val="00524044"/>
    <w:rsid w:val="00524156"/>
    <w:rsid w:val="00524F8A"/>
    <w:rsid w:val="00525291"/>
    <w:rsid w:val="0052537E"/>
    <w:rsid w:val="005253AA"/>
    <w:rsid w:val="00525638"/>
    <w:rsid w:val="00525B01"/>
    <w:rsid w:val="0052638F"/>
    <w:rsid w:val="00526A63"/>
    <w:rsid w:val="00526D5E"/>
    <w:rsid w:val="005272F3"/>
    <w:rsid w:val="00527388"/>
    <w:rsid w:val="005273ED"/>
    <w:rsid w:val="00527548"/>
    <w:rsid w:val="00527AC6"/>
    <w:rsid w:val="00527CDA"/>
    <w:rsid w:val="00527E0B"/>
    <w:rsid w:val="00527E13"/>
    <w:rsid w:val="00530468"/>
    <w:rsid w:val="005310AA"/>
    <w:rsid w:val="00531239"/>
    <w:rsid w:val="00531302"/>
    <w:rsid w:val="0053151A"/>
    <w:rsid w:val="00531A77"/>
    <w:rsid w:val="00532F29"/>
    <w:rsid w:val="0053313F"/>
    <w:rsid w:val="0053339D"/>
    <w:rsid w:val="0053375F"/>
    <w:rsid w:val="00533D45"/>
    <w:rsid w:val="00533E13"/>
    <w:rsid w:val="005354A0"/>
    <w:rsid w:val="0053569C"/>
    <w:rsid w:val="00535D79"/>
    <w:rsid w:val="00535F7D"/>
    <w:rsid w:val="00535F8B"/>
    <w:rsid w:val="00536E2A"/>
    <w:rsid w:val="00537925"/>
    <w:rsid w:val="00537BE3"/>
    <w:rsid w:val="00537DD4"/>
    <w:rsid w:val="00541CEA"/>
    <w:rsid w:val="00542694"/>
    <w:rsid w:val="00542892"/>
    <w:rsid w:val="00542D7C"/>
    <w:rsid w:val="00542DFB"/>
    <w:rsid w:val="00543098"/>
    <w:rsid w:val="005432B1"/>
    <w:rsid w:val="00543C76"/>
    <w:rsid w:val="00545449"/>
    <w:rsid w:val="00545D81"/>
    <w:rsid w:val="0054605C"/>
    <w:rsid w:val="005462A1"/>
    <w:rsid w:val="005468D1"/>
    <w:rsid w:val="00546987"/>
    <w:rsid w:val="005469A6"/>
    <w:rsid w:val="00546B6B"/>
    <w:rsid w:val="00546D43"/>
    <w:rsid w:val="00547862"/>
    <w:rsid w:val="00547BB1"/>
    <w:rsid w:val="00547DB7"/>
    <w:rsid w:val="00547E86"/>
    <w:rsid w:val="00550394"/>
    <w:rsid w:val="005515DF"/>
    <w:rsid w:val="00551B01"/>
    <w:rsid w:val="00551FCE"/>
    <w:rsid w:val="0055201D"/>
    <w:rsid w:val="00553400"/>
    <w:rsid w:val="005534C8"/>
    <w:rsid w:val="005539A7"/>
    <w:rsid w:val="00553C9A"/>
    <w:rsid w:val="00553CE0"/>
    <w:rsid w:val="00553D3D"/>
    <w:rsid w:val="00553D4D"/>
    <w:rsid w:val="00554BF4"/>
    <w:rsid w:val="00554E3B"/>
    <w:rsid w:val="005556A5"/>
    <w:rsid w:val="00555906"/>
    <w:rsid w:val="00555A7B"/>
    <w:rsid w:val="00555B23"/>
    <w:rsid w:val="00555B5C"/>
    <w:rsid w:val="00556886"/>
    <w:rsid w:val="0055720A"/>
    <w:rsid w:val="00557706"/>
    <w:rsid w:val="00557E21"/>
    <w:rsid w:val="00560001"/>
    <w:rsid w:val="00560878"/>
    <w:rsid w:val="00560CDD"/>
    <w:rsid w:val="00560F17"/>
    <w:rsid w:val="005610D0"/>
    <w:rsid w:val="0056113B"/>
    <w:rsid w:val="005617F0"/>
    <w:rsid w:val="00561C71"/>
    <w:rsid w:val="0056263D"/>
    <w:rsid w:val="00562EBC"/>
    <w:rsid w:val="005636C4"/>
    <w:rsid w:val="005636DF"/>
    <w:rsid w:val="00563816"/>
    <w:rsid w:val="00564290"/>
    <w:rsid w:val="0056482B"/>
    <w:rsid w:val="0056525F"/>
    <w:rsid w:val="00565379"/>
    <w:rsid w:val="005665D1"/>
    <w:rsid w:val="00566824"/>
    <w:rsid w:val="00566879"/>
    <w:rsid w:val="00566A00"/>
    <w:rsid w:val="00566E10"/>
    <w:rsid w:val="00567166"/>
    <w:rsid w:val="00567537"/>
    <w:rsid w:val="005679A5"/>
    <w:rsid w:val="00567B13"/>
    <w:rsid w:val="00567CCA"/>
    <w:rsid w:val="00570428"/>
    <w:rsid w:val="00570B2F"/>
    <w:rsid w:val="00570CEF"/>
    <w:rsid w:val="00571139"/>
    <w:rsid w:val="00571A87"/>
    <w:rsid w:val="00572637"/>
    <w:rsid w:val="00572AC3"/>
    <w:rsid w:val="00572C5D"/>
    <w:rsid w:val="00572DF3"/>
    <w:rsid w:val="00573582"/>
    <w:rsid w:val="00573A30"/>
    <w:rsid w:val="00573F64"/>
    <w:rsid w:val="005743C0"/>
    <w:rsid w:val="00575450"/>
    <w:rsid w:val="00575A96"/>
    <w:rsid w:val="00575E0D"/>
    <w:rsid w:val="0057622F"/>
    <w:rsid w:val="005764CC"/>
    <w:rsid w:val="00576659"/>
    <w:rsid w:val="00577383"/>
    <w:rsid w:val="00580189"/>
    <w:rsid w:val="00580301"/>
    <w:rsid w:val="00580868"/>
    <w:rsid w:val="005814B8"/>
    <w:rsid w:val="0058162C"/>
    <w:rsid w:val="005818A5"/>
    <w:rsid w:val="00581B1F"/>
    <w:rsid w:val="00581C42"/>
    <w:rsid w:val="005824E6"/>
    <w:rsid w:val="0058295E"/>
    <w:rsid w:val="005831AD"/>
    <w:rsid w:val="0058341B"/>
    <w:rsid w:val="0058366C"/>
    <w:rsid w:val="00583B42"/>
    <w:rsid w:val="00583B59"/>
    <w:rsid w:val="00583C18"/>
    <w:rsid w:val="00584007"/>
    <w:rsid w:val="00584AB4"/>
    <w:rsid w:val="00584F6C"/>
    <w:rsid w:val="00584F9B"/>
    <w:rsid w:val="0058524E"/>
    <w:rsid w:val="00587C40"/>
    <w:rsid w:val="00587CAA"/>
    <w:rsid w:val="005903BD"/>
    <w:rsid w:val="00591000"/>
    <w:rsid w:val="00591004"/>
    <w:rsid w:val="0059118C"/>
    <w:rsid w:val="005911AC"/>
    <w:rsid w:val="005913E8"/>
    <w:rsid w:val="005921DB"/>
    <w:rsid w:val="005929ED"/>
    <w:rsid w:val="00592C35"/>
    <w:rsid w:val="0059374A"/>
    <w:rsid w:val="00593824"/>
    <w:rsid w:val="00593853"/>
    <w:rsid w:val="00593B57"/>
    <w:rsid w:val="005943D3"/>
    <w:rsid w:val="00594461"/>
    <w:rsid w:val="005947AC"/>
    <w:rsid w:val="00594FEF"/>
    <w:rsid w:val="0059591D"/>
    <w:rsid w:val="00595AB4"/>
    <w:rsid w:val="00596053"/>
    <w:rsid w:val="00596A5B"/>
    <w:rsid w:val="00597A26"/>
    <w:rsid w:val="00597C77"/>
    <w:rsid w:val="005A0C54"/>
    <w:rsid w:val="005A0CE7"/>
    <w:rsid w:val="005A0E1C"/>
    <w:rsid w:val="005A1094"/>
    <w:rsid w:val="005A21B0"/>
    <w:rsid w:val="005A272E"/>
    <w:rsid w:val="005A2732"/>
    <w:rsid w:val="005A27E5"/>
    <w:rsid w:val="005A2888"/>
    <w:rsid w:val="005A2ADA"/>
    <w:rsid w:val="005A2C7A"/>
    <w:rsid w:val="005A328A"/>
    <w:rsid w:val="005A329B"/>
    <w:rsid w:val="005A3892"/>
    <w:rsid w:val="005A3B35"/>
    <w:rsid w:val="005A4878"/>
    <w:rsid w:val="005A4E29"/>
    <w:rsid w:val="005A4F76"/>
    <w:rsid w:val="005A5737"/>
    <w:rsid w:val="005A5A58"/>
    <w:rsid w:val="005A5BC2"/>
    <w:rsid w:val="005A5DB0"/>
    <w:rsid w:val="005A6056"/>
    <w:rsid w:val="005A6FD7"/>
    <w:rsid w:val="005A70C8"/>
    <w:rsid w:val="005A7EB6"/>
    <w:rsid w:val="005B029B"/>
    <w:rsid w:val="005B048A"/>
    <w:rsid w:val="005B0A25"/>
    <w:rsid w:val="005B0AF7"/>
    <w:rsid w:val="005B1197"/>
    <w:rsid w:val="005B144F"/>
    <w:rsid w:val="005B225C"/>
    <w:rsid w:val="005B2671"/>
    <w:rsid w:val="005B4161"/>
    <w:rsid w:val="005B4503"/>
    <w:rsid w:val="005B4D17"/>
    <w:rsid w:val="005B4E7F"/>
    <w:rsid w:val="005B4EFE"/>
    <w:rsid w:val="005B4FBF"/>
    <w:rsid w:val="005B5217"/>
    <w:rsid w:val="005B558B"/>
    <w:rsid w:val="005B57F4"/>
    <w:rsid w:val="005B58C1"/>
    <w:rsid w:val="005B5A27"/>
    <w:rsid w:val="005B6056"/>
    <w:rsid w:val="005B60DE"/>
    <w:rsid w:val="005B77B2"/>
    <w:rsid w:val="005B793A"/>
    <w:rsid w:val="005B7DFE"/>
    <w:rsid w:val="005C011D"/>
    <w:rsid w:val="005C060A"/>
    <w:rsid w:val="005C0F5D"/>
    <w:rsid w:val="005C1273"/>
    <w:rsid w:val="005C1648"/>
    <w:rsid w:val="005C1E25"/>
    <w:rsid w:val="005C20F8"/>
    <w:rsid w:val="005C2655"/>
    <w:rsid w:val="005C2807"/>
    <w:rsid w:val="005C29CE"/>
    <w:rsid w:val="005C2E3C"/>
    <w:rsid w:val="005C2ECA"/>
    <w:rsid w:val="005C3A6B"/>
    <w:rsid w:val="005C3BA6"/>
    <w:rsid w:val="005C42AD"/>
    <w:rsid w:val="005C43AB"/>
    <w:rsid w:val="005C444C"/>
    <w:rsid w:val="005C4BF8"/>
    <w:rsid w:val="005C540E"/>
    <w:rsid w:val="005C58B2"/>
    <w:rsid w:val="005C687E"/>
    <w:rsid w:val="005C6AE8"/>
    <w:rsid w:val="005C6B56"/>
    <w:rsid w:val="005C6BB6"/>
    <w:rsid w:val="005C6CDA"/>
    <w:rsid w:val="005C6E39"/>
    <w:rsid w:val="005C7920"/>
    <w:rsid w:val="005C7A7A"/>
    <w:rsid w:val="005C7D7B"/>
    <w:rsid w:val="005C7DA0"/>
    <w:rsid w:val="005D03B8"/>
    <w:rsid w:val="005D11E9"/>
    <w:rsid w:val="005D1439"/>
    <w:rsid w:val="005D1EFB"/>
    <w:rsid w:val="005D201A"/>
    <w:rsid w:val="005D2031"/>
    <w:rsid w:val="005D249F"/>
    <w:rsid w:val="005D25E0"/>
    <w:rsid w:val="005D2B7D"/>
    <w:rsid w:val="005D2FA1"/>
    <w:rsid w:val="005D36E6"/>
    <w:rsid w:val="005D38E3"/>
    <w:rsid w:val="005D3EB2"/>
    <w:rsid w:val="005D3F34"/>
    <w:rsid w:val="005D4E1E"/>
    <w:rsid w:val="005D4FC7"/>
    <w:rsid w:val="005D5565"/>
    <w:rsid w:val="005D5E00"/>
    <w:rsid w:val="005D6194"/>
    <w:rsid w:val="005D6655"/>
    <w:rsid w:val="005D6AEC"/>
    <w:rsid w:val="005D6CCE"/>
    <w:rsid w:val="005D7104"/>
    <w:rsid w:val="005D716B"/>
    <w:rsid w:val="005D73F8"/>
    <w:rsid w:val="005D7A19"/>
    <w:rsid w:val="005D7BEA"/>
    <w:rsid w:val="005E0431"/>
    <w:rsid w:val="005E04EB"/>
    <w:rsid w:val="005E0A51"/>
    <w:rsid w:val="005E0C0A"/>
    <w:rsid w:val="005E0C96"/>
    <w:rsid w:val="005E0F20"/>
    <w:rsid w:val="005E1E63"/>
    <w:rsid w:val="005E230B"/>
    <w:rsid w:val="005E292C"/>
    <w:rsid w:val="005E2AB8"/>
    <w:rsid w:val="005E2C59"/>
    <w:rsid w:val="005E3B40"/>
    <w:rsid w:val="005E4695"/>
    <w:rsid w:val="005E4A09"/>
    <w:rsid w:val="005E4D7E"/>
    <w:rsid w:val="005E528B"/>
    <w:rsid w:val="005E5FAB"/>
    <w:rsid w:val="005E685F"/>
    <w:rsid w:val="005E6C35"/>
    <w:rsid w:val="005E6C5B"/>
    <w:rsid w:val="005E70FA"/>
    <w:rsid w:val="005E7BB9"/>
    <w:rsid w:val="005E7D42"/>
    <w:rsid w:val="005F0447"/>
    <w:rsid w:val="005F0B3C"/>
    <w:rsid w:val="005F0F46"/>
    <w:rsid w:val="005F1088"/>
    <w:rsid w:val="005F2648"/>
    <w:rsid w:val="005F2CA0"/>
    <w:rsid w:val="005F34F2"/>
    <w:rsid w:val="005F59AF"/>
    <w:rsid w:val="005F5AA2"/>
    <w:rsid w:val="005F605E"/>
    <w:rsid w:val="005F6387"/>
    <w:rsid w:val="005F65D1"/>
    <w:rsid w:val="005F6DB8"/>
    <w:rsid w:val="005F7678"/>
    <w:rsid w:val="006002AE"/>
    <w:rsid w:val="0060062F"/>
    <w:rsid w:val="006007DA"/>
    <w:rsid w:val="006012CC"/>
    <w:rsid w:val="0060140F"/>
    <w:rsid w:val="00601488"/>
    <w:rsid w:val="00601C26"/>
    <w:rsid w:val="00601EEE"/>
    <w:rsid w:val="0060229E"/>
    <w:rsid w:val="00602752"/>
    <w:rsid w:val="00602C2D"/>
    <w:rsid w:val="00602C74"/>
    <w:rsid w:val="006038A2"/>
    <w:rsid w:val="00604078"/>
    <w:rsid w:val="0060448B"/>
    <w:rsid w:val="0060461D"/>
    <w:rsid w:val="00605722"/>
    <w:rsid w:val="006059E8"/>
    <w:rsid w:val="00605A9B"/>
    <w:rsid w:val="00606CB1"/>
    <w:rsid w:val="0060730F"/>
    <w:rsid w:val="00610845"/>
    <w:rsid w:val="0061086D"/>
    <w:rsid w:val="00610E08"/>
    <w:rsid w:val="00611E0D"/>
    <w:rsid w:val="006126D1"/>
    <w:rsid w:val="0061296D"/>
    <w:rsid w:val="00613316"/>
    <w:rsid w:val="00613736"/>
    <w:rsid w:val="006140AF"/>
    <w:rsid w:val="0061480D"/>
    <w:rsid w:val="006152A8"/>
    <w:rsid w:val="0061577C"/>
    <w:rsid w:val="00615897"/>
    <w:rsid w:val="0061597C"/>
    <w:rsid w:val="00616296"/>
    <w:rsid w:val="00616460"/>
    <w:rsid w:val="0061728F"/>
    <w:rsid w:val="006172D4"/>
    <w:rsid w:val="0061767A"/>
    <w:rsid w:val="00620132"/>
    <w:rsid w:val="00620A33"/>
    <w:rsid w:val="00620BA1"/>
    <w:rsid w:val="00620D7F"/>
    <w:rsid w:val="00621059"/>
    <w:rsid w:val="00621DEE"/>
    <w:rsid w:val="0062273E"/>
    <w:rsid w:val="006234EF"/>
    <w:rsid w:val="006237B8"/>
    <w:rsid w:val="00623A59"/>
    <w:rsid w:val="00623E72"/>
    <w:rsid w:val="006240C5"/>
    <w:rsid w:val="006241EC"/>
    <w:rsid w:val="00624C28"/>
    <w:rsid w:val="00625214"/>
    <w:rsid w:val="006252F2"/>
    <w:rsid w:val="00625C91"/>
    <w:rsid w:val="00625FA7"/>
    <w:rsid w:val="006266E3"/>
    <w:rsid w:val="00626970"/>
    <w:rsid w:val="00626A69"/>
    <w:rsid w:val="00626E49"/>
    <w:rsid w:val="00626F5D"/>
    <w:rsid w:val="00627007"/>
    <w:rsid w:val="00627F4E"/>
    <w:rsid w:val="006302FF"/>
    <w:rsid w:val="0063073F"/>
    <w:rsid w:val="00630836"/>
    <w:rsid w:val="00630916"/>
    <w:rsid w:val="0063127D"/>
    <w:rsid w:val="00631579"/>
    <w:rsid w:val="006317AB"/>
    <w:rsid w:val="00631DC8"/>
    <w:rsid w:val="006321AE"/>
    <w:rsid w:val="00632BC6"/>
    <w:rsid w:val="00633B7A"/>
    <w:rsid w:val="006343E3"/>
    <w:rsid w:val="006344FB"/>
    <w:rsid w:val="006345B2"/>
    <w:rsid w:val="00634743"/>
    <w:rsid w:val="00634A28"/>
    <w:rsid w:val="00634BCC"/>
    <w:rsid w:val="0063537D"/>
    <w:rsid w:val="00635448"/>
    <w:rsid w:val="006361B4"/>
    <w:rsid w:val="006363BD"/>
    <w:rsid w:val="00636967"/>
    <w:rsid w:val="00636D60"/>
    <w:rsid w:val="00636E6E"/>
    <w:rsid w:val="00637044"/>
    <w:rsid w:val="00637341"/>
    <w:rsid w:val="006375B3"/>
    <w:rsid w:val="006375DF"/>
    <w:rsid w:val="00637AB1"/>
    <w:rsid w:val="00640A9B"/>
    <w:rsid w:val="00640C85"/>
    <w:rsid w:val="00641F70"/>
    <w:rsid w:val="00641FD0"/>
    <w:rsid w:val="00642960"/>
    <w:rsid w:val="00643A01"/>
    <w:rsid w:val="00643C2C"/>
    <w:rsid w:val="00644290"/>
    <w:rsid w:val="00644864"/>
    <w:rsid w:val="006450ED"/>
    <w:rsid w:val="0064617B"/>
    <w:rsid w:val="006465A6"/>
    <w:rsid w:val="00646C38"/>
    <w:rsid w:val="00646D01"/>
    <w:rsid w:val="00646DA0"/>
    <w:rsid w:val="00646F61"/>
    <w:rsid w:val="006470AD"/>
    <w:rsid w:val="006470EA"/>
    <w:rsid w:val="0064748F"/>
    <w:rsid w:val="00647BB6"/>
    <w:rsid w:val="00650191"/>
    <w:rsid w:val="0065039E"/>
    <w:rsid w:val="006508B3"/>
    <w:rsid w:val="00650E52"/>
    <w:rsid w:val="006518B0"/>
    <w:rsid w:val="00651C29"/>
    <w:rsid w:val="0065216C"/>
    <w:rsid w:val="006526D6"/>
    <w:rsid w:val="006536A7"/>
    <w:rsid w:val="00653A2D"/>
    <w:rsid w:val="00655203"/>
    <w:rsid w:val="006553D5"/>
    <w:rsid w:val="00655A41"/>
    <w:rsid w:val="00655C91"/>
    <w:rsid w:val="006563D1"/>
    <w:rsid w:val="0065658F"/>
    <w:rsid w:val="006579FF"/>
    <w:rsid w:val="006604D0"/>
    <w:rsid w:val="00661005"/>
    <w:rsid w:val="00661E12"/>
    <w:rsid w:val="006620D7"/>
    <w:rsid w:val="0066234C"/>
    <w:rsid w:val="00662C4C"/>
    <w:rsid w:val="00662C79"/>
    <w:rsid w:val="00662E94"/>
    <w:rsid w:val="00663386"/>
    <w:rsid w:val="00663BA0"/>
    <w:rsid w:val="00663F89"/>
    <w:rsid w:val="00664043"/>
    <w:rsid w:val="00664D19"/>
    <w:rsid w:val="006655DB"/>
    <w:rsid w:val="00665938"/>
    <w:rsid w:val="00665A9F"/>
    <w:rsid w:val="00665B24"/>
    <w:rsid w:val="00666216"/>
    <w:rsid w:val="006668A0"/>
    <w:rsid w:val="00667763"/>
    <w:rsid w:val="00667E7D"/>
    <w:rsid w:val="0067007E"/>
    <w:rsid w:val="00670821"/>
    <w:rsid w:val="00670F95"/>
    <w:rsid w:val="006719BC"/>
    <w:rsid w:val="00671CEE"/>
    <w:rsid w:val="00671FFB"/>
    <w:rsid w:val="00672F6D"/>
    <w:rsid w:val="006734C0"/>
    <w:rsid w:val="00673723"/>
    <w:rsid w:val="00673B35"/>
    <w:rsid w:val="00674247"/>
    <w:rsid w:val="006747AB"/>
    <w:rsid w:val="0067485D"/>
    <w:rsid w:val="00674B28"/>
    <w:rsid w:val="00674CA1"/>
    <w:rsid w:val="00674D25"/>
    <w:rsid w:val="00674F16"/>
    <w:rsid w:val="00675105"/>
    <w:rsid w:val="00675848"/>
    <w:rsid w:val="0067595E"/>
    <w:rsid w:val="006759C8"/>
    <w:rsid w:val="00675B24"/>
    <w:rsid w:val="00675EAA"/>
    <w:rsid w:val="00675EBD"/>
    <w:rsid w:val="00676000"/>
    <w:rsid w:val="0067649B"/>
    <w:rsid w:val="0067666E"/>
    <w:rsid w:val="0067677D"/>
    <w:rsid w:val="00676878"/>
    <w:rsid w:val="00676C1D"/>
    <w:rsid w:val="00676C73"/>
    <w:rsid w:val="006772D5"/>
    <w:rsid w:val="00677813"/>
    <w:rsid w:val="00677A2A"/>
    <w:rsid w:val="00677FA3"/>
    <w:rsid w:val="00680293"/>
    <w:rsid w:val="006803E9"/>
    <w:rsid w:val="00680BB6"/>
    <w:rsid w:val="006812A8"/>
    <w:rsid w:val="0068135A"/>
    <w:rsid w:val="00681495"/>
    <w:rsid w:val="00681F67"/>
    <w:rsid w:val="00682558"/>
    <w:rsid w:val="00682C24"/>
    <w:rsid w:val="00682C39"/>
    <w:rsid w:val="00683493"/>
    <w:rsid w:val="00683AFF"/>
    <w:rsid w:val="00683CC6"/>
    <w:rsid w:val="00684092"/>
    <w:rsid w:val="006847A6"/>
    <w:rsid w:val="006850E6"/>
    <w:rsid w:val="0068532A"/>
    <w:rsid w:val="006853B2"/>
    <w:rsid w:val="00685A0B"/>
    <w:rsid w:val="00685D86"/>
    <w:rsid w:val="00686C9D"/>
    <w:rsid w:val="00686CD3"/>
    <w:rsid w:val="00686FE6"/>
    <w:rsid w:val="00686FFF"/>
    <w:rsid w:val="006875A3"/>
    <w:rsid w:val="00687A85"/>
    <w:rsid w:val="00690225"/>
    <w:rsid w:val="00690332"/>
    <w:rsid w:val="00691012"/>
    <w:rsid w:val="00691121"/>
    <w:rsid w:val="00691472"/>
    <w:rsid w:val="006916FB"/>
    <w:rsid w:val="00691BFE"/>
    <w:rsid w:val="00691D38"/>
    <w:rsid w:val="00691FB5"/>
    <w:rsid w:val="0069211F"/>
    <w:rsid w:val="00692797"/>
    <w:rsid w:val="006927D3"/>
    <w:rsid w:val="006928EB"/>
    <w:rsid w:val="00693420"/>
    <w:rsid w:val="00693454"/>
    <w:rsid w:val="006939AD"/>
    <w:rsid w:val="00693B79"/>
    <w:rsid w:val="0069406E"/>
    <w:rsid w:val="006941B1"/>
    <w:rsid w:val="00694373"/>
    <w:rsid w:val="00694418"/>
    <w:rsid w:val="006947E9"/>
    <w:rsid w:val="00694820"/>
    <w:rsid w:val="00695182"/>
    <w:rsid w:val="006953CE"/>
    <w:rsid w:val="00695C4A"/>
    <w:rsid w:val="00695F03"/>
    <w:rsid w:val="0069616B"/>
    <w:rsid w:val="0069629C"/>
    <w:rsid w:val="00696FC8"/>
    <w:rsid w:val="0069706E"/>
    <w:rsid w:val="00697158"/>
    <w:rsid w:val="00697DA8"/>
    <w:rsid w:val="006A0A49"/>
    <w:rsid w:val="006A1909"/>
    <w:rsid w:val="006A1A80"/>
    <w:rsid w:val="006A28CA"/>
    <w:rsid w:val="006A29A7"/>
    <w:rsid w:val="006A2E08"/>
    <w:rsid w:val="006A3128"/>
    <w:rsid w:val="006A35F6"/>
    <w:rsid w:val="006A3769"/>
    <w:rsid w:val="006A380E"/>
    <w:rsid w:val="006A3D66"/>
    <w:rsid w:val="006A4045"/>
    <w:rsid w:val="006A431B"/>
    <w:rsid w:val="006A5DC8"/>
    <w:rsid w:val="006A5F79"/>
    <w:rsid w:val="006A6905"/>
    <w:rsid w:val="006A6DCB"/>
    <w:rsid w:val="006A70DE"/>
    <w:rsid w:val="006A76E4"/>
    <w:rsid w:val="006A7E04"/>
    <w:rsid w:val="006B0671"/>
    <w:rsid w:val="006B1395"/>
    <w:rsid w:val="006B1833"/>
    <w:rsid w:val="006B19B6"/>
    <w:rsid w:val="006B1BE0"/>
    <w:rsid w:val="006B1CC8"/>
    <w:rsid w:val="006B2204"/>
    <w:rsid w:val="006B3261"/>
    <w:rsid w:val="006B336F"/>
    <w:rsid w:val="006B35F8"/>
    <w:rsid w:val="006B3922"/>
    <w:rsid w:val="006B3AD9"/>
    <w:rsid w:val="006B3BA2"/>
    <w:rsid w:val="006B3BCE"/>
    <w:rsid w:val="006B3EAC"/>
    <w:rsid w:val="006B3F88"/>
    <w:rsid w:val="006B41FE"/>
    <w:rsid w:val="006B4384"/>
    <w:rsid w:val="006B46F7"/>
    <w:rsid w:val="006B4A73"/>
    <w:rsid w:val="006B4BD8"/>
    <w:rsid w:val="006B4E72"/>
    <w:rsid w:val="006B51C2"/>
    <w:rsid w:val="006B5205"/>
    <w:rsid w:val="006B5DCE"/>
    <w:rsid w:val="006B6207"/>
    <w:rsid w:val="006B66A5"/>
    <w:rsid w:val="006B69EC"/>
    <w:rsid w:val="006B6A67"/>
    <w:rsid w:val="006B73F6"/>
    <w:rsid w:val="006B758A"/>
    <w:rsid w:val="006B7888"/>
    <w:rsid w:val="006B7E32"/>
    <w:rsid w:val="006C009A"/>
    <w:rsid w:val="006C00D4"/>
    <w:rsid w:val="006C0C81"/>
    <w:rsid w:val="006C28E1"/>
    <w:rsid w:val="006C30B1"/>
    <w:rsid w:val="006C3344"/>
    <w:rsid w:val="006C39DD"/>
    <w:rsid w:val="006C3C29"/>
    <w:rsid w:val="006C41A9"/>
    <w:rsid w:val="006C439E"/>
    <w:rsid w:val="006C4416"/>
    <w:rsid w:val="006C503F"/>
    <w:rsid w:val="006C609D"/>
    <w:rsid w:val="006C62A1"/>
    <w:rsid w:val="006C687C"/>
    <w:rsid w:val="006C6D14"/>
    <w:rsid w:val="006C6FB6"/>
    <w:rsid w:val="006C73F3"/>
    <w:rsid w:val="006C7865"/>
    <w:rsid w:val="006C7920"/>
    <w:rsid w:val="006D009B"/>
    <w:rsid w:val="006D0314"/>
    <w:rsid w:val="006D04F6"/>
    <w:rsid w:val="006D0604"/>
    <w:rsid w:val="006D09C8"/>
    <w:rsid w:val="006D0CE5"/>
    <w:rsid w:val="006D19CC"/>
    <w:rsid w:val="006D20DC"/>
    <w:rsid w:val="006D2245"/>
    <w:rsid w:val="006D2ACF"/>
    <w:rsid w:val="006D2ECD"/>
    <w:rsid w:val="006D3508"/>
    <w:rsid w:val="006D35FD"/>
    <w:rsid w:val="006D39D9"/>
    <w:rsid w:val="006D4187"/>
    <w:rsid w:val="006D4705"/>
    <w:rsid w:val="006D49A3"/>
    <w:rsid w:val="006D54A5"/>
    <w:rsid w:val="006D5563"/>
    <w:rsid w:val="006D5EFA"/>
    <w:rsid w:val="006D6DA2"/>
    <w:rsid w:val="006D754E"/>
    <w:rsid w:val="006D7617"/>
    <w:rsid w:val="006D7A31"/>
    <w:rsid w:val="006D7DC9"/>
    <w:rsid w:val="006E0562"/>
    <w:rsid w:val="006E0594"/>
    <w:rsid w:val="006E0725"/>
    <w:rsid w:val="006E07FE"/>
    <w:rsid w:val="006E0EA9"/>
    <w:rsid w:val="006E193D"/>
    <w:rsid w:val="006E1C1D"/>
    <w:rsid w:val="006E1E6A"/>
    <w:rsid w:val="006E26EE"/>
    <w:rsid w:val="006E282C"/>
    <w:rsid w:val="006E2A98"/>
    <w:rsid w:val="006E3015"/>
    <w:rsid w:val="006E34C3"/>
    <w:rsid w:val="006E3682"/>
    <w:rsid w:val="006E3944"/>
    <w:rsid w:val="006E3F93"/>
    <w:rsid w:val="006E449E"/>
    <w:rsid w:val="006E476E"/>
    <w:rsid w:val="006E47CF"/>
    <w:rsid w:val="006E4856"/>
    <w:rsid w:val="006E4F4B"/>
    <w:rsid w:val="006E5104"/>
    <w:rsid w:val="006E6397"/>
    <w:rsid w:val="006E63C4"/>
    <w:rsid w:val="006E6E02"/>
    <w:rsid w:val="006E77A5"/>
    <w:rsid w:val="006E780F"/>
    <w:rsid w:val="006E7DCB"/>
    <w:rsid w:val="006E7E46"/>
    <w:rsid w:val="006E7E83"/>
    <w:rsid w:val="006F0413"/>
    <w:rsid w:val="006F1392"/>
    <w:rsid w:val="006F1AD3"/>
    <w:rsid w:val="006F2064"/>
    <w:rsid w:val="006F23EC"/>
    <w:rsid w:val="006F2603"/>
    <w:rsid w:val="006F2669"/>
    <w:rsid w:val="006F2922"/>
    <w:rsid w:val="006F292E"/>
    <w:rsid w:val="006F3617"/>
    <w:rsid w:val="006F3A78"/>
    <w:rsid w:val="006F5932"/>
    <w:rsid w:val="006F5C3F"/>
    <w:rsid w:val="006F600B"/>
    <w:rsid w:val="006F6800"/>
    <w:rsid w:val="006F69CD"/>
    <w:rsid w:val="006F6D2D"/>
    <w:rsid w:val="006F779C"/>
    <w:rsid w:val="00700E20"/>
    <w:rsid w:val="00700EE3"/>
    <w:rsid w:val="007010B0"/>
    <w:rsid w:val="0070168B"/>
    <w:rsid w:val="00701A3E"/>
    <w:rsid w:val="00701C87"/>
    <w:rsid w:val="00702E30"/>
    <w:rsid w:val="00703C7C"/>
    <w:rsid w:val="00704B27"/>
    <w:rsid w:val="00704E7D"/>
    <w:rsid w:val="00704FC0"/>
    <w:rsid w:val="0070523A"/>
    <w:rsid w:val="0070618E"/>
    <w:rsid w:val="00706AE8"/>
    <w:rsid w:val="00706FB0"/>
    <w:rsid w:val="007073C6"/>
    <w:rsid w:val="00707492"/>
    <w:rsid w:val="00707639"/>
    <w:rsid w:val="00707FE8"/>
    <w:rsid w:val="00710335"/>
    <w:rsid w:val="00710C4B"/>
    <w:rsid w:val="00711135"/>
    <w:rsid w:val="007116B8"/>
    <w:rsid w:val="007117B9"/>
    <w:rsid w:val="0071233E"/>
    <w:rsid w:val="00712699"/>
    <w:rsid w:val="00712836"/>
    <w:rsid w:val="0071399C"/>
    <w:rsid w:val="00713D3D"/>
    <w:rsid w:val="00713F91"/>
    <w:rsid w:val="0071595B"/>
    <w:rsid w:val="00715E46"/>
    <w:rsid w:val="00715F9C"/>
    <w:rsid w:val="00716262"/>
    <w:rsid w:val="00716EB5"/>
    <w:rsid w:val="00717952"/>
    <w:rsid w:val="00720025"/>
    <w:rsid w:val="007202A1"/>
    <w:rsid w:val="0072055D"/>
    <w:rsid w:val="007205B2"/>
    <w:rsid w:val="007206AD"/>
    <w:rsid w:val="00721193"/>
    <w:rsid w:val="00721478"/>
    <w:rsid w:val="007215F1"/>
    <w:rsid w:val="007226D1"/>
    <w:rsid w:val="00722A08"/>
    <w:rsid w:val="00722AA2"/>
    <w:rsid w:val="00724387"/>
    <w:rsid w:val="0072480E"/>
    <w:rsid w:val="00724817"/>
    <w:rsid w:val="00724822"/>
    <w:rsid w:val="007248AD"/>
    <w:rsid w:val="00724A45"/>
    <w:rsid w:val="00724C6D"/>
    <w:rsid w:val="00724DF7"/>
    <w:rsid w:val="00724EE3"/>
    <w:rsid w:val="00725736"/>
    <w:rsid w:val="00725B20"/>
    <w:rsid w:val="00725C33"/>
    <w:rsid w:val="00725E65"/>
    <w:rsid w:val="007261CF"/>
    <w:rsid w:val="00726699"/>
    <w:rsid w:val="00726EB8"/>
    <w:rsid w:val="0072712D"/>
    <w:rsid w:val="00727D30"/>
    <w:rsid w:val="00730338"/>
    <w:rsid w:val="00730429"/>
    <w:rsid w:val="0073197F"/>
    <w:rsid w:val="007321F0"/>
    <w:rsid w:val="0073293F"/>
    <w:rsid w:val="00732A82"/>
    <w:rsid w:val="00732D66"/>
    <w:rsid w:val="00732E36"/>
    <w:rsid w:val="00733494"/>
    <w:rsid w:val="00733F23"/>
    <w:rsid w:val="00734389"/>
    <w:rsid w:val="007343D9"/>
    <w:rsid w:val="00734C18"/>
    <w:rsid w:val="00734EAC"/>
    <w:rsid w:val="00734F56"/>
    <w:rsid w:val="0073582C"/>
    <w:rsid w:val="00735887"/>
    <w:rsid w:val="00735CE6"/>
    <w:rsid w:val="00735F4E"/>
    <w:rsid w:val="0073643F"/>
    <w:rsid w:val="00737732"/>
    <w:rsid w:val="00737C42"/>
    <w:rsid w:val="00740A7A"/>
    <w:rsid w:val="007411A9"/>
    <w:rsid w:val="00741A43"/>
    <w:rsid w:val="00741CA9"/>
    <w:rsid w:val="0074210D"/>
    <w:rsid w:val="007428D9"/>
    <w:rsid w:val="00742EF1"/>
    <w:rsid w:val="00743563"/>
    <w:rsid w:val="007438EA"/>
    <w:rsid w:val="007440CB"/>
    <w:rsid w:val="007441C6"/>
    <w:rsid w:val="00744772"/>
    <w:rsid w:val="00744FC0"/>
    <w:rsid w:val="00745423"/>
    <w:rsid w:val="007455B7"/>
    <w:rsid w:val="00745665"/>
    <w:rsid w:val="00745821"/>
    <w:rsid w:val="007459C5"/>
    <w:rsid w:val="007474CC"/>
    <w:rsid w:val="00747FBF"/>
    <w:rsid w:val="007500C2"/>
    <w:rsid w:val="00751B0C"/>
    <w:rsid w:val="007525DE"/>
    <w:rsid w:val="00752E66"/>
    <w:rsid w:val="00753450"/>
    <w:rsid w:val="007543AE"/>
    <w:rsid w:val="00754505"/>
    <w:rsid w:val="00754C38"/>
    <w:rsid w:val="00754C97"/>
    <w:rsid w:val="00754EB3"/>
    <w:rsid w:val="007553B5"/>
    <w:rsid w:val="00755600"/>
    <w:rsid w:val="007560E6"/>
    <w:rsid w:val="0075615A"/>
    <w:rsid w:val="007565B2"/>
    <w:rsid w:val="0075667C"/>
    <w:rsid w:val="0075680F"/>
    <w:rsid w:val="00756F4D"/>
    <w:rsid w:val="00756FBA"/>
    <w:rsid w:val="00757272"/>
    <w:rsid w:val="00757385"/>
    <w:rsid w:val="007575C7"/>
    <w:rsid w:val="00757AA7"/>
    <w:rsid w:val="00757F42"/>
    <w:rsid w:val="00757F82"/>
    <w:rsid w:val="007606D9"/>
    <w:rsid w:val="00760BAD"/>
    <w:rsid w:val="00760F59"/>
    <w:rsid w:val="007616AA"/>
    <w:rsid w:val="00761ACE"/>
    <w:rsid w:val="00761FD7"/>
    <w:rsid w:val="00762381"/>
    <w:rsid w:val="00762527"/>
    <w:rsid w:val="00762538"/>
    <w:rsid w:val="007629C4"/>
    <w:rsid w:val="00762B70"/>
    <w:rsid w:val="00762BB5"/>
    <w:rsid w:val="00763405"/>
    <w:rsid w:val="00763AD3"/>
    <w:rsid w:val="00763D2C"/>
    <w:rsid w:val="00763D8C"/>
    <w:rsid w:val="0076426B"/>
    <w:rsid w:val="00764584"/>
    <w:rsid w:val="007652EA"/>
    <w:rsid w:val="007655D6"/>
    <w:rsid w:val="00765FA6"/>
    <w:rsid w:val="00766DAF"/>
    <w:rsid w:val="00766E3A"/>
    <w:rsid w:val="0076722E"/>
    <w:rsid w:val="00767532"/>
    <w:rsid w:val="00767601"/>
    <w:rsid w:val="007707DB"/>
    <w:rsid w:val="00770A70"/>
    <w:rsid w:val="00770A9E"/>
    <w:rsid w:val="00770C54"/>
    <w:rsid w:val="00770E1D"/>
    <w:rsid w:val="00771296"/>
    <w:rsid w:val="00771341"/>
    <w:rsid w:val="00771A42"/>
    <w:rsid w:val="00771BFC"/>
    <w:rsid w:val="007727E6"/>
    <w:rsid w:val="0077284B"/>
    <w:rsid w:val="00774023"/>
    <w:rsid w:val="007748B1"/>
    <w:rsid w:val="00774A50"/>
    <w:rsid w:val="00774E07"/>
    <w:rsid w:val="00774F3A"/>
    <w:rsid w:val="007755B6"/>
    <w:rsid w:val="007757B3"/>
    <w:rsid w:val="007758C5"/>
    <w:rsid w:val="00775D57"/>
    <w:rsid w:val="00776D04"/>
    <w:rsid w:val="0077707C"/>
    <w:rsid w:val="007772C7"/>
    <w:rsid w:val="00777991"/>
    <w:rsid w:val="00777A21"/>
    <w:rsid w:val="00780685"/>
    <w:rsid w:val="00780692"/>
    <w:rsid w:val="00780CE9"/>
    <w:rsid w:val="00780DCD"/>
    <w:rsid w:val="007819D2"/>
    <w:rsid w:val="007820E7"/>
    <w:rsid w:val="00782318"/>
    <w:rsid w:val="007824A8"/>
    <w:rsid w:val="00782BD5"/>
    <w:rsid w:val="00782D20"/>
    <w:rsid w:val="00783923"/>
    <w:rsid w:val="0078397B"/>
    <w:rsid w:val="00783AF2"/>
    <w:rsid w:val="00784780"/>
    <w:rsid w:val="00785F62"/>
    <w:rsid w:val="007860E5"/>
    <w:rsid w:val="007865BC"/>
    <w:rsid w:val="007868B4"/>
    <w:rsid w:val="007870B7"/>
    <w:rsid w:val="00787286"/>
    <w:rsid w:val="00787796"/>
    <w:rsid w:val="007877F7"/>
    <w:rsid w:val="007879C8"/>
    <w:rsid w:val="0079026E"/>
    <w:rsid w:val="0079040D"/>
    <w:rsid w:val="007913A1"/>
    <w:rsid w:val="007916FA"/>
    <w:rsid w:val="00792216"/>
    <w:rsid w:val="0079248A"/>
    <w:rsid w:val="00792503"/>
    <w:rsid w:val="00792994"/>
    <w:rsid w:val="00792B70"/>
    <w:rsid w:val="00792D87"/>
    <w:rsid w:val="007937FE"/>
    <w:rsid w:val="00793C73"/>
    <w:rsid w:val="0079464D"/>
    <w:rsid w:val="00795D46"/>
    <w:rsid w:val="00795ED8"/>
    <w:rsid w:val="007965CC"/>
    <w:rsid w:val="0079671F"/>
    <w:rsid w:val="00796B67"/>
    <w:rsid w:val="0079734D"/>
    <w:rsid w:val="00797664"/>
    <w:rsid w:val="007977EB"/>
    <w:rsid w:val="00797911"/>
    <w:rsid w:val="00797C2F"/>
    <w:rsid w:val="007A0298"/>
    <w:rsid w:val="007A06F8"/>
    <w:rsid w:val="007A073E"/>
    <w:rsid w:val="007A0B9F"/>
    <w:rsid w:val="007A16E6"/>
    <w:rsid w:val="007A182D"/>
    <w:rsid w:val="007A1C4E"/>
    <w:rsid w:val="007A22F8"/>
    <w:rsid w:val="007A3B02"/>
    <w:rsid w:val="007A4136"/>
    <w:rsid w:val="007A4414"/>
    <w:rsid w:val="007A4500"/>
    <w:rsid w:val="007A4D99"/>
    <w:rsid w:val="007A52B6"/>
    <w:rsid w:val="007A5C1A"/>
    <w:rsid w:val="007A65FD"/>
    <w:rsid w:val="007A6AB5"/>
    <w:rsid w:val="007A6DE5"/>
    <w:rsid w:val="007A71DF"/>
    <w:rsid w:val="007A73CA"/>
    <w:rsid w:val="007A73F9"/>
    <w:rsid w:val="007A76CC"/>
    <w:rsid w:val="007A7CF8"/>
    <w:rsid w:val="007A7DD5"/>
    <w:rsid w:val="007B091D"/>
    <w:rsid w:val="007B1D6A"/>
    <w:rsid w:val="007B3549"/>
    <w:rsid w:val="007B44B7"/>
    <w:rsid w:val="007B482B"/>
    <w:rsid w:val="007B4C30"/>
    <w:rsid w:val="007B5BA1"/>
    <w:rsid w:val="007B5BC4"/>
    <w:rsid w:val="007B5FCB"/>
    <w:rsid w:val="007B63D7"/>
    <w:rsid w:val="007B6555"/>
    <w:rsid w:val="007B7545"/>
    <w:rsid w:val="007B779E"/>
    <w:rsid w:val="007B79B0"/>
    <w:rsid w:val="007B7CCC"/>
    <w:rsid w:val="007B7D90"/>
    <w:rsid w:val="007C0221"/>
    <w:rsid w:val="007C0B19"/>
    <w:rsid w:val="007C1835"/>
    <w:rsid w:val="007C1CD6"/>
    <w:rsid w:val="007C213A"/>
    <w:rsid w:val="007C226B"/>
    <w:rsid w:val="007C259A"/>
    <w:rsid w:val="007C2713"/>
    <w:rsid w:val="007C29EC"/>
    <w:rsid w:val="007C2ABD"/>
    <w:rsid w:val="007C2EC7"/>
    <w:rsid w:val="007C39C9"/>
    <w:rsid w:val="007C3DDB"/>
    <w:rsid w:val="007C3EE5"/>
    <w:rsid w:val="007C4434"/>
    <w:rsid w:val="007C462F"/>
    <w:rsid w:val="007C4725"/>
    <w:rsid w:val="007C492D"/>
    <w:rsid w:val="007C53A2"/>
    <w:rsid w:val="007C58A9"/>
    <w:rsid w:val="007C5E78"/>
    <w:rsid w:val="007C5EDE"/>
    <w:rsid w:val="007C645C"/>
    <w:rsid w:val="007C6BC9"/>
    <w:rsid w:val="007C6EB7"/>
    <w:rsid w:val="007C7170"/>
    <w:rsid w:val="007D0415"/>
    <w:rsid w:val="007D0569"/>
    <w:rsid w:val="007D0577"/>
    <w:rsid w:val="007D0665"/>
    <w:rsid w:val="007D1170"/>
    <w:rsid w:val="007D16D0"/>
    <w:rsid w:val="007D1C2E"/>
    <w:rsid w:val="007D2378"/>
    <w:rsid w:val="007D238E"/>
    <w:rsid w:val="007D2504"/>
    <w:rsid w:val="007D3274"/>
    <w:rsid w:val="007D39F4"/>
    <w:rsid w:val="007D3C4D"/>
    <w:rsid w:val="007D3CD7"/>
    <w:rsid w:val="007D3F33"/>
    <w:rsid w:val="007D46B5"/>
    <w:rsid w:val="007D48A0"/>
    <w:rsid w:val="007D5213"/>
    <w:rsid w:val="007D5BDA"/>
    <w:rsid w:val="007D5DD5"/>
    <w:rsid w:val="007D6058"/>
    <w:rsid w:val="007D62B6"/>
    <w:rsid w:val="007D63CC"/>
    <w:rsid w:val="007D6578"/>
    <w:rsid w:val="007D6BE1"/>
    <w:rsid w:val="007D719C"/>
    <w:rsid w:val="007D74EB"/>
    <w:rsid w:val="007D783D"/>
    <w:rsid w:val="007D7B46"/>
    <w:rsid w:val="007D7F41"/>
    <w:rsid w:val="007E0007"/>
    <w:rsid w:val="007E024E"/>
    <w:rsid w:val="007E0CF8"/>
    <w:rsid w:val="007E0E29"/>
    <w:rsid w:val="007E109D"/>
    <w:rsid w:val="007E2738"/>
    <w:rsid w:val="007E28D9"/>
    <w:rsid w:val="007E3E4C"/>
    <w:rsid w:val="007E4D0D"/>
    <w:rsid w:val="007E51F4"/>
    <w:rsid w:val="007E5E7D"/>
    <w:rsid w:val="007E63DC"/>
    <w:rsid w:val="007E6A8C"/>
    <w:rsid w:val="007E7D71"/>
    <w:rsid w:val="007F0DFA"/>
    <w:rsid w:val="007F282F"/>
    <w:rsid w:val="007F2C53"/>
    <w:rsid w:val="007F3064"/>
    <w:rsid w:val="007F3BDA"/>
    <w:rsid w:val="007F4ECF"/>
    <w:rsid w:val="007F5344"/>
    <w:rsid w:val="007F579C"/>
    <w:rsid w:val="007F6367"/>
    <w:rsid w:val="007F6393"/>
    <w:rsid w:val="007F678F"/>
    <w:rsid w:val="007F6B1E"/>
    <w:rsid w:val="007F6B5A"/>
    <w:rsid w:val="007F6C28"/>
    <w:rsid w:val="007F7305"/>
    <w:rsid w:val="007F7388"/>
    <w:rsid w:val="007F760D"/>
    <w:rsid w:val="007F78A2"/>
    <w:rsid w:val="007F7E6D"/>
    <w:rsid w:val="0080003E"/>
    <w:rsid w:val="008005C6"/>
    <w:rsid w:val="00800D61"/>
    <w:rsid w:val="00800F70"/>
    <w:rsid w:val="00801C63"/>
    <w:rsid w:val="0080204F"/>
    <w:rsid w:val="0080253D"/>
    <w:rsid w:val="008029F5"/>
    <w:rsid w:val="00802AB9"/>
    <w:rsid w:val="00802BEB"/>
    <w:rsid w:val="00803B07"/>
    <w:rsid w:val="00803BDC"/>
    <w:rsid w:val="00804674"/>
    <w:rsid w:val="00804DA8"/>
    <w:rsid w:val="00804F06"/>
    <w:rsid w:val="00805568"/>
    <w:rsid w:val="008059A0"/>
    <w:rsid w:val="00806113"/>
    <w:rsid w:val="008064C5"/>
    <w:rsid w:val="00806AB3"/>
    <w:rsid w:val="00806B23"/>
    <w:rsid w:val="00806BA6"/>
    <w:rsid w:val="00806C80"/>
    <w:rsid w:val="00807BB9"/>
    <w:rsid w:val="00807CCB"/>
    <w:rsid w:val="00807FE5"/>
    <w:rsid w:val="00807FFA"/>
    <w:rsid w:val="0081012B"/>
    <w:rsid w:val="0081051A"/>
    <w:rsid w:val="00812246"/>
    <w:rsid w:val="0081264F"/>
    <w:rsid w:val="0081271D"/>
    <w:rsid w:val="00813F6A"/>
    <w:rsid w:val="008144CD"/>
    <w:rsid w:val="0081487C"/>
    <w:rsid w:val="0081494F"/>
    <w:rsid w:val="00814A30"/>
    <w:rsid w:val="00814E07"/>
    <w:rsid w:val="00815261"/>
    <w:rsid w:val="00815299"/>
    <w:rsid w:val="00815D53"/>
    <w:rsid w:val="0081632A"/>
    <w:rsid w:val="0081633E"/>
    <w:rsid w:val="0081717E"/>
    <w:rsid w:val="00817338"/>
    <w:rsid w:val="008173A6"/>
    <w:rsid w:val="00820394"/>
    <w:rsid w:val="008203D6"/>
    <w:rsid w:val="00820989"/>
    <w:rsid w:val="00821517"/>
    <w:rsid w:val="008215E9"/>
    <w:rsid w:val="0082163D"/>
    <w:rsid w:val="008216B9"/>
    <w:rsid w:val="00821D8F"/>
    <w:rsid w:val="0082204A"/>
    <w:rsid w:val="008220A7"/>
    <w:rsid w:val="00822269"/>
    <w:rsid w:val="00822CAE"/>
    <w:rsid w:val="008238E5"/>
    <w:rsid w:val="00823D4C"/>
    <w:rsid w:val="0082428E"/>
    <w:rsid w:val="008242DD"/>
    <w:rsid w:val="008247AA"/>
    <w:rsid w:val="008248F1"/>
    <w:rsid w:val="00824BB4"/>
    <w:rsid w:val="00824D54"/>
    <w:rsid w:val="0082529E"/>
    <w:rsid w:val="00825499"/>
    <w:rsid w:val="00825575"/>
    <w:rsid w:val="008256A3"/>
    <w:rsid w:val="00826115"/>
    <w:rsid w:val="0082639C"/>
    <w:rsid w:val="0082659D"/>
    <w:rsid w:val="0082693C"/>
    <w:rsid w:val="00826EB3"/>
    <w:rsid w:val="008271D2"/>
    <w:rsid w:val="0082785B"/>
    <w:rsid w:val="00827D19"/>
    <w:rsid w:val="00827E13"/>
    <w:rsid w:val="00830710"/>
    <w:rsid w:val="00830E65"/>
    <w:rsid w:val="0083102E"/>
    <w:rsid w:val="008312E5"/>
    <w:rsid w:val="0083142D"/>
    <w:rsid w:val="0083153F"/>
    <w:rsid w:val="00831553"/>
    <w:rsid w:val="008317A9"/>
    <w:rsid w:val="00831AFA"/>
    <w:rsid w:val="00832481"/>
    <w:rsid w:val="00832498"/>
    <w:rsid w:val="00832730"/>
    <w:rsid w:val="00832B8A"/>
    <w:rsid w:val="00833958"/>
    <w:rsid w:val="00833A6F"/>
    <w:rsid w:val="00833DFE"/>
    <w:rsid w:val="0083468A"/>
    <w:rsid w:val="0083531C"/>
    <w:rsid w:val="00835426"/>
    <w:rsid w:val="00835C3A"/>
    <w:rsid w:val="0083723D"/>
    <w:rsid w:val="00837605"/>
    <w:rsid w:val="0084096B"/>
    <w:rsid w:val="00840C10"/>
    <w:rsid w:val="00842043"/>
    <w:rsid w:val="008425A0"/>
    <w:rsid w:val="00842B74"/>
    <w:rsid w:val="008432AE"/>
    <w:rsid w:val="00843991"/>
    <w:rsid w:val="00843DA1"/>
    <w:rsid w:val="00844219"/>
    <w:rsid w:val="00844325"/>
    <w:rsid w:val="00844497"/>
    <w:rsid w:val="00844CE4"/>
    <w:rsid w:val="00844DDC"/>
    <w:rsid w:val="008454A1"/>
    <w:rsid w:val="0084558B"/>
    <w:rsid w:val="00846A27"/>
    <w:rsid w:val="00847ACE"/>
    <w:rsid w:val="0085064C"/>
    <w:rsid w:val="00850CFE"/>
    <w:rsid w:val="00850EFB"/>
    <w:rsid w:val="00850F4B"/>
    <w:rsid w:val="008513E0"/>
    <w:rsid w:val="00851B1F"/>
    <w:rsid w:val="0085225D"/>
    <w:rsid w:val="008522A2"/>
    <w:rsid w:val="00852863"/>
    <w:rsid w:val="00852D4A"/>
    <w:rsid w:val="008534BC"/>
    <w:rsid w:val="00853712"/>
    <w:rsid w:val="0085389C"/>
    <w:rsid w:val="00853906"/>
    <w:rsid w:val="00853FED"/>
    <w:rsid w:val="008554B8"/>
    <w:rsid w:val="00855716"/>
    <w:rsid w:val="00855BC3"/>
    <w:rsid w:val="00855FE1"/>
    <w:rsid w:val="00856568"/>
    <w:rsid w:val="00856D3E"/>
    <w:rsid w:val="008570F7"/>
    <w:rsid w:val="00857539"/>
    <w:rsid w:val="008578C7"/>
    <w:rsid w:val="00860165"/>
    <w:rsid w:val="00860171"/>
    <w:rsid w:val="008602D9"/>
    <w:rsid w:val="008603AC"/>
    <w:rsid w:val="0086082B"/>
    <w:rsid w:val="008617CD"/>
    <w:rsid w:val="008623CA"/>
    <w:rsid w:val="00862B9E"/>
    <w:rsid w:val="00862EDD"/>
    <w:rsid w:val="0086355D"/>
    <w:rsid w:val="008639F2"/>
    <w:rsid w:val="00863CF8"/>
    <w:rsid w:val="008642AB"/>
    <w:rsid w:val="0086430C"/>
    <w:rsid w:val="00864639"/>
    <w:rsid w:val="00864DBF"/>
    <w:rsid w:val="00864F79"/>
    <w:rsid w:val="0086599B"/>
    <w:rsid w:val="00865EEF"/>
    <w:rsid w:val="00865F72"/>
    <w:rsid w:val="00865FFB"/>
    <w:rsid w:val="00866A72"/>
    <w:rsid w:val="00866FD3"/>
    <w:rsid w:val="0086722D"/>
    <w:rsid w:val="0086749B"/>
    <w:rsid w:val="0086767E"/>
    <w:rsid w:val="00867E0B"/>
    <w:rsid w:val="00867EDE"/>
    <w:rsid w:val="00870247"/>
    <w:rsid w:val="008704E5"/>
    <w:rsid w:val="00870C9B"/>
    <w:rsid w:val="00870D09"/>
    <w:rsid w:val="00871183"/>
    <w:rsid w:val="0087198B"/>
    <w:rsid w:val="00871D36"/>
    <w:rsid w:val="0087204F"/>
    <w:rsid w:val="0087213B"/>
    <w:rsid w:val="0087248D"/>
    <w:rsid w:val="00872DDF"/>
    <w:rsid w:val="00873347"/>
    <w:rsid w:val="00873A2A"/>
    <w:rsid w:val="00873DF4"/>
    <w:rsid w:val="00873F3E"/>
    <w:rsid w:val="00874756"/>
    <w:rsid w:val="00874775"/>
    <w:rsid w:val="00874880"/>
    <w:rsid w:val="00874A0E"/>
    <w:rsid w:val="008750A6"/>
    <w:rsid w:val="00875397"/>
    <w:rsid w:val="00875406"/>
    <w:rsid w:val="008755D8"/>
    <w:rsid w:val="00875CAB"/>
    <w:rsid w:val="00875F0A"/>
    <w:rsid w:val="00875F3B"/>
    <w:rsid w:val="00876260"/>
    <w:rsid w:val="00876575"/>
    <w:rsid w:val="00876AEB"/>
    <w:rsid w:val="00877179"/>
    <w:rsid w:val="00877292"/>
    <w:rsid w:val="008777A9"/>
    <w:rsid w:val="00877EE8"/>
    <w:rsid w:val="00880017"/>
    <w:rsid w:val="00880610"/>
    <w:rsid w:val="00880844"/>
    <w:rsid w:val="008808DA"/>
    <w:rsid w:val="00881A26"/>
    <w:rsid w:val="0088248B"/>
    <w:rsid w:val="0088378C"/>
    <w:rsid w:val="00883832"/>
    <w:rsid w:val="00883AAC"/>
    <w:rsid w:val="00884B7C"/>
    <w:rsid w:val="00884C9B"/>
    <w:rsid w:val="008850B6"/>
    <w:rsid w:val="00885843"/>
    <w:rsid w:val="00885AE4"/>
    <w:rsid w:val="00885E75"/>
    <w:rsid w:val="00886A2F"/>
    <w:rsid w:val="00886B9D"/>
    <w:rsid w:val="00886E89"/>
    <w:rsid w:val="00886EB5"/>
    <w:rsid w:val="008903EB"/>
    <w:rsid w:val="008909EC"/>
    <w:rsid w:val="00891741"/>
    <w:rsid w:val="008922A1"/>
    <w:rsid w:val="00892A55"/>
    <w:rsid w:val="00892B2D"/>
    <w:rsid w:val="008930CC"/>
    <w:rsid w:val="00894179"/>
    <w:rsid w:val="008945E3"/>
    <w:rsid w:val="008952F2"/>
    <w:rsid w:val="00895EBB"/>
    <w:rsid w:val="008966C0"/>
    <w:rsid w:val="00897693"/>
    <w:rsid w:val="00897B42"/>
    <w:rsid w:val="00897C19"/>
    <w:rsid w:val="00897C99"/>
    <w:rsid w:val="00897D12"/>
    <w:rsid w:val="008A0453"/>
    <w:rsid w:val="008A076A"/>
    <w:rsid w:val="008A17A9"/>
    <w:rsid w:val="008A1E3F"/>
    <w:rsid w:val="008A26B5"/>
    <w:rsid w:val="008A26E9"/>
    <w:rsid w:val="008A29A1"/>
    <w:rsid w:val="008A2A63"/>
    <w:rsid w:val="008A2D2B"/>
    <w:rsid w:val="008A30E5"/>
    <w:rsid w:val="008A3735"/>
    <w:rsid w:val="008A3830"/>
    <w:rsid w:val="008A402C"/>
    <w:rsid w:val="008A4039"/>
    <w:rsid w:val="008A4815"/>
    <w:rsid w:val="008A4B1D"/>
    <w:rsid w:val="008A4E7F"/>
    <w:rsid w:val="008A5625"/>
    <w:rsid w:val="008A5A31"/>
    <w:rsid w:val="008A5FEB"/>
    <w:rsid w:val="008A6223"/>
    <w:rsid w:val="008A635F"/>
    <w:rsid w:val="008A6E1F"/>
    <w:rsid w:val="008A786C"/>
    <w:rsid w:val="008A7C75"/>
    <w:rsid w:val="008B0261"/>
    <w:rsid w:val="008B057B"/>
    <w:rsid w:val="008B0D75"/>
    <w:rsid w:val="008B11FA"/>
    <w:rsid w:val="008B1247"/>
    <w:rsid w:val="008B14FF"/>
    <w:rsid w:val="008B16B9"/>
    <w:rsid w:val="008B16CC"/>
    <w:rsid w:val="008B1D1E"/>
    <w:rsid w:val="008B22A4"/>
    <w:rsid w:val="008B2BCB"/>
    <w:rsid w:val="008B2CD0"/>
    <w:rsid w:val="008B2F3C"/>
    <w:rsid w:val="008B2F8D"/>
    <w:rsid w:val="008B30F7"/>
    <w:rsid w:val="008B349B"/>
    <w:rsid w:val="008B366A"/>
    <w:rsid w:val="008B36E2"/>
    <w:rsid w:val="008B3A32"/>
    <w:rsid w:val="008B44B2"/>
    <w:rsid w:val="008B4AA2"/>
    <w:rsid w:val="008B512A"/>
    <w:rsid w:val="008B5696"/>
    <w:rsid w:val="008B5899"/>
    <w:rsid w:val="008B5AC1"/>
    <w:rsid w:val="008B5E63"/>
    <w:rsid w:val="008B61E5"/>
    <w:rsid w:val="008B63FC"/>
    <w:rsid w:val="008B7751"/>
    <w:rsid w:val="008B7BFC"/>
    <w:rsid w:val="008B7C1A"/>
    <w:rsid w:val="008B7F44"/>
    <w:rsid w:val="008C14C4"/>
    <w:rsid w:val="008C1AC5"/>
    <w:rsid w:val="008C1F62"/>
    <w:rsid w:val="008C2FA7"/>
    <w:rsid w:val="008C3D0E"/>
    <w:rsid w:val="008C41E3"/>
    <w:rsid w:val="008C43A0"/>
    <w:rsid w:val="008C43B2"/>
    <w:rsid w:val="008C4728"/>
    <w:rsid w:val="008C4C38"/>
    <w:rsid w:val="008C4C62"/>
    <w:rsid w:val="008C4DA6"/>
    <w:rsid w:val="008C5243"/>
    <w:rsid w:val="008C532C"/>
    <w:rsid w:val="008C53A9"/>
    <w:rsid w:val="008C59EA"/>
    <w:rsid w:val="008C5C17"/>
    <w:rsid w:val="008C6047"/>
    <w:rsid w:val="008C6664"/>
    <w:rsid w:val="008C75FB"/>
    <w:rsid w:val="008C7B28"/>
    <w:rsid w:val="008C7EE2"/>
    <w:rsid w:val="008C7F1E"/>
    <w:rsid w:val="008D03CC"/>
    <w:rsid w:val="008D0A37"/>
    <w:rsid w:val="008D0D9D"/>
    <w:rsid w:val="008D35E2"/>
    <w:rsid w:val="008D36A7"/>
    <w:rsid w:val="008D36D7"/>
    <w:rsid w:val="008D3BA6"/>
    <w:rsid w:val="008D48FE"/>
    <w:rsid w:val="008D589E"/>
    <w:rsid w:val="008D5978"/>
    <w:rsid w:val="008D685C"/>
    <w:rsid w:val="008D6A2C"/>
    <w:rsid w:val="008D6EB9"/>
    <w:rsid w:val="008D76A0"/>
    <w:rsid w:val="008D77BA"/>
    <w:rsid w:val="008D7A7E"/>
    <w:rsid w:val="008E29AF"/>
    <w:rsid w:val="008E2DE1"/>
    <w:rsid w:val="008E3E2A"/>
    <w:rsid w:val="008E43AA"/>
    <w:rsid w:val="008E4F36"/>
    <w:rsid w:val="008E5F17"/>
    <w:rsid w:val="008E5FBC"/>
    <w:rsid w:val="008E6433"/>
    <w:rsid w:val="008E6595"/>
    <w:rsid w:val="008E6754"/>
    <w:rsid w:val="008E709D"/>
    <w:rsid w:val="008E70EF"/>
    <w:rsid w:val="008E792D"/>
    <w:rsid w:val="008E7F7F"/>
    <w:rsid w:val="008F014F"/>
    <w:rsid w:val="008F041F"/>
    <w:rsid w:val="008F06CA"/>
    <w:rsid w:val="008F08F0"/>
    <w:rsid w:val="008F09BE"/>
    <w:rsid w:val="008F0AA3"/>
    <w:rsid w:val="008F0E55"/>
    <w:rsid w:val="008F155A"/>
    <w:rsid w:val="008F239C"/>
    <w:rsid w:val="008F2B95"/>
    <w:rsid w:val="008F2F84"/>
    <w:rsid w:val="008F3189"/>
    <w:rsid w:val="008F3DA3"/>
    <w:rsid w:val="008F3F01"/>
    <w:rsid w:val="008F4544"/>
    <w:rsid w:val="008F4599"/>
    <w:rsid w:val="008F5AB1"/>
    <w:rsid w:val="008F5BF4"/>
    <w:rsid w:val="008F7323"/>
    <w:rsid w:val="008F7FA4"/>
    <w:rsid w:val="009004BE"/>
    <w:rsid w:val="00900613"/>
    <w:rsid w:val="0090093F"/>
    <w:rsid w:val="0090114C"/>
    <w:rsid w:val="0090169E"/>
    <w:rsid w:val="009017C9"/>
    <w:rsid w:val="009017F7"/>
    <w:rsid w:val="00901C62"/>
    <w:rsid w:val="00901E86"/>
    <w:rsid w:val="0090236A"/>
    <w:rsid w:val="00902732"/>
    <w:rsid w:val="00902F28"/>
    <w:rsid w:val="009032FF"/>
    <w:rsid w:val="00903D67"/>
    <w:rsid w:val="00903F9A"/>
    <w:rsid w:val="00904250"/>
    <w:rsid w:val="009044A8"/>
    <w:rsid w:val="0090457F"/>
    <w:rsid w:val="009051F9"/>
    <w:rsid w:val="00905956"/>
    <w:rsid w:val="00905DA0"/>
    <w:rsid w:val="009061B1"/>
    <w:rsid w:val="009066C9"/>
    <w:rsid w:val="00906BD5"/>
    <w:rsid w:val="00906C32"/>
    <w:rsid w:val="009075DC"/>
    <w:rsid w:val="009077C5"/>
    <w:rsid w:val="00910116"/>
    <w:rsid w:val="00910B0E"/>
    <w:rsid w:val="00911309"/>
    <w:rsid w:val="00912447"/>
    <w:rsid w:val="00912489"/>
    <w:rsid w:val="00912BDA"/>
    <w:rsid w:val="0091335F"/>
    <w:rsid w:val="00913A07"/>
    <w:rsid w:val="00914358"/>
    <w:rsid w:val="00914738"/>
    <w:rsid w:val="00914D5C"/>
    <w:rsid w:val="009152E8"/>
    <w:rsid w:val="00915B3B"/>
    <w:rsid w:val="00915FE5"/>
    <w:rsid w:val="009160A0"/>
    <w:rsid w:val="00916F1E"/>
    <w:rsid w:val="00917393"/>
    <w:rsid w:val="00917952"/>
    <w:rsid w:val="00920068"/>
    <w:rsid w:val="00920561"/>
    <w:rsid w:val="0092102A"/>
    <w:rsid w:val="009210AE"/>
    <w:rsid w:val="00921179"/>
    <w:rsid w:val="009212DA"/>
    <w:rsid w:val="009214DE"/>
    <w:rsid w:val="009215A1"/>
    <w:rsid w:val="00921901"/>
    <w:rsid w:val="009219EF"/>
    <w:rsid w:val="00921ACC"/>
    <w:rsid w:val="00921B45"/>
    <w:rsid w:val="00921D3D"/>
    <w:rsid w:val="009220A2"/>
    <w:rsid w:val="009222CB"/>
    <w:rsid w:val="00922353"/>
    <w:rsid w:val="00922ECD"/>
    <w:rsid w:val="00922ED7"/>
    <w:rsid w:val="00923574"/>
    <w:rsid w:val="00923730"/>
    <w:rsid w:val="009237F4"/>
    <w:rsid w:val="009239EF"/>
    <w:rsid w:val="0092415E"/>
    <w:rsid w:val="0092419E"/>
    <w:rsid w:val="00924BC0"/>
    <w:rsid w:val="00925A10"/>
    <w:rsid w:val="00925ED9"/>
    <w:rsid w:val="00925FA9"/>
    <w:rsid w:val="009261C2"/>
    <w:rsid w:val="009264BA"/>
    <w:rsid w:val="00926AAF"/>
    <w:rsid w:val="00927091"/>
    <w:rsid w:val="0092724B"/>
    <w:rsid w:val="00927E52"/>
    <w:rsid w:val="0093082D"/>
    <w:rsid w:val="00930C02"/>
    <w:rsid w:val="00930D9B"/>
    <w:rsid w:val="0093162C"/>
    <w:rsid w:val="0093172F"/>
    <w:rsid w:val="009317F3"/>
    <w:rsid w:val="009324E2"/>
    <w:rsid w:val="009329F2"/>
    <w:rsid w:val="00932B9C"/>
    <w:rsid w:val="00932D3E"/>
    <w:rsid w:val="00932D42"/>
    <w:rsid w:val="00932D8F"/>
    <w:rsid w:val="00933AF6"/>
    <w:rsid w:val="00933C95"/>
    <w:rsid w:val="009348FE"/>
    <w:rsid w:val="0093490F"/>
    <w:rsid w:val="00934BA2"/>
    <w:rsid w:val="00935AEE"/>
    <w:rsid w:val="00935D8E"/>
    <w:rsid w:val="009360F9"/>
    <w:rsid w:val="009369BE"/>
    <w:rsid w:val="00936F87"/>
    <w:rsid w:val="0093721F"/>
    <w:rsid w:val="009375D5"/>
    <w:rsid w:val="00937989"/>
    <w:rsid w:val="00937F19"/>
    <w:rsid w:val="009401C4"/>
    <w:rsid w:val="009401C9"/>
    <w:rsid w:val="009401E7"/>
    <w:rsid w:val="00940C44"/>
    <w:rsid w:val="00941303"/>
    <w:rsid w:val="00941470"/>
    <w:rsid w:val="009414D8"/>
    <w:rsid w:val="00941E46"/>
    <w:rsid w:val="009429F7"/>
    <w:rsid w:val="0094303F"/>
    <w:rsid w:val="0094308B"/>
    <w:rsid w:val="009430AE"/>
    <w:rsid w:val="009439B5"/>
    <w:rsid w:val="00943C07"/>
    <w:rsid w:val="00943C8A"/>
    <w:rsid w:val="0094401D"/>
    <w:rsid w:val="00944369"/>
    <w:rsid w:val="009444C7"/>
    <w:rsid w:val="00944CC1"/>
    <w:rsid w:val="009451B8"/>
    <w:rsid w:val="00945D9A"/>
    <w:rsid w:val="00946219"/>
    <w:rsid w:val="0094644A"/>
    <w:rsid w:val="00946AC9"/>
    <w:rsid w:val="00947572"/>
    <w:rsid w:val="00947860"/>
    <w:rsid w:val="0095008C"/>
    <w:rsid w:val="009501B8"/>
    <w:rsid w:val="009503F8"/>
    <w:rsid w:val="0095058D"/>
    <w:rsid w:val="009509E9"/>
    <w:rsid w:val="00950B73"/>
    <w:rsid w:val="00950E56"/>
    <w:rsid w:val="00951A61"/>
    <w:rsid w:val="00952175"/>
    <w:rsid w:val="009527B3"/>
    <w:rsid w:val="00952AC1"/>
    <w:rsid w:val="00953778"/>
    <w:rsid w:val="0095408E"/>
    <w:rsid w:val="00954D36"/>
    <w:rsid w:val="00954F95"/>
    <w:rsid w:val="009556E4"/>
    <w:rsid w:val="009558CC"/>
    <w:rsid w:val="009562D8"/>
    <w:rsid w:val="009567B1"/>
    <w:rsid w:val="00956B4B"/>
    <w:rsid w:val="0095703B"/>
    <w:rsid w:val="00957146"/>
    <w:rsid w:val="0095735F"/>
    <w:rsid w:val="0095749E"/>
    <w:rsid w:val="0095763D"/>
    <w:rsid w:val="00957808"/>
    <w:rsid w:val="00957E36"/>
    <w:rsid w:val="00957E81"/>
    <w:rsid w:val="00957F1D"/>
    <w:rsid w:val="00960287"/>
    <w:rsid w:val="009608E8"/>
    <w:rsid w:val="00960C13"/>
    <w:rsid w:val="00960D4B"/>
    <w:rsid w:val="00961166"/>
    <w:rsid w:val="0096151D"/>
    <w:rsid w:val="0096185F"/>
    <w:rsid w:val="00961F01"/>
    <w:rsid w:val="009623F6"/>
    <w:rsid w:val="00962405"/>
    <w:rsid w:val="00962B61"/>
    <w:rsid w:val="009632EA"/>
    <w:rsid w:val="00963BA0"/>
    <w:rsid w:val="009641E2"/>
    <w:rsid w:val="00964306"/>
    <w:rsid w:val="00964D70"/>
    <w:rsid w:val="00964FD0"/>
    <w:rsid w:val="00965321"/>
    <w:rsid w:val="00965819"/>
    <w:rsid w:val="00965884"/>
    <w:rsid w:val="009658D5"/>
    <w:rsid w:val="009660A9"/>
    <w:rsid w:val="009662A2"/>
    <w:rsid w:val="00966460"/>
    <w:rsid w:val="00966A7F"/>
    <w:rsid w:val="00966CA1"/>
    <w:rsid w:val="00970801"/>
    <w:rsid w:val="00970A16"/>
    <w:rsid w:val="00970B3B"/>
    <w:rsid w:val="009710B7"/>
    <w:rsid w:val="00971291"/>
    <w:rsid w:val="009717A5"/>
    <w:rsid w:val="00971EE2"/>
    <w:rsid w:val="0097238D"/>
    <w:rsid w:val="009733D8"/>
    <w:rsid w:val="00973972"/>
    <w:rsid w:val="00973995"/>
    <w:rsid w:val="009739A0"/>
    <w:rsid w:val="00973B5F"/>
    <w:rsid w:val="0097443C"/>
    <w:rsid w:val="0097461A"/>
    <w:rsid w:val="00974734"/>
    <w:rsid w:val="0097475A"/>
    <w:rsid w:val="00974EEA"/>
    <w:rsid w:val="00975A26"/>
    <w:rsid w:val="00975C76"/>
    <w:rsid w:val="0097621C"/>
    <w:rsid w:val="0097684C"/>
    <w:rsid w:val="0097707E"/>
    <w:rsid w:val="00980090"/>
    <w:rsid w:val="00980B3D"/>
    <w:rsid w:val="00981345"/>
    <w:rsid w:val="009818EC"/>
    <w:rsid w:val="00981C09"/>
    <w:rsid w:val="00981D26"/>
    <w:rsid w:val="009827B9"/>
    <w:rsid w:val="00983D5A"/>
    <w:rsid w:val="00984409"/>
    <w:rsid w:val="00984CDE"/>
    <w:rsid w:val="00984E67"/>
    <w:rsid w:val="009858CE"/>
    <w:rsid w:val="00985B60"/>
    <w:rsid w:val="00985E5C"/>
    <w:rsid w:val="00985F46"/>
    <w:rsid w:val="009865CA"/>
    <w:rsid w:val="0098675F"/>
    <w:rsid w:val="0098676F"/>
    <w:rsid w:val="009869B5"/>
    <w:rsid w:val="009875DA"/>
    <w:rsid w:val="00987A6D"/>
    <w:rsid w:val="00987A70"/>
    <w:rsid w:val="00987D5F"/>
    <w:rsid w:val="00990080"/>
    <w:rsid w:val="00990150"/>
    <w:rsid w:val="009903BF"/>
    <w:rsid w:val="00990A82"/>
    <w:rsid w:val="00991915"/>
    <w:rsid w:val="00991DB2"/>
    <w:rsid w:val="00991E5F"/>
    <w:rsid w:val="00992B7C"/>
    <w:rsid w:val="00992D14"/>
    <w:rsid w:val="00993164"/>
    <w:rsid w:val="00993933"/>
    <w:rsid w:val="00993C0F"/>
    <w:rsid w:val="009945DC"/>
    <w:rsid w:val="00994826"/>
    <w:rsid w:val="009948E8"/>
    <w:rsid w:val="00994F0C"/>
    <w:rsid w:val="00996856"/>
    <w:rsid w:val="00997123"/>
    <w:rsid w:val="009971B6"/>
    <w:rsid w:val="009A067D"/>
    <w:rsid w:val="009A21B6"/>
    <w:rsid w:val="009A2383"/>
    <w:rsid w:val="009A2CAA"/>
    <w:rsid w:val="009A2F86"/>
    <w:rsid w:val="009A31CF"/>
    <w:rsid w:val="009A3414"/>
    <w:rsid w:val="009A3ACA"/>
    <w:rsid w:val="009A402A"/>
    <w:rsid w:val="009A4164"/>
    <w:rsid w:val="009A45C0"/>
    <w:rsid w:val="009A4697"/>
    <w:rsid w:val="009A510F"/>
    <w:rsid w:val="009A59D4"/>
    <w:rsid w:val="009A5A92"/>
    <w:rsid w:val="009A5F0E"/>
    <w:rsid w:val="009A5F98"/>
    <w:rsid w:val="009A603B"/>
    <w:rsid w:val="009A6547"/>
    <w:rsid w:val="009A7921"/>
    <w:rsid w:val="009B0078"/>
    <w:rsid w:val="009B0099"/>
    <w:rsid w:val="009B14B9"/>
    <w:rsid w:val="009B1823"/>
    <w:rsid w:val="009B1DA9"/>
    <w:rsid w:val="009B1EBD"/>
    <w:rsid w:val="009B1FFE"/>
    <w:rsid w:val="009B2095"/>
    <w:rsid w:val="009B26C3"/>
    <w:rsid w:val="009B2C3F"/>
    <w:rsid w:val="009B2FED"/>
    <w:rsid w:val="009B3515"/>
    <w:rsid w:val="009B370E"/>
    <w:rsid w:val="009B3A38"/>
    <w:rsid w:val="009B3AEF"/>
    <w:rsid w:val="009B41C9"/>
    <w:rsid w:val="009B436D"/>
    <w:rsid w:val="009B44EC"/>
    <w:rsid w:val="009B4B05"/>
    <w:rsid w:val="009B4C0C"/>
    <w:rsid w:val="009B5A35"/>
    <w:rsid w:val="009B660B"/>
    <w:rsid w:val="009B6B27"/>
    <w:rsid w:val="009B6D5C"/>
    <w:rsid w:val="009B71D4"/>
    <w:rsid w:val="009B744C"/>
    <w:rsid w:val="009C000D"/>
    <w:rsid w:val="009C01C3"/>
    <w:rsid w:val="009C04CA"/>
    <w:rsid w:val="009C1210"/>
    <w:rsid w:val="009C1791"/>
    <w:rsid w:val="009C19FF"/>
    <w:rsid w:val="009C2288"/>
    <w:rsid w:val="009C2AB8"/>
    <w:rsid w:val="009C2C37"/>
    <w:rsid w:val="009C2D60"/>
    <w:rsid w:val="009C3217"/>
    <w:rsid w:val="009C393A"/>
    <w:rsid w:val="009C3C00"/>
    <w:rsid w:val="009C45F9"/>
    <w:rsid w:val="009C491E"/>
    <w:rsid w:val="009C4967"/>
    <w:rsid w:val="009C4EB6"/>
    <w:rsid w:val="009C50BF"/>
    <w:rsid w:val="009C54D5"/>
    <w:rsid w:val="009C57EE"/>
    <w:rsid w:val="009C587B"/>
    <w:rsid w:val="009C5A28"/>
    <w:rsid w:val="009C5AA6"/>
    <w:rsid w:val="009C5EBE"/>
    <w:rsid w:val="009C61E6"/>
    <w:rsid w:val="009C638D"/>
    <w:rsid w:val="009C63AF"/>
    <w:rsid w:val="009C6954"/>
    <w:rsid w:val="009C6CE4"/>
    <w:rsid w:val="009C762F"/>
    <w:rsid w:val="009D1261"/>
    <w:rsid w:val="009D18F2"/>
    <w:rsid w:val="009D1E19"/>
    <w:rsid w:val="009D20FA"/>
    <w:rsid w:val="009D25F3"/>
    <w:rsid w:val="009D3458"/>
    <w:rsid w:val="009D36C0"/>
    <w:rsid w:val="009D3937"/>
    <w:rsid w:val="009D3E42"/>
    <w:rsid w:val="009D3E94"/>
    <w:rsid w:val="009D3F2B"/>
    <w:rsid w:val="009D415D"/>
    <w:rsid w:val="009D459A"/>
    <w:rsid w:val="009D4B32"/>
    <w:rsid w:val="009D59FF"/>
    <w:rsid w:val="009D5B40"/>
    <w:rsid w:val="009D626B"/>
    <w:rsid w:val="009D64E6"/>
    <w:rsid w:val="009D6812"/>
    <w:rsid w:val="009D6E00"/>
    <w:rsid w:val="009D6FE6"/>
    <w:rsid w:val="009D77E3"/>
    <w:rsid w:val="009D790E"/>
    <w:rsid w:val="009D7C97"/>
    <w:rsid w:val="009E0558"/>
    <w:rsid w:val="009E0952"/>
    <w:rsid w:val="009E0B3A"/>
    <w:rsid w:val="009E0E3F"/>
    <w:rsid w:val="009E0FCC"/>
    <w:rsid w:val="009E1795"/>
    <w:rsid w:val="009E204C"/>
    <w:rsid w:val="009E2224"/>
    <w:rsid w:val="009E3AD1"/>
    <w:rsid w:val="009E3F9F"/>
    <w:rsid w:val="009E40BF"/>
    <w:rsid w:val="009E4230"/>
    <w:rsid w:val="009E44DE"/>
    <w:rsid w:val="009E4834"/>
    <w:rsid w:val="009E4BFD"/>
    <w:rsid w:val="009E5B75"/>
    <w:rsid w:val="009E5D1D"/>
    <w:rsid w:val="009E5D38"/>
    <w:rsid w:val="009E60A3"/>
    <w:rsid w:val="009E64A2"/>
    <w:rsid w:val="009E67A6"/>
    <w:rsid w:val="009E6CBB"/>
    <w:rsid w:val="009E7419"/>
    <w:rsid w:val="009E7CC6"/>
    <w:rsid w:val="009F001C"/>
    <w:rsid w:val="009F0646"/>
    <w:rsid w:val="009F07CB"/>
    <w:rsid w:val="009F0CA0"/>
    <w:rsid w:val="009F104C"/>
    <w:rsid w:val="009F146F"/>
    <w:rsid w:val="009F2150"/>
    <w:rsid w:val="009F240C"/>
    <w:rsid w:val="009F2CA4"/>
    <w:rsid w:val="009F2D9A"/>
    <w:rsid w:val="009F30D4"/>
    <w:rsid w:val="009F35F6"/>
    <w:rsid w:val="009F36AB"/>
    <w:rsid w:val="009F36E3"/>
    <w:rsid w:val="009F3DF1"/>
    <w:rsid w:val="009F4028"/>
    <w:rsid w:val="009F47A9"/>
    <w:rsid w:val="009F4C49"/>
    <w:rsid w:val="009F4D23"/>
    <w:rsid w:val="009F4D42"/>
    <w:rsid w:val="009F5049"/>
    <w:rsid w:val="009F5F0F"/>
    <w:rsid w:val="009F685B"/>
    <w:rsid w:val="009F6996"/>
    <w:rsid w:val="009F738E"/>
    <w:rsid w:val="009F77CF"/>
    <w:rsid w:val="00A00070"/>
    <w:rsid w:val="00A00ABD"/>
    <w:rsid w:val="00A00C5E"/>
    <w:rsid w:val="00A00D76"/>
    <w:rsid w:val="00A013E5"/>
    <w:rsid w:val="00A0181E"/>
    <w:rsid w:val="00A01D06"/>
    <w:rsid w:val="00A02725"/>
    <w:rsid w:val="00A02939"/>
    <w:rsid w:val="00A0333E"/>
    <w:rsid w:val="00A0346F"/>
    <w:rsid w:val="00A03A10"/>
    <w:rsid w:val="00A042FB"/>
    <w:rsid w:val="00A04743"/>
    <w:rsid w:val="00A04911"/>
    <w:rsid w:val="00A04E00"/>
    <w:rsid w:val="00A050E8"/>
    <w:rsid w:val="00A06208"/>
    <w:rsid w:val="00A063B5"/>
    <w:rsid w:val="00A0660D"/>
    <w:rsid w:val="00A07146"/>
    <w:rsid w:val="00A071A2"/>
    <w:rsid w:val="00A07DD6"/>
    <w:rsid w:val="00A10213"/>
    <w:rsid w:val="00A103B1"/>
    <w:rsid w:val="00A1086C"/>
    <w:rsid w:val="00A11665"/>
    <w:rsid w:val="00A1179E"/>
    <w:rsid w:val="00A1197A"/>
    <w:rsid w:val="00A11FB4"/>
    <w:rsid w:val="00A124F7"/>
    <w:rsid w:val="00A12BC3"/>
    <w:rsid w:val="00A132FF"/>
    <w:rsid w:val="00A13394"/>
    <w:rsid w:val="00A135FC"/>
    <w:rsid w:val="00A14041"/>
    <w:rsid w:val="00A147A4"/>
    <w:rsid w:val="00A14DB7"/>
    <w:rsid w:val="00A14E7A"/>
    <w:rsid w:val="00A150CC"/>
    <w:rsid w:val="00A15131"/>
    <w:rsid w:val="00A15430"/>
    <w:rsid w:val="00A155AE"/>
    <w:rsid w:val="00A159E3"/>
    <w:rsid w:val="00A15D5A"/>
    <w:rsid w:val="00A15EFE"/>
    <w:rsid w:val="00A1614A"/>
    <w:rsid w:val="00A16991"/>
    <w:rsid w:val="00A16C8A"/>
    <w:rsid w:val="00A1700D"/>
    <w:rsid w:val="00A173B2"/>
    <w:rsid w:val="00A17567"/>
    <w:rsid w:val="00A179A0"/>
    <w:rsid w:val="00A17B64"/>
    <w:rsid w:val="00A17D84"/>
    <w:rsid w:val="00A20838"/>
    <w:rsid w:val="00A21158"/>
    <w:rsid w:val="00A2129C"/>
    <w:rsid w:val="00A21BAE"/>
    <w:rsid w:val="00A22176"/>
    <w:rsid w:val="00A222FB"/>
    <w:rsid w:val="00A2312C"/>
    <w:rsid w:val="00A23486"/>
    <w:rsid w:val="00A23792"/>
    <w:rsid w:val="00A238C9"/>
    <w:rsid w:val="00A23C60"/>
    <w:rsid w:val="00A23CA4"/>
    <w:rsid w:val="00A23CFD"/>
    <w:rsid w:val="00A24AA7"/>
    <w:rsid w:val="00A24E9C"/>
    <w:rsid w:val="00A24F65"/>
    <w:rsid w:val="00A24FD7"/>
    <w:rsid w:val="00A25540"/>
    <w:rsid w:val="00A261DB"/>
    <w:rsid w:val="00A26617"/>
    <w:rsid w:val="00A26A4D"/>
    <w:rsid w:val="00A277E0"/>
    <w:rsid w:val="00A27C08"/>
    <w:rsid w:val="00A27DCB"/>
    <w:rsid w:val="00A3037B"/>
    <w:rsid w:val="00A3086B"/>
    <w:rsid w:val="00A30A9D"/>
    <w:rsid w:val="00A30C46"/>
    <w:rsid w:val="00A30F15"/>
    <w:rsid w:val="00A31610"/>
    <w:rsid w:val="00A32073"/>
    <w:rsid w:val="00A327EB"/>
    <w:rsid w:val="00A32913"/>
    <w:rsid w:val="00A32DFE"/>
    <w:rsid w:val="00A3303B"/>
    <w:rsid w:val="00A338A6"/>
    <w:rsid w:val="00A34614"/>
    <w:rsid w:val="00A3551B"/>
    <w:rsid w:val="00A35579"/>
    <w:rsid w:val="00A360C8"/>
    <w:rsid w:val="00A3694D"/>
    <w:rsid w:val="00A36F18"/>
    <w:rsid w:val="00A37A9B"/>
    <w:rsid w:val="00A40022"/>
    <w:rsid w:val="00A4099A"/>
    <w:rsid w:val="00A4183A"/>
    <w:rsid w:val="00A419ED"/>
    <w:rsid w:val="00A41B2B"/>
    <w:rsid w:val="00A41D0F"/>
    <w:rsid w:val="00A41F78"/>
    <w:rsid w:val="00A42210"/>
    <w:rsid w:val="00A42239"/>
    <w:rsid w:val="00A424E7"/>
    <w:rsid w:val="00A42550"/>
    <w:rsid w:val="00A43243"/>
    <w:rsid w:val="00A436EE"/>
    <w:rsid w:val="00A43753"/>
    <w:rsid w:val="00A43F9E"/>
    <w:rsid w:val="00A443EB"/>
    <w:rsid w:val="00A44E7D"/>
    <w:rsid w:val="00A44FAE"/>
    <w:rsid w:val="00A4510F"/>
    <w:rsid w:val="00A453D5"/>
    <w:rsid w:val="00A45986"/>
    <w:rsid w:val="00A465D3"/>
    <w:rsid w:val="00A46D58"/>
    <w:rsid w:val="00A47388"/>
    <w:rsid w:val="00A47DB6"/>
    <w:rsid w:val="00A500B2"/>
    <w:rsid w:val="00A516C7"/>
    <w:rsid w:val="00A52DAB"/>
    <w:rsid w:val="00A52EFD"/>
    <w:rsid w:val="00A539DF"/>
    <w:rsid w:val="00A53B57"/>
    <w:rsid w:val="00A54868"/>
    <w:rsid w:val="00A548BB"/>
    <w:rsid w:val="00A54A7B"/>
    <w:rsid w:val="00A56B18"/>
    <w:rsid w:val="00A56FFD"/>
    <w:rsid w:val="00A5711D"/>
    <w:rsid w:val="00A57B60"/>
    <w:rsid w:val="00A57FAE"/>
    <w:rsid w:val="00A6049C"/>
    <w:rsid w:val="00A60584"/>
    <w:rsid w:val="00A605F8"/>
    <w:rsid w:val="00A60B61"/>
    <w:rsid w:val="00A61839"/>
    <w:rsid w:val="00A625FE"/>
    <w:rsid w:val="00A62863"/>
    <w:rsid w:val="00A62CF2"/>
    <w:rsid w:val="00A638DA"/>
    <w:rsid w:val="00A64E9C"/>
    <w:rsid w:val="00A653A4"/>
    <w:rsid w:val="00A65C17"/>
    <w:rsid w:val="00A66364"/>
    <w:rsid w:val="00A66CBF"/>
    <w:rsid w:val="00A66EC9"/>
    <w:rsid w:val="00A672D2"/>
    <w:rsid w:val="00A67A8E"/>
    <w:rsid w:val="00A70B4F"/>
    <w:rsid w:val="00A71284"/>
    <w:rsid w:val="00A71558"/>
    <w:rsid w:val="00A71D59"/>
    <w:rsid w:val="00A723BB"/>
    <w:rsid w:val="00A72A78"/>
    <w:rsid w:val="00A72E62"/>
    <w:rsid w:val="00A72E80"/>
    <w:rsid w:val="00A73532"/>
    <w:rsid w:val="00A73C9D"/>
    <w:rsid w:val="00A74187"/>
    <w:rsid w:val="00A743BA"/>
    <w:rsid w:val="00A74C4B"/>
    <w:rsid w:val="00A7586E"/>
    <w:rsid w:val="00A758FE"/>
    <w:rsid w:val="00A75C73"/>
    <w:rsid w:val="00A7620C"/>
    <w:rsid w:val="00A764E1"/>
    <w:rsid w:val="00A764E6"/>
    <w:rsid w:val="00A76729"/>
    <w:rsid w:val="00A76B7C"/>
    <w:rsid w:val="00A77907"/>
    <w:rsid w:val="00A77AE5"/>
    <w:rsid w:val="00A77C9D"/>
    <w:rsid w:val="00A80A70"/>
    <w:rsid w:val="00A80B3B"/>
    <w:rsid w:val="00A814EA"/>
    <w:rsid w:val="00A81637"/>
    <w:rsid w:val="00A816D0"/>
    <w:rsid w:val="00A81FC7"/>
    <w:rsid w:val="00A825D3"/>
    <w:rsid w:val="00A8278D"/>
    <w:rsid w:val="00A82A51"/>
    <w:rsid w:val="00A82FE4"/>
    <w:rsid w:val="00A82FF1"/>
    <w:rsid w:val="00A83040"/>
    <w:rsid w:val="00A83656"/>
    <w:rsid w:val="00A841C5"/>
    <w:rsid w:val="00A845EB"/>
    <w:rsid w:val="00A8473B"/>
    <w:rsid w:val="00A84DDA"/>
    <w:rsid w:val="00A85787"/>
    <w:rsid w:val="00A85CC9"/>
    <w:rsid w:val="00A86091"/>
    <w:rsid w:val="00A8651A"/>
    <w:rsid w:val="00A86790"/>
    <w:rsid w:val="00A86C73"/>
    <w:rsid w:val="00A86F3A"/>
    <w:rsid w:val="00A87570"/>
    <w:rsid w:val="00A875EC"/>
    <w:rsid w:val="00A90150"/>
    <w:rsid w:val="00A9018E"/>
    <w:rsid w:val="00A90436"/>
    <w:rsid w:val="00A90B54"/>
    <w:rsid w:val="00A918B2"/>
    <w:rsid w:val="00A91A9D"/>
    <w:rsid w:val="00A91BBF"/>
    <w:rsid w:val="00A91C37"/>
    <w:rsid w:val="00A92623"/>
    <w:rsid w:val="00A9320C"/>
    <w:rsid w:val="00A94DB9"/>
    <w:rsid w:val="00A94F0D"/>
    <w:rsid w:val="00A9501C"/>
    <w:rsid w:val="00A956E7"/>
    <w:rsid w:val="00A96C74"/>
    <w:rsid w:val="00A96C9E"/>
    <w:rsid w:val="00A9761C"/>
    <w:rsid w:val="00A976BC"/>
    <w:rsid w:val="00A97B14"/>
    <w:rsid w:val="00AA006E"/>
    <w:rsid w:val="00AA058F"/>
    <w:rsid w:val="00AA137B"/>
    <w:rsid w:val="00AA185D"/>
    <w:rsid w:val="00AA1B14"/>
    <w:rsid w:val="00AA1B6A"/>
    <w:rsid w:val="00AA2300"/>
    <w:rsid w:val="00AA24CE"/>
    <w:rsid w:val="00AA2E4B"/>
    <w:rsid w:val="00AA2F45"/>
    <w:rsid w:val="00AA31CC"/>
    <w:rsid w:val="00AA32B1"/>
    <w:rsid w:val="00AA3A6E"/>
    <w:rsid w:val="00AA3F55"/>
    <w:rsid w:val="00AA4934"/>
    <w:rsid w:val="00AA4F00"/>
    <w:rsid w:val="00AA5FFB"/>
    <w:rsid w:val="00AA68E5"/>
    <w:rsid w:val="00AA6967"/>
    <w:rsid w:val="00AA7099"/>
    <w:rsid w:val="00AA7BA5"/>
    <w:rsid w:val="00AA7FB7"/>
    <w:rsid w:val="00AB0259"/>
    <w:rsid w:val="00AB03B7"/>
    <w:rsid w:val="00AB0611"/>
    <w:rsid w:val="00AB06AE"/>
    <w:rsid w:val="00AB06B3"/>
    <w:rsid w:val="00AB076A"/>
    <w:rsid w:val="00AB0D4A"/>
    <w:rsid w:val="00AB110E"/>
    <w:rsid w:val="00AB1184"/>
    <w:rsid w:val="00AB1455"/>
    <w:rsid w:val="00AB1710"/>
    <w:rsid w:val="00AB1ED2"/>
    <w:rsid w:val="00AB2C6A"/>
    <w:rsid w:val="00AB2E47"/>
    <w:rsid w:val="00AB40C6"/>
    <w:rsid w:val="00AB45B9"/>
    <w:rsid w:val="00AB4876"/>
    <w:rsid w:val="00AB4A52"/>
    <w:rsid w:val="00AB4D97"/>
    <w:rsid w:val="00AB51BA"/>
    <w:rsid w:val="00AB5765"/>
    <w:rsid w:val="00AB5ADB"/>
    <w:rsid w:val="00AB5BBB"/>
    <w:rsid w:val="00AB5CF2"/>
    <w:rsid w:val="00AB6033"/>
    <w:rsid w:val="00AB6ABB"/>
    <w:rsid w:val="00AB73F0"/>
    <w:rsid w:val="00AB74C7"/>
    <w:rsid w:val="00AB7B22"/>
    <w:rsid w:val="00AC0331"/>
    <w:rsid w:val="00AC0960"/>
    <w:rsid w:val="00AC0D08"/>
    <w:rsid w:val="00AC10C5"/>
    <w:rsid w:val="00AC1AD7"/>
    <w:rsid w:val="00AC21D0"/>
    <w:rsid w:val="00AC2353"/>
    <w:rsid w:val="00AC272E"/>
    <w:rsid w:val="00AC30C9"/>
    <w:rsid w:val="00AC378B"/>
    <w:rsid w:val="00AC3B6E"/>
    <w:rsid w:val="00AC3DB2"/>
    <w:rsid w:val="00AC4082"/>
    <w:rsid w:val="00AC4813"/>
    <w:rsid w:val="00AC577B"/>
    <w:rsid w:val="00AC5BB7"/>
    <w:rsid w:val="00AC5DEA"/>
    <w:rsid w:val="00AC5FD0"/>
    <w:rsid w:val="00AC61FE"/>
    <w:rsid w:val="00AC63AE"/>
    <w:rsid w:val="00AC64BC"/>
    <w:rsid w:val="00AC6F48"/>
    <w:rsid w:val="00AC7E00"/>
    <w:rsid w:val="00AC7E69"/>
    <w:rsid w:val="00AC7ED2"/>
    <w:rsid w:val="00AD039C"/>
    <w:rsid w:val="00AD05C4"/>
    <w:rsid w:val="00AD07BE"/>
    <w:rsid w:val="00AD0AC2"/>
    <w:rsid w:val="00AD1368"/>
    <w:rsid w:val="00AD1C7C"/>
    <w:rsid w:val="00AD22B8"/>
    <w:rsid w:val="00AD2E6A"/>
    <w:rsid w:val="00AD345E"/>
    <w:rsid w:val="00AD4B57"/>
    <w:rsid w:val="00AD4FBB"/>
    <w:rsid w:val="00AD55E9"/>
    <w:rsid w:val="00AD588E"/>
    <w:rsid w:val="00AD5CC9"/>
    <w:rsid w:val="00AD5E2D"/>
    <w:rsid w:val="00AD6AB3"/>
    <w:rsid w:val="00AD751B"/>
    <w:rsid w:val="00AD75F1"/>
    <w:rsid w:val="00AE1375"/>
    <w:rsid w:val="00AE1C48"/>
    <w:rsid w:val="00AE2013"/>
    <w:rsid w:val="00AE2164"/>
    <w:rsid w:val="00AE22F2"/>
    <w:rsid w:val="00AE22FA"/>
    <w:rsid w:val="00AE2420"/>
    <w:rsid w:val="00AE247A"/>
    <w:rsid w:val="00AE2C4E"/>
    <w:rsid w:val="00AE3210"/>
    <w:rsid w:val="00AE354E"/>
    <w:rsid w:val="00AE42F4"/>
    <w:rsid w:val="00AE43C9"/>
    <w:rsid w:val="00AE44B7"/>
    <w:rsid w:val="00AE4956"/>
    <w:rsid w:val="00AE4AB0"/>
    <w:rsid w:val="00AE4B5D"/>
    <w:rsid w:val="00AE4CCD"/>
    <w:rsid w:val="00AE504F"/>
    <w:rsid w:val="00AE5159"/>
    <w:rsid w:val="00AE5CD7"/>
    <w:rsid w:val="00AE5F5A"/>
    <w:rsid w:val="00AE7244"/>
    <w:rsid w:val="00AE7286"/>
    <w:rsid w:val="00AF031E"/>
    <w:rsid w:val="00AF0460"/>
    <w:rsid w:val="00AF04AA"/>
    <w:rsid w:val="00AF04F5"/>
    <w:rsid w:val="00AF09DC"/>
    <w:rsid w:val="00AF0A70"/>
    <w:rsid w:val="00AF0ABE"/>
    <w:rsid w:val="00AF1C6E"/>
    <w:rsid w:val="00AF2875"/>
    <w:rsid w:val="00AF2E6B"/>
    <w:rsid w:val="00AF305F"/>
    <w:rsid w:val="00AF3612"/>
    <w:rsid w:val="00AF3C66"/>
    <w:rsid w:val="00AF41DF"/>
    <w:rsid w:val="00AF523A"/>
    <w:rsid w:val="00AF544E"/>
    <w:rsid w:val="00AF553C"/>
    <w:rsid w:val="00AF604C"/>
    <w:rsid w:val="00AF6446"/>
    <w:rsid w:val="00AF64E8"/>
    <w:rsid w:val="00AF6ACF"/>
    <w:rsid w:val="00AF744D"/>
    <w:rsid w:val="00AF79ED"/>
    <w:rsid w:val="00AF7C64"/>
    <w:rsid w:val="00AF7F1D"/>
    <w:rsid w:val="00B0062A"/>
    <w:rsid w:val="00B00804"/>
    <w:rsid w:val="00B00B96"/>
    <w:rsid w:val="00B01329"/>
    <w:rsid w:val="00B015CB"/>
    <w:rsid w:val="00B01D9B"/>
    <w:rsid w:val="00B0229D"/>
    <w:rsid w:val="00B02767"/>
    <w:rsid w:val="00B02C2C"/>
    <w:rsid w:val="00B02E57"/>
    <w:rsid w:val="00B03218"/>
    <w:rsid w:val="00B033F4"/>
    <w:rsid w:val="00B038EC"/>
    <w:rsid w:val="00B0403A"/>
    <w:rsid w:val="00B045A5"/>
    <w:rsid w:val="00B04758"/>
    <w:rsid w:val="00B04857"/>
    <w:rsid w:val="00B05953"/>
    <w:rsid w:val="00B05F88"/>
    <w:rsid w:val="00B0639E"/>
    <w:rsid w:val="00B0640F"/>
    <w:rsid w:val="00B06E04"/>
    <w:rsid w:val="00B0702C"/>
    <w:rsid w:val="00B0725E"/>
    <w:rsid w:val="00B07675"/>
    <w:rsid w:val="00B07C25"/>
    <w:rsid w:val="00B10212"/>
    <w:rsid w:val="00B10700"/>
    <w:rsid w:val="00B10D23"/>
    <w:rsid w:val="00B111D8"/>
    <w:rsid w:val="00B11464"/>
    <w:rsid w:val="00B117D5"/>
    <w:rsid w:val="00B117DF"/>
    <w:rsid w:val="00B11E25"/>
    <w:rsid w:val="00B12039"/>
    <w:rsid w:val="00B136C6"/>
    <w:rsid w:val="00B137CB"/>
    <w:rsid w:val="00B138E7"/>
    <w:rsid w:val="00B13F5E"/>
    <w:rsid w:val="00B1407A"/>
    <w:rsid w:val="00B14268"/>
    <w:rsid w:val="00B143A9"/>
    <w:rsid w:val="00B14770"/>
    <w:rsid w:val="00B14E73"/>
    <w:rsid w:val="00B15296"/>
    <w:rsid w:val="00B15675"/>
    <w:rsid w:val="00B159B6"/>
    <w:rsid w:val="00B15D7A"/>
    <w:rsid w:val="00B160CA"/>
    <w:rsid w:val="00B16348"/>
    <w:rsid w:val="00B16F08"/>
    <w:rsid w:val="00B17175"/>
    <w:rsid w:val="00B17310"/>
    <w:rsid w:val="00B17F1F"/>
    <w:rsid w:val="00B2007C"/>
    <w:rsid w:val="00B2018E"/>
    <w:rsid w:val="00B2029F"/>
    <w:rsid w:val="00B20E68"/>
    <w:rsid w:val="00B212BB"/>
    <w:rsid w:val="00B21482"/>
    <w:rsid w:val="00B21ABE"/>
    <w:rsid w:val="00B226B3"/>
    <w:rsid w:val="00B22A78"/>
    <w:rsid w:val="00B22FFB"/>
    <w:rsid w:val="00B23538"/>
    <w:rsid w:val="00B235D2"/>
    <w:rsid w:val="00B23EBA"/>
    <w:rsid w:val="00B2415D"/>
    <w:rsid w:val="00B24DCC"/>
    <w:rsid w:val="00B2512B"/>
    <w:rsid w:val="00B25842"/>
    <w:rsid w:val="00B259D6"/>
    <w:rsid w:val="00B25FC9"/>
    <w:rsid w:val="00B26259"/>
    <w:rsid w:val="00B264EF"/>
    <w:rsid w:val="00B266E6"/>
    <w:rsid w:val="00B26919"/>
    <w:rsid w:val="00B26A04"/>
    <w:rsid w:val="00B26A95"/>
    <w:rsid w:val="00B27D9A"/>
    <w:rsid w:val="00B305A3"/>
    <w:rsid w:val="00B30813"/>
    <w:rsid w:val="00B3128C"/>
    <w:rsid w:val="00B31408"/>
    <w:rsid w:val="00B31566"/>
    <w:rsid w:val="00B31861"/>
    <w:rsid w:val="00B3191D"/>
    <w:rsid w:val="00B31974"/>
    <w:rsid w:val="00B3199D"/>
    <w:rsid w:val="00B31FF8"/>
    <w:rsid w:val="00B321C7"/>
    <w:rsid w:val="00B32240"/>
    <w:rsid w:val="00B32B88"/>
    <w:rsid w:val="00B3321A"/>
    <w:rsid w:val="00B334F2"/>
    <w:rsid w:val="00B3370C"/>
    <w:rsid w:val="00B33765"/>
    <w:rsid w:val="00B33AD4"/>
    <w:rsid w:val="00B33C1D"/>
    <w:rsid w:val="00B340E9"/>
    <w:rsid w:val="00B3472D"/>
    <w:rsid w:val="00B34828"/>
    <w:rsid w:val="00B34A55"/>
    <w:rsid w:val="00B34C28"/>
    <w:rsid w:val="00B34CAF"/>
    <w:rsid w:val="00B34F49"/>
    <w:rsid w:val="00B357D6"/>
    <w:rsid w:val="00B35D34"/>
    <w:rsid w:val="00B3651F"/>
    <w:rsid w:val="00B369F0"/>
    <w:rsid w:val="00B36CCC"/>
    <w:rsid w:val="00B36F38"/>
    <w:rsid w:val="00B37047"/>
    <w:rsid w:val="00B37660"/>
    <w:rsid w:val="00B3773A"/>
    <w:rsid w:val="00B3781E"/>
    <w:rsid w:val="00B37B86"/>
    <w:rsid w:val="00B41DA9"/>
    <w:rsid w:val="00B420C9"/>
    <w:rsid w:val="00B424B1"/>
    <w:rsid w:val="00B42653"/>
    <w:rsid w:val="00B427BF"/>
    <w:rsid w:val="00B43A8C"/>
    <w:rsid w:val="00B44043"/>
    <w:rsid w:val="00B44051"/>
    <w:rsid w:val="00B4435D"/>
    <w:rsid w:val="00B4442D"/>
    <w:rsid w:val="00B44851"/>
    <w:rsid w:val="00B44963"/>
    <w:rsid w:val="00B4506E"/>
    <w:rsid w:val="00B456E9"/>
    <w:rsid w:val="00B45904"/>
    <w:rsid w:val="00B468C8"/>
    <w:rsid w:val="00B46B26"/>
    <w:rsid w:val="00B473E7"/>
    <w:rsid w:val="00B47775"/>
    <w:rsid w:val="00B4781A"/>
    <w:rsid w:val="00B47955"/>
    <w:rsid w:val="00B500BF"/>
    <w:rsid w:val="00B5014F"/>
    <w:rsid w:val="00B507C4"/>
    <w:rsid w:val="00B50EB3"/>
    <w:rsid w:val="00B51006"/>
    <w:rsid w:val="00B51347"/>
    <w:rsid w:val="00B51ACF"/>
    <w:rsid w:val="00B51DD6"/>
    <w:rsid w:val="00B5241D"/>
    <w:rsid w:val="00B52796"/>
    <w:rsid w:val="00B52857"/>
    <w:rsid w:val="00B52FAB"/>
    <w:rsid w:val="00B5335F"/>
    <w:rsid w:val="00B53FD8"/>
    <w:rsid w:val="00B54507"/>
    <w:rsid w:val="00B54631"/>
    <w:rsid w:val="00B54769"/>
    <w:rsid w:val="00B54C8B"/>
    <w:rsid w:val="00B555FF"/>
    <w:rsid w:val="00B55B6D"/>
    <w:rsid w:val="00B55C6D"/>
    <w:rsid w:val="00B561D2"/>
    <w:rsid w:val="00B56584"/>
    <w:rsid w:val="00B567C1"/>
    <w:rsid w:val="00B5687D"/>
    <w:rsid w:val="00B56A62"/>
    <w:rsid w:val="00B57E6E"/>
    <w:rsid w:val="00B604F2"/>
    <w:rsid w:val="00B6064D"/>
    <w:rsid w:val="00B60A33"/>
    <w:rsid w:val="00B60F79"/>
    <w:rsid w:val="00B614F5"/>
    <w:rsid w:val="00B615B1"/>
    <w:rsid w:val="00B61A22"/>
    <w:rsid w:val="00B61B29"/>
    <w:rsid w:val="00B621CE"/>
    <w:rsid w:val="00B633B0"/>
    <w:rsid w:val="00B6376D"/>
    <w:rsid w:val="00B63D26"/>
    <w:rsid w:val="00B63F71"/>
    <w:rsid w:val="00B63FFA"/>
    <w:rsid w:val="00B6420F"/>
    <w:rsid w:val="00B64371"/>
    <w:rsid w:val="00B6438D"/>
    <w:rsid w:val="00B6480E"/>
    <w:rsid w:val="00B6485E"/>
    <w:rsid w:val="00B64E3A"/>
    <w:rsid w:val="00B6509E"/>
    <w:rsid w:val="00B650C1"/>
    <w:rsid w:val="00B65251"/>
    <w:rsid w:val="00B657F7"/>
    <w:rsid w:val="00B65E23"/>
    <w:rsid w:val="00B66188"/>
    <w:rsid w:val="00B662C9"/>
    <w:rsid w:val="00B662FF"/>
    <w:rsid w:val="00B66B02"/>
    <w:rsid w:val="00B67094"/>
    <w:rsid w:val="00B6749C"/>
    <w:rsid w:val="00B7063F"/>
    <w:rsid w:val="00B70C8A"/>
    <w:rsid w:val="00B7160C"/>
    <w:rsid w:val="00B71849"/>
    <w:rsid w:val="00B71AA6"/>
    <w:rsid w:val="00B71F74"/>
    <w:rsid w:val="00B72952"/>
    <w:rsid w:val="00B72CCC"/>
    <w:rsid w:val="00B7357B"/>
    <w:rsid w:val="00B73999"/>
    <w:rsid w:val="00B74519"/>
    <w:rsid w:val="00B74938"/>
    <w:rsid w:val="00B74A43"/>
    <w:rsid w:val="00B74B63"/>
    <w:rsid w:val="00B750A4"/>
    <w:rsid w:val="00B75117"/>
    <w:rsid w:val="00B751BC"/>
    <w:rsid w:val="00B752C7"/>
    <w:rsid w:val="00B758AE"/>
    <w:rsid w:val="00B759CC"/>
    <w:rsid w:val="00B75B34"/>
    <w:rsid w:val="00B75BA1"/>
    <w:rsid w:val="00B75BAA"/>
    <w:rsid w:val="00B75C32"/>
    <w:rsid w:val="00B7717F"/>
    <w:rsid w:val="00B77727"/>
    <w:rsid w:val="00B777E7"/>
    <w:rsid w:val="00B77FE2"/>
    <w:rsid w:val="00B80007"/>
    <w:rsid w:val="00B800E1"/>
    <w:rsid w:val="00B80614"/>
    <w:rsid w:val="00B808C4"/>
    <w:rsid w:val="00B80952"/>
    <w:rsid w:val="00B80F90"/>
    <w:rsid w:val="00B817BE"/>
    <w:rsid w:val="00B81E3A"/>
    <w:rsid w:val="00B81E47"/>
    <w:rsid w:val="00B8217E"/>
    <w:rsid w:val="00B82429"/>
    <w:rsid w:val="00B824DD"/>
    <w:rsid w:val="00B8296B"/>
    <w:rsid w:val="00B82C20"/>
    <w:rsid w:val="00B83002"/>
    <w:rsid w:val="00B830BD"/>
    <w:rsid w:val="00B83301"/>
    <w:rsid w:val="00B83719"/>
    <w:rsid w:val="00B83A0C"/>
    <w:rsid w:val="00B846CC"/>
    <w:rsid w:val="00B85589"/>
    <w:rsid w:val="00B86396"/>
    <w:rsid w:val="00B86427"/>
    <w:rsid w:val="00B86934"/>
    <w:rsid w:val="00B86B13"/>
    <w:rsid w:val="00B87EB3"/>
    <w:rsid w:val="00B903BB"/>
    <w:rsid w:val="00B91258"/>
    <w:rsid w:val="00B913E5"/>
    <w:rsid w:val="00B91695"/>
    <w:rsid w:val="00B91FD3"/>
    <w:rsid w:val="00B931A4"/>
    <w:rsid w:val="00B9367B"/>
    <w:rsid w:val="00B9369B"/>
    <w:rsid w:val="00B937F8"/>
    <w:rsid w:val="00B93D00"/>
    <w:rsid w:val="00B93D60"/>
    <w:rsid w:val="00B93F40"/>
    <w:rsid w:val="00B94262"/>
    <w:rsid w:val="00B9465B"/>
    <w:rsid w:val="00B9474D"/>
    <w:rsid w:val="00B950D0"/>
    <w:rsid w:val="00B955F4"/>
    <w:rsid w:val="00B958B9"/>
    <w:rsid w:val="00B958C7"/>
    <w:rsid w:val="00B95AA2"/>
    <w:rsid w:val="00B95BDD"/>
    <w:rsid w:val="00B95F5F"/>
    <w:rsid w:val="00B960C0"/>
    <w:rsid w:val="00B961AA"/>
    <w:rsid w:val="00B966B7"/>
    <w:rsid w:val="00B9691D"/>
    <w:rsid w:val="00B970F2"/>
    <w:rsid w:val="00B9717F"/>
    <w:rsid w:val="00B97523"/>
    <w:rsid w:val="00B97A7A"/>
    <w:rsid w:val="00BA0046"/>
    <w:rsid w:val="00BA1332"/>
    <w:rsid w:val="00BA1402"/>
    <w:rsid w:val="00BA1B99"/>
    <w:rsid w:val="00BA1C99"/>
    <w:rsid w:val="00BA1CB1"/>
    <w:rsid w:val="00BA2A62"/>
    <w:rsid w:val="00BA2D18"/>
    <w:rsid w:val="00BA2D9B"/>
    <w:rsid w:val="00BA2F8A"/>
    <w:rsid w:val="00BA36D2"/>
    <w:rsid w:val="00BA3C52"/>
    <w:rsid w:val="00BA4156"/>
    <w:rsid w:val="00BA418E"/>
    <w:rsid w:val="00BA4216"/>
    <w:rsid w:val="00BA4D93"/>
    <w:rsid w:val="00BA4DA8"/>
    <w:rsid w:val="00BA540F"/>
    <w:rsid w:val="00BA547C"/>
    <w:rsid w:val="00BA55EB"/>
    <w:rsid w:val="00BA56FD"/>
    <w:rsid w:val="00BA5ADB"/>
    <w:rsid w:val="00BA640E"/>
    <w:rsid w:val="00BA6800"/>
    <w:rsid w:val="00BA68A8"/>
    <w:rsid w:val="00BA6BA3"/>
    <w:rsid w:val="00BA73FB"/>
    <w:rsid w:val="00BA7487"/>
    <w:rsid w:val="00BA7BB4"/>
    <w:rsid w:val="00BA7D5B"/>
    <w:rsid w:val="00BB01A3"/>
    <w:rsid w:val="00BB0249"/>
    <w:rsid w:val="00BB06D1"/>
    <w:rsid w:val="00BB0A09"/>
    <w:rsid w:val="00BB0D23"/>
    <w:rsid w:val="00BB0EE8"/>
    <w:rsid w:val="00BB113D"/>
    <w:rsid w:val="00BB1257"/>
    <w:rsid w:val="00BB1295"/>
    <w:rsid w:val="00BB1791"/>
    <w:rsid w:val="00BB1DFA"/>
    <w:rsid w:val="00BB291F"/>
    <w:rsid w:val="00BB2E2A"/>
    <w:rsid w:val="00BB3E4C"/>
    <w:rsid w:val="00BB3EF5"/>
    <w:rsid w:val="00BB4120"/>
    <w:rsid w:val="00BB41DD"/>
    <w:rsid w:val="00BB43D3"/>
    <w:rsid w:val="00BB4482"/>
    <w:rsid w:val="00BB46D7"/>
    <w:rsid w:val="00BB4968"/>
    <w:rsid w:val="00BB49D1"/>
    <w:rsid w:val="00BB49EA"/>
    <w:rsid w:val="00BB4BDE"/>
    <w:rsid w:val="00BB4D58"/>
    <w:rsid w:val="00BB4E1C"/>
    <w:rsid w:val="00BB4E20"/>
    <w:rsid w:val="00BB516C"/>
    <w:rsid w:val="00BB548D"/>
    <w:rsid w:val="00BB6084"/>
    <w:rsid w:val="00BB67A1"/>
    <w:rsid w:val="00BB75D3"/>
    <w:rsid w:val="00BB7816"/>
    <w:rsid w:val="00BB7D1E"/>
    <w:rsid w:val="00BB7F98"/>
    <w:rsid w:val="00BC0D3C"/>
    <w:rsid w:val="00BC0D59"/>
    <w:rsid w:val="00BC0DFC"/>
    <w:rsid w:val="00BC272F"/>
    <w:rsid w:val="00BC2B88"/>
    <w:rsid w:val="00BC2D71"/>
    <w:rsid w:val="00BC34F8"/>
    <w:rsid w:val="00BC3E58"/>
    <w:rsid w:val="00BC425E"/>
    <w:rsid w:val="00BC4B2E"/>
    <w:rsid w:val="00BC4EC1"/>
    <w:rsid w:val="00BC51A1"/>
    <w:rsid w:val="00BC51F7"/>
    <w:rsid w:val="00BC5258"/>
    <w:rsid w:val="00BC5360"/>
    <w:rsid w:val="00BC5A11"/>
    <w:rsid w:val="00BC6047"/>
    <w:rsid w:val="00BC61CA"/>
    <w:rsid w:val="00BC64AC"/>
    <w:rsid w:val="00BC675D"/>
    <w:rsid w:val="00BC6F55"/>
    <w:rsid w:val="00BC700B"/>
    <w:rsid w:val="00BC74BF"/>
    <w:rsid w:val="00BC7A5C"/>
    <w:rsid w:val="00BC7FED"/>
    <w:rsid w:val="00BD0266"/>
    <w:rsid w:val="00BD0270"/>
    <w:rsid w:val="00BD0633"/>
    <w:rsid w:val="00BD068A"/>
    <w:rsid w:val="00BD1201"/>
    <w:rsid w:val="00BD12B2"/>
    <w:rsid w:val="00BD18CE"/>
    <w:rsid w:val="00BD1D72"/>
    <w:rsid w:val="00BD1FAD"/>
    <w:rsid w:val="00BD24BC"/>
    <w:rsid w:val="00BD3151"/>
    <w:rsid w:val="00BD32BA"/>
    <w:rsid w:val="00BD45AE"/>
    <w:rsid w:val="00BD46CE"/>
    <w:rsid w:val="00BD4C6A"/>
    <w:rsid w:val="00BD54D4"/>
    <w:rsid w:val="00BD60AE"/>
    <w:rsid w:val="00BD63CD"/>
    <w:rsid w:val="00BD70A0"/>
    <w:rsid w:val="00BD746D"/>
    <w:rsid w:val="00BD78C8"/>
    <w:rsid w:val="00BE007E"/>
    <w:rsid w:val="00BE05A5"/>
    <w:rsid w:val="00BE0632"/>
    <w:rsid w:val="00BE07C8"/>
    <w:rsid w:val="00BE0904"/>
    <w:rsid w:val="00BE0A3C"/>
    <w:rsid w:val="00BE1DD6"/>
    <w:rsid w:val="00BE2B21"/>
    <w:rsid w:val="00BE2C33"/>
    <w:rsid w:val="00BE358D"/>
    <w:rsid w:val="00BE4CA5"/>
    <w:rsid w:val="00BE4D6F"/>
    <w:rsid w:val="00BE50D4"/>
    <w:rsid w:val="00BE558A"/>
    <w:rsid w:val="00BE5923"/>
    <w:rsid w:val="00BE59FA"/>
    <w:rsid w:val="00BE60E0"/>
    <w:rsid w:val="00BE655A"/>
    <w:rsid w:val="00BE67C8"/>
    <w:rsid w:val="00BE6AD6"/>
    <w:rsid w:val="00BE6C25"/>
    <w:rsid w:val="00BE7388"/>
    <w:rsid w:val="00BE73A7"/>
    <w:rsid w:val="00BE7C97"/>
    <w:rsid w:val="00BE7EAB"/>
    <w:rsid w:val="00BF01EE"/>
    <w:rsid w:val="00BF02E4"/>
    <w:rsid w:val="00BF0402"/>
    <w:rsid w:val="00BF0CED"/>
    <w:rsid w:val="00BF10FA"/>
    <w:rsid w:val="00BF1765"/>
    <w:rsid w:val="00BF1FEC"/>
    <w:rsid w:val="00BF2970"/>
    <w:rsid w:val="00BF305B"/>
    <w:rsid w:val="00BF35BF"/>
    <w:rsid w:val="00BF3791"/>
    <w:rsid w:val="00BF402A"/>
    <w:rsid w:val="00BF42F2"/>
    <w:rsid w:val="00BF43E2"/>
    <w:rsid w:val="00BF49C9"/>
    <w:rsid w:val="00BF4BE6"/>
    <w:rsid w:val="00BF547A"/>
    <w:rsid w:val="00BF551D"/>
    <w:rsid w:val="00BF5CCB"/>
    <w:rsid w:val="00BF610B"/>
    <w:rsid w:val="00BF669A"/>
    <w:rsid w:val="00BF73D9"/>
    <w:rsid w:val="00BF7DD3"/>
    <w:rsid w:val="00BF7E0E"/>
    <w:rsid w:val="00C009B1"/>
    <w:rsid w:val="00C00ADE"/>
    <w:rsid w:val="00C011FD"/>
    <w:rsid w:val="00C013CC"/>
    <w:rsid w:val="00C017E0"/>
    <w:rsid w:val="00C031D1"/>
    <w:rsid w:val="00C0383A"/>
    <w:rsid w:val="00C0395B"/>
    <w:rsid w:val="00C04571"/>
    <w:rsid w:val="00C05D12"/>
    <w:rsid w:val="00C05EDC"/>
    <w:rsid w:val="00C06F69"/>
    <w:rsid w:val="00C06FE2"/>
    <w:rsid w:val="00C07B69"/>
    <w:rsid w:val="00C1066D"/>
    <w:rsid w:val="00C10843"/>
    <w:rsid w:val="00C11F36"/>
    <w:rsid w:val="00C120B9"/>
    <w:rsid w:val="00C12192"/>
    <w:rsid w:val="00C12225"/>
    <w:rsid w:val="00C129C8"/>
    <w:rsid w:val="00C12C41"/>
    <w:rsid w:val="00C12F4C"/>
    <w:rsid w:val="00C133D7"/>
    <w:rsid w:val="00C14989"/>
    <w:rsid w:val="00C14D6A"/>
    <w:rsid w:val="00C14D85"/>
    <w:rsid w:val="00C1500C"/>
    <w:rsid w:val="00C1545F"/>
    <w:rsid w:val="00C15485"/>
    <w:rsid w:val="00C154D3"/>
    <w:rsid w:val="00C1596E"/>
    <w:rsid w:val="00C15985"/>
    <w:rsid w:val="00C15993"/>
    <w:rsid w:val="00C164A1"/>
    <w:rsid w:val="00C164F3"/>
    <w:rsid w:val="00C16646"/>
    <w:rsid w:val="00C1752E"/>
    <w:rsid w:val="00C175DB"/>
    <w:rsid w:val="00C178FC"/>
    <w:rsid w:val="00C179CF"/>
    <w:rsid w:val="00C17CEB"/>
    <w:rsid w:val="00C17F22"/>
    <w:rsid w:val="00C20441"/>
    <w:rsid w:val="00C2046E"/>
    <w:rsid w:val="00C22703"/>
    <w:rsid w:val="00C22E2C"/>
    <w:rsid w:val="00C23859"/>
    <w:rsid w:val="00C23EA2"/>
    <w:rsid w:val="00C2410B"/>
    <w:rsid w:val="00C24234"/>
    <w:rsid w:val="00C24257"/>
    <w:rsid w:val="00C2499D"/>
    <w:rsid w:val="00C24E84"/>
    <w:rsid w:val="00C253E5"/>
    <w:rsid w:val="00C25756"/>
    <w:rsid w:val="00C26AE7"/>
    <w:rsid w:val="00C26D96"/>
    <w:rsid w:val="00C27B5D"/>
    <w:rsid w:val="00C30140"/>
    <w:rsid w:val="00C307BD"/>
    <w:rsid w:val="00C30D8E"/>
    <w:rsid w:val="00C30F13"/>
    <w:rsid w:val="00C310DE"/>
    <w:rsid w:val="00C322C8"/>
    <w:rsid w:val="00C3284D"/>
    <w:rsid w:val="00C32A1B"/>
    <w:rsid w:val="00C333C5"/>
    <w:rsid w:val="00C33B34"/>
    <w:rsid w:val="00C33E18"/>
    <w:rsid w:val="00C3454D"/>
    <w:rsid w:val="00C35581"/>
    <w:rsid w:val="00C3567E"/>
    <w:rsid w:val="00C35985"/>
    <w:rsid w:val="00C35C31"/>
    <w:rsid w:val="00C3617D"/>
    <w:rsid w:val="00C361C6"/>
    <w:rsid w:val="00C362A7"/>
    <w:rsid w:val="00C36339"/>
    <w:rsid w:val="00C369EC"/>
    <w:rsid w:val="00C36D46"/>
    <w:rsid w:val="00C36E3D"/>
    <w:rsid w:val="00C3700F"/>
    <w:rsid w:val="00C37584"/>
    <w:rsid w:val="00C37886"/>
    <w:rsid w:val="00C37CB6"/>
    <w:rsid w:val="00C4000A"/>
    <w:rsid w:val="00C4025D"/>
    <w:rsid w:val="00C40281"/>
    <w:rsid w:val="00C418B1"/>
    <w:rsid w:val="00C4236B"/>
    <w:rsid w:val="00C42745"/>
    <w:rsid w:val="00C43231"/>
    <w:rsid w:val="00C43706"/>
    <w:rsid w:val="00C43B66"/>
    <w:rsid w:val="00C43C72"/>
    <w:rsid w:val="00C44508"/>
    <w:rsid w:val="00C448F8"/>
    <w:rsid w:val="00C44A5C"/>
    <w:rsid w:val="00C44D5E"/>
    <w:rsid w:val="00C45118"/>
    <w:rsid w:val="00C45317"/>
    <w:rsid w:val="00C45BEC"/>
    <w:rsid w:val="00C46327"/>
    <w:rsid w:val="00C46627"/>
    <w:rsid w:val="00C47E46"/>
    <w:rsid w:val="00C502E8"/>
    <w:rsid w:val="00C502F8"/>
    <w:rsid w:val="00C506A3"/>
    <w:rsid w:val="00C50BA0"/>
    <w:rsid w:val="00C50C54"/>
    <w:rsid w:val="00C51EA9"/>
    <w:rsid w:val="00C51F9F"/>
    <w:rsid w:val="00C52132"/>
    <w:rsid w:val="00C52406"/>
    <w:rsid w:val="00C5323D"/>
    <w:rsid w:val="00C536E3"/>
    <w:rsid w:val="00C53ED5"/>
    <w:rsid w:val="00C54305"/>
    <w:rsid w:val="00C546B4"/>
    <w:rsid w:val="00C54DEA"/>
    <w:rsid w:val="00C55535"/>
    <w:rsid w:val="00C55A9F"/>
    <w:rsid w:val="00C56122"/>
    <w:rsid w:val="00C561B0"/>
    <w:rsid w:val="00C56471"/>
    <w:rsid w:val="00C56B69"/>
    <w:rsid w:val="00C570FF"/>
    <w:rsid w:val="00C57321"/>
    <w:rsid w:val="00C57861"/>
    <w:rsid w:val="00C57C07"/>
    <w:rsid w:val="00C57CCB"/>
    <w:rsid w:val="00C57ECC"/>
    <w:rsid w:val="00C6010D"/>
    <w:rsid w:val="00C60BFA"/>
    <w:rsid w:val="00C6114E"/>
    <w:rsid w:val="00C61944"/>
    <w:rsid w:val="00C61A22"/>
    <w:rsid w:val="00C6226E"/>
    <w:rsid w:val="00C63103"/>
    <w:rsid w:val="00C6324C"/>
    <w:rsid w:val="00C636B2"/>
    <w:rsid w:val="00C63E09"/>
    <w:rsid w:val="00C65EE6"/>
    <w:rsid w:val="00C65F88"/>
    <w:rsid w:val="00C65FA8"/>
    <w:rsid w:val="00C666D4"/>
    <w:rsid w:val="00C66F0F"/>
    <w:rsid w:val="00C6753A"/>
    <w:rsid w:val="00C70388"/>
    <w:rsid w:val="00C703D2"/>
    <w:rsid w:val="00C708F3"/>
    <w:rsid w:val="00C7090D"/>
    <w:rsid w:val="00C70987"/>
    <w:rsid w:val="00C70B61"/>
    <w:rsid w:val="00C7171E"/>
    <w:rsid w:val="00C719FA"/>
    <w:rsid w:val="00C71ACD"/>
    <w:rsid w:val="00C71AD1"/>
    <w:rsid w:val="00C71E9A"/>
    <w:rsid w:val="00C72339"/>
    <w:rsid w:val="00C72379"/>
    <w:rsid w:val="00C72955"/>
    <w:rsid w:val="00C72ABB"/>
    <w:rsid w:val="00C72BA6"/>
    <w:rsid w:val="00C72E29"/>
    <w:rsid w:val="00C72F06"/>
    <w:rsid w:val="00C731FD"/>
    <w:rsid w:val="00C732BA"/>
    <w:rsid w:val="00C7358D"/>
    <w:rsid w:val="00C735DF"/>
    <w:rsid w:val="00C736C5"/>
    <w:rsid w:val="00C74734"/>
    <w:rsid w:val="00C747DB"/>
    <w:rsid w:val="00C74866"/>
    <w:rsid w:val="00C74988"/>
    <w:rsid w:val="00C752DB"/>
    <w:rsid w:val="00C75789"/>
    <w:rsid w:val="00C76556"/>
    <w:rsid w:val="00C76C9C"/>
    <w:rsid w:val="00C76F3B"/>
    <w:rsid w:val="00C770B1"/>
    <w:rsid w:val="00C77793"/>
    <w:rsid w:val="00C777DC"/>
    <w:rsid w:val="00C778D3"/>
    <w:rsid w:val="00C80088"/>
    <w:rsid w:val="00C804FE"/>
    <w:rsid w:val="00C80626"/>
    <w:rsid w:val="00C80D6B"/>
    <w:rsid w:val="00C80DBE"/>
    <w:rsid w:val="00C80EEC"/>
    <w:rsid w:val="00C810F3"/>
    <w:rsid w:val="00C8226D"/>
    <w:rsid w:val="00C82747"/>
    <w:rsid w:val="00C827BA"/>
    <w:rsid w:val="00C82C39"/>
    <w:rsid w:val="00C8336D"/>
    <w:rsid w:val="00C8386A"/>
    <w:rsid w:val="00C840C7"/>
    <w:rsid w:val="00C844FE"/>
    <w:rsid w:val="00C846F3"/>
    <w:rsid w:val="00C851C9"/>
    <w:rsid w:val="00C8563D"/>
    <w:rsid w:val="00C85ECC"/>
    <w:rsid w:val="00C85F0C"/>
    <w:rsid w:val="00C86AD9"/>
    <w:rsid w:val="00C86B3C"/>
    <w:rsid w:val="00C86CF6"/>
    <w:rsid w:val="00C87613"/>
    <w:rsid w:val="00C876A5"/>
    <w:rsid w:val="00C87A68"/>
    <w:rsid w:val="00C90310"/>
    <w:rsid w:val="00C90601"/>
    <w:rsid w:val="00C909E6"/>
    <w:rsid w:val="00C90AF2"/>
    <w:rsid w:val="00C91A8D"/>
    <w:rsid w:val="00C91BEB"/>
    <w:rsid w:val="00C91CE8"/>
    <w:rsid w:val="00C92076"/>
    <w:rsid w:val="00C92F68"/>
    <w:rsid w:val="00C938A6"/>
    <w:rsid w:val="00C93B73"/>
    <w:rsid w:val="00C93BFC"/>
    <w:rsid w:val="00C93D6E"/>
    <w:rsid w:val="00C9407D"/>
    <w:rsid w:val="00C94992"/>
    <w:rsid w:val="00C94D78"/>
    <w:rsid w:val="00C94DCF"/>
    <w:rsid w:val="00C94FBD"/>
    <w:rsid w:val="00C9509D"/>
    <w:rsid w:val="00C953AC"/>
    <w:rsid w:val="00C954A4"/>
    <w:rsid w:val="00C95593"/>
    <w:rsid w:val="00C95950"/>
    <w:rsid w:val="00C95A5A"/>
    <w:rsid w:val="00C95AB2"/>
    <w:rsid w:val="00C95E17"/>
    <w:rsid w:val="00C960EB"/>
    <w:rsid w:val="00C9639B"/>
    <w:rsid w:val="00C96510"/>
    <w:rsid w:val="00C973A3"/>
    <w:rsid w:val="00C975C0"/>
    <w:rsid w:val="00C97CED"/>
    <w:rsid w:val="00C97F5A"/>
    <w:rsid w:val="00CA049D"/>
    <w:rsid w:val="00CA0950"/>
    <w:rsid w:val="00CA1D01"/>
    <w:rsid w:val="00CA1EA0"/>
    <w:rsid w:val="00CA21FE"/>
    <w:rsid w:val="00CA2316"/>
    <w:rsid w:val="00CA23D5"/>
    <w:rsid w:val="00CA27DB"/>
    <w:rsid w:val="00CA2F9C"/>
    <w:rsid w:val="00CA34D6"/>
    <w:rsid w:val="00CA3674"/>
    <w:rsid w:val="00CA386F"/>
    <w:rsid w:val="00CA40BE"/>
    <w:rsid w:val="00CA50DD"/>
    <w:rsid w:val="00CA514E"/>
    <w:rsid w:val="00CA5591"/>
    <w:rsid w:val="00CA5980"/>
    <w:rsid w:val="00CA5A43"/>
    <w:rsid w:val="00CA5BEA"/>
    <w:rsid w:val="00CA5D96"/>
    <w:rsid w:val="00CA60C2"/>
    <w:rsid w:val="00CA6B9E"/>
    <w:rsid w:val="00CA726B"/>
    <w:rsid w:val="00CA72EE"/>
    <w:rsid w:val="00CB00D5"/>
    <w:rsid w:val="00CB10FC"/>
    <w:rsid w:val="00CB1A8D"/>
    <w:rsid w:val="00CB206D"/>
    <w:rsid w:val="00CB2CDB"/>
    <w:rsid w:val="00CB2D43"/>
    <w:rsid w:val="00CB33CF"/>
    <w:rsid w:val="00CB34EB"/>
    <w:rsid w:val="00CB43DA"/>
    <w:rsid w:val="00CB43E2"/>
    <w:rsid w:val="00CB441B"/>
    <w:rsid w:val="00CB4908"/>
    <w:rsid w:val="00CB4AE1"/>
    <w:rsid w:val="00CB4D7D"/>
    <w:rsid w:val="00CB4DE3"/>
    <w:rsid w:val="00CB5008"/>
    <w:rsid w:val="00CB59DC"/>
    <w:rsid w:val="00CB5E46"/>
    <w:rsid w:val="00CB6088"/>
    <w:rsid w:val="00CB6253"/>
    <w:rsid w:val="00CB644A"/>
    <w:rsid w:val="00CB6CE8"/>
    <w:rsid w:val="00CB7316"/>
    <w:rsid w:val="00CB7BA2"/>
    <w:rsid w:val="00CC0225"/>
    <w:rsid w:val="00CC21DB"/>
    <w:rsid w:val="00CC22FC"/>
    <w:rsid w:val="00CC2302"/>
    <w:rsid w:val="00CC2386"/>
    <w:rsid w:val="00CC2686"/>
    <w:rsid w:val="00CC28D5"/>
    <w:rsid w:val="00CC35E2"/>
    <w:rsid w:val="00CC4F68"/>
    <w:rsid w:val="00CC587C"/>
    <w:rsid w:val="00CC5AE5"/>
    <w:rsid w:val="00CC63CA"/>
    <w:rsid w:val="00CC676E"/>
    <w:rsid w:val="00CC6A25"/>
    <w:rsid w:val="00CC6CF1"/>
    <w:rsid w:val="00CC70E8"/>
    <w:rsid w:val="00CC71E7"/>
    <w:rsid w:val="00CC7CC7"/>
    <w:rsid w:val="00CD0462"/>
    <w:rsid w:val="00CD0B41"/>
    <w:rsid w:val="00CD0BA0"/>
    <w:rsid w:val="00CD1617"/>
    <w:rsid w:val="00CD19C1"/>
    <w:rsid w:val="00CD20A7"/>
    <w:rsid w:val="00CD2156"/>
    <w:rsid w:val="00CD282E"/>
    <w:rsid w:val="00CD317B"/>
    <w:rsid w:val="00CD3375"/>
    <w:rsid w:val="00CD37B9"/>
    <w:rsid w:val="00CD3E18"/>
    <w:rsid w:val="00CD4189"/>
    <w:rsid w:val="00CD4351"/>
    <w:rsid w:val="00CD44CA"/>
    <w:rsid w:val="00CD478A"/>
    <w:rsid w:val="00CD4CDC"/>
    <w:rsid w:val="00CD4DE8"/>
    <w:rsid w:val="00CD581E"/>
    <w:rsid w:val="00CD58E5"/>
    <w:rsid w:val="00CD65D0"/>
    <w:rsid w:val="00CD6674"/>
    <w:rsid w:val="00CD6ADC"/>
    <w:rsid w:val="00CD6DE6"/>
    <w:rsid w:val="00CD70BA"/>
    <w:rsid w:val="00CD7281"/>
    <w:rsid w:val="00CE00A5"/>
    <w:rsid w:val="00CE0105"/>
    <w:rsid w:val="00CE043C"/>
    <w:rsid w:val="00CE048C"/>
    <w:rsid w:val="00CE0698"/>
    <w:rsid w:val="00CE0EDE"/>
    <w:rsid w:val="00CE1166"/>
    <w:rsid w:val="00CE1257"/>
    <w:rsid w:val="00CE141F"/>
    <w:rsid w:val="00CE18C2"/>
    <w:rsid w:val="00CE23EF"/>
    <w:rsid w:val="00CE2550"/>
    <w:rsid w:val="00CE28D8"/>
    <w:rsid w:val="00CE2940"/>
    <w:rsid w:val="00CE32B9"/>
    <w:rsid w:val="00CE3558"/>
    <w:rsid w:val="00CE3621"/>
    <w:rsid w:val="00CE387D"/>
    <w:rsid w:val="00CE3B9E"/>
    <w:rsid w:val="00CE457F"/>
    <w:rsid w:val="00CE463D"/>
    <w:rsid w:val="00CE48A3"/>
    <w:rsid w:val="00CE4C77"/>
    <w:rsid w:val="00CE4EAC"/>
    <w:rsid w:val="00CE5037"/>
    <w:rsid w:val="00CE59B0"/>
    <w:rsid w:val="00CE5EEA"/>
    <w:rsid w:val="00CE62A8"/>
    <w:rsid w:val="00CE66C7"/>
    <w:rsid w:val="00CE6C89"/>
    <w:rsid w:val="00CE767E"/>
    <w:rsid w:val="00CE7893"/>
    <w:rsid w:val="00CE7A1E"/>
    <w:rsid w:val="00CE7ACF"/>
    <w:rsid w:val="00CE7B09"/>
    <w:rsid w:val="00CE7D36"/>
    <w:rsid w:val="00CF0BC8"/>
    <w:rsid w:val="00CF0DD7"/>
    <w:rsid w:val="00CF106C"/>
    <w:rsid w:val="00CF2066"/>
    <w:rsid w:val="00CF2BC4"/>
    <w:rsid w:val="00CF2C3F"/>
    <w:rsid w:val="00CF34DF"/>
    <w:rsid w:val="00CF36FA"/>
    <w:rsid w:val="00CF3D33"/>
    <w:rsid w:val="00CF429A"/>
    <w:rsid w:val="00CF4BFD"/>
    <w:rsid w:val="00CF4CA4"/>
    <w:rsid w:val="00CF51BF"/>
    <w:rsid w:val="00CF57BB"/>
    <w:rsid w:val="00CF5D81"/>
    <w:rsid w:val="00CF5E02"/>
    <w:rsid w:val="00CF6033"/>
    <w:rsid w:val="00CF63BA"/>
    <w:rsid w:val="00CF6852"/>
    <w:rsid w:val="00CF6A86"/>
    <w:rsid w:val="00CF6B05"/>
    <w:rsid w:val="00CF6BAB"/>
    <w:rsid w:val="00CF6CD7"/>
    <w:rsid w:val="00CF6E4E"/>
    <w:rsid w:val="00CF6E74"/>
    <w:rsid w:val="00CF7737"/>
    <w:rsid w:val="00CF7BA7"/>
    <w:rsid w:val="00D00177"/>
    <w:rsid w:val="00D00197"/>
    <w:rsid w:val="00D00632"/>
    <w:rsid w:val="00D00B74"/>
    <w:rsid w:val="00D00CE7"/>
    <w:rsid w:val="00D019EC"/>
    <w:rsid w:val="00D0216B"/>
    <w:rsid w:val="00D021EC"/>
    <w:rsid w:val="00D0246C"/>
    <w:rsid w:val="00D03270"/>
    <w:rsid w:val="00D035FB"/>
    <w:rsid w:val="00D036B0"/>
    <w:rsid w:val="00D03A90"/>
    <w:rsid w:val="00D03A94"/>
    <w:rsid w:val="00D0479C"/>
    <w:rsid w:val="00D04AD6"/>
    <w:rsid w:val="00D04CA4"/>
    <w:rsid w:val="00D0533F"/>
    <w:rsid w:val="00D06264"/>
    <w:rsid w:val="00D06855"/>
    <w:rsid w:val="00D06857"/>
    <w:rsid w:val="00D068C7"/>
    <w:rsid w:val="00D0723A"/>
    <w:rsid w:val="00D10052"/>
    <w:rsid w:val="00D10652"/>
    <w:rsid w:val="00D106AE"/>
    <w:rsid w:val="00D10989"/>
    <w:rsid w:val="00D11BA8"/>
    <w:rsid w:val="00D1245C"/>
    <w:rsid w:val="00D1282C"/>
    <w:rsid w:val="00D12E20"/>
    <w:rsid w:val="00D12ED7"/>
    <w:rsid w:val="00D13D98"/>
    <w:rsid w:val="00D13EED"/>
    <w:rsid w:val="00D13FA1"/>
    <w:rsid w:val="00D143B3"/>
    <w:rsid w:val="00D14AC6"/>
    <w:rsid w:val="00D14C9F"/>
    <w:rsid w:val="00D151FF"/>
    <w:rsid w:val="00D15440"/>
    <w:rsid w:val="00D15711"/>
    <w:rsid w:val="00D15840"/>
    <w:rsid w:val="00D159DA"/>
    <w:rsid w:val="00D15F78"/>
    <w:rsid w:val="00D16DF9"/>
    <w:rsid w:val="00D1765E"/>
    <w:rsid w:val="00D177DB"/>
    <w:rsid w:val="00D177E5"/>
    <w:rsid w:val="00D17D15"/>
    <w:rsid w:val="00D17D75"/>
    <w:rsid w:val="00D17E93"/>
    <w:rsid w:val="00D2000C"/>
    <w:rsid w:val="00D20048"/>
    <w:rsid w:val="00D20FE5"/>
    <w:rsid w:val="00D21669"/>
    <w:rsid w:val="00D2245F"/>
    <w:rsid w:val="00D225D2"/>
    <w:rsid w:val="00D23A92"/>
    <w:rsid w:val="00D24261"/>
    <w:rsid w:val="00D2440F"/>
    <w:rsid w:val="00D24A6F"/>
    <w:rsid w:val="00D251B4"/>
    <w:rsid w:val="00D253DA"/>
    <w:rsid w:val="00D255DC"/>
    <w:rsid w:val="00D25C68"/>
    <w:rsid w:val="00D2621A"/>
    <w:rsid w:val="00D264CF"/>
    <w:rsid w:val="00D2679A"/>
    <w:rsid w:val="00D2697F"/>
    <w:rsid w:val="00D269A8"/>
    <w:rsid w:val="00D26EC9"/>
    <w:rsid w:val="00D274B0"/>
    <w:rsid w:val="00D277E6"/>
    <w:rsid w:val="00D309EA"/>
    <w:rsid w:val="00D30F52"/>
    <w:rsid w:val="00D3171F"/>
    <w:rsid w:val="00D31E3E"/>
    <w:rsid w:val="00D32704"/>
    <w:rsid w:val="00D328CD"/>
    <w:rsid w:val="00D32B56"/>
    <w:rsid w:val="00D333F4"/>
    <w:rsid w:val="00D33631"/>
    <w:rsid w:val="00D33DF6"/>
    <w:rsid w:val="00D34336"/>
    <w:rsid w:val="00D3466F"/>
    <w:rsid w:val="00D35213"/>
    <w:rsid w:val="00D353EF"/>
    <w:rsid w:val="00D355FF"/>
    <w:rsid w:val="00D356C7"/>
    <w:rsid w:val="00D35E3C"/>
    <w:rsid w:val="00D35ED8"/>
    <w:rsid w:val="00D3603E"/>
    <w:rsid w:val="00D3610F"/>
    <w:rsid w:val="00D3642E"/>
    <w:rsid w:val="00D37D6A"/>
    <w:rsid w:val="00D40774"/>
    <w:rsid w:val="00D407F4"/>
    <w:rsid w:val="00D40942"/>
    <w:rsid w:val="00D40B60"/>
    <w:rsid w:val="00D40BC7"/>
    <w:rsid w:val="00D4130C"/>
    <w:rsid w:val="00D419B5"/>
    <w:rsid w:val="00D41BEC"/>
    <w:rsid w:val="00D41E2A"/>
    <w:rsid w:val="00D43376"/>
    <w:rsid w:val="00D43C86"/>
    <w:rsid w:val="00D440A2"/>
    <w:rsid w:val="00D442BD"/>
    <w:rsid w:val="00D446E0"/>
    <w:rsid w:val="00D455DF"/>
    <w:rsid w:val="00D45A12"/>
    <w:rsid w:val="00D45CA4"/>
    <w:rsid w:val="00D466B5"/>
    <w:rsid w:val="00D46811"/>
    <w:rsid w:val="00D46B85"/>
    <w:rsid w:val="00D470B7"/>
    <w:rsid w:val="00D47892"/>
    <w:rsid w:val="00D47B74"/>
    <w:rsid w:val="00D47C5E"/>
    <w:rsid w:val="00D50473"/>
    <w:rsid w:val="00D50938"/>
    <w:rsid w:val="00D50DB0"/>
    <w:rsid w:val="00D5113D"/>
    <w:rsid w:val="00D511E3"/>
    <w:rsid w:val="00D51971"/>
    <w:rsid w:val="00D5280A"/>
    <w:rsid w:val="00D52AE5"/>
    <w:rsid w:val="00D5384E"/>
    <w:rsid w:val="00D54886"/>
    <w:rsid w:val="00D54A3D"/>
    <w:rsid w:val="00D54F63"/>
    <w:rsid w:val="00D55296"/>
    <w:rsid w:val="00D5560F"/>
    <w:rsid w:val="00D559C3"/>
    <w:rsid w:val="00D55E59"/>
    <w:rsid w:val="00D56050"/>
    <w:rsid w:val="00D56253"/>
    <w:rsid w:val="00D56421"/>
    <w:rsid w:val="00D566A4"/>
    <w:rsid w:val="00D56D1C"/>
    <w:rsid w:val="00D572EC"/>
    <w:rsid w:val="00D574E2"/>
    <w:rsid w:val="00D60287"/>
    <w:rsid w:val="00D60472"/>
    <w:rsid w:val="00D60BA6"/>
    <w:rsid w:val="00D60C2A"/>
    <w:rsid w:val="00D61234"/>
    <w:rsid w:val="00D61697"/>
    <w:rsid w:val="00D61F30"/>
    <w:rsid w:val="00D6233E"/>
    <w:rsid w:val="00D62451"/>
    <w:rsid w:val="00D62873"/>
    <w:rsid w:val="00D628CC"/>
    <w:rsid w:val="00D62D3F"/>
    <w:rsid w:val="00D63AA1"/>
    <w:rsid w:val="00D63BA5"/>
    <w:rsid w:val="00D63BED"/>
    <w:rsid w:val="00D63FF8"/>
    <w:rsid w:val="00D64846"/>
    <w:rsid w:val="00D648CA"/>
    <w:rsid w:val="00D649F2"/>
    <w:rsid w:val="00D64AE2"/>
    <w:rsid w:val="00D64C5B"/>
    <w:rsid w:val="00D651FE"/>
    <w:rsid w:val="00D6528E"/>
    <w:rsid w:val="00D652D8"/>
    <w:rsid w:val="00D65A1B"/>
    <w:rsid w:val="00D65F8B"/>
    <w:rsid w:val="00D66082"/>
    <w:rsid w:val="00D66474"/>
    <w:rsid w:val="00D66910"/>
    <w:rsid w:val="00D66EEE"/>
    <w:rsid w:val="00D67B4D"/>
    <w:rsid w:val="00D67C2A"/>
    <w:rsid w:val="00D70422"/>
    <w:rsid w:val="00D70815"/>
    <w:rsid w:val="00D70B57"/>
    <w:rsid w:val="00D70C43"/>
    <w:rsid w:val="00D7108B"/>
    <w:rsid w:val="00D710A8"/>
    <w:rsid w:val="00D7131A"/>
    <w:rsid w:val="00D713F5"/>
    <w:rsid w:val="00D72547"/>
    <w:rsid w:val="00D72611"/>
    <w:rsid w:val="00D726C0"/>
    <w:rsid w:val="00D726E0"/>
    <w:rsid w:val="00D72F37"/>
    <w:rsid w:val="00D72F5D"/>
    <w:rsid w:val="00D732C8"/>
    <w:rsid w:val="00D7378E"/>
    <w:rsid w:val="00D73D81"/>
    <w:rsid w:val="00D7487C"/>
    <w:rsid w:val="00D749A8"/>
    <w:rsid w:val="00D749B6"/>
    <w:rsid w:val="00D75182"/>
    <w:rsid w:val="00D759B1"/>
    <w:rsid w:val="00D761A6"/>
    <w:rsid w:val="00D7627B"/>
    <w:rsid w:val="00D7684F"/>
    <w:rsid w:val="00D80116"/>
    <w:rsid w:val="00D80D31"/>
    <w:rsid w:val="00D80DEF"/>
    <w:rsid w:val="00D80E19"/>
    <w:rsid w:val="00D81968"/>
    <w:rsid w:val="00D81D6D"/>
    <w:rsid w:val="00D82B5C"/>
    <w:rsid w:val="00D82CBF"/>
    <w:rsid w:val="00D832E3"/>
    <w:rsid w:val="00D833DC"/>
    <w:rsid w:val="00D834F5"/>
    <w:rsid w:val="00D840E8"/>
    <w:rsid w:val="00D84153"/>
    <w:rsid w:val="00D843FD"/>
    <w:rsid w:val="00D84486"/>
    <w:rsid w:val="00D84E2C"/>
    <w:rsid w:val="00D84EA6"/>
    <w:rsid w:val="00D85338"/>
    <w:rsid w:val="00D86018"/>
    <w:rsid w:val="00D866AE"/>
    <w:rsid w:val="00D86C12"/>
    <w:rsid w:val="00D8741A"/>
    <w:rsid w:val="00D87557"/>
    <w:rsid w:val="00D87A9F"/>
    <w:rsid w:val="00D87EB2"/>
    <w:rsid w:val="00D901D8"/>
    <w:rsid w:val="00D90C98"/>
    <w:rsid w:val="00D90D65"/>
    <w:rsid w:val="00D9131F"/>
    <w:rsid w:val="00D919A4"/>
    <w:rsid w:val="00D9243D"/>
    <w:rsid w:val="00D927D4"/>
    <w:rsid w:val="00D932AA"/>
    <w:rsid w:val="00D942F9"/>
    <w:rsid w:val="00D947C9"/>
    <w:rsid w:val="00D94897"/>
    <w:rsid w:val="00D94D9C"/>
    <w:rsid w:val="00D95747"/>
    <w:rsid w:val="00D96BDC"/>
    <w:rsid w:val="00D97931"/>
    <w:rsid w:val="00DA0A6A"/>
    <w:rsid w:val="00DA12DD"/>
    <w:rsid w:val="00DA1CCD"/>
    <w:rsid w:val="00DA20CA"/>
    <w:rsid w:val="00DA2476"/>
    <w:rsid w:val="00DA260E"/>
    <w:rsid w:val="00DA2730"/>
    <w:rsid w:val="00DA2D30"/>
    <w:rsid w:val="00DA315E"/>
    <w:rsid w:val="00DA3352"/>
    <w:rsid w:val="00DA48E9"/>
    <w:rsid w:val="00DA4B25"/>
    <w:rsid w:val="00DA4C12"/>
    <w:rsid w:val="00DA542B"/>
    <w:rsid w:val="00DA5C02"/>
    <w:rsid w:val="00DA6029"/>
    <w:rsid w:val="00DA6132"/>
    <w:rsid w:val="00DA6147"/>
    <w:rsid w:val="00DA633B"/>
    <w:rsid w:val="00DA66A3"/>
    <w:rsid w:val="00DA7311"/>
    <w:rsid w:val="00DA731D"/>
    <w:rsid w:val="00DA7568"/>
    <w:rsid w:val="00DA7F1E"/>
    <w:rsid w:val="00DB03B2"/>
    <w:rsid w:val="00DB0B64"/>
    <w:rsid w:val="00DB0CE7"/>
    <w:rsid w:val="00DB0E8C"/>
    <w:rsid w:val="00DB186A"/>
    <w:rsid w:val="00DB1BB2"/>
    <w:rsid w:val="00DB2043"/>
    <w:rsid w:val="00DB2653"/>
    <w:rsid w:val="00DB2B23"/>
    <w:rsid w:val="00DB2D96"/>
    <w:rsid w:val="00DB3034"/>
    <w:rsid w:val="00DB3070"/>
    <w:rsid w:val="00DB3233"/>
    <w:rsid w:val="00DB354E"/>
    <w:rsid w:val="00DB3CFF"/>
    <w:rsid w:val="00DB403D"/>
    <w:rsid w:val="00DB4295"/>
    <w:rsid w:val="00DB4387"/>
    <w:rsid w:val="00DB4918"/>
    <w:rsid w:val="00DB498E"/>
    <w:rsid w:val="00DB4C96"/>
    <w:rsid w:val="00DB4E45"/>
    <w:rsid w:val="00DB510C"/>
    <w:rsid w:val="00DB5C69"/>
    <w:rsid w:val="00DB5D3A"/>
    <w:rsid w:val="00DB60BE"/>
    <w:rsid w:val="00DB6121"/>
    <w:rsid w:val="00DB63F8"/>
    <w:rsid w:val="00DB65F0"/>
    <w:rsid w:val="00DB7B04"/>
    <w:rsid w:val="00DB7BB4"/>
    <w:rsid w:val="00DC0A6E"/>
    <w:rsid w:val="00DC1358"/>
    <w:rsid w:val="00DC1830"/>
    <w:rsid w:val="00DC1AC1"/>
    <w:rsid w:val="00DC303B"/>
    <w:rsid w:val="00DC3DFA"/>
    <w:rsid w:val="00DC3EE8"/>
    <w:rsid w:val="00DC53E2"/>
    <w:rsid w:val="00DC55AD"/>
    <w:rsid w:val="00DC5792"/>
    <w:rsid w:val="00DC5890"/>
    <w:rsid w:val="00DC5A29"/>
    <w:rsid w:val="00DC65C6"/>
    <w:rsid w:val="00DC66C7"/>
    <w:rsid w:val="00DC6871"/>
    <w:rsid w:val="00DC7627"/>
    <w:rsid w:val="00DC76D6"/>
    <w:rsid w:val="00DC7703"/>
    <w:rsid w:val="00DC78EC"/>
    <w:rsid w:val="00DC7F23"/>
    <w:rsid w:val="00DD11F1"/>
    <w:rsid w:val="00DD1338"/>
    <w:rsid w:val="00DD1732"/>
    <w:rsid w:val="00DD18FF"/>
    <w:rsid w:val="00DD1D53"/>
    <w:rsid w:val="00DD1F88"/>
    <w:rsid w:val="00DD1FE1"/>
    <w:rsid w:val="00DD3345"/>
    <w:rsid w:val="00DD35BD"/>
    <w:rsid w:val="00DD3735"/>
    <w:rsid w:val="00DD3FB4"/>
    <w:rsid w:val="00DD409C"/>
    <w:rsid w:val="00DD451D"/>
    <w:rsid w:val="00DD4CA9"/>
    <w:rsid w:val="00DD4F70"/>
    <w:rsid w:val="00DD5788"/>
    <w:rsid w:val="00DD5B41"/>
    <w:rsid w:val="00DD6388"/>
    <w:rsid w:val="00DD63E4"/>
    <w:rsid w:val="00DD6B74"/>
    <w:rsid w:val="00DD6C13"/>
    <w:rsid w:val="00DD73AC"/>
    <w:rsid w:val="00DD7AAC"/>
    <w:rsid w:val="00DD7F7A"/>
    <w:rsid w:val="00DE0185"/>
    <w:rsid w:val="00DE0598"/>
    <w:rsid w:val="00DE079E"/>
    <w:rsid w:val="00DE0CA7"/>
    <w:rsid w:val="00DE0DFD"/>
    <w:rsid w:val="00DE0E43"/>
    <w:rsid w:val="00DE10A3"/>
    <w:rsid w:val="00DE120F"/>
    <w:rsid w:val="00DE155A"/>
    <w:rsid w:val="00DE1796"/>
    <w:rsid w:val="00DE23BE"/>
    <w:rsid w:val="00DE247B"/>
    <w:rsid w:val="00DE33A2"/>
    <w:rsid w:val="00DE34EF"/>
    <w:rsid w:val="00DE3919"/>
    <w:rsid w:val="00DE3B00"/>
    <w:rsid w:val="00DE4C9D"/>
    <w:rsid w:val="00DE4D25"/>
    <w:rsid w:val="00DE5833"/>
    <w:rsid w:val="00DE5E79"/>
    <w:rsid w:val="00DE62C8"/>
    <w:rsid w:val="00DE6EC4"/>
    <w:rsid w:val="00DE7F9C"/>
    <w:rsid w:val="00DF2809"/>
    <w:rsid w:val="00DF2D57"/>
    <w:rsid w:val="00DF33A5"/>
    <w:rsid w:val="00DF407A"/>
    <w:rsid w:val="00DF4571"/>
    <w:rsid w:val="00DF4798"/>
    <w:rsid w:val="00DF47D6"/>
    <w:rsid w:val="00DF4960"/>
    <w:rsid w:val="00DF4C2A"/>
    <w:rsid w:val="00DF5900"/>
    <w:rsid w:val="00DF5EEE"/>
    <w:rsid w:val="00DF6092"/>
    <w:rsid w:val="00DF620C"/>
    <w:rsid w:val="00DF65E2"/>
    <w:rsid w:val="00DF7195"/>
    <w:rsid w:val="00DF71B2"/>
    <w:rsid w:val="00DF7687"/>
    <w:rsid w:val="00DF7CBF"/>
    <w:rsid w:val="00DF7E0D"/>
    <w:rsid w:val="00E00C73"/>
    <w:rsid w:val="00E00EB9"/>
    <w:rsid w:val="00E01BF6"/>
    <w:rsid w:val="00E01C68"/>
    <w:rsid w:val="00E02131"/>
    <w:rsid w:val="00E021AE"/>
    <w:rsid w:val="00E02E5D"/>
    <w:rsid w:val="00E03182"/>
    <w:rsid w:val="00E032BE"/>
    <w:rsid w:val="00E03712"/>
    <w:rsid w:val="00E03751"/>
    <w:rsid w:val="00E03B67"/>
    <w:rsid w:val="00E04C9D"/>
    <w:rsid w:val="00E0507A"/>
    <w:rsid w:val="00E05C31"/>
    <w:rsid w:val="00E05F6E"/>
    <w:rsid w:val="00E06905"/>
    <w:rsid w:val="00E06A2B"/>
    <w:rsid w:val="00E06B6B"/>
    <w:rsid w:val="00E06F18"/>
    <w:rsid w:val="00E0764F"/>
    <w:rsid w:val="00E07809"/>
    <w:rsid w:val="00E1021A"/>
    <w:rsid w:val="00E10400"/>
    <w:rsid w:val="00E10445"/>
    <w:rsid w:val="00E107AA"/>
    <w:rsid w:val="00E11179"/>
    <w:rsid w:val="00E1225E"/>
    <w:rsid w:val="00E12575"/>
    <w:rsid w:val="00E12820"/>
    <w:rsid w:val="00E12EA3"/>
    <w:rsid w:val="00E12F27"/>
    <w:rsid w:val="00E13010"/>
    <w:rsid w:val="00E13121"/>
    <w:rsid w:val="00E134C5"/>
    <w:rsid w:val="00E13772"/>
    <w:rsid w:val="00E13BB7"/>
    <w:rsid w:val="00E13EDC"/>
    <w:rsid w:val="00E13F35"/>
    <w:rsid w:val="00E14FA0"/>
    <w:rsid w:val="00E15372"/>
    <w:rsid w:val="00E15859"/>
    <w:rsid w:val="00E15B30"/>
    <w:rsid w:val="00E16F82"/>
    <w:rsid w:val="00E17B9E"/>
    <w:rsid w:val="00E2043B"/>
    <w:rsid w:val="00E2059A"/>
    <w:rsid w:val="00E2076C"/>
    <w:rsid w:val="00E20935"/>
    <w:rsid w:val="00E20950"/>
    <w:rsid w:val="00E20B78"/>
    <w:rsid w:val="00E20CBE"/>
    <w:rsid w:val="00E2134A"/>
    <w:rsid w:val="00E21E76"/>
    <w:rsid w:val="00E21F2F"/>
    <w:rsid w:val="00E22064"/>
    <w:rsid w:val="00E220A4"/>
    <w:rsid w:val="00E22F28"/>
    <w:rsid w:val="00E230F7"/>
    <w:rsid w:val="00E2498F"/>
    <w:rsid w:val="00E24B35"/>
    <w:rsid w:val="00E24E10"/>
    <w:rsid w:val="00E25420"/>
    <w:rsid w:val="00E25AD0"/>
    <w:rsid w:val="00E261B7"/>
    <w:rsid w:val="00E27DD3"/>
    <w:rsid w:val="00E3020C"/>
    <w:rsid w:val="00E3034E"/>
    <w:rsid w:val="00E3073F"/>
    <w:rsid w:val="00E308E2"/>
    <w:rsid w:val="00E312B2"/>
    <w:rsid w:val="00E3143E"/>
    <w:rsid w:val="00E31715"/>
    <w:rsid w:val="00E32022"/>
    <w:rsid w:val="00E321B4"/>
    <w:rsid w:val="00E328BA"/>
    <w:rsid w:val="00E3330D"/>
    <w:rsid w:val="00E339B5"/>
    <w:rsid w:val="00E33CC1"/>
    <w:rsid w:val="00E3400C"/>
    <w:rsid w:val="00E34873"/>
    <w:rsid w:val="00E34928"/>
    <w:rsid w:val="00E355AC"/>
    <w:rsid w:val="00E35A16"/>
    <w:rsid w:val="00E35F24"/>
    <w:rsid w:val="00E36244"/>
    <w:rsid w:val="00E367BE"/>
    <w:rsid w:val="00E36FBE"/>
    <w:rsid w:val="00E37689"/>
    <w:rsid w:val="00E37B23"/>
    <w:rsid w:val="00E37BE3"/>
    <w:rsid w:val="00E37D9A"/>
    <w:rsid w:val="00E400C5"/>
    <w:rsid w:val="00E4027C"/>
    <w:rsid w:val="00E40AA2"/>
    <w:rsid w:val="00E41531"/>
    <w:rsid w:val="00E430FA"/>
    <w:rsid w:val="00E4327F"/>
    <w:rsid w:val="00E43639"/>
    <w:rsid w:val="00E437A0"/>
    <w:rsid w:val="00E43AAA"/>
    <w:rsid w:val="00E44583"/>
    <w:rsid w:val="00E44AAA"/>
    <w:rsid w:val="00E44E2F"/>
    <w:rsid w:val="00E4546B"/>
    <w:rsid w:val="00E457E2"/>
    <w:rsid w:val="00E458A7"/>
    <w:rsid w:val="00E4630B"/>
    <w:rsid w:val="00E463AB"/>
    <w:rsid w:val="00E46428"/>
    <w:rsid w:val="00E46676"/>
    <w:rsid w:val="00E46BA7"/>
    <w:rsid w:val="00E4722B"/>
    <w:rsid w:val="00E478FF"/>
    <w:rsid w:val="00E507ED"/>
    <w:rsid w:val="00E50C4C"/>
    <w:rsid w:val="00E51486"/>
    <w:rsid w:val="00E51B7F"/>
    <w:rsid w:val="00E51B98"/>
    <w:rsid w:val="00E523A5"/>
    <w:rsid w:val="00E5278A"/>
    <w:rsid w:val="00E52DB8"/>
    <w:rsid w:val="00E532F8"/>
    <w:rsid w:val="00E53452"/>
    <w:rsid w:val="00E5349D"/>
    <w:rsid w:val="00E53A28"/>
    <w:rsid w:val="00E53A56"/>
    <w:rsid w:val="00E53F3D"/>
    <w:rsid w:val="00E540DE"/>
    <w:rsid w:val="00E54170"/>
    <w:rsid w:val="00E54396"/>
    <w:rsid w:val="00E5490E"/>
    <w:rsid w:val="00E549B3"/>
    <w:rsid w:val="00E54A0F"/>
    <w:rsid w:val="00E551B8"/>
    <w:rsid w:val="00E563AA"/>
    <w:rsid w:val="00E564CC"/>
    <w:rsid w:val="00E56DED"/>
    <w:rsid w:val="00E56FE1"/>
    <w:rsid w:val="00E570FA"/>
    <w:rsid w:val="00E57C26"/>
    <w:rsid w:val="00E57E3B"/>
    <w:rsid w:val="00E57FF6"/>
    <w:rsid w:val="00E6127F"/>
    <w:rsid w:val="00E61A54"/>
    <w:rsid w:val="00E61AE8"/>
    <w:rsid w:val="00E61E65"/>
    <w:rsid w:val="00E61EDD"/>
    <w:rsid w:val="00E61F29"/>
    <w:rsid w:val="00E62028"/>
    <w:rsid w:val="00E628AA"/>
    <w:rsid w:val="00E62986"/>
    <w:rsid w:val="00E62BEA"/>
    <w:rsid w:val="00E62F5A"/>
    <w:rsid w:val="00E63134"/>
    <w:rsid w:val="00E63569"/>
    <w:rsid w:val="00E64472"/>
    <w:rsid w:val="00E64C68"/>
    <w:rsid w:val="00E64E0E"/>
    <w:rsid w:val="00E6522E"/>
    <w:rsid w:val="00E65DAA"/>
    <w:rsid w:val="00E661EE"/>
    <w:rsid w:val="00E6622A"/>
    <w:rsid w:val="00E6652A"/>
    <w:rsid w:val="00E67149"/>
    <w:rsid w:val="00E673C9"/>
    <w:rsid w:val="00E67635"/>
    <w:rsid w:val="00E67D8E"/>
    <w:rsid w:val="00E705EA"/>
    <w:rsid w:val="00E7071D"/>
    <w:rsid w:val="00E70807"/>
    <w:rsid w:val="00E70E08"/>
    <w:rsid w:val="00E7101C"/>
    <w:rsid w:val="00E71173"/>
    <w:rsid w:val="00E71CE0"/>
    <w:rsid w:val="00E7287F"/>
    <w:rsid w:val="00E731FA"/>
    <w:rsid w:val="00E7346A"/>
    <w:rsid w:val="00E735C4"/>
    <w:rsid w:val="00E736E2"/>
    <w:rsid w:val="00E73CA9"/>
    <w:rsid w:val="00E73DA3"/>
    <w:rsid w:val="00E7447D"/>
    <w:rsid w:val="00E74655"/>
    <w:rsid w:val="00E75795"/>
    <w:rsid w:val="00E7582B"/>
    <w:rsid w:val="00E75B20"/>
    <w:rsid w:val="00E75B7C"/>
    <w:rsid w:val="00E76A48"/>
    <w:rsid w:val="00E76BD9"/>
    <w:rsid w:val="00E775C5"/>
    <w:rsid w:val="00E804AF"/>
    <w:rsid w:val="00E805FF"/>
    <w:rsid w:val="00E808EF"/>
    <w:rsid w:val="00E80CFE"/>
    <w:rsid w:val="00E80F1F"/>
    <w:rsid w:val="00E80F5D"/>
    <w:rsid w:val="00E8127F"/>
    <w:rsid w:val="00E8159C"/>
    <w:rsid w:val="00E81F3A"/>
    <w:rsid w:val="00E81FCC"/>
    <w:rsid w:val="00E82004"/>
    <w:rsid w:val="00E8275C"/>
    <w:rsid w:val="00E831E0"/>
    <w:rsid w:val="00E8331D"/>
    <w:rsid w:val="00E8333E"/>
    <w:rsid w:val="00E8380D"/>
    <w:rsid w:val="00E83B4A"/>
    <w:rsid w:val="00E83C45"/>
    <w:rsid w:val="00E845C9"/>
    <w:rsid w:val="00E84679"/>
    <w:rsid w:val="00E8477B"/>
    <w:rsid w:val="00E84CAF"/>
    <w:rsid w:val="00E8523C"/>
    <w:rsid w:val="00E859D2"/>
    <w:rsid w:val="00E85A68"/>
    <w:rsid w:val="00E85CB8"/>
    <w:rsid w:val="00E871E4"/>
    <w:rsid w:val="00E87E11"/>
    <w:rsid w:val="00E87EA0"/>
    <w:rsid w:val="00E902A0"/>
    <w:rsid w:val="00E903A7"/>
    <w:rsid w:val="00E90AC9"/>
    <w:rsid w:val="00E90C3D"/>
    <w:rsid w:val="00E90C93"/>
    <w:rsid w:val="00E91275"/>
    <w:rsid w:val="00E91427"/>
    <w:rsid w:val="00E91624"/>
    <w:rsid w:val="00E91CBC"/>
    <w:rsid w:val="00E920BE"/>
    <w:rsid w:val="00E927BA"/>
    <w:rsid w:val="00E9291C"/>
    <w:rsid w:val="00E92D86"/>
    <w:rsid w:val="00E935CE"/>
    <w:rsid w:val="00E936D3"/>
    <w:rsid w:val="00E93969"/>
    <w:rsid w:val="00E93DF4"/>
    <w:rsid w:val="00E942C8"/>
    <w:rsid w:val="00E9430B"/>
    <w:rsid w:val="00E946B7"/>
    <w:rsid w:val="00E94730"/>
    <w:rsid w:val="00E9487F"/>
    <w:rsid w:val="00E94B45"/>
    <w:rsid w:val="00E94FB6"/>
    <w:rsid w:val="00E95190"/>
    <w:rsid w:val="00E952CF"/>
    <w:rsid w:val="00E96134"/>
    <w:rsid w:val="00E9622D"/>
    <w:rsid w:val="00E96510"/>
    <w:rsid w:val="00E966A2"/>
    <w:rsid w:val="00E96AF0"/>
    <w:rsid w:val="00E979C1"/>
    <w:rsid w:val="00E97BEA"/>
    <w:rsid w:val="00EA01E5"/>
    <w:rsid w:val="00EA026E"/>
    <w:rsid w:val="00EA0742"/>
    <w:rsid w:val="00EA0ACB"/>
    <w:rsid w:val="00EA195A"/>
    <w:rsid w:val="00EA1AB0"/>
    <w:rsid w:val="00EA1CD2"/>
    <w:rsid w:val="00EA1EFF"/>
    <w:rsid w:val="00EA1FCE"/>
    <w:rsid w:val="00EA207A"/>
    <w:rsid w:val="00EA2284"/>
    <w:rsid w:val="00EA25C5"/>
    <w:rsid w:val="00EA2B81"/>
    <w:rsid w:val="00EA32EB"/>
    <w:rsid w:val="00EA3424"/>
    <w:rsid w:val="00EA3C24"/>
    <w:rsid w:val="00EA4359"/>
    <w:rsid w:val="00EA49CA"/>
    <w:rsid w:val="00EA4D84"/>
    <w:rsid w:val="00EA5C57"/>
    <w:rsid w:val="00EA607B"/>
    <w:rsid w:val="00EA6276"/>
    <w:rsid w:val="00EA62DD"/>
    <w:rsid w:val="00EA6495"/>
    <w:rsid w:val="00EA64E4"/>
    <w:rsid w:val="00EA6D84"/>
    <w:rsid w:val="00EA6F08"/>
    <w:rsid w:val="00EA7305"/>
    <w:rsid w:val="00EA7701"/>
    <w:rsid w:val="00EA791D"/>
    <w:rsid w:val="00EA7A8F"/>
    <w:rsid w:val="00EA7FEE"/>
    <w:rsid w:val="00EB150B"/>
    <w:rsid w:val="00EB2753"/>
    <w:rsid w:val="00EB2D0E"/>
    <w:rsid w:val="00EB4746"/>
    <w:rsid w:val="00EB4C35"/>
    <w:rsid w:val="00EB588B"/>
    <w:rsid w:val="00EB5C77"/>
    <w:rsid w:val="00EB6066"/>
    <w:rsid w:val="00EB61E7"/>
    <w:rsid w:val="00EB64E6"/>
    <w:rsid w:val="00EB65DF"/>
    <w:rsid w:val="00EB70F1"/>
    <w:rsid w:val="00EB75C0"/>
    <w:rsid w:val="00EB7F38"/>
    <w:rsid w:val="00EB7F93"/>
    <w:rsid w:val="00EC022D"/>
    <w:rsid w:val="00EC0676"/>
    <w:rsid w:val="00EC14D1"/>
    <w:rsid w:val="00EC1EBB"/>
    <w:rsid w:val="00EC204D"/>
    <w:rsid w:val="00EC2890"/>
    <w:rsid w:val="00EC2A25"/>
    <w:rsid w:val="00EC2FF4"/>
    <w:rsid w:val="00EC3027"/>
    <w:rsid w:val="00EC33A7"/>
    <w:rsid w:val="00EC3777"/>
    <w:rsid w:val="00EC3B9C"/>
    <w:rsid w:val="00EC3F2A"/>
    <w:rsid w:val="00EC4039"/>
    <w:rsid w:val="00EC41A7"/>
    <w:rsid w:val="00EC514F"/>
    <w:rsid w:val="00EC63E9"/>
    <w:rsid w:val="00EC7148"/>
    <w:rsid w:val="00EC75C9"/>
    <w:rsid w:val="00EC7DD8"/>
    <w:rsid w:val="00ED0028"/>
    <w:rsid w:val="00ED00C2"/>
    <w:rsid w:val="00ED00E8"/>
    <w:rsid w:val="00ED02DA"/>
    <w:rsid w:val="00ED0416"/>
    <w:rsid w:val="00ED04B8"/>
    <w:rsid w:val="00ED053C"/>
    <w:rsid w:val="00ED08CD"/>
    <w:rsid w:val="00ED0970"/>
    <w:rsid w:val="00ED09D1"/>
    <w:rsid w:val="00ED0B7D"/>
    <w:rsid w:val="00ED0C38"/>
    <w:rsid w:val="00ED1025"/>
    <w:rsid w:val="00ED1A56"/>
    <w:rsid w:val="00ED1E0F"/>
    <w:rsid w:val="00ED2422"/>
    <w:rsid w:val="00ED2C2B"/>
    <w:rsid w:val="00ED2DE9"/>
    <w:rsid w:val="00ED350A"/>
    <w:rsid w:val="00ED38E3"/>
    <w:rsid w:val="00ED4B82"/>
    <w:rsid w:val="00ED52FE"/>
    <w:rsid w:val="00ED54DF"/>
    <w:rsid w:val="00ED590D"/>
    <w:rsid w:val="00ED5972"/>
    <w:rsid w:val="00ED5B34"/>
    <w:rsid w:val="00ED5F65"/>
    <w:rsid w:val="00ED66C0"/>
    <w:rsid w:val="00ED6D80"/>
    <w:rsid w:val="00ED7098"/>
    <w:rsid w:val="00ED71CA"/>
    <w:rsid w:val="00EE0785"/>
    <w:rsid w:val="00EE11BF"/>
    <w:rsid w:val="00EE1A70"/>
    <w:rsid w:val="00EE1D43"/>
    <w:rsid w:val="00EE1DD9"/>
    <w:rsid w:val="00EE1E5A"/>
    <w:rsid w:val="00EE2AC7"/>
    <w:rsid w:val="00EE2B94"/>
    <w:rsid w:val="00EE2FB2"/>
    <w:rsid w:val="00EE30AA"/>
    <w:rsid w:val="00EE32B3"/>
    <w:rsid w:val="00EE335F"/>
    <w:rsid w:val="00EE395F"/>
    <w:rsid w:val="00EE39B3"/>
    <w:rsid w:val="00EE3A58"/>
    <w:rsid w:val="00EE3E44"/>
    <w:rsid w:val="00EE449E"/>
    <w:rsid w:val="00EE4EF2"/>
    <w:rsid w:val="00EE5F7B"/>
    <w:rsid w:val="00EE6A23"/>
    <w:rsid w:val="00EE6D45"/>
    <w:rsid w:val="00EE726D"/>
    <w:rsid w:val="00EE7475"/>
    <w:rsid w:val="00EE74B7"/>
    <w:rsid w:val="00EE765D"/>
    <w:rsid w:val="00EE766D"/>
    <w:rsid w:val="00EF0D73"/>
    <w:rsid w:val="00EF102B"/>
    <w:rsid w:val="00EF20C4"/>
    <w:rsid w:val="00EF2806"/>
    <w:rsid w:val="00EF2925"/>
    <w:rsid w:val="00EF2A11"/>
    <w:rsid w:val="00EF2A2B"/>
    <w:rsid w:val="00EF378E"/>
    <w:rsid w:val="00EF4158"/>
    <w:rsid w:val="00EF4D42"/>
    <w:rsid w:val="00EF510B"/>
    <w:rsid w:val="00EF5483"/>
    <w:rsid w:val="00EF5892"/>
    <w:rsid w:val="00EF5A01"/>
    <w:rsid w:val="00EF5DEA"/>
    <w:rsid w:val="00EF60DA"/>
    <w:rsid w:val="00EF645D"/>
    <w:rsid w:val="00EF6720"/>
    <w:rsid w:val="00EF6885"/>
    <w:rsid w:val="00EF6AE6"/>
    <w:rsid w:val="00EF6CBD"/>
    <w:rsid w:val="00EF6CCA"/>
    <w:rsid w:val="00EF71E8"/>
    <w:rsid w:val="00EF7FBC"/>
    <w:rsid w:val="00F00406"/>
    <w:rsid w:val="00F00700"/>
    <w:rsid w:val="00F00F64"/>
    <w:rsid w:val="00F014CA"/>
    <w:rsid w:val="00F018B0"/>
    <w:rsid w:val="00F01BB6"/>
    <w:rsid w:val="00F021DC"/>
    <w:rsid w:val="00F02614"/>
    <w:rsid w:val="00F02653"/>
    <w:rsid w:val="00F02858"/>
    <w:rsid w:val="00F02C20"/>
    <w:rsid w:val="00F044E5"/>
    <w:rsid w:val="00F045B0"/>
    <w:rsid w:val="00F045D8"/>
    <w:rsid w:val="00F04A2E"/>
    <w:rsid w:val="00F04D87"/>
    <w:rsid w:val="00F04E40"/>
    <w:rsid w:val="00F05EAE"/>
    <w:rsid w:val="00F0610A"/>
    <w:rsid w:val="00F063F6"/>
    <w:rsid w:val="00F063FF"/>
    <w:rsid w:val="00F066E5"/>
    <w:rsid w:val="00F06F30"/>
    <w:rsid w:val="00F0735C"/>
    <w:rsid w:val="00F075A0"/>
    <w:rsid w:val="00F078C4"/>
    <w:rsid w:val="00F07A9D"/>
    <w:rsid w:val="00F07C5C"/>
    <w:rsid w:val="00F1039A"/>
    <w:rsid w:val="00F10534"/>
    <w:rsid w:val="00F107BB"/>
    <w:rsid w:val="00F10997"/>
    <w:rsid w:val="00F10A3D"/>
    <w:rsid w:val="00F117BF"/>
    <w:rsid w:val="00F11845"/>
    <w:rsid w:val="00F12146"/>
    <w:rsid w:val="00F135CA"/>
    <w:rsid w:val="00F13770"/>
    <w:rsid w:val="00F13819"/>
    <w:rsid w:val="00F13EB3"/>
    <w:rsid w:val="00F141D9"/>
    <w:rsid w:val="00F146B2"/>
    <w:rsid w:val="00F146CB"/>
    <w:rsid w:val="00F14BE0"/>
    <w:rsid w:val="00F14D52"/>
    <w:rsid w:val="00F16223"/>
    <w:rsid w:val="00F169D7"/>
    <w:rsid w:val="00F16D7C"/>
    <w:rsid w:val="00F171F2"/>
    <w:rsid w:val="00F17357"/>
    <w:rsid w:val="00F17465"/>
    <w:rsid w:val="00F17A61"/>
    <w:rsid w:val="00F17B2F"/>
    <w:rsid w:val="00F17CD2"/>
    <w:rsid w:val="00F20301"/>
    <w:rsid w:val="00F20751"/>
    <w:rsid w:val="00F20D27"/>
    <w:rsid w:val="00F20E52"/>
    <w:rsid w:val="00F21554"/>
    <w:rsid w:val="00F218B5"/>
    <w:rsid w:val="00F21A92"/>
    <w:rsid w:val="00F21D1C"/>
    <w:rsid w:val="00F221B2"/>
    <w:rsid w:val="00F2288F"/>
    <w:rsid w:val="00F228C8"/>
    <w:rsid w:val="00F23246"/>
    <w:rsid w:val="00F2467E"/>
    <w:rsid w:val="00F2487C"/>
    <w:rsid w:val="00F25026"/>
    <w:rsid w:val="00F2534D"/>
    <w:rsid w:val="00F25ABA"/>
    <w:rsid w:val="00F25FB7"/>
    <w:rsid w:val="00F2601D"/>
    <w:rsid w:val="00F26112"/>
    <w:rsid w:val="00F26A26"/>
    <w:rsid w:val="00F27D62"/>
    <w:rsid w:val="00F300CD"/>
    <w:rsid w:val="00F306D9"/>
    <w:rsid w:val="00F3077C"/>
    <w:rsid w:val="00F314F6"/>
    <w:rsid w:val="00F3151A"/>
    <w:rsid w:val="00F31674"/>
    <w:rsid w:val="00F319E6"/>
    <w:rsid w:val="00F31C19"/>
    <w:rsid w:val="00F3254B"/>
    <w:rsid w:val="00F32D5B"/>
    <w:rsid w:val="00F331CA"/>
    <w:rsid w:val="00F33BD7"/>
    <w:rsid w:val="00F33FAB"/>
    <w:rsid w:val="00F34310"/>
    <w:rsid w:val="00F34630"/>
    <w:rsid w:val="00F34DBA"/>
    <w:rsid w:val="00F34F15"/>
    <w:rsid w:val="00F3524A"/>
    <w:rsid w:val="00F354FE"/>
    <w:rsid w:val="00F35EAC"/>
    <w:rsid w:val="00F36186"/>
    <w:rsid w:val="00F361FE"/>
    <w:rsid w:val="00F36299"/>
    <w:rsid w:val="00F366FC"/>
    <w:rsid w:val="00F369CA"/>
    <w:rsid w:val="00F36C62"/>
    <w:rsid w:val="00F371AD"/>
    <w:rsid w:val="00F37931"/>
    <w:rsid w:val="00F37A1B"/>
    <w:rsid w:val="00F40258"/>
    <w:rsid w:val="00F405D1"/>
    <w:rsid w:val="00F40630"/>
    <w:rsid w:val="00F40DA7"/>
    <w:rsid w:val="00F4179A"/>
    <w:rsid w:val="00F418C3"/>
    <w:rsid w:val="00F42507"/>
    <w:rsid w:val="00F42553"/>
    <w:rsid w:val="00F4289F"/>
    <w:rsid w:val="00F42AAE"/>
    <w:rsid w:val="00F4304C"/>
    <w:rsid w:val="00F4341D"/>
    <w:rsid w:val="00F437C1"/>
    <w:rsid w:val="00F43827"/>
    <w:rsid w:val="00F43BAE"/>
    <w:rsid w:val="00F43DFD"/>
    <w:rsid w:val="00F43F83"/>
    <w:rsid w:val="00F440CC"/>
    <w:rsid w:val="00F444BC"/>
    <w:rsid w:val="00F44696"/>
    <w:rsid w:val="00F44AB5"/>
    <w:rsid w:val="00F44AF9"/>
    <w:rsid w:val="00F44E8D"/>
    <w:rsid w:val="00F45628"/>
    <w:rsid w:val="00F4568F"/>
    <w:rsid w:val="00F45A9C"/>
    <w:rsid w:val="00F45E31"/>
    <w:rsid w:val="00F45EF8"/>
    <w:rsid w:val="00F462FD"/>
    <w:rsid w:val="00F46358"/>
    <w:rsid w:val="00F4648F"/>
    <w:rsid w:val="00F46DB6"/>
    <w:rsid w:val="00F46FD7"/>
    <w:rsid w:val="00F479F4"/>
    <w:rsid w:val="00F47BB3"/>
    <w:rsid w:val="00F47CFB"/>
    <w:rsid w:val="00F5078B"/>
    <w:rsid w:val="00F50961"/>
    <w:rsid w:val="00F511EB"/>
    <w:rsid w:val="00F51B29"/>
    <w:rsid w:val="00F51BBA"/>
    <w:rsid w:val="00F523EC"/>
    <w:rsid w:val="00F527E2"/>
    <w:rsid w:val="00F527E7"/>
    <w:rsid w:val="00F52EFC"/>
    <w:rsid w:val="00F531AB"/>
    <w:rsid w:val="00F53692"/>
    <w:rsid w:val="00F54071"/>
    <w:rsid w:val="00F5491E"/>
    <w:rsid w:val="00F54AB1"/>
    <w:rsid w:val="00F550A4"/>
    <w:rsid w:val="00F5510C"/>
    <w:rsid w:val="00F554B2"/>
    <w:rsid w:val="00F55F05"/>
    <w:rsid w:val="00F563C2"/>
    <w:rsid w:val="00F56C73"/>
    <w:rsid w:val="00F57425"/>
    <w:rsid w:val="00F575E5"/>
    <w:rsid w:val="00F5770D"/>
    <w:rsid w:val="00F5776B"/>
    <w:rsid w:val="00F60586"/>
    <w:rsid w:val="00F60647"/>
    <w:rsid w:val="00F60A01"/>
    <w:rsid w:val="00F60A1C"/>
    <w:rsid w:val="00F61506"/>
    <w:rsid w:val="00F61701"/>
    <w:rsid w:val="00F61C72"/>
    <w:rsid w:val="00F62C2B"/>
    <w:rsid w:val="00F62DC9"/>
    <w:rsid w:val="00F62FAF"/>
    <w:rsid w:val="00F63401"/>
    <w:rsid w:val="00F63B80"/>
    <w:rsid w:val="00F643E7"/>
    <w:rsid w:val="00F646FA"/>
    <w:rsid w:val="00F64775"/>
    <w:rsid w:val="00F64FF8"/>
    <w:rsid w:val="00F65223"/>
    <w:rsid w:val="00F65B20"/>
    <w:rsid w:val="00F65D77"/>
    <w:rsid w:val="00F660D1"/>
    <w:rsid w:val="00F671D2"/>
    <w:rsid w:val="00F6782D"/>
    <w:rsid w:val="00F6789B"/>
    <w:rsid w:val="00F67F32"/>
    <w:rsid w:val="00F70286"/>
    <w:rsid w:val="00F70857"/>
    <w:rsid w:val="00F70AB4"/>
    <w:rsid w:val="00F70EA1"/>
    <w:rsid w:val="00F70F66"/>
    <w:rsid w:val="00F711C6"/>
    <w:rsid w:val="00F71AB8"/>
    <w:rsid w:val="00F7223A"/>
    <w:rsid w:val="00F72B2A"/>
    <w:rsid w:val="00F72F6C"/>
    <w:rsid w:val="00F73829"/>
    <w:rsid w:val="00F73ADF"/>
    <w:rsid w:val="00F744BA"/>
    <w:rsid w:val="00F748FC"/>
    <w:rsid w:val="00F74B00"/>
    <w:rsid w:val="00F75C7E"/>
    <w:rsid w:val="00F75DDF"/>
    <w:rsid w:val="00F762C4"/>
    <w:rsid w:val="00F7699C"/>
    <w:rsid w:val="00F76D99"/>
    <w:rsid w:val="00F80364"/>
    <w:rsid w:val="00F80AED"/>
    <w:rsid w:val="00F80B0F"/>
    <w:rsid w:val="00F80CE0"/>
    <w:rsid w:val="00F810AC"/>
    <w:rsid w:val="00F81458"/>
    <w:rsid w:val="00F81A41"/>
    <w:rsid w:val="00F81A44"/>
    <w:rsid w:val="00F82091"/>
    <w:rsid w:val="00F822BF"/>
    <w:rsid w:val="00F82382"/>
    <w:rsid w:val="00F826BF"/>
    <w:rsid w:val="00F82910"/>
    <w:rsid w:val="00F82ACC"/>
    <w:rsid w:val="00F82CD0"/>
    <w:rsid w:val="00F83277"/>
    <w:rsid w:val="00F83DAA"/>
    <w:rsid w:val="00F83FB9"/>
    <w:rsid w:val="00F84049"/>
    <w:rsid w:val="00F841A9"/>
    <w:rsid w:val="00F84218"/>
    <w:rsid w:val="00F8429B"/>
    <w:rsid w:val="00F84BEB"/>
    <w:rsid w:val="00F84DB7"/>
    <w:rsid w:val="00F84F21"/>
    <w:rsid w:val="00F85869"/>
    <w:rsid w:val="00F86ACD"/>
    <w:rsid w:val="00F86DF8"/>
    <w:rsid w:val="00F86EC0"/>
    <w:rsid w:val="00F86F76"/>
    <w:rsid w:val="00F87427"/>
    <w:rsid w:val="00F8799A"/>
    <w:rsid w:val="00F879B0"/>
    <w:rsid w:val="00F9018D"/>
    <w:rsid w:val="00F901AF"/>
    <w:rsid w:val="00F904A7"/>
    <w:rsid w:val="00F905CA"/>
    <w:rsid w:val="00F906E3"/>
    <w:rsid w:val="00F90B6E"/>
    <w:rsid w:val="00F90D3D"/>
    <w:rsid w:val="00F910A0"/>
    <w:rsid w:val="00F91533"/>
    <w:rsid w:val="00F91630"/>
    <w:rsid w:val="00F92496"/>
    <w:rsid w:val="00F9354E"/>
    <w:rsid w:val="00F9380C"/>
    <w:rsid w:val="00F9411D"/>
    <w:rsid w:val="00F945F5"/>
    <w:rsid w:val="00F959C4"/>
    <w:rsid w:val="00F95A21"/>
    <w:rsid w:val="00F9671B"/>
    <w:rsid w:val="00F96A3B"/>
    <w:rsid w:val="00F977E3"/>
    <w:rsid w:val="00FA0238"/>
    <w:rsid w:val="00FA0610"/>
    <w:rsid w:val="00FA09AE"/>
    <w:rsid w:val="00FA0C78"/>
    <w:rsid w:val="00FA1786"/>
    <w:rsid w:val="00FA181D"/>
    <w:rsid w:val="00FA19C1"/>
    <w:rsid w:val="00FA1A09"/>
    <w:rsid w:val="00FA1E24"/>
    <w:rsid w:val="00FA2317"/>
    <w:rsid w:val="00FA3F5E"/>
    <w:rsid w:val="00FA4242"/>
    <w:rsid w:val="00FA4D02"/>
    <w:rsid w:val="00FA4FC2"/>
    <w:rsid w:val="00FA5108"/>
    <w:rsid w:val="00FA512A"/>
    <w:rsid w:val="00FA54AC"/>
    <w:rsid w:val="00FA5636"/>
    <w:rsid w:val="00FA5E03"/>
    <w:rsid w:val="00FA5F1D"/>
    <w:rsid w:val="00FA7E2A"/>
    <w:rsid w:val="00FB01B2"/>
    <w:rsid w:val="00FB0A06"/>
    <w:rsid w:val="00FB127D"/>
    <w:rsid w:val="00FB1379"/>
    <w:rsid w:val="00FB1389"/>
    <w:rsid w:val="00FB147A"/>
    <w:rsid w:val="00FB148E"/>
    <w:rsid w:val="00FB244A"/>
    <w:rsid w:val="00FB2493"/>
    <w:rsid w:val="00FB2789"/>
    <w:rsid w:val="00FB2ABC"/>
    <w:rsid w:val="00FB2CE7"/>
    <w:rsid w:val="00FB2F88"/>
    <w:rsid w:val="00FB3401"/>
    <w:rsid w:val="00FB36B5"/>
    <w:rsid w:val="00FB37C4"/>
    <w:rsid w:val="00FB38B9"/>
    <w:rsid w:val="00FB42DA"/>
    <w:rsid w:val="00FB438A"/>
    <w:rsid w:val="00FB4938"/>
    <w:rsid w:val="00FB545A"/>
    <w:rsid w:val="00FB590A"/>
    <w:rsid w:val="00FB5999"/>
    <w:rsid w:val="00FB5C05"/>
    <w:rsid w:val="00FB5D68"/>
    <w:rsid w:val="00FB5EC2"/>
    <w:rsid w:val="00FB62D9"/>
    <w:rsid w:val="00FB6698"/>
    <w:rsid w:val="00FB68D1"/>
    <w:rsid w:val="00FB6ABE"/>
    <w:rsid w:val="00FB6DC0"/>
    <w:rsid w:val="00FB7582"/>
    <w:rsid w:val="00FB77FC"/>
    <w:rsid w:val="00FB7D57"/>
    <w:rsid w:val="00FB7F0A"/>
    <w:rsid w:val="00FC057E"/>
    <w:rsid w:val="00FC0AE4"/>
    <w:rsid w:val="00FC117B"/>
    <w:rsid w:val="00FC132F"/>
    <w:rsid w:val="00FC13EF"/>
    <w:rsid w:val="00FC15EC"/>
    <w:rsid w:val="00FC198E"/>
    <w:rsid w:val="00FC2BAE"/>
    <w:rsid w:val="00FC2F4D"/>
    <w:rsid w:val="00FC2F51"/>
    <w:rsid w:val="00FC39C3"/>
    <w:rsid w:val="00FC39F5"/>
    <w:rsid w:val="00FC3A71"/>
    <w:rsid w:val="00FC3CCD"/>
    <w:rsid w:val="00FC3D3B"/>
    <w:rsid w:val="00FC42AC"/>
    <w:rsid w:val="00FC4837"/>
    <w:rsid w:val="00FC4A11"/>
    <w:rsid w:val="00FC5058"/>
    <w:rsid w:val="00FC5987"/>
    <w:rsid w:val="00FC5DA2"/>
    <w:rsid w:val="00FC61C0"/>
    <w:rsid w:val="00FC676B"/>
    <w:rsid w:val="00FC68BD"/>
    <w:rsid w:val="00FC71EF"/>
    <w:rsid w:val="00FC7317"/>
    <w:rsid w:val="00FC73BE"/>
    <w:rsid w:val="00FC7EBA"/>
    <w:rsid w:val="00FC7FF8"/>
    <w:rsid w:val="00FD01F4"/>
    <w:rsid w:val="00FD0C34"/>
    <w:rsid w:val="00FD14D4"/>
    <w:rsid w:val="00FD2BE3"/>
    <w:rsid w:val="00FD352E"/>
    <w:rsid w:val="00FD37A0"/>
    <w:rsid w:val="00FD3A9B"/>
    <w:rsid w:val="00FD42BE"/>
    <w:rsid w:val="00FD433F"/>
    <w:rsid w:val="00FD43C5"/>
    <w:rsid w:val="00FD4BE5"/>
    <w:rsid w:val="00FD4D69"/>
    <w:rsid w:val="00FD51DA"/>
    <w:rsid w:val="00FD5277"/>
    <w:rsid w:val="00FD54CD"/>
    <w:rsid w:val="00FD55AC"/>
    <w:rsid w:val="00FD5FB3"/>
    <w:rsid w:val="00FD6586"/>
    <w:rsid w:val="00FD67DC"/>
    <w:rsid w:val="00FD6885"/>
    <w:rsid w:val="00FD6B13"/>
    <w:rsid w:val="00FD6E85"/>
    <w:rsid w:val="00FD6EB0"/>
    <w:rsid w:val="00FD71B1"/>
    <w:rsid w:val="00FD798F"/>
    <w:rsid w:val="00FD79A0"/>
    <w:rsid w:val="00FD7C28"/>
    <w:rsid w:val="00FE065B"/>
    <w:rsid w:val="00FE0F2F"/>
    <w:rsid w:val="00FE198B"/>
    <w:rsid w:val="00FE1D67"/>
    <w:rsid w:val="00FE1EDB"/>
    <w:rsid w:val="00FE2F58"/>
    <w:rsid w:val="00FE3947"/>
    <w:rsid w:val="00FE3D55"/>
    <w:rsid w:val="00FE4726"/>
    <w:rsid w:val="00FE4D2C"/>
    <w:rsid w:val="00FE526B"/>
    <w:rsid w:val="00FE55E2"/>
    <w:rsid w:val="00FE5604"/>
    <w:rsid w:val="00FE616A"/>
    <w:rsid w:val="00FE7047"/>
    <w:rsid w:val="00FE7442"/>
    <w:rsid w:val="00FF09C9"/>
    <w:rsid w:val="00FF19D6"/>
    <w:rsid w:val="00FF1A60"/>
    <w:rsid w:val="00FF1AD1"/>
    <w:rsid w:val="00FF1B74"/>
    <w:rsid w:val="00FF29C2"/>
    <w:rsid w:val="00FF2B37"/>
    <w:rsid w:val="00FF2D92"/>
    <w:rsid w:val="00FF2FFF"/>
    <w:rsid w:val="00FF305C"/>
    <w:rsid w:val="00FF3361"/>
    <w:rsid w:val="00FF3530"/>
    <w:rsid w:val="00FF39B1"/>
    <w:rsid w:val="00FF3D08"/>
    <w:rsid w:val="00FF3FEF"/>
    <w:rsid w:val="00FF4FCF"/>
    <w:rsid w:val="00FF5133"/>
    <w:rsid w:val="00FF549E"/>
    <w:rsid w:val="00FF554A"/>
    <w:rsid w:val="00FF5817"/>
    <w:rsid w:val="00FF5DDA"/>
    <w:rsid w:val="00FF5F00"/>
    <w:rsid w:val="00FF7142"/>
    <w:rsid w:val="00FF745C"/>
    <w:rsid w:val="00FF7834"/>
    <w:rsid w:val="00FF7DE1"/>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AU" w:eastAsia="en-AU"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iPriority="9" w:unhideWhenUsed="0" w:qFormat="1"/>
    <w:lsdException w:name="heading 2" w:locked="1" w:semiHidden="0" w:uiPriority="9" w:unhideWhenUsed="0" w:qFormat="1"/>
    <w:lsdException w:name="heading 3" w:locked="1" w:semiHidden="0" w:uiPriority="9" w:unhideWhenUsed="0" w:qFormat="1"/>
    <w:lsdException w:name="heading 4" w:locked="1" w:semiHidden="0" w:uiPriority="1" w:unhideWhenUsed="0" w:qFormat="1"/>
    <w:lsdException w:name="heading 5" w:locked="1" w:uiPriority="10" w:qFormat="1"/>
    <w:lsdException w:name="heading 6" w:locked="1" w:uiPriority="11" w:qFormat="1"/>
    <w:lsdException w:name="heading 7" w:locked="1" w:uiPriority="9" w:qFormat="1"/>
    <w:lsdException w:name="heading 8" w:locked="1" w:uiPriority="99" w:qFormat="1"/>
    <w:lsdException w:name="heading 9" w:locked="1" w:qFormat="1"/>
    <w:lsdException w:name="toc 1" w:locked="1" w:uiPriority="39"/>
    <w:lsdException w:name="toc 2" w:locked="1" w:uiPriority="39"/>
    <w:lsdException w:name="toc 3" w:locked="1" w:uiPriority="39"/>
    <w:lsdException w:name="toc 4" w:locked="1" w:uiPriority="99"/>
    <w:lsdException w:name="toc 5" w:locked="1" w:uiPriority="99"/>
    <w:lsdException w:name="toc 6" w:locked="1" w:uiPriority="99"/>
    <w:lsdException w:name="toc 7" w:locked="1" w:uiPriority="99"/>
    <w:lsdException w:name="toc 8" w:locked="1" w:uiPriority="99"/>
    <w:lsdException w:name="toc 9" w:locked="1" w:uiPriority="99"/>
    <w:lsdException w:name="footnote text" w:uiPriority="99"/>
    <w:lsdException w:name="annotation text" w:uiPriority="99"/>
    <w:lsdException w:name="header" w:uiPriority="99"/>
    <w:lsdException w:name="footer" w:uiPriority="99"/>
    <w:lsdException w:name="caption" w:locked="1" w:uiPriority="4" w:qFormat="1"/>
    <w:lsdException w:name="table of figures" w:uiPriority="99"/>
    <w:lsdException w:name="footnote reference" w:uiPriority="99"/>
    <w:lsdException w:name="annotation reference" w:uiPriority="99"/>
    <w:lsdException w:name="List Bullet" w:uiPriority="22" w:qFormat="1"/>
    <w:lsdException w:name="List Number" w:semiHidden="0" w:uiPriority="99" w:unhideWhenUsed="0"/>
    <w:lsdException w:name="List 4" w:semiHidden="0" w:unhideWhenUsed="0"/>
    <w:lsdException w:name="List 5" w:semiHidden="0" w:unhideWhenUsed="0"/>
    <w:lsdException w:name="List Bullet 2" w:uiPriority="99"/>
    <w:lsdException w:name="List Bullet 3" w:uiPriority="99"/>
    <w:lsdException w:name="List Bullet 4" w:uiPriority="99"/>
    <w:lsdException w:name="List Bullet 5" w:uiPriority="99"/>
    <w:lsdException w:name="List Number 2" w:uiPriority="99"/>
    <w:lsdException w:name="List Number 3" w:uiPriority="99"/>
    <w:lsdException w:name="List Number 4" w:uiPriority="99"/>
    <w:lsdException w:name="List Number 5" w:uiPriority="99"/>
    <w:lsdException w:name="Title" w:locked="1" w:semiHidden="0" w:unhideWhenUsed="0" w:qFormat="1"/>
    <w:lsdException w:name="Default Paragraph Font" w:locked="1"/>
    <w:lsdException w:name="Body Text" w:locked="1" w:qFormat="1"/>
    <w:lsdException w:name="Body Text Indent" w:uiPriority="99"/>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locked="1" w:semiHidden="0" w:uiPriority="22" w:unhideWhenUsed="0" w:qFormat="1"/>
    <w:lsdException w:name="Emphasis" w:locked="1" w:semiHidden="0" w:uiPriority="20" w:unhideWhenUsed="0" w:qFormat="1"/>
    <w:lsdException w:name="Document Map" w:uiPriority="99"/>
    <w:lsdException w:name="Plain Text" w:locked="1" w:uiPriority="99"/>
    <w:lsdException w:name="Normal (Web)" w:uiPriority="99"/>
    <w:lsdException w:name="HTML Preformatted" w:uiPriority="99"/>
    <w:lsdException w:name="annotation subject" w:uiPriority="99"/>
    <w:lsdException w:name="No List" w:uiPriority="99"/>
    <w:lsdException w:name="Balloon Text" w:uiPriority="99"/>
    <w:lsdException w:name="Table Grid" w:locked="1"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99"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99"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99" w:unhideWhenUsed="0" w:qFormat="1"/>
    <w:lsdException w:name="Intense Emphasis" w:semiHidden="0" w:uiPriority="21" w:unhideWhenUsed="0" w:qFormat="1"/>
    <w:lsdException w:name="Subtle Reference" w:semiHidden="0" w:uiPriority="31" w:unhideWhenUsed="0" w:qFormat="1"/>
    <w:lsdException w:name="Intense Reference" w:semiHidden="0" w:uiPriority="99" w:unhideWhenUsed="0" w:qFormat="1"/>
    <w:lsdException w:name="Book Title" w:semiHidden="0" w:uiPriority="33" w:unhideWhenUsed="0" w:qFormat="1"/>
    <w:lsdException w:name="Bibliography" w:uiPriority="37"/>
    <w:lsdException w:name="TOC Heading" w:uiPriority="99" w:qFormat="1"/>
  </w:latentStyles>
  <w:style w:type="paragraph" w:default="1" w:styleId="Normal">
    <w:name w:val="Normal"/>
    <w:qFormat/>
    <w:rsid w:val="00843DA1"/>
    <w:pPr>
      <w:spacing w:after="360" w:line="360" w:lineRule="auto"/>
      <w:jc w:val="both"/>
    </w:pPr>
    <w:rPr>
      <w:sz w:val="22"/>
      <w:lang w:eastAsia="en-US"/>
    </w:rPr>
  </w:style>
  <w:style w:type="paragraph" w:styleId="Heading1">
    <w:name w:val="heading 1"/>
    <w:aliases w:val="H1"/>
    <w:basedOn w:val="Normal"/>
    <w:next w:val="Normal"/>
    <w:link w:val="Heading1Char"/>
    <w:autoRedefine/>
    <w:uiPriority w:val="9"/>
    <w:qFormat/>
    <w:rsid w:val="007E5E7D"/>
    <w:pPr>
      <w:keepNext/>
      <w:tabs>
        <w:tab w:val="left" w:pos="2694"/>
      </w:tabs>
      <w:spacing w:after="0"/>
      <w:jc w:val="left"/>
      <w:outlineLvl w:val="0"/>
    </w:pPr>
    <w:rPr>
      <w:rFonts w:eastAsia="Times New Roman"/>
      <w:b/>
      <w:smallCaps/>
      <w:noProof/>
      <w:color w:val="4F6228"/>
      <w:spacing w:val="5"/>
      <w:sz w:val="40"/>
      <w:szCs w:val="40"/>
      <w:lang w:val="en-US" w:eastAsia="en-AU"/>
    </w:rPr>
  </w:style>
  <w:style w:type="paragraph" w:styleId="Heading2">
    <w:name w:val="heading 2"/>
    <w:aliases w:val="H2"/>
    <w:basedOn w:val="Normal"/>
    <w:next w:val="Normal"/>
    <w:link w:val="Heading2Char"/>
    <w:autoRedefine/>
    <w:uiPriority w:val="9"/>
    <w:qFormat/>
    <w:rsid w:val="00C506A3"/>
    <w:pPr>
      <w:keepNext/>
      <w:spacing w:before="240" w:after="60"/>
      <w:outlineLvl w:val="1"/>
    </w:pPr>
    <w:rPr>
      <w:b/>
      <w:bCs/>
      <w:iCs/>
      <w:color w:val="4F6228" w:themeColor="accent3" w:themeShade="80"/>
      <w:sz w:val="32"/>
      <w:szCs w:val="28"/>
    </w:rPr>
  </w:style>
  <w:style w:type="paragraph" w:styleId="Heading3">
    <w:name w:val="heading 3"/>
    <w:aliases w:val="H3"/>
    <w:basedOn w:val="Heading2"/>
    <w:next w:val="Normal"/>
    <w:link w:val="Heading3Char"/>
    <w:uiPriority w:val="9"/>
    <w:qFormat/>
    <w:rsid w:val="009C3C00"/>
    <w:pPr>
      <w:outlineLvl w:val="2"/>
    </w:pPr>
    <w:rPr>
      <w:bCs w:val="0"/>
      <w:sz w:val="24"/>
      <w:szCs w:val="26"/>
    </w:rPr>
  </w:style>
  <w:style w:type="paragraph" w:styleId="Heading4">
    <w:name w:val="heading 4"/>
    <w:aliases w:val="H4"/>
    <w:basedOn w:val="Normal"/>
    <w:next w:val="Normal"/>
    <w:link w:val="Heading4Char"/>
    <w:uiPriority w:val="1"/>
    <w:qFormat/>
    <w:rsid w:val="009375D5"/>
    <w:pPr>
      <w:keepNext/>
      <w:spacing w:before="240" w:after="60"/>
      <w:outlineLvl w:val="3"/>
    </w:pPr>
    <w:rPr>
      <w:b/>
      <w:bCs/>
      <w:i/>
      <w:szCs w:val="28"/>
    </w:rPr>
  </w:style>
  <w:style w:type="paragraph" w:styleId="Heading5">
    <w:name w:val="heading 5"/>
    <w:aliases w:val="H5"/>
    <w:basedOn w:val="Normal"/>
    <w:next w:val="Normal"/>
    <w:link w:val="Heading5Char"/>
    <w:uiPriority w:val="10"/>
    <w:unhideWhenUsed/>
    <w:qFormat/>
    <w:locked/>
    <w:rsid w:val="00847ACE"/>
    <w:pPr>
      <w:keepNext/>
      <w:keepLines/>
      <w:spacing w:before="200" w:after="0" w:line="240" w:lineRule="auto"/>
      <w:jc w:val="left"/>
      <w:outlineLvl w:val="4"/>
    </w:pPr>
    <w:rPr>
      <w:rFonts w:asciiTheme="minorHAnsi" w:eastAsiaTheme="majorEastAsia" w:hAnsiTheme="minorHAnsi" w:cstheme="majorBidi"/>
      <w:color w:val="243F60" w:themeColor="accent1" w:themeShade="7F"/>
      <w:kern w:val="28"/>
    </w:rPr>
  </w:style>
  <w:style w:type="paragraph" w:styleId="Heading6">
    <w:name w:val="heading 6"/>
    <w:aliases w:val="H6"/>
    <w:basedOn w:val="Normal"/>
    <w:next w:val="Normal"/>
    <w:link w:val="Heading6Char"/>
    <w:uiPriority w:val="11"/>
    <w:semiHidden/>
    <w:unhideWhenUsed/>
    <w:qFormat/>
    <w:locked/>
    <w:rsid w:val="00847ACE"/>
    <w:pPr>
      <w:keepNext/>
      <w:keepLines/>
      <w:spacing w:before="200" w:after="0" w:line="240" w:lineRule="auto"/>
      <w:jc w:val="left"/>
      <w:outlineLvl w:val="5"/>
    </w:pPr>
    <w:rPr>
      <w:rFonts w:asciiTheme="majorHAnsi" w:eastAsiaTheme="majorEastAsia" w:hAnsiTheme="majorHAnsi" w:cstheme="majorBidi"/>
      <w:i/>
      <w:iCs/>
      <w:color w:val="243F60" w:themeColor="accent1" w:themeShade="7F"/>
      <w:kern w:val="28"/>
    </w:rPr>
  </w:style>
  <w:style w:type="paragraph" w:styleId="Heading7">
    <w:name w:val="heading 7"/>
    <w:basedOn w:val="Normal"/>
    <w:next w:val="Normal"/>
    <w:link w:val="Heading7Char"/>
    <w:uiPriority w:val="9"/>
    <w:semiHidden/>
    <w:unhideWhenUsed/>
    <w:qFormat/>
    <w:locked/>
    <w:rsid w:val="00847ACE"/>
    <w:pPr>
      <w:keepNext/>
      <w:keepLines/>
      <w:spacing w:before="200" w:after="0" w:line="240" w:lineRule="auto"/>
      <w:ind w:left="1701"/>
      <w:jc w:val="left"/>
      <w:outlineLvl w:val="6"/>
    </w:pPr>
    <w:rPr>
      <w:rFonts w:asciiTheme="majorHAnsi" w:eastAsiaTheme="majorEastAsia" w:hAnsiTheme="majorHAnsi" w:cstheme="majorBidi"/>
      <w:i/>
      <w:iCs/>
      <w:color w:val="404040" w:themeColor="text1" w:themeTint="BF"/>
      <w:kern w:val="28"/>
    </w:rPr>
  </w:style>
  <w:style w:type="paragraph" w:styleId="Heading8">
    <w:name w:val="heading 8"/>
    <w:basedOn w:val="Normal"/>
    <w:next w:val="Normal"/>
    <w:link w:val="Heading8Char"/>
    <w:uiPriority w:val="99"/>
    <w:unhideWhenUsed/>
    <w:qFormat/>
    <w:locked/>
    <w:rsid w:val="00847ACE"/>
    <w:pPr>
      <w:keepNext/>
      <w:keepLines/>
      <w:spacing w:before="200" w:after="0" w:line="240" w:lineRule="auto"/>
      <w:ind w:left="1701"/>
      <w:jc w:val="left"/>
      <w:outlineLvl w:val="7"/>
    </w:pPr>
    <w:rPr>
      <w:rFonts w:asciiTheme="majorHAnsi" w:eastAsiaTheme="majorEastAsia" w:hAnsiTheme="majorHAnsi" w:cstheme="majorBidi"/>
      <w:color w:val="404040" w:themeColor="text1" w:themeTint="BF"/>
      <w:kern w:val="28"/>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Style1">
    <w:name w:val="Style1"/>
    <w:uiPriority w:val="99"/>
    <w:rsid w:val="006D7617"/>
    <w:rPr>
      <w:rFonts w:eastAsia="Times New Roman"/>
    </w:rPr>
    <w:tblPr>
      <w:tblBorders>
        <w:top w:val="single" w:sz="4" w:space="0" w:color="auto"/>
        <w:bottom w:val="single" w:sz="4" w:space="0" w:color="auto"/>
      </w:tblBorders>
      <w:tblCellMar>
        <w:top w:w="0" w:type="dxa"/>
        <w:left w:w="108" w:type="dxa"/>
        <w:bottom w:w="0" w:type="dxa"/>
        <w:right w:w="108" w:type="dxa"/>
      </w:tblCellMar>
    </w:tblPr>
  </w:style>
  <w:style w:type="character" w:customStyle="1" w:styleId="Heading1Char">
    <w:name w:val="Heading 1 Char"/>
    <w:aliases w:val="H1 Char"/>
    <w:basedOn w:val="DefaultParagraphFont"/>
    <w:link w:val="Heading1"/>
    <w:uiPriority w:val="9"/>
    <w:locked/>
    <w:rsid w:val="007E5E7D"/>
    <w:rPr>
      <w:rFonts w:eastAsia="Times New Roman"/>
      <w:b/>
      <w:smallCaps/>
      <w:noProof/>
      <w:color w:val="4F6228"/>
      <w:spacing w:val="5"/>
      <w:sz w:val="40"/>
      <w:szCs w:val="40"/>
      <w:lang w:val="en-US"/>
    </w:rPr>
  </w:style>
  <w:style w:type="character" w:customStyle="1" w:styleId="Heading2Char">
    <w:name w:val="Heading 2 Char"/>
    <w:aliases w:val="H2 Char"/>
    <w:basedOn w:val="DefaultParagraphFont"/>
    <w:link w:val="Heading2"/>
    <w:uiPriority w:val="9"/>
    <w:locked/>
    <w:rsid w:val="00C506A3"/>
    <w:rPr>
      <w:b/>
      <w:bCs/>
      <w:iCs/>
      <w:color w:val="4F6228" w:themeColor="accent3" w:themeShade="80"/>
      <w:sz w:val="32"/>
      <w:szCs w:val="28"/>
    </w:rPr>
  </w:style>
  <w:style w:type="character" w:customStyle="1" w:styleId="Heading3Char">
    <w:name w:val="Heading 3 Char"/>
    <w:aliases w:val="H3 Char"/>
    <w:basedOn w:val="DefaultParagraphFont"/>
    <w:link w:val="Heading3"/>
    <w:uiPriority w:val="9"/>
    <w:locked/>
    <w:rsid w:val="009C3C00"/>
    <w:rPr>
      <w:rFonts w:eastAsia="Times New Roman" w:cs="Times New Roman"/>
      <w:b/>
      <w:iCs/>
      <w:sz w:val="26"/>
      <w:szCs w:val="26"/>
      <w:lang w:eastAsia="en-US"/>
    </w:rPr>
  </w:style>
  <w:style w:type="paragraph" w:styleId="Header">
    <w:name w:val="header"/>
    <w:basedOn w:val="Normal"/>
    <w:link w:val="HeaderChar"/>
    <w:uiPriority w:val="99"/>
    <w:rsid w:val="003D4358"/>
    <w:pPr>
      <w:tabs>
        <w:tab w:val="center" w:pos="4513"/>
        <w:tab w:val="right" w:pos="9026"/>
      </w:tabs>
    </w:pPr>
  </w:style>
  <w:style w:type="character" w:customStyle="1" w:styleId="HeaderChar">
    <w:name w:val="Header Char"/>
    <w:basedOn w:val="DefaultParagraphFont"/>
    <w:link w:val="Header"/>
    <w:uiPriority w:val="99"/>
    <w:locked/>
    <w:rsid w:val="003D4358"/>
    <w:rPr>
      <w:rFonts w:eastAsia="Times New Roman" w:cs="Times New Roman"/>
      <w:sz w:val="20"/>
      <w:szCs w:val="20"/>
    </w:rPr>
  </w:style>
  <w:style w:type="paragraph" w:styleId="Footer">
    <w:name w:val="footer"/>
    <w:basedOn w:val="Normal"/>
    <w:link w:val="FooterChar"/>
    <w:uiPriority w:val="99"/>
    <w:rsid w:val="003D4358"/>
    <w:pPr>
      <w:tabs>
        <w:tab w:val="center" w:pos="4513"/>
        <w:tab w:val="right" w:pos="9026"/>
      </w:tabs>
    </w:pPr>
  </w:style>
  <w:style w:type="character" w:customStyle="1" w:styleId="FooterChar">
    <w:name w:val="Footer Char"/>
    <w:basedOn w:val="DefaultParagraphFont"/>
    <w:link w:val="Footer"/>
    <w:uiPriority w:val="99"/>
    <w:locked/>
    <w:rsid w:val="003D4358"/>
    <w:rPr>
      <w:rFonts w:eastAsia="Times New Roman" w:cs="Times New Roman"/>
      <w:sz w:val="20"/>
      <w:szCs w:val="20"/>
    </w:rPr>
  </w:style>
  <w:style w:type="paragraph" w:styleId="BalloonText">
    <w:name w:val="Balloon Text"/>
    <w:basedOn w:val="Normal"/>
    <w:link w:val="BalloonTextChar"/>
    <w:uiPriority w:val="99"/>
    <w:semiHidden/>
    <w:rsid w:val="003D43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D4358"/>
    <w:rPr>
      <w:rFonts w:ascii="Tahoma" w:hAnsi="Tahoma" w:cs="Tahoma"/>
      <w:sz w:val="16"/>
      <w:szCs w:val="16"/>
    </w:rPr>
  </w:style>
  <w:style w:type="paragraph" w:styleId="BodyText">
    <w:name w:val="Body Text"/>
    <w:basedOn w:val="Normal"/>
    <w:link w:val="BodyTextChar"/>
    <w:qFormat/>
    <w:rsid w:val="00A15430"/>
    <w:pPr>
      <w:spacing w:after="0"/>
    </w:pPr>
    <w:rPr>
      <w:rFonts w:ascii="Arial" w:hAnsi="Arial"/>
      <w:sz w:val="24"/>
      <w:szCs w:val="24"/>
      <w:lang w:val="en-US"/>
    </w:rPr>
  </w:style>
  <w:style w:type="character" w:customStyle="1" w:styleId="BodyTextChar">
    <w:name w:val="Body Text Char"/>
    <w:basedOn w:val="DefaultParagraphFont"/>
    <w:link w:val="BodyText"/>
    <w:locked/>
    <w:rsid w:val="00A15430"/>
    <w:rPr>
      <w:rFonts w:ascii="Arial" w:hAnsi="Arial" w:cs="Times New Roman"/>
      <w:sz w:val="24"/>
      <w:szCs w:val="24"/>
      <w:lang w:val="en-US" w:eastAsia="en-US"/>
    </w:rPr>
  </w:style>
  <w:style w:type="paragraph" w:styleId="Caption">
    <w:name w:val="caption"/>
    <w:aliases w:val="CDM B/Caption,Table Caption,TABLE,Char,Item"/>
    <w:basedOn w:val="Normal"/>
    <w:next w:val="Normal"/>
    <w:uiPriority w:val="4"/>
    <w:qFormat/>
    <w:rsid w:val="00302051"/>
    <w:pPr>
      <w:keepLines/>
      <w:spacing w:before="240" w:after="120" w:line="240" w:lineRule="auto"/>
      <w:jc w:val="left"/>
    </w:pPr>
    <w:rPr>
      <w:rFonts w:cs="Arial"/>
      <w:bCs/>
      <w:sz w:val="20"/>
      <w:lang w:val="en-US"/>
    </w:rPr>
  </w:style>
  <w:style w:type="table" w:styleId="TableGrid">
    <w:name w:val="Table Grid"/>
    <w:basedOn w:val="TableNormal"/>
    <w:uiPriority w:val="59"/>
    <w:rsid w:val="006E0562"/>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4Char">
    <w:name w:val="Heading 4 Char"/>
    <w:aliases w:val="H4 Char"/>
    <w:basedOn w:val="DefaultParagraphFont"/>
    <w:link w:val="Heading4"/>
    <w:uiPriority w:val="1"/>
    <w:locked/>
    <w:rsid w:val="009375D5"/>
    <w:rPr>
      <w:rFonts w:eastAsia="Times New Roman" w:cs="Times New Roman"/>
      <w:b/>
      <w:bCs/>
      <w:i/>
      <w:sz w:val="28"/>
      <w:szCs w:val="28"/>
      <w:lang w:eastAsia="en-US"/>
    </w:rPr>
  </w:style>
  <w:style w:type="paragraph" w:styleId="IntenseQuote">
    <w:name w:val="Intense Quote"/>
    <w:basedOn w:val="Normal"/>
    <w:next w:val="Normal"/>
    <w:link w:val="IntenseQuoteChar"/>
    <w:uiPriority w:val="99"/>
    <w:qFormat/>
    <w:rsid w:val="00AB2C6A"/>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99"/>
    <w:locked/>
    <w:rsid w:val="00AB2C6A"/>
    <w:rPr>
      <w:rFonts w:eastAsia="Times New Roman" w:cs="Times New Roman"/>
      <w:b/>
      <w:bCs/>
      <w:i/>
      <w:iCs/>
      <w:color w:val="4F81BD"/>
      <w:sz w:val="22"/>
      <w:lang w:eastAsia="en-US"/>
    </w:rPr>
  </w:style>
  <w:style w:type="character" w:styleId="IntenseReference">
    <w:name w:val="Intense Reference"/>
    <w:basedOn w:val="DefaultParagraphFont"/>
    <w:uiPriority w:val="99"/>
    <w:qFormat/>
    <w:rsid w:val="007C6EB7"/>
    <w:rPr>
      <w:rFonts w:cs="Times New Roman"/>
      <w:b/>
      <w:bCs/>
      <w:smallCaps/>
      <w:color w:val="C0504D"/>
      <w:spacing w:val="5"/>
      <w:u w:val="single"/>
    </w:rPr>
  </w:style>
  <w:style w:type="table" w:customStyle="1" w:styleId="LightList-Accent31">
    <w:name w:val="Light List - Accent 31"/>
    <w:uiPriority w:val="99"/>
    <w:rsid w:val="006C39DD"/>
    <w:rPr>
      <w:rFonts w:eastAsia="Times New Roman"/>
      <w:color w:val="FFFFFF"/>
    </w:rPr>
    <w:tblPr>
      <w:tblStyleRowBandSize w:val="1"/>
      <w:tblStyleColBandSize w:val="1"/>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character" w:styleId="CommentReference">
    <w:name w:val="annotation reference"/>
    <w:basedOn w:val="DefaultParagraphFont"/>
    <w:uiPriority w:val="99"/>
    <w:rsid w:val="003509D2"/>
    <w:rPr>
      <w:rFonts w:cs="Times New Roman"/>
      <w:sz w:val="16"/>
      <w:szCs w:val="16"/>
    </w:rPr>
  </w:style>
  <w:style w:type="paragraph" w:styleId="CommentText">
    <w:name w:val="annotation text"/>
    <w:basedOn w:val="Normal"/>
    <w:link w:val="CommentTextChar"/>
    <w:uiPriority w:val="99"/>
    <w:rsid w:val="003509D2"/>
    <w:pPr>
      <w:spacing w:after="0"/>
    </w:pPr>
    <w:rPr>
      <w:rFonts w:ascii="Arial" w:hAnsi="Arial" w:cs="Arial"/>
      <w:sz w:val="20"/>
      <w:lang w:val="en-US"/>
    </w:rPr>
  </w:style>
  <w:style w:type="character" w:customStyle="1" w:styleId="CommentTextChar">
    <w:name w:val="Comment Text Char"/>
    <w:basedOn w:val="DefaultParagraphFont"/>
    <w:link w:val="CommentText"/>
    <w:uiPriority w:val="99"/>
    <w:locked/>
    <w:rsid w:val="003509D2"/>
    <w:rPr>
      <w:rFonts w:ascii="Arial" w:hAnsi="Arial" w:cs="Arial"/>
      <w:lang w:val="en-US" w:eastAsia="en-US"/>
    </w:rPr>
  </w:style>
  <w:style w:type="paragraph" w:styleId="NoSpacing">
    <w:name w:val="No Spacing"/>
    <w:aliases w:val="box text"/>
    <w:link w:val="NoSpacingChar"/>
    <w:uiPriority w:val="1"/>
    <w:qFormat/>
    <w:rsid w:val="004F2960"/>
    <w:pPr>
      <w:jc w:val="both"/>
    </w:pPr>
    <w:rPr>
      <w:sz w:val="22"/>
      <w:lang w:eastAsia="en-US"/>
    </w:rPr>
  </w:style>
  <w:style w:type="paragraph" w:styleId="PlainText">
    <w:name w:val="Plain Text"/>
    <w:basedOn w:val="Normal"/>
    <w:link w:val="PlainTextChar"/>
    <w:uiPriority w:val="99"/>
    <w:rsid w:val="004B7700"/>
    <w:pPr>
      <w:spacing w:after="0" w:line="240" w:lineRule="auto"/>
      <w:jc w:val="left"/>
    </w:pPr>
    <w:rPr>
      <w:rFonts w:ascii="Courier New" w:hAnsi="Courier New" w:cs="Courier New"/>
      <w:sz w:val="20"/>
      <w:lang w:val="en-US"/>
    </w:rPr>
  </w:style>
  <w:style w:type="character" w:customStyle="1" w:styleId="PlainTextChar">
    <w:name w:val="Plain Text Char"/>
    <w:basedOn w:val="DefaultParagraphFont"/>
    <w:link w:val="PlainText"/>
    <w:uiPriority w:val="99"/>
    <w:locked/>
    <w:rsid w:val="004B7700"/>
    <w:rPr>
      <w:rFonts w:ascii="Courier New" w:hAnsi="Courier New" w:cs="Courier New"/>
      <w:lang w:val="en-US" w:eastAsia="en-US"/>
    </w:rPr>
  </w:style>
  <w:style w:type="paragraph" w:styleId="ListParagraph">
    <w:name w:val="List Paragraph"/>
    <w:aliases w:val="table text"/>
    <w:basedOn w:val="Normal"/>
    <w:link w:val="ListParagraphChar"/>
    <w:uiPriority w:val="34"/>
    <w:qFormat/>
    <w:rsid w:val="00663386"/>
    <w:pPr>
      <w:ind w:left="720"/>
    </w:pPr>
  </w:style>
  <w:style w:type="paragraph" w:styleId="FootnoteText">
    <w:name w:val="footnote text"/>
    <w:basedOn w:val="Normal"/>
    <w:link w:val="FootnoteTextChar"/>
    <w:uiPriority w:val="99"/>
    <w:rsid w:val="00D2000C"/>
    <w:pPr>
      <w:spacing w:after="0" w:line="240" w:lineRule="auto"/>
    </w:pPr>
    <w:rPr>
      <w:sz w:val="20"/>
    </w:rPr>
  </w:style>
  <w:style w:type="character" w:customStyle="1" w:styleId="FootnoteTextChar">
    <w:name w:val="Footnote Text Char"/>
    <w:basedOn w:val="DefaultParagraphFont"/>
    <w:link w:val="FootnoteText"/>
    <w:uiPriority w:val="99"/>
    <w:locked/>
    <w:rsid w:val="00D2000C"/>
    <w:rPr>
      <w:rFonts w:eastAsia="Times New Roman" w:cs="Times New Roman"/>
      <w:lang w:eastAsia="en-US"/>
    </w:rPr>
  </w:style>
  <w:style w:type="character" w:styleId="FootnoteReference">
    <w:name w:val="footnote reference"/>
    <w:basedOn w:val="DefaultParagraphFont"/>
    <w:uiPriority w:val="99"/>
    <w:rsid w:val="00D2000C"/>
    <w:rPr>
      <w:rFonts w:cs="Times New Roman"/>
      <w:vertAlign w:val="superscript"/>
    </w:rPr>
  </w:style>
  <w:style w:type="character" w:styleId="Emphasis">
    <w:name w:val="Emphasis"/>
    <w:basedOn w:val="DefaultParagraphFont"/>
    <w:uiPriority w:val="20"/>
    <w:qFormat/>
    <w:rsid w:val="004535F2"/>
    <w:rPr>
      <w:rFonts w:cs="Times New Roman"/>
      <w:i/>
      <w:iCs/>
    </w:rPr>
  </w:style>
  <w:style w:type="paragraph" w:customStyle="1" w:styleId="Default">
    <w:name w:val="Default"/>
    <w:rsid w:val="006C6D14"/>
    <w:pPr>
      <w:autoSpaceDE w:val="0"/>
      <w:autoSpaceDN w:val="0"/>
      <w:adjustRightInd w:val="0"/>
    </w:pPr>
    <w:rPr>
      <w:rFonts w:ascii="Arial" w:eastAsia="Times New Roman" w:hAnsi="Arial" w:cs="Arial"/>
      <w:color w:val="000000"/>
      <w:sz w:val="24"/>
      <w:szCs w:val="24"/>
    </w:rPr>
  </w:style>
  <w:style w:type="paragraph" w:styleId="CommentSubject">
    <w:name w:val="annotation subject"/>
    <w:basedOn w:val="CommentText"/>
    <w:next w:val="CommentText"/>
    <w:link w:val="CommentSubjectChar"/>
    <w:uiPriority w:val="99"/>
    <w:semiHidden/>
    <w:rsid w:val="006C6D14"/>
    <w:pPr>
      <w:spacing w:after="200"/>
    </w:pPr>
    <w:rPr>
      <w:rFonts w:ascii="Calibri" w:hAnsi="Calibri" w:cs="Calibri"/>
      <w:b/>
      <w:bCs/>
      <w:lang w:val="en-AU"/>
    </w:rPr>
  </w:style>
  <w:style w:type="character" w:customStyle="1" w:styleId="CommentSubjectChar">
    <w:name w:val="Comment Subject Char"/>
    <w:basedOn w:val="CommentTextChar"/>
    <w:link w:val="CommentSubject"/>
    <w:uiPriority w:val="99"/>
    <w:semiHidden/>
    <w:locked/>
    <w:rsid w:val="006C6D14"/>
    <w:rPr>
      <w:rFonts w:ascii="Arial" w:hAnsi="Arial" w:cs="Calibri"/>
      <w:b/>
      <w:bCs/>
      <w:lang w:val="en-US" w:eastAsia="en-US"/>
    </w:rPr>
  </w:style>
  <w:style w:type="character" w:styleId="Hyperlink">
    <w:name w:val="Hyperlink"/>
    <w:basedOn w:val="DefaultParagraphFont"/>
    <w:uiPriority w:val="99"/>
    <w:rsid w:val="006C6D14"/>
    <w:rPr>
      <w:rFonts w:cs="Times New Roman"/>
      <w:color w:val="0000CC"/>
      <w:u w:val="single"/>
    </w:rPr>
  </w:style>
  <w:style w:type="paragraph" w:customStyle="1" w:styleId="MurrumH1">
    <w:name w:val="MurrumH1"/>
    <w:basedOn w:val="Heading1"/>
    <w:autoRedefine/>
    <w:uiPriority w:val="99"/>
    <w:rsid w:val="00ED6D80"/>
    <w:pPr>
      <w:numPr>
        <w:numId w:val="3"/>
      </w:numPr>
      <w:spacing w:after="120" w:line="240" w:lineRule="auto"/>
      <w:ind w:left="425" w:hanging="425"/>
    </w:pPr>
  </w:style>
  <w:style w:type="paragraph" w:customStyle="1" w:styleId="MurrumH2">
    <w:name w:val="MurrumH2"/>
    <w:basedOn w:val="Heading2"/>
    <w:uiPriority w:val="99"/>
    <w:rsid w:val="000E15F6"/>
    <w:pPr>
      <w:numPr>
        <w:ilvl w:val="1"/>
        <w:numId w:val="3"/>
      </w:numPr>
      <w:jc w:val="left"/>
    </w:pPr>
    <w:rPr>
      <w:color w:val="4F6228"/>
      <w:lang w:val="en-US"/>
    </w:rPr>
  </w:style>
  <w:style w:type="paragraph" w:customStyle="1" w:styleId="MurrumH3">
    <w:name w:val="MurrumH3"/>
    <w:basedOn w:val="Heading3"/>
    <w:link w:val="MurrumH3Char"/>
    <w:uiPriority w:val="99"/>
    <w:rsid w:val="000E15F6"/>
    <w:pPr>
      <w:numPr>
        <w:ilvl w:val="2"/>
        <w:numId w:val="3"/>
      </w:numPr>
      <w:spacing w:after="240"/>
    </w:pPr>
    <w:rPr>
      <w:color w:val="4F6228"/>
    </w:rPr>
  </w:style>
  <w:style w:type="paragraph" w:customStyle="1" w:styleId="Figure">
    <w:name w:val="Figure"/>
    <w:basedOn w:val="Normal"/>
    <w:link w:val="FigureChar"/>
    <w:uiPriority w:val="99"/>
    <w:rsid w:val="00634743"/>
    <w:pPr>
      <w:keepNext/>
      <w:spacing w:after="0"/>
      <w:jc w:val="center"/>
    </w:pPr>
    <w:rPr>
      <w:noProof/>
      <w:lang w:eastAsia="en-AU"/>
    </w:rPr>
  </w:style>
  <w:style w:type="character" w:customStyle="1" w:styleId="MurrumH3Char">
    <w:name w:val="MurrumH3 Char"/>
    <w:basedOn w:val="Heading2Char"/>
    <w:link w:val="MurrumH3"/>
    <w:uiPriority w:val="99"/>
    <w:locked/>
    <w:rsid w:val="000E15F6"/>
    <w:rPr>
      <w:b/>
      <w:bCs w:val="0"/>
      <w:iCs/>
      <w:color w:val="4F6228"/>
      <w:sz w:val="24"/>
      <w:szCs w:val="26"/>
      <w:lang w:eastAsia="en-US"/>
    </w:rPr>
  </w:style>
  <w:style w:type="character" w:customStyle="1" w:styleId="FigureChar">
    <w:name w:val="Figure Char"/>
    <w:aliases w:val="Caption Char,CDM B/Caption Char,Table Caption Char,TABLE Char,Char Char,Item Char"/>
    <w:basedOn w:val="DefaultParagraphFont"/>
    <w:link w:val="Figure"/>
    <w:uiPriority w:val="4"/>
    <w:locked/>
    <w:rsid w:val="00634743"/>
    <w:rPr>
      <w:rFonts w:eastAsia="Times New Roman" w:cs="Times New Roman"/>
      <w:noProof/>
      <w:sz w:val="22"/>
    </w:rPr>
  </w:style>
  <w:style w:type="character" w:styleId="FollowedHyperlink">
    <w:name w:val="FollowedHyperlink"/>
    <w:basedOn w:val="DefaultParagraphFont"/>
    <w:uiPriority w:val="99"/>
    <w:semiHidden/>
    <w:rsid w:val="00C307BD"/>
    <w:rPr>
      <w:rFonts w:cs="Times New Roman"/>
      <w:color w:val="800080"/>
      <w:u w:val="single"/>
    </w:rPr>
  </w:style>
  <w:style w:type="paragraph" w:styleId="BodyTextIndent">
    <w:name w:val="Body Text Indent"/>
    <w:basedOn w:val="Normal"/>
    <w:link w:val="BodyTextIndentChar"/>
    <w:uiPriority w:val="99"/>
    <w:semiHidden/>
    <w:rsid w:val="0009777A"/>
    <w:pPr>
      <w:spacing w:after="120"/>
      <w:ind w:left="283"/>
    </w:pPr>
  </w:style>
  <w:style w:type="character" w:customStyle="1" w:styleId="BodyTextIndentChar">
    <w:name w:val="Body Text Indent Char"/>
    <w:basedOn w:val="DefaultParagraphFont"/>
    <w:link w:val="BodyTextIndent"/>
    <w:uiPriority w:val="99"/>
    <w:semiHidden/>
    <w:locked/>
    <w:rsid w:val="0009777A"/>
    <w:rPr>
      <w:rFonts w:eastAsia="Times New Roman" w:cs="Times New Roman"/>
      <w:sz w:val="22"/>
      <w:lang w:eastAsia="en-US"/>
    </w:rPr>
  </w:style>
  <w:style w:type="paragraph" w:styleId="TOCHeading">
    <w:name w:val="TOC Heading"/>
    <w:basedOn w:val="Heading1"/>
    <w:next w:val="Normal"/>
    <w:uiPriority w:val="99"/>
    <w:qFormat/>
    <w:rsid w:val="005A4E29"/>
    <w:pPr>
      <w:keepLines/>
      <w:spacing w:before="480" w:line="276" w:lineRule="auto"/>
      <w:outlineLvl w:val="9"/>
    </w:pPr>
    <w:rPr>
      <w:rFonts w:ascii="Cambria" w:eastAsia="Calibri" w:hAnsi="Cambria"/>
      <w:bCs/>
      <w:smallCaps w:val="0"/>
      <w:color w:val="365F91"/>
      <w:spacing w:val="0"/>
      <w:sz w:val="28"/>
      <w:szCs w:val="28"/>
    </w:rPr>
  </w:style>
  <w:style w:type="paragraph" w:styleId="TOC1">
    <w:name w:val="toc 1"/>
    <w:basedOn w:val="Normal"/>
    <w:next w:val="Normal"/>
    <w:autoRedefine/>
    <w:uiPriority w:val="39"/>
    <w:rsid w:val="001B2C5A"/>
    <w:pPr>
      <w:tabs>
        <w:tab w:val="right" w:leader="dot" w:pos="9061"/>
      </w:tabs>
      <w:spacing w:after="240" w:line="240" w:lineRule="auto"/>
    </w:pPr>
    <w:rPr>
      <w:b/>
      <w:noProof/>
    </w:rPr>
  </w:style>
  <w:style w:type="paragraph" w:styleId="TOC2">
    <w:name w:val="toc 2"/>
    <w:basedOn w:val="Normal"/>
    <w:next w:val="Normal"/>
    <w:autoRedefine/>
    <w:uiPriority w:val="39"/>
    <w:rsid w:val="004D29C3"/>
    <w:pPr>
      <w:tabs>
        <w:tab w:val="left" w:pos="880"/>
        <w:tab w:val="right" w:leader="dot" w:pos="9061"/>
      </w:tabs>
      <w:spacing w:after="0" w:line="240" w:lineRule="exact"/>
      <w:ind w:left="221"/>
    </w:pPr>
  </w:style>
  <w:style w:type="paragraph" w:styleId="TOC3">
    <w:name w:val="toc 3"/>
    <w:basedOn w:val="Normal"/>
    <w:next w:val="Normal"/>
    <w:autoRedefine/>
    <w:uiPriority w:val="39"/>
    <w:rsid w:val="001F0F0F"/>
    <w:pPr>
      <w:tabs>
        <w:tab w:val="left" w:pos="1320"/>
        <w:tab w:val="right" w:leader="dot" w:pos="9061"/>
      </w:tabs>
      <w:spacing w:after="0" w:line="240" w:lineRule="auto"/>
      <w:ind w:left="442"/>
    </w:pPr>
  </w:style>
  <w:style w:type="paragraph" w:styleId="TableofFigures">
    <w:name w:val="table of figures"/>
    <w:basedOn w:val="Normal"/>
    <w:next w:val="Normal"/>
    <w:uiPriority w:val="99"/>
    <w:rsid w:val="00AC61FE"/>
    <w:pPr>
      <w:spacing w:after="120" w:line="240" w:lineRule="auto"/>
      <w:jc w:val="left"/>
    </w:pPr>
    <w:rPr>
      <w:rFonts w:asciiTheme="minorHAnsi" w:hAnsiTheme="minorHAnsi"/>
      <w:b/>
      <w:bCs/>
      <w:sz w:val="20"/>
    </w:rPr>
  </w:style>
  <w:style w:type="numbering" w:customStyle="1" w:styleId="MurrumListStyle">
    <w:name w:val="MurrumListStyle"/>
    <w:rsid w:val="00CC020C"/>
    <w:pPr>
      <w:numPr>
        <w:numId w:val="1"/>
      </w:numPr>
    </w:pPr>
  </w:style>
  <w:style w:type="paragraph" w:styleId="DocumentMap">
    <w:name w:val="Document Map"/>
    <w:basedOn w:val="Normal"/>
    <w:link w:val="DocumentMapChar"/>
    <w:uiPriority w:val="99"/>
    <w:semiHidden/>
    <w:rsid w:val="004A5951"/>
    <w:pPr>
      <w:shd w:val="clear" w:color="auto" w:fill="000080"/>
    </w:pPr>
    <w:rPr>
      <w:rFonts w:ascii="Tahoma" w:hAnsi="Tahoma" w:cs="Tahoma"/>
      <w:sz w:val="20"/>
    </w:rPr>
  </w:style>
  <w:style w:type="paragraph" w:customStyle="1" w:styleId="TableNew">
    <w:name w:val="Table New"/>
    <w:basedOn w:val="Normal"/>
    <w:next w:val="Normal"/>
    <w:autoRedefine/>
    <w:uiPriority w:val="99"/>
    <w:rsid w:val="00394DD7"/>
    <w:pPr>
      <w:keepNext/>
      <w:numPr>
        <w:numId w:val="2"/>
      </w:numPr>
      <w:spacing w:after="0" w:line="240" w:lineRule="auto"/>
      <w:jc w:val="left"/>
    </w:pPr>
    <w:rPr>
      <w:rFonts w:ascii="Arial" w:eastAsia="Times New Roman" w:hAnsi="Arial"/>
      <w:sz w:val="20"/>
    </w:rPr>
  </w:style>
  <w:style w:type="paragraph" w:styleId="TOC4">
    <w:name w:val="toc 4"/>
    <w:basedOn w:val="Normal"/>
    <w:next w:val="Normal"/>
    <w:autoRedefine/>
    <w:uiPriority w:val="99"/>
    <w:locked/>
    <w:rsid w:val="006302FF"/>
    <w:pPr>
      <w:spacing w:after="0" w:line="240" w:lineRule="auto"/>
      <w:ind w:left="720"/>
      <w:jc w:val="left"/>
    </w:pPr>
    <w:rPr>
      <w:rFonts w:ascii="Times New Roman" w:eastAsia="Times New Roman" w:hAnsi="Times New Roman"/>
      <w:sz w:val="24"/>
      <w:szCs w:val="24"/>
      <w:lang w:eastAsia="en-AU"/>
    </w:rPr>
  </w:style>
  <w:style w:type="table" w:styleId="LightList-Accent3">
    <w:name w:val="Light List Accent 3"/>
    <w:basedOn w:val="TableNormal"/>
    <w:uiPriority w:val="99"/>
    <w:rsid w:val="004A789D"/>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apple-converted-space">
    <w:name w:val="apple-converted-space"/>
    <w:basedOn w:val="DefaultParagraphFont"/>
    <w:uiPriority w:val="99"/>
    <w:rsid w:val="00C90601"/>
  </w:style>
  <w:style w:type="paragraph" w:styleId="TOC5">
    <w:name w:val="toc 5"/>
    <w:basedOn w:val="Normal"/>
    <w:next w:val="Normal"/>
    <w:autoRedefine/>
    <w:uiPriority w:val="99"/>
    <w:unhideWhenUsed/>
    <w:locked/>
    <w:rsid w:val="00F9018D"/>
    <w:pPr>
      <w:spacing w:after="100" w:line="276" w:lineRule="auto"/>
      <w:ind w:left="880"/>
      <w:jc w:val="left"/>
    </w:pPr>
    <w:rPr>
      <w:rFonts w:asciiTheme="minorHAnsi" w:eastAsiaTheme="minorEastAsia" w:hAnsiTheme="minorHAnsi" w:cstheme="minorBidi"/>
      <w:szCs w:val="22"/>
      <w:lang w:eastAsia="en-AU"/>
    </w:rPr>
  </w:style>
  <w:style w:type="paragraph" w:styleId="TOC6">
    <w:name w:val="toc 6"/>
    <w:basedOn w:val="Normal"/>
    <w:next w:val="Normal"/>
    <w:autoRedefine/>
    <w:uiPriority w:val="99"/>
    <w:unhideWhenUsed/>
    <w:locked/>
    <w:rsid w:val="00F9018D"/>
    <w:pPr>
      <w:spacing w:after="100" w:line="276" w:lineRule="auto"/>
      <w:ind w:left="1100"/>
      <w:jc w:val="left"/>
    </w:pPr>
    <w:rPr>
      <w:rFonts w:asciiTheme="minorHAnsi" w:eastAsiaTheme="minorEastAsia" w:hAnsiTheme="minorHAnsi" w:cstheme="minorBidi"/>
      <w:szCs w:val="22"/>
      <w:lang w:eastAsia="en-AU"/>
    </w:rPr>
  </w:style>
  <w:style w:type="paragraph" w:styleId="TOC7">
    <w:name w:val="toc 7"/>
    <w:basedOn w:val="Normal"/>
    <w:next w:val="Normal"/>
    <w:autoRedefine/>
    <w:uiPriority w:val="99"/>
    <w:unhideWhenUsed/>
    <w:locked/>
    <w:rsid w:val="00F9018D"/>
    <w:pPr>
      <w:spacing w:after="100" w:line="276" w:lineRule="auto"/>
      <w:ind w:left="1320"/>
      <w:jc w:val="left"/>
    </w:pPr>
    <w:rPr>
      <w:rFonts w:asciiTheme="minorHAnsi" w:eastAsiaTheme="minorEastAsia" w:hAnsiTheme="minorHAnsi" w:cstheme="minorBidi"/>
      <w:szCs w:val="22"/>
      <w:lang w:eastAsia="en-AU"/>
    </w:rPr>
  </w:style>
  <w:style w:type="paragraph" w:styleId="TOC8">
    <w:name w:val="toc 8"/>
    <w:basedOn w:val="Normal"/>
    <w:next w:val="Normal"/>
    <w:autoRedefine/>
    <w:uiPriority w:val="99"/>
    <w:unhideWhenUsed/>
    <w:locked/>
    <w:rsid w:val="00F9018D"/>
    <w:pPr>
      <w:spacing w:after="100" w:line="276" w:lineRule="auto"/>
      <w:ind w:left="1540"/>
      <w:jc w:val="left"/>
    </w:pPr>
    <w:rPr>
      <w:rFonts w:asciiTheme="minorHAnsi" w:eastAsiaTheme="minorEastAsia" w:hAnsiTheme="minorHAnsi" w:cstheme="minorBidi"/>
      <w:szCs w:val="22"/>
      <w:lang w:eastAsia="en-AU"/>
    </w:rPr>
  </w:style>
  <w:style w:type="paragraph" w:styleId="TOC9">
    <w:name w:val="toc 9"/>
    <w:basedOn w:val="Normal"/>
    <w:next w:val="Normal"/>
    <w:autoRedefine/>
    <w:uiPriority w:val="99"/>
    <w:unhideWhenUsed/>
    <w:locked/>
    <w:rsid w:val="00F9018D"/>
    <w:pPr>
      <w:spacing w:after="100" w:line="276" w:lineRule="auto"/>
      <w:ind w:left="1760"/>
      <w:jc w:val="left"/>
    </w:pPr>
    <w:rPr>
      <w:rFonts w:asciiTheme="minorHAnsi" w:eastAsiaTheme="minorEastAsia" w:hAnsiTheme="minorHAnsi" w:cstheme="minorBidi"/>
      <w:szCs w:val="22"/>
      <w:lang w:eastAsia="en-AU"/>
    </w:rPr>
  </w:style>
  <w:style w:type="paragraph" w:styleId="NormalWeb">
    <w:name w:val="Normal (Web)"/>
    <w:basedOn w:val="Normal"/>
    <w:uiPriority w:val="99"/>
    <w:unhideWhenUsed/>
    <w:rsid w:val="00E57C26"/>
    <w:pPr>
      <w:spacing w:before="100" w:beforeAutospacing="1" w:after="100" w:afterAutospacing="1" w:line="240" w:lineRule="auto"/>
      <w:jc w:val="left"/>
    </w:pPr>
    <w:rPr>
      <w:rFonts w:ascii="Times New Roman" w:eastAsia="Times New Roman" w:hAnsi="Times New Roman"/>
      <w:sz w:val="24"/>
      <w:szCs w:val="24"/>
      <w:lang w:eastAsia="en-AU"/>
    </w:rPr>
  </w:style>
  <w:style w:type="character" w:customStyle="1" w:styleId="external">
    <w:name w:val="external"/>
    <w:basedOn w:val="DefaultParagraphFont"/>
    <w:uiPriority w:val="99"/>
    <w:rsid w:val="00A42550"/>
  </w:style>
  <w:style w:type="character" w:customStyle="1" w:styleId="maintitle">
    <w:name w:val="maintitle"/>
    <w:basedOn w:val="DefaultParagraphFont"/>
    <w:rsid w:val="00C369EC"/>
  </w:style>
  <w:style w:type="character" w:styleId="Strong">
    <w:name w:val="Strong"/>
    <w:basedOn w:val="DefaultParagraphFont"/>
    <w:uiPriority w:val="22"/>
    <w:qFormat/>
    <w:locked/>
    <w:rsid w:val="00AB73F0"/>
    <w:rPr>
      <w:b/>
      <w:bCs/>
    </w:rPr>
  </w:style>
  <w:style w:type="paragraph" w:customStyle="1" w:styleId="fulltext">
    <w:name w:val="fulltext"/>
    <w:basedOn w:val="Normal"/>
    <w:uiPriority w:val="99"/>
    <w:rsid w:val="00AB73F0"/>
    <w:pPr>
      <w:spacing w:before="100" w:beforeAutospacing="1" w:after="100" w:afterAutospacing="1" w:line="240" w:lineRule="auto"/>
      <w:jc w:val="left"/>
    </w:pPr>
    <w:rPr>
      <w:rFonts w:ascii="Times New Roman" w:eastAsia="Times New Roman" w:hAnsi="Times New Roman"/>
      <w:sz w:val="24"/>
      <w:szCs w:val="24"/>
      <w:lang w:eastAsia="en-AU"/>
    </w:rPr>
  </w:style>
  <w:style w:type="character" w:styleId="SubtleEmphasis">
    <w:name w:val="Subtle Emphasis"/>
    <w:basedOn w:val="DefaultParagraphFont"/>
    <w:uiPriority w:val="99"/>
    <w:qFormat/>
    <w:rsid w:val="0064617B"/>
    <w:rPr>
      <w:i/>
      <w:iCs/>
      <w:color w:val="808080" w:themeColor="text1" w:themeTint="7F"/>
    </w:rPr>
  </w:style>
  <w:style w:type="character" w:customStyle="1" w:styleId="A3">
    <w:name w:val="A3"/>
    <w:uiPriority w:val="99"/>
    <w:rsid w:val="006E193D"/>
    <w:rPr>
      <w:rFonts w:cs="HelveticaNeue LT 45 Lt"/>
      <w:color w:val="000000"/>
      <w:sz w:val="18"/>
      <w:szCs w:val="18"/>
    </w:rPr>
  </w:style>
  <w:style w:type="character" w:customStyle="1" w:styleId="st1">
    <w:name w:val="st1"/>
    <w:basedOn w:val="DefaultParagraphFont"/>
    <w:rsid w:val="000F40CE"/>
  </w:style>
  <w:style w:type="character" w:customStyle="1" w:styleId="DocumentMapChar">
    <w:name w:val="Document Map Char"/>
    <w:link w:val="DocumentMap"/>
    <w:uiPriority w:val="99"/>
    <w:semiHidden/>
    <w:locked/>
    <w:rsid w:val="00E63569"/>
    <w:rPr>
      <w:rFonts w:ascii="Tahoma" w:hAnsi="Tahoma" w:cs="Tahoma"/>
      <w:shd w:val="clear" w:color="auto" w:fill="000080"/>
      <w:lang w:eastAsia="en-US"/>
    </w:rPr>
  </w:style>
  <w:style w:type="character" w:customStyle="1" w:styleId="FigureCaptionChar">
    <w:name w:val="Figure Caption Char"/>
    <w:link w:val="FigureCaption"/>
    <w:uiPriority w:val="99"/>
    <w:locked/>
    <w:rsid w:val="00E63569"/>
    <w:rPr>
      <w:lang w:eastAsia="en-US"/>
    </w:rPr>
  </w:style>
  <w:style w:type="paragraph" w:customStyle="1" w:styleId="FigureCaption">
    <w:name w:val="Figure Caption"/>
    <w:basedOn w:val="Normal"/>
    <w:next w:val="Normal"/>
    <w:link w:val="FigureCaptionChar"/>
    <w:uiPriority w:val="99"/>
    <w:rsid w:val="00E63569"/>
    <w:pPr>
      <w:tabs>
        <w:tab w:val="left" w:pos="1418"/>
      </w:tabs>
      <w:spacing w:before="100" w:after="0" w:line="260" w:lineRule="atLeast"/>
      <w:ind w:left="1418" w:hanging="1418"/>
    </w:pPr>
    <w:rPr>
      <w:sz w:val="20"/>
    </w:rPr>
  </w:style>
  <w:style w:type="paragraph" w:customStyle="1" w:styleId="SubHeading1-FinalReport">
    <w:name w:val="Sub Heading 1 - Final Report"/>
    <w:basedOn w:val="Normal"/>
    <w:next w:val="Normal"/>
    <w:uiPriority w:val="99"/>
    <w:rsid w:val="00E63569"/>
    <w:pPr>
      <w:numPr>
        <w:ilvl w:val="1"/>
        <w:numId w:val="6"/>
      </w:numPr>
      <w:spacing w:before="260" w:after="260" w:line="260" w:lineRule="atLeast"/>
    </w:pPr>
    <w:rPr>
      <w:rFonts w:ascii="Times New Roman" w:eastAsia="Times New Roman" w:hAnsi="Times New Roman"/>
      <w:b/>
    </w:rPr>
  </w:style>
  <w:style w:type="paragraph" w:customStyle="1" w:styleId="SubHeading2-FinalReport">
    <w:name w:val="Sub Heading 2 - Final Report"/>
    <w:basedOn w:val="Normal"/>
    <w:next w:val="Normal"/>
    <w:uiPriority w:val="99"/>
    <w:rsid w:val="00E63569"/>
    <w:pPr>
      <w:numPr>
        <w:ilvl w:val="2"/>
        <w:numId w:val="6"/>
      </w:numPr>
      <w:spacing w:before="260" w:after="260" w:line="260" w:lineRule="atLeast"/>
    </w:pPr>
    <w:rPr>
      <w:rFonts w:ascii="Times New Roman" w:eastAsia="Times New Roman" w:hAnsi="Times New Roman"/>
      <w:b/>
      <w:i/>
    </w:rPr>
  </w:style>
  <w:style w:type="paragraph" w:customStyle="1" w:styleId="SubHeading3-FinalReport">
    <w:name w:val="Sub Heading 3 - Final Report"/>
    <w:basedOn w:val="Normal"/>
    <w:next w:val="Normal"/>
    <w:uiPriority w:val="99"/>
    <w:rsid w:val="00E63569"/>
    <w:pPr>
      <w:numPr>
        <w:ilvl w:val="3"/>
        <w:numId w:val="6"/>
      </w:numPr>
      <w:spacing w:before="260" w:after="260" w:line="260" w:lineRule="atLeast"/>
    </w:pPr>
    <w:rPr>
      <w:rFonts w:ascii="Times New Roman" w:eastAsia="Times New Roman" w:hAnsi="Times New Roman"/>
      <w:i/>
    </w:rPr>
  </w:style>
  <w:style w:type="paragraph" w:customStyle="1" w:styleId="ChapterTitle-FinalReport">
    <w:name w:val="Chapter Title - Final Report"/>
    <w:basedOn w:val="Normal"/>
    <w:next w:val="Normal"/>
    <w:uiPriority w:val="99"/>
    <w:rsid w:val="00E63569"/>
    <w:pPr>
      <w:numPr>
        <w:numId w:val="6"/>
      </w:numPr>
      <w:spacing w:before="320" w:after="320"/>
    </w:pPr>
    <w:rPr>
      <w:rFonts w:ascii="Times New Roman" w:eastAsia="Times New Roman" w:hAnsi="Times New Roman"/>
      <w:b/>
      <w:caps/>
      <w:sz w:val="28"/>
    </w:rPr>
  </w:style>
  <w:style w:type="paragraph" w:styleId="HTMLPreformatted">
    <w:name w:val="HTML Preformatted"/>
    <w:basedOn w:val="Normal"/>
    <w:link w:val="HTMLPreformattedChar"/>
    <w:uiPriority w:val="99"/>
    <w:unhideWhenUsed/>
    <w:rsid w:val="003512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lang w:val="en-US"/>
    </w:rPr>
  </w:style>
  <w:style w:type="character" w:customStyle="1" w:styleId="HTMLPreformattedChar">
    <w:name w:val="HTML Preformatted Char"/>
    <w:basedOn w:val="DefaultParagraphFont"/>
    <w:link w:val="HTMLPreformatted"/>
    <w:uiPriority w:val="99"/>
    <w:rsid w:val="0035121A"/>
    <w:rPr>
      <w:rFonts w:ascii="Courier New" w:eastAsia="Times New Roman" w:hAnsi="Courier New" w:cs="Courier New"/>
      <w:lang w:val="en-US" w:eastAsia="en-US"/>
    </w:rPr>
  </w:style>
  <w:style w:type="character" w:customStyle="1" w:styleId="gdxa2evbhab">
    <w:name w:val="gdxa2evbhab"/>
    <w:basedOn w:val="DefaultParagraphFont"/>
    <w:rsid w:val="0035121A"/>
  </w:style>
  <w:style w:type="character" w:customStyle="1" w:styleId="gdxa2evbl5">
    <w:name w:val="gdxa2evbl5"/>
    <w:basedOn w:val="DefaultParagraphFont"/>
    <w:rsid w:val="0035121A"/>
  </w:style>
  <w:style w:type="paragraph" w:styleId="ListBullet">
    <w:name w:val="List Bullet"/>
    <w:basedOn w:val="Normal"/>
    <w:uiPriority w:val="22"/>
    <w:qFormat/>
    <w:rsid w:val="00F8799A"/>
    <w:pPr>
      <w:spacing w:after="220" w:line="240" w:lineRule="auto"/>
      <w:contextualSpacing/>
    </w:pPr>
    <w:rPr>
      <w:rFonts w:eastAsia="Times New Roman"/>
      <w:sz w:val="20"/>
      <w:lang w:eastAsia="en-AU"/>
    </w:rPr>
  </w:style>
  <w:style w:type="numbering" w:customStyle="1" w:styleId="BulletList">
    <w:name w:val="Bullet List"/>
    <w:uiPriority w:val="99"/>
    <w:rsid w:val="00F8799A"/>
    <w:pPr>
      <w:numPr>
        <w:numId w:val="7"/>
      </w:numPr>
    </w:pPr>
  </w:style>
  <w:style w:type="character" w:styleId="HTMLCite">
    <w:name w:val="HTML Cite"/>
    <w:basedOn w:val="DefaultParagraphFont"/>
    <w:rsid w:val="00096C51"/>
    <w:rPr>
      <w:rFonts w:cs="Times New Roman"/>
      <w:i/>
      <w:iCs/>
    </w:rPr>
  </w:style>
  <w:style w:type="character" w:customStyle="1" w:styleId="author">
    <w:name w:val="author"/>
    <w:basedOn w:val="DefaultParagraphFont"/>
    <w:rsid w:val="00096C51"/>
    <w:rPr>
      <w:rFonts w:cs="Times New Roman"/>
    </w:rPr>
  </w:style>
  <w:style w:type="character" w:customStyle="1" w:styleId="pubyear">
    <w:name w:val="pubyear"/>
    <w:basedOn w:val="DefaultParagraphFont"/>
    <w:rsid w:val="00096C51"/>
    <w:rPr>
      <w:rFonts w:cs="Times New Roman"/>
    </w:rPr>
  </w:style>
  <w:style w:type="character" w:customStyle="1" w:styleId="articletitle">
    <w:name w:val="articletitle"/>
    <w:basedOn w:val="DefaultParagraphFont"/>
    <w:rsid w:val="00096C51"/>
    <w:rPr>
      <w:rFonts w:cs="Times New Roman"/>
    </w:rPr>
  </w:style>
  <w:style w:type="character" w:customStyle="1" w:styleId="journaltitle">
    <w:name w:val="journaltitle"/>
    <w:basedOn w:val="DefaultParagraphFont"/>
    <w:rsid w:val="00096C51"/>
    <w:rPr>
      <w:rFonts w:cs="Times New Roman"/>
    </w:rPr>
  </w:style>
  <w:style w:type="character" w:customStyle="1" w:styleId="vol">
    <w:name w:val="vol"/>
    <w:basedOn w:val="DefaultParagraphFont"/>
    <w:rsid w:val="00096C51"/>
    <w:rPr>
      <w:rFonts w:cs="Times New Roman"/>
    </w:rPr>
  </w:style>
  <w:style w:type="character" w:customStyle="1" w:styleId="pagefirst">
    <w:name w:val="pagefirst"/>
    <w:basedOn w:val="DefaultParagraphFont"/>
    <w:rsid w:val="00096C51"/>
    <w:rPr>
      <w:rFonts w:cs="Times New Roman"/>
    </w:rPr>
  </w:style>
  <w:style w:type="character" w:customStyle="1" w:styleId="pagelast">
    <w:name w:val="pagelast"/>
    <w:basedOn w:val="DefaultParagraphFont"/>
    <w:rsid w:val="00096C51"/>
    <w:rPr>
      <w:rFonts w:cs="Times New Roman"/>
    </w:rPr>
  </w:style>
  <w:style w:type="paragraph" w:styleId="Revision">
    <w:name w:val="Revision"/>
    <w:hidden/>
    <w:uiPriority w:val="99"/>
    <w:semiHidden/>
    <w:rsid w:val="0004661D"/>
    <w:rPr>
      <w:sz w:val="22"/>
      <w:szCs w:val="22"/>
      <w:lang w:val="en-US" w:eastAsia="en-US"/>
    </w:rPr>
  </w:style>
  <w:style w:type="character" w:customStyle="1" w:styleId="CommentTextChar1">
    <w:name w:val="Comment Text Char1"/>
    <w:basedOn w:val="DefaultParagraphFont"/>
    <w:locked/>
    <w:rsid w:val="00B777E7"/>
    <w:rPr>
      <w:rFonts w:ascii="Arial" w:eastAsia="Calibri" w:hAnsi="Arial" w:cs="Arial"/>
      <w:lang w:val="en-US" w:eastAsia="en-US" w:bidi="ar-SA"/>
    </w:rPr>
  </w:style>
  <w:style w:type="character" w:customStyle="1" w:styleId="st">
    <w:name w:val="st"/>
    <w:basedOn w:val="DefaultParagraphFont"/>
    <w:rsid w:val="00A23C60"/>
  </w:style>
  <w:style w:type="character" w:customStyle="1" w:styleId="NoSpacingChar">
    <w:name w:val="No Spacing Char"/>
    <w:aliases w:val="box text Char"/>
    <w:basedOn w:val="DefaultParagraphFont"/>
    <w:link w:val="NoSpacing"/>
    <w:uiPriority w:val="1"/>
    <w:locked/>
    <w:rsid w:val="000A204A"/>
    <w:rPr>
      <w:sz w:val="22"/>
      <w:lang w:eastAsia="en-US"/>
    </w:rPr>
  </w:style>
  <w:style w:type="paragraph" w:styleId="ListBullet2">
    <w:name w:val="List Bullet 2"/>
    <w:basedOn w:val="Normal"/>
    <w:uiPriority w:val="99"/>
    <w:rsid w:val="00455928"/>
    <w:pPr>
      <w:numPr>
        <w:numId w:val="8"/>
      </w:numPr>
      <w:contextualSpacing/>
    </w:pPr>
  </w:style>
  <w:style w:type="paragraph" w:styleId="ListNumber">
    <w:name w:val="List Number"/>
    <w:basedOn w:val="Normal"/>
    <w:uiPriority w:val="99"/>
    <w:unhideWhenUsed/>
    <w:rsid w:val="00455928"/>
    <w:pPr>
      <w:numPr>
        <w:numId w:val="9"/>
      </w:numPr>
      <w:snapToGrid w:val="0"/>
      <w:spacing w:after="60" w:line="240" w:lineRule="auto"/>
      <w:jc w:val="left"/>
    </w:pPr>
    <w:rPr>
      <w:rFonts w:ascii="Arial" w:hAnsi="Arial" w:cs="Arial"/>
      <w:szCs w:val="22"/>
      <w:lang w:eastAsia="en-AU"/>
    </w:rPr>
  </w:style>
  <w:style w:type="paragraph" w:styleId="ListNumber2">
    <w:name w:val="List Number 2"/>
    <w:basedOn w:val="Normal"/>
    <w:uiPriority w:val="99"/>
    <w:unhideWhenUsed/>
    <w:rsid w:val="00455928"/>
    <w:pPr>
      <w:numPr>
        <w:ilvl w:val="1"/>
        <w:numId w:val="9"/>
      </w:numPr>
      <w:snapToGrid w:val="0"/>
      <w:spacing w:after="60" w:line="240" w:lineRule="auto"/>
      <w:jc w:val="left"/>
    </w:pPr>
    <w:rPr>
      <w:rFonts w:ascii="Arial" w:hAnsi="Arial" w:cs="Arial"/>
      <w:szCs w:val="22"/>
      <w:lang w:eastAsia="en-AU"/>
    </w:rPr>
  </w:style>
  <w:style w:type="paragraph" w:styleId="ListNumber3">
    <w:name w:val="List Number 3"/>
    <w:basedOn w:val="Normal"/>
    <w:uiPriority w:val="99"/>
    <w:unhideWhenUsed/>
    <w:rsid w:val="00455928"/>
    <w:pPr>
      <w:numPr>
        <w:ilvl w:val="2"/>
        <w:numId w:val="9"/>
      </w:numPr>
      <w:snapToGrid w:val="0"/>
      <w:spacing w:after="60" w:line="240" w:lineRule="auto"/>
      <w:jc w:val="left"/>
    </w:pPr>
    <w:rPr>
      <w:rFonts w:ascii="Arial" w:hAnsi="Arial" w:cs="Arial"/>
      <w:szCs w:val="22"/>
      <w:lang w:eastAsia="en-AU"/>
    </w:rPr>
  </w:style>
  <w:style w:type="paragraph" w:styleId="ListNumber4">
    <w:name w:val="List Number 4"/>
    <w:basedOn w:val="Normal"/>
    <w:uiPriority w:val="99"/>
    <w:unhideWhenUsed/>
    <w:rsid w:val="00455928"/>
    <w:pPr>
      <w:numPr>
        <w:ilvl w:val="3"/>
        <w:numId w:val="9"/>
      </w:numPr>
      <w:snapToGrid w:val="0"/>
      <w:spacing w:after="60" w:line="240" w:lineRule="auto"/>
      <w:jc w:val="left"/>
    </w:pPr>
    <w:rPr>
      <w:rFonts w:ascii="Arial" w:hAnsi="Arial" w:cs="Arial"/>
      <w:szCs w:val="22"/>
      <w:lang w:eastAsia="en-AU"/>
    </w:rPr>
  </w:style>
  <w:style w:type="paragraph" w:styleId="ListNumber5">
    <w:name w:val="List Number 5"/>
    <w:basedOn w:val="Normal"/>
    <w:uiPriority w:val="99"/>
    <w:unhideWhenUsed/>
    <w:rsid w:val="00455928"/>
    <w:pPr>
      <w:numPr>
        <w:ilvl w:val="4"/>
        <w:numId w:val="9"/>
      </w:numPr>
      <w:snapToGrid w:val="0"/>
      <w:spacing w:after="60" w:line="240" w:lineRule="auto"/>
      <w:jc w:val="left"/>
    </w:pPr>
    <w:rPr>
      <w:rFonts w:ascii="Arial" w:hAnsi="Arial" w:cs="Arial"/>
      <w:szCs w:val="22"/>
      <w:lang w:eastAsia="en-AU"/>
    </w:rPr>
  </w:style>
  <w:style w:type="numbering" w:customStyle="1" w:styleId="KeyPoints">
    <w:name w:val="Key Points"/>
    <w:uiPriority w:val="99"/>
    <w:rsid w:val="00455928"/>
    <w:pPr>
      <w:numPr>
        <w:numId w:val="9"/>
      </w:numPr>
    </w:pPr>
  </w:style>
  <w:style w:type="paragraph" w:customStyle="1" w:styleId="Caption1">
    <w:name w:val="Caption1"/>
    <w:basedOn w:val="Normal"/>
    <w:next w:val="Normal"/>
    <w:link w:val="captionChar"/>
    <w:uiPriority w:val="11"/>
    <w:qFormat/>
    <w:rsid w:val="00605A9B"/>
    <w:pPr>
      <w:spacing w:after="60" w:line="240" w:lineRule="auto"/>
      <w:outlineLvl w:val="1"/>
    </w:pPr>
    <w:rPr>
      <w:rFonts w:ascii="Century Gothic" w:eastAsia="Times New Roman" w:hAnsi="Century Gothic"/>
      <w:sz w:val="20"/>
      <w:szCs w:val="24"/>
    </w:rPr>
  </w:style>
  <w:style w:type="character" w:customStyle="1" w:styleId="captionChar">
    <w:name w:val="caption Char"/>
    <w:basedOn w:val="DefaultParagraphFont"/>
    <w:link w:val="Caption1"/>
    <w:uiPriority w:val="11"/>
    <w:rsid w:val="00605A9B"/>
    <w:rPr>
      <w:rFonts w:ascii="Century Gothic" w:eastAsia="Times New Roman" w:hAnsi="Century Gothic"/>
      <w:szCs w:val="24"/>
      <w:lang w:eastAsia="en-US"/>
    </w:rPr>
  </w:style>
  <w:style w:type="character" w:customStyle="1" w:styleId="Heading5Char">
    <w:name w:val="Heading 5 Char"/>
    <w:aliases w:val="H5 Char"/>
    <w:basedOn w:val="DefaultParagraphFont"/>
    <w:link w:val="Heading5"/>
    <w:uiPriority w:val="10"/>
    <w:rsid w:val="00847ACE"/>
    <w:rPr>
      <w:rFonts w:asciiTheme="minorHAnsi" w:eastAsiaTheme="majorEastAsia" w:hAnsiTheme="minorHAnsi" w:cstheme="majorBidi"/>
      <w:color w:val="243F60" w:themeColor="accent1" w:themeShade="7F"/>
      <w:kern w:val="28"/>
      <w:sz w:val="22"/>
      <w:lang w:eastAsia="en-US"/>
    </w:rPr>
  </w:style>
  <w:style w:type="character" w:customStyle="1" w:styleId="Heading6Char">
    <w:name w:val="Heading 6 Char"/>
    <w:aliases w:val="H6 Char"/>
    <w:basedOn w:val="DefaultParagraphFont"/>
    <w:link w:val="Heading6"/>
    <w:uiPriority w:val="11"/>
    <w:semiHidden/>
    <w:rsid w:val="00847ACE"/>
    <w:rPr>
      <w:rFonts w:asciiTheme="majorHAnsi" w:eastAsiaTheme="majorEastAsia" w:hAnsiTheme="majorHAnsi" w:cstheme="majorBidi"/>
      <w:i/>
      <w:iCs/>
      <w:color w:val="243F60" w:themeColor="accent1" w:themeShade="7F"/>
      <w:kern w:val="28"/>
      <w:sz w:val="22"/>
      <w:lang w:eastAsia="en-US"/>
    </w:rPr>
  </w:style>
  <w:style w:type="character" w:customStyle="1" w:styleId="Heading7Char">
    <w:name w:val="Heading 7 Char"/>
    <w:basedOn w:val="DefaultParagraphFont"/>
    <w:link w:val="Heading7"/>
    <w:uiPriority w:val="9"/>
    <w:semiHidden/>
    <w:rsid w:val="00847ACE"/>
    <w:rPr>
      <w:rFonts w:asciiTheme="majorHAnsi" w:eastAsiaTheme="majorEastAsia" w:hAnsiTheme="majorHAnsi" w:cstheme="majorBidi"/>
      <w:i/>
      <w:iCs/>
      <w:color w:val="404040" w:themeColor="text1" w:themeTint="BF"/>
      <w:kern w:val="28"/>
      <w:sz w:val="22"/>
      <w:lang w:eastAsia="en-US"/>
    </w:rPr>
  </w:style>
  <w:style w:type="character" w:customStyle="1" w:styleId="Heading8Char">
    <w:name w:val="Heading 8 Char"/>
    <w:basedOn w:val="DefaultParagraphFont"/>
    <w:link w:val="Heading8"/>
    <w:uiPriority w:val="99"/>
    <w:rsid w:val="00847ACE"/>
    <w:rPr>
      <w:rFonts w:asciiTheme="majorHAnsi" w:eastAsiaTheme="majorEastAsia" w:hAnsiTheme="majorHAnsi" w:cstheme="majorBidi"/>
      <w:color w:val="404040" w:themeColor="text1" w:themeTint="BF"/>
      <w:kern w:val="28"/>
      <w:lang w:eastAsia="en-US"/>
    </w:rPr>
  </w:style>
  <w:style w:type="character" w:customStyle="1" w:styleId="Heading1Char1">
    <w:name w:val="Heading 1 Char1"/>
    <w:aliases w:val="H1 Char1"/>
    <w:basedOn w:val="DefaultParagraphFont"/>
    <w:uiPriority w:val="4"/>
    <w:rsid w:val="00847ACE"/>
    <w:rPr>
      <w:rFonts w:asciiTheme="majorHAnsi" w:eastAsiaTheme="majorEastAsia" w:hAnsiTheme="majorHAnsi" w:cstheme="majorBidi"/>
      <w:b/>
      <w:bCs/>
      <w:color w:val="365F91" w:themeColor="accent1" w:themeShade="BF"/>
      <w:kern w:val="28"/>
      <w:sz w:val="28"/>
      <w:szCs w:val="28"/>
    </w:rPr>
  </w:style>
  <w:style w:type="character" w:customStyle="1" w:styleId="Heading2Char1">
    <w:name w:val="Heading 2 Char1"/>
    <w:aliases w:val="H2 Char1"/>
    <w:basedOn w:val="DefaultParagraphFont"/>
    <w:uiPriority w:val="6"/>
    <w:semiHidden/>
    <w:rsid w:val="00847ACE"/>
    <w:rPr>
      <w:rFonts w:asciiTheme="majorHAnsi" w:eastAsiaTheme="majorEastAsia" w:hAnsiTheme="majorHAnsi" w:cstheme="majorBidi"/>
      <w:b/>
      <w:bCs/>
      <w:color w:val="4F81BD" w:themeColor="accent1"/>
      <w:kern w:val="28"/>
      <w:sz w:val="26"/>
      <w:szCs w:val="26"/>
    </w:rPr>
  </w:style>
  <w:style w:type="character" w:customStyle="1" w:styleId="Heading3Char1">
    <w:name w:val="Heading 3 Char1"/>
    <w:aliases w:val="H3 Char1"/>
    <w:basedOn w:val="DefaultParagraphFont"/>
    <w:uiPriority w:val="8"/>
    <w:semiHidden/>
    <w:rsid w:val="00847ACE"/>
    <w:rPr>
      <w:rFonts w:asciiTheme="majorHAnsi" w:eastAsiaTheme="majorEastAsia" w:hAnsiTheme="majorHAnsi" w:cstheme="majorBidi"/>
      <w:b/>
      <w:bCs/>
      <w:color w:val="4F81BD" w:themeColor="accent1"/>
      <w:kern w:val="28"/>
      <w:sz w:val="22"/>
    </w:rPr>
  </w:style>
  <w:style w:type="character" w:customStyle="1" w:styleId="Heading4Char1">
    <w:name w:val="Heading 4 Char1"/>
    <w:aliases w:val="H4 Char1"/>
    <w:basedOn w:val="DefaultParagraphFont"/>
    <w:uiPriority w:val="9"/>
    <w:semiHidden/>
    <w:rsid w:val="00847ACE"/>
    <w:rPr>
      <w:rFonts w:asciiTheme="majorHAnsi" w:eastAsiaTheme="majorEastAsia" w:hAnsiTheme="majorHAnsi" w:cstheme="majorBidi"/>
      <w:b/>
      <w:bCs/>
      <w:i/>
      <w:iCs/>
      <w:color w:val="4F81BD" w:themeColor="accent1"/>
      <w:kern w:val="28"/>
      <w:sz w:val="22"/>
    </w:rPr>
  </w:style>
  <w:style w:type="character" w:customStyle="1" w:styleId="Heading5Char1">
    <w:name w:val="Heading 5 Char1"/>
    <w:aliases w:val="H5 Char1"/>
    <w:basedOn w:val="DefaultParagraphFont"/>
    <w:uiPriority w:val="10"/>
    <w:semiHidden/>
    <w:rsid w:val="00847ACE"/>
    <w:rPr>
      <w:rFonts w:asciiTheme="majorHAnsi" w:eastAsiaTheme="majorEastAsia" w:hAnsiTheme="majorHAnsi" w:cstheme="majorBidi"/>
      <w:color w:val="243F60" w:themeColor="accent1" w:themeShade="7F"/>
      <w:kern w:val="28"/>
      <w:sz w:val="22"/>
    </w:rPr>
  </w:style>
  <w:style w:type="character" w:customStyle="1" w:styleId="Heading6Char1">
    <w:name w:val="Heading 6 Char1"/>
    <w:aliases w:val="H6 Char1"/>
    <w:basedOn w:val="DefaultParagraphFont"/>
    <w:uiPriority w:val="11"/>
    <w:semiHidden/>
    <w:rsid w:val="00847ACE"/>
    <w:rPr>
      <w:rFonts w:asciiTheme="majorHAnsi" w:eastAsiaTheme="majorEastAsia" w:hAnsiTheme="majorHAnsi" w:cstheme="majorBidi"/>
      <w:i/>
      <w:iCs/>
      <w:color w:val="243F60" w:themeColor="accent1" w:themeShade="7F"/>
      <w:kern w:val="28"/>
      <w:sz w:val="22"/>
    </w:rPr>
  </w:style>
  <w:style w:type="paragraph" w:customStyle="1" w:styleId="FigureCaption0">
    <w:name w:val="FigureCaption"/>
    <w:basedOn w:val="Normal"/>
    <w:uiPriority w:val="15"/>
    <w:qFormat/>
    <w:rsid w:val="00006AA2"/>
    <w:pPr>
      <w:spacing w:after="160" w:line="240" w:lineRule="auto"/>
      <w:jc w:val="left"/>
    </w:pPr>
    <w:rPr>
      <w:rFonts w:asciiTheme="minorHAnsi" w:eastAsia="Times New Roman" w:hAnsiTheme="minorHAnsi"/>
      <w:b/>
      <w:color w:val="000000"/>
      <w:kern w:val="28"/>
      <w:sz w:val="20"/>
    </w:rPr>
  </w:style>
  <w:style w:type="table" w:customStyle="1" w:styleId="LightShading1">
    <w:name w:val="Light Shading1"/>
    <w:basedOn w:val="TableNormal"/>
    <w:uiPriority w:val="60"/>
    <w:rsid w:val="00B824DD"/>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BodyText1">
    <w:name w:val="Body Text1"/>
    <w:basedOn w:val="CommentText"/>
    <w:next w:val="TOCHeading"/>
    <w:qFormat/>
    <w:rsid w:val="00A539DF"/>
    <w:pPr>
      <w:tabs>
        <w:tab w:val="left" w:pos="851"/>
      </w:tabs>
      <w:spacing w:before="120" w:after="120"/>
    </w:pPr>
    <w:rPr>
      <w:rFonts w:ascii="Century Gothic" w:eastAsia="Times New Roman" w:hAnsi="Century Gothic" w:cs="Angsana New"/>
      <w:sz w:val="22"/>
      <w:szCs w:val="22"/>
      <w:lang w:val="en-AU" w:eastAsia="zh-CN" w:bidi="th-TH"/>
    </w:rPr>
  </w:style>
  <w:style w:type="paragraph" w:customStyle="1" w:styleId="BodyText2">
    <w:name w:val="Body Text2"/>
    <w:basedOn w:val="BodyText"/>
    <w:uiPriority w:val="99"/>
    <w:qFormat/>
    <w:rsid w:val="006927D3"/>
    <w:pPr>
      <w:tabs>
        <w:tab w:val="left" w:pos="851"/>
      </w:tabs>
      <w:spacing w:before="120" w:after="120"/>
    </w:pPr>
    <w:rPr>
      <w:rFonts w:ascii="Century Gothic" w:eastAsia="Times New Roman" w:hAnsi="Century Gothic" w:cs="Angsana New"/>
      <w:sz w:val="22"/>
      <w:szCs w:val="22"/>
      <w:lang w:val="en-AU" w:eastAsia="zh-CN" w:bidi="th-TH"/>
    </w:rPr>
  </w:style>
  <w:style w:type="paragraph" w:styleId="ListBullet3">
    <w:name w:val="List Bullet 3"/>
    <w:basedOn w:val="Normal"/>
    <w:uiPriority w:val="99"/>
    <w:unhideWhenUsed/>
    <w:rsid w:val="006847A6"/>
    <w:pPr>
      <w:spacing w:after="0" w:line="240" w:lineRule="auto"/>
      <w:ind w:left="1106" w:hanging="369"/>
      <w:jc w:val="left"/>
    </w:pPr>
    <w:rPr>
      <w:rFonts w:ascii="Times New Roman" w:eastAsiaTheme="minorHAnsi" w:hAnsi="Times New Roman"/>
      <w:sz w:val="24"/>
      <w:szCs w:val="24"/>
      <w:lang w:eastAsia="en-AU"/>
    </w:rPr>
  </w:style>
  <w:style w:type="paragraph" w:styleId="ListBullet4">
    <w:name w:val="List Bullet 4"/>
    <w:basedOn w:val="Normal"/>
    <w:uiPriority w:val="99"/>
    <w:unhideWhenUsed/>
    <w:rsid w:val="006847A6"/>
    <w:pPr>
      <w:spacing w:after="0" w:line="240" w:lineRule="auto"/>
      <w:ind w:left="1474" w:hanging="368"/>
      <w:jc w:val="left"/>
    </w:pPr>
    <w:rPr>
      <w:rFonts w:ascii="Times New Roman" w:eastAsiaTheme="minorHAnsi" w:hAnsi="Times New Roman"/>
      <w:sz w:val="24"/>
      <w:szCs w:val="24"/>
      <w:lang w:eastAsia="en-AU"/>
    </w:rPr>
  </w:style>
  <w:style w:type="paragraph" w:styleId="ListBullet5">
    <w:name w:val="List Bullet 5"/>
    <w:basedOn w:val="Normal"/>
    <w:uiPriority w:val="99"/>
    <w:unhideWhenUsed/>
    <w:rsid w:val="006847A6"/>
    <w:pPr>
      <w:spacing w:after="0" w:line="240" w:lineRule="auto"/>
      <w:ind w:left="1800" w:hanging="360"/>
      <w:jc w:val="left"/>
    </w:pPr>
    <w:rPr>
      <w:rFonts w:ascii="Times New Roman" w:eastAsiaTheme="minorHAnsi" w:hAnsi="Times New Roman"/>
      <w:sz w:val="24"/>
      <w:szCs w:val="24"/>
      <w:lang w:eastAsia="en-AU"/>
    </w:rPr>
  </w:style>
  <w:style w:type="paragraph" w:customStyle="1" w:styleId="Style2">
    <w:name w:val="Style2"/>
    <w:basedOn w:val="Normal"/>
    <w:link w:val="Style2Char"/>
    <w:qFormat/>
    <w:rsid w:val="008A7C75"/>
    <w:pPr>
      <w:spacing w:after="0" w:line="240" w:lineRule="auto"/>
      <w:ind w:left="1843" w:right="1684"/>
    </w:pPr>
    <w:rPr>
      <w:sz w:val="20"/>
    </w:rPr>
  </w:style>
  <w:style w:type="character" w:customStyle="1" w:styleId="Style2Char">
    <w:name w:val="Style2 Char"/>
    <w:link w:val="Style2"/>
    <w:rsid w:val="008A7C75"/>
    <w:rPr>
      <w:lang w:eastAsia="en-US"/>
    </w:rPr>
  </w:style>
  <w:style w:type="character" w:customStyle="1" w:styleId="ListParagraphChar">
    <w:name w:val="List Paragraph Char"/>
    <w:aliases w:val="table text Char"/>
    <w:link w:val="ListParagraph"/>
    <w:uiPriority w:val="99"/>
    <w:locked/>
    <w:rsid w:val="008A7C75"/>
    <w:rPr>
      <w:sz w:val="22"/>
      <w:lang w:eastAsia="en-US"/>
    </w:rPr>
  </w:style>
  <w:style w:type="paragraph" w:customStyle="1" w:styleId="BodyText3">
    <w:name w:val="Body Text3"/>
    <w:basedOn w:val="BodyText"/>
    <w:uiPriority w:val="99"/>
    <w:qFormat/>
    <w:rsid w:val="00B00804"/>
    <w:pPr>
      <w:tabs>
        <w:tab w:val="left" w:pos="851"/>
      </w:tabs>
      <w:spacing w:before="120" w:after="120"/>
    </w:pPr>
    <w:rPr>
      <w:rFonts w:ascii="Century Gothic" w:eastAsia="Times New Roman" w:hAnsi="Century Gothic" w:cs="Angsana New"/>
      <w:sz w:val="22"/>
      <w:szCs w:val="22"/>
      <w:lang w:val="en-AU" w:eastAsia="zh-CN" w:bidi="th-TH"/>
    </w:rPr>
  </w:style>
  <w:style w:type="paragraph" w:customStyle="1" w:styleId="TableCaption">
    <w:name w:val="TableCaption"/>
    <w:basedOn w:val="Normal"/>
    <w:next w:val="Normal"/>
    <w:uiPriority w:val="12"/>
    <w:qFormat/>
    <w:rsid w:val="00B00804"/>
    <w:pPr>
      <w:spacing w:after="160" w:line="240" w:lineRule="auto"/>
      <w:jc w:val="left"/>
    </w:pPr>
    <w:rPr>
      <w:rFonts w:eastAsia="Times New Roman"/>
      <w:b/>
      <w:color w:val="000000"/>
      <w:kern w:val="28"/>
      <w:sz w:val="20"/>
    </w:rPr>
  </w:style>
  <w:style w:type="paragraph" w:customStyle="1" w:styleId="EndNoteBibliography">
    <w:name w:val="EndNote Bibliography"/>
    <w:basedOn w:val="Normal"/>
    <w:link w:val="EndNoteBibliographyChar"/>
    <w:rsid w:val="00D72F5D"/>
    <w:pPr>
      <w:spacing w:after="200" w:line="240" w:lineRule="auto"/>
      <w:jc w:val="left"/>
    </w:pPr>
    <w:rPr>
      <w:noProof/>
      <w:szCs w:val="22"/>
      <w:lang w:val="en-US"/>
    </w:rPr>
  </w:style>
  <w:style w:type="character" w:customStyle="1" w:styleId="EndNoteBibliographyChar">
    <w:name w:val="EndNote Bibliography Char"/>
    <w:basedOn w:val="ListParagraphChar"/>
    <w:link w:val="EndNoteBibliography"/>
    <w:rsid w:val="00D72F5D"/>
    <w:rPr>
      <w:noProof/>
      <w:sz w:val="22"/>
      <w:szCs w:val="22"/>
      <w:lang w:val="en-US" w:eastAsia="en-US"/>
    </w:rPr>
  </w:style>
  <w:style w:type="table" w:styleId="LightShading">
    <w:name w:val="Light Shading"/>
    <w:basedOn w:val="TableNormal"/>
    <w:uiPriority w:val="60"/>
    <w:rsid w:val="00133CFD"/>
    <w:rPr>
      <w:rFonts w:asciiTheme="minorHAnsi" w:eastAsiaTheme="minorEastAsia" w:hAnsiTheme="minorHAnsi" w:cstheme="minorBidi"/>
      <w:color w:val="000000" w:themeColor="text1" w:themeShade="BF"/>
      <w:sz w:val="24"/>
      <w:szCs w:val="24"/>
      <w:lang w:val="en-US"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GridTable2-Accent11">
    <w:name w:val="Grid Table 2 - Accent 11"/>
    <w:basedOn w:val="TableNormal"/>
    <w:uiPriority w:val="47"/>
    <w:rsid w:val="00767532"/>
    <w:rPr>
      <w:sz w:val="22"/>
      <w:szCs w:val="22"/>
      <w:lang w:eastAsia="en-US"/>
    </w:rPr>
    <w:tblPr>
      <w:tblStyleRowBandSize w:val="1"/>
      <w:tblStyleColBandSize w:val="1"/>
      <w:tblInd w:w="0" w:type="dxa"/>
      <w:tblBorders>
        <w:top w:val="single" w:sz="2" w:space="0" w:color="95B3D7"/>
        <w:bottom w:val="single" w:sz="2" w:space="0" w:color="95B3D7"/>
        <w:insideH w:val="single" w:sz="2" w:space="0" w:color="95B3D7"/>
        <w:insideV w:val="single" w:sz="2" w:space="0" w:color="95B3D7"/>
      </w:tblBorders>
      <w:tblCellMar>
        <w:top w:w="0" w:type="dxa"/>
        <w:left w:w="108" w:type="dxa"/>
        <w:bottom w:w="0" w:type="dxa"/>
        <w:right w:w="108" w:type="dxa"/>
      </w:tblCellMar>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References">
    <w:name w:val="References"/>
    <w:basedOn w:val="Normal"/>
    <w:next w:val="Normal"/>
    <w:link w:val="ReferencesChar"/>
    <w:uiPriority w:val="22"/>
    <w:qFormat/>
    <w:rsid w:val="001D0150"/>
    <w:pPr>
      <w:spacing w:after="220" w:line="240" w:lineRule="atLeast"/>
      <w:ind w:left="851" w:hanging="851"/>
    </w:pPr>
    <w:rPr>
      <w:rFonts w:ascii="Times New Roman" w:eastAsia="Times New Roman" w:hAnsi="Times New Roman"/>
    </w:rPr>
  </w:style>
  <w:style w:type="character" w:customStyle="1" w:styleId="ReferencesChar">
    <w:name w:val="References Char"/>
    <w:basedOn w:val="DefaultParagraphFont"/>
    <w:link w:val="References"/>
    <w:rsid w:val="001D0150"/>
    <w:rPr>
      <w:rFonts w:ascii="Times New Roman" w:eastAsia="Times New Roman" w:hAnsi="Times New Roman"/>
      <w:sz w:val="22"/>
      <w:lang w:eastAsia="en-US"/>
    </w:rPr>
  </w:style>
</w:styles>
</file>

<file path=word/webSettings.xml><?xml version="1.0" encoding="utf-8"?>
<w:webSettings xmlns:r="http://schemas.openxmlformats.org/officeDocument/2006/relationships" xmlns:w="http://schemas.openxmlformats.org/wordprocessingml/2006/main">
  <w:divs>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sChild>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32661156">
      <w:bodyDiv w:val="1"/>
      <w:marLeft w:val="0"/>
      <w:marRight w:val="0"/>
      <w:marTop w:val="0"/>
      <w:marBottom w:val="0"/>
      <w:divBdr>
        <w:top w:val="none" w:sz="0" w:space="0" w:color="auto"/>
        <w:left w:val="none" w:sz="0" w:space="0" w:color="auto"/>
        <w:bottom w:val="none" w:sz="0" w:space="0" w:color="auto"/>
        <w:right w:val="none" w:sz="0" w:space="0" w:color="auto"/>
      </w:divBdr>
    </w:div>
    <w:div w:id="33510230">
      <w:bodyDiv w:val="1"/>
      <w:marLeft w:val="0"/>
      <w:marRight w:val="0"/>
      <w:marTop w:val="0"/>
      <w:marBottom w:val="0"/>
      <w:divBdr>
        <w:top w:val="none" w:sz="0" w:space="0" w:color="auto"/>
        <w:left w:val="none" w:sz="0" w:space="0" w:color="auto"/>
        <w:bottom w:val="none" w:sz="0" w:space="0" w:color="auto"/>
        <w:right w:val="none" w:sz="0" w:space="0" w:color="auto"/>
      </w:divBdr>
    </w:div>
    <w:div w:id="46152020">
      <w:bodyDiv w:val="1"/>
      <w:marLeft w:val="0"/>
      <w:marRight w:val="0"/>
      <w:marTop w:val="0"/>
      <w:marBottom w:val="0"/>
      <w:divBdr>
        <w:top w:val="none" w:sz="0" w:space="0" w:color="auto"/>
        <w:left w:val="none" w:sz="0" w:space="0" w:color="auto"/>
        <w:bottom w:val="none" w:sz="0" w:space="0" w:color="auto"/>
        <w:right w:val="none" w:sz="0" w:space="0" w:color="auto"/>
      </w:divBdr>
    </w:div>
    <w:div w:id="82455036">
      <w:bodyDiv w:val="1"/>
      <w:marLeft w:val="0"/>
      <w:marRight w:val="0"/>
      <w:marTop w:val="0"/>
      <w:marBottom w:val="0"/>
      <w:divBdr>
        <w:top w:val="none" w:sz="0" w:space="0" w:color="auto"/>
        <w:left w:val="none" w:sz="0" w:space="0" w:color="auto"/>
        <w:bottom w:val="none" w:sz="0" w:space="0" w:color="auto"/>
        <w:right w:val="none" w:sz="0" w:space="0" w:color="auto"/>
      </w:divBdr>
    </w:div>
    <w:div w:id="133648995">
      <w:bodyDiv w:val="1"/>
      <w:marLeft w:val="0"/>
      <w:marRight w:val="0"/>
      <w:marTop w:val="0"/>
      <w:marBottom w:val="0"/>
      <w:divBdr>
        <w:top w:val="none" w:sz="0" w:space="0" w:color="auto"/>
        <w:left w:val="none" w:sz="0" w:space="0" w:color="auto"/>
        <w:bottom w:val="none" w:sz="0" w:space="0" w:color="auto"/>
        <w:right w:val="none" w:sz="0" w:space="0" w:color="auto"/>
      </w:divBdr>
    </w:div>
    <w:div w:id="163906081">
      <w:bodyDiv w:val="1"/>
      <w:marLeft w:val="0"/>
      <w:marRight w:val="0"/>
      <w:marTop w:val="0"/>
      <w:marBottom w:val="0"/>
      <w:divBdr>
        <w:top w:val="none" w:sz="0" w:space="0" w:color="auto"/>
        <w:left w:val="none" w:sz="0" w:space="0" w:color="auto"/>
        <w:bottom w:val="none" w:sz="0" w:space="0" w:color="auto"/>
        <w:right w:val="none" w:sz="0" w:space="0" w:color="auto"/>
      </w:divBdr>
    </w:div>
    <w:div w:id="183641893">
      <w:bodyDiv w:val="1"/>
      <w:marLeft w:val="0"/>
      <w:marRight w:val="0"/>
      <w:marTop w:val="0"/>
      <w:marBottom w:val="0"/>
      <w:divBdr>
        <w:top w:val="none" w:sz="0" w:space="0" w:color="auto"/>
        <w:left w:val="none" w:sz="0" w:space="0" w:color="auto"/>
        <w:bottom w:val="none" w:sz="0" w:space="0" w:color="auto"/>
        <w:right w:val="none" w:sz="0" w:space="0" w:color="auto"/>
      </w:divBdr>
    </w:div>
    <w:div w:id="188223329">
      <w:bodyDiv w:val="1"/>
      <w:marLeft w:val="0"/>
      <w:marRight w:val="0"/>
      <w:marTop w:val="0"/>
      <w:marBottom w:val="0"/>
      <w:divBdr>
        <w:top w:val="none" w:sz="0" w:space="0" w:color="auto"/>
        <w:left w:val="none" w:sz="0" w:space="0" w:color="auto"/>
        <w:bottom w:val="none" w:sz="0" w:space="0" w:color="auto"/>
        <w:right w:val="none" w:sz="0" w:space="0" w:color="auto"/>
      </w:divBdr>
    </w:div>
    <w:div w:id="222449889">
      <w:bodyDiv w:val="1"/>
      <w:marLeft w:val="0"/>
      <w:marRight w:val="0"/>
      <w:marTop w:val="0"/>
      <w:marBottom w:val="0"/>
      <w:divBdr>
        <w:top w:val="none" w:sz="0" w:space="0" w:color="auto"/>
        <w:left w:val="none" w:sz="0" w:space="0" w:color="auto"/>
        <w:bottom w:val="none" w:sz="0" w:space="0" w:color="auto"/>
        <w:right w:val="none" w:sz="0" w:space="0" w:color="auto"/>
      </w:divBdr>
      <w:divsChild>
        <w:div w:id="1473256253">
          <w:marLeft w:val="0"/>
          <w:marRight w:val="0"/>
          <w:marTop w:val="0"/>
          <w:marBottom w:val="0"/>
          <w:divBdr>
            <w:top w:val="none" w:sz="0" w:space="0" w:color="auto"/>
            <w:left w:val="none" w:sz="0" w:space="0" w:color="auto"/>
            <w:bottom w:val="none" w:sz="0" w:space="0" w:color="auto"/>
            <w:right w:val="none" w:sz="0" w:space="0" w:color="auto"/>
          </w:divBdr>
          <w:divsChild>
            <w:div w:id="196773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300102">
      <w:bodyDiv w:val="1"/>
      <w:marLeft w:val="0"/>
      <w:marRight w:val="0"/>
      <w:marTop w:val="0"/>
      <w:marBottom w:val="0"/>
      <w:divBdr>
        <w:top w:val="none" w:sz="0" w:space="0" w:color="auto"/>
        <w:left w:val="none" w:sz="0" w:space="0" w:color="auto"/>
        <w:bottom w:val="none" w:sz="0" w:space="0" w:color="auto"/>
        <w:right w:val="none" w:sz="0" w:space="0" w:color="auto"/>
      </w:divBdr>
    </w:div>
    <w:div w:id="265163436">
      <w:bodyDiv w:val="1"/>
      <w:marLeft w:val="0"/>
      <w:marRight w:val="0"/>
      <w:marTop w:val="0"/>
      <w:marBottom w:val="0"/>
      <w:divBdr>
        <w:top w:val="none" w:sz="0" w:space="0" w:color="auto"/>
        <w:left w:val="none" w:sz="0" w:space="0" w:color="auto"/>
        <w:bottom w:val="none" w:sz="0" w:space="0" w:color="auto"/>
        <w:right w:val="none" w:sz="0" w:space="0" w:color="auto"/>
      </w:divBdr>
    </w:div>
    <w:div w:id="326591333">
      <w:bodyDiv w:val="1"/>
      <w:marLeft w:val="0"/>
      <w:marRight w:val="0"/>
      <w:marTop w:val="0"/>
      <w:marBottom w:val="0"/>
      <w:divBdr>
        <w:top w:val="none" w:sz="0" w:space="0" w:color="auto"/>
        <w:left w:val="none" w:sz="0" w:space="0" w:color="auto"/>
        <w:bottom w:val="none" w:sz="0" w:space="0" w:color="auto"/>
        <w:right w:val="none" w:sz="0" w:space="0" w:color="auto"/>
      </w:divBdr>
    </w:div>
    <w:div w:id="336545075">
      <w:bodyDiv w:val="1"/>
      <w:marLeft w:val="0"/>
      <w:marRight w:val="0"/>
      <w:marTop w:val="0"/>
      <w:marBottom w:val="0"/>
      <w:divBdr>
        <w:top w:val="none" w:sz="0" w:space="0" w:color="auto"/>
        <w:left w:val="none" w:sz="0" w:space="0" w:color="auto"/>
        <w:bottom w:val="none" w:sz="0" w:space="0" w:color="auto"/>
        <w:right w:val="none" w:sz="0" w:space="0" w:color="auto"/>
      </w:divBdr>
      <w:divsChild>
        <w:div w:id="1045179719">
          <w:marLeft w:val="0"/>
          <w:marRight w:val="0"/>
          <w:marTop w:val="0"/>
          <w:marBottom w:val="0"/>
          <w:divBdr>
            <w:top w:val="none" w:sz="0" w:space="0" w:color="auto"/>
            <w:left w:val="none" w:sz="0" w:space="0" w:color="auto"/>
            <w:bottom w:val="none" w:sz="0" w:space="0" w:color="auto"/>
            <w:right w:val="none" w:sz="0" w:space="0" w:color="auto"/>
          </w:divBdr>
        </w:div>
      </w:divsChild>
    </w:div>
    <w:div w:id="340470138">
      <w:bodyDiv w:val="1"/>
      <w:marLeft w:val="0"/>
      <w:marRight w:val="0"/>
      <w:marTop w:val="0"/>
      <w:marBottom w:val="0"/>
      <w:divBdr>
        <w:top w:val="none" w:sz="0" w:space="0" w:color="auto"/>
        <w:left w:val="none" w:sz="0" w:space="0" w:color="auto"/>
        <w:bottom w:val="none" w:sz="0" w:space="0" w:color="auto"/>
        <w:right w:val="none" w:sz="0" w:space="0" w:color="auto"/>
      </w:divBdr>
      <w:divsChild>
        <w:div w:id="55055496">
          <w:marLeft w:val="0"/>
          <w:marRight w:val="0"/>
          <w:marTop w:val="0"/>
          <w:marBottom w:val="0"/>
          <w:divBdr>
            <w:top w:val="none" w:sz="0" w:space="0" w:color="auto"/>
            <w:left w:val="none" w:sz="0" w:space="0" w:color="auto"/>
            <w:bottom w:val="none" w:sz="0" w:space="0" w:color="auto"/>
            <w:right w:val="none" w:sz="0" w:space="0" w:color="auto"/>
          </w:divBdr>
        </w:div>
        <w:div w:id="645863387">
          <w:marLeft w:val="0"/>
          <w:marRight w:val="0"/>
          <w:marTop w:val="0"/>
          <w:marBottom w:val="0"/>
          <w:divBdr>
            <w:top w:val="none" w:sz="0" w:space="0" w:color="auto"/>
            <w:left w:val="none" w:sz="0" w:space="0" w:color="auto"/>
            <w:bottom w:val="none" w:sz="0" w:space="0" w:color="auto"/>
            <w:right w:val="none" w:sz="0" w:space="0" w:color="auto"/>
          </w:divBdr>
        </w:div>
        <w:div w:id="665943525">
          <w:marLeft w:val="0"/>
          <w:marRight w:val="0"/>
          <w:marTop w:val="0"/>
          <w:marBottom w:val="0"/>
          <w:divBdr>
            <w:top w:val="none" w:sz="0" w:space="0" w:color="auto"/>
            <w:left w:val="none" w:sz="0" w:space="0" w:color="auto"/>
            <w:bottom w:val="none" w:sz="0" w:space="0" w:color="auto"/>
            <w:right w:val="none" w:sz="0" w:space="0" w:color="auto"/>
          </w:divBdr>
        </w:div>
        <w:div w:id="913665273">
          <w:marLeft w:val="0"/>
          <w:marRight w:val="0"/>
          <w:marTop w:val="0"/>
          <w:marBottom w:val="0"/>
          <w:divBdr>
            <w:top w:val="none" w:sz="0" w:space="0" w:color="auto"/>
            <w:left w:val="none" w:sz="0" w:space="0" w:color="auto"/>
            <w:bottom w:val="none" w:sz="0" w:space="0" w:color="auto"/>
            <w:right w:val="none" w:sz="0" w:space="0" w:color="auto"/>
          </w:divBdr>
        </w:div>
        <w:div w:id="1759792724">
          <w:marLeft w:val="0"/>
          <w:marRight w:val="0"/>
          <w:marTop w:val="0"/>
          <w:marBottom w:val="0"/>
          <w:divBdr>
            <w:top w:val="none" w:sz="0" w:space="0" w:color="auto"/>
            <w:left w:val="none" w:sz="0" w:space="0" w:color="auto"/>
            <w:bottom w:val="none" w:sz="0" w:space="0" w:color="auto"/>
            <w:right w:val="none" w:sz="0" w:space="0" w:color="auto"/>
          </w:divBdr>
        </w:div>
      </w:divsChild>
    </w:div>
    <w:div w:id="459954402">
      <w:bodyDiv w:val="1"/>
      <w:marLeft w:val="0"/>
      <w:marRight w:val="0"/>
      <w:marTop w:val="0"/>
      <w:marBottom w:val="0"/>
      <w:divBdr>
        <w:top w:val="none" w:sz="0" w:space="0" w:color="auto"/>
        <w:left w:val="none" w:sz="0" w:space="0" w:color="auto"/>
        <w:bottom w:val="none" w:sz="0" w:space="0" w:color="auto"/>
        <w:right w:val="none" w:sz="0" w:space="0" w:color="auto"/>
      </w:divBdr>
    </w:div>
    <w:div w:id="498663459">
      <w:bodyDiv w:val="1"/>
      <w:marLeft w:val="0"/>
      <w:marRight w:val="0"/>
      <w:marTop w:val="0"/>
      <w:marBottom w:val="0"/>
      <w:divBdr>
        <w:top w:val="none" w:sz="0" w:space="0" w:color="auto"/>
        <w:left w:val="none" w:sz="0" w:space="0" w:color="auto"/>
        <w:bottom w:val="none" w:sz="0" w:space="0" w:color="auto"/>
        <w:right w:val="none" w:sz="0" w:space="0" w:color="auto"/>
      </w:divBdr>
    </w:div>
    <w:div w:id="518471649">
      <w:bodyDiv w:val="1"/>
      <w:marLeft w:val="0"/>
      <w:marRight w:val="0"/>
      <w:marTop w:val="0"/>
      <w:marBottom w:val="0"/>
      <w:divBdr>
        <w:top w:val="none" w:sz="0" w:space="0" w:color="auto"/>
        <w:left w:val="none" w:sz="0" w:space="0" w:color="auto"/>
        <w:bottom w:val="none" w:sz="0" w:space="0" w:color="auto"/>
        <w:right w:val="none" w:sz="0" w:space="0" w:color="auto"/>
      </w:divBdr>
    </w:div>
    <w:div w:id="529072332">
      <w:bodyDiv w:val="1"/>
      <w:marLeft w:val="0"/>
      <w:marRight w:val="0"/>
      <w:marTop w:val="0"/>
      <w:marBottom w:val="0"/>
      <w:divBdr>
        <w:top w:val="none" w:sz="0" w:space="0" w:color="auto"/>
        <w:left w:val="none" w:sz="0" w:space="0" w:color="auto"/>
        <w:bottom w:val="none" w:sz="0" w:space="0" w:color="auto"/>
        <w:right w:val="none" w:sz="0" w:space="0" w:color="auto"/>
      </w:divBdr>
    </w:div>
    <w:div w:id="581643982">
      <w:bodyDiv w:val="1"/>
      <w:marLeft w:val="0"/>
      <w:marRight w:val="0"/>
      <w:marTop w:val="0"/>
      <w:marBottom w:val="0"/>
      <w:divBdr>
        <w:top w:val="none" w:sz="0" w:space="0" w:color="auto"/>
        <w:left w:val="none" w:sz="0" w:space="0" w:color="auto"/>
        <w:bottom w:val="none" w:sz="0" w:space="0" w:color="auto"/>
        <w:right w:val="none" w:sz="0" w:space="0" w:color="auto"/>
      </w:divBdr>
    </w:div>
    <w:div w:id="589775535">
      <w:bodyDiv w:val="1"/>
      <w:marLeft w:val="60"/>
      <w:marRight w:val="60"/>
      <w:marTop w:val="60"/>
      <w:marBottom w:val="15"/>
      <w:divBdr>
        <w:top w:val="none" w:sz="0" w:space="0" w:color="auto"/>
        <w:left w:val="none" w:sz="0" w:space="0" w:color="auto"/>
        <w:bottom w:val="none" w:sz="0" w:space="0" w:color="auto"/>
        <w:right w:val="none" w:sz="0" w:space="0" w:color="auto"/>
      </w:divBdr>
      <w:divsChild>
        <w:div w:id="147940713">
          <w:marLeft w:val="0"/>
          <w:marRight w:val="0"/>
          <w:marTop w:val="0"/>
          <w:marBottom w:val="0"/>
          <w:divBdr>
            <w:top w:val="none" w:sz="0" w:space="0" w:color="auto"/>
            <w:left w:val="none" w:sz="0" w:space="0" w:color="auto"/>
            <w:bottom w:val="none" w:sz="0" w:space="0" w:color="auto"/>
            <w:right w:val="none" w:sz="0" w:space="0" w:color="auto"/>
          </w:divBdr>
        </w:div>
      </w:divsChild>
    </w:div>
    <w:div w:id="629434940">
      <w:bodyDiv w:val="1"/>
      <w:marLeft w:val="0"/>
      <w:marRight w:val="0"/>
      <w:marTop w:val="0"/>
      <w:marBottom w:val="0"/>
      <w:divBdr>
        <w:top w:val="none" w:sz="0" w:space="0" w:color="auto"/>
        <w:left w:val="none" w:sz="0" w:space="0" w:color="auto"/>
        <w:bottom w:val="none" w:sz="0" w:space="0" w:color="auto"/>
        <w:right w:val="none" w:sz="0" w:space="0" w:color="auto"/>
      </w:divBdr>
    </w:div>
    <w:div w:id="632949823">
      <w:bodyDiv w:val="1"/>
      <w:marLeft w:val="0"/>
      <w:marRight w:val="0"/>
      <w:marTop w:val="0"/>
      <w:marBottom w:val="0"/>
      <w:divBdr>
        <w:top w:val="none" w:sz="0" w:space="0" w:color="auto"/>
        <w:left w:val="none" w:sz="0" w:space="0" w:color="auto"/>
        <w:bottom w:val="none" w:sz="0" w:space="0" w:color="auto"/>
        <w:right w:val="none" w:sz="0" w:space="0" w:color="auto"/>
      </w:divBdr>
    </w:div>
    <w:div w:id="655694251">
      <w:bodyDiv w:val="1"/>
      <w:marLeft w:val="0"/>
      <w:marRight w:val="0"/>
      <w:marTop w:val="0"/>
      <w:marBottom w:val="0"/>
      <w:divBdr>
        <w:top w:val="none" w:sz="0" w:space="0" w:color="auto"/>
        <w:left w:val="none" w:sz="0" w:space="0" w:color="auto"/>
        <w:bottom w:val="none" w:sz="0" w:space="0" w:color="auto"/>
        <w:right w:val="none" w:sz="0" w:space="0" w:color="auto"/>
      </w:divBdr>
    </w:div>
    <w:div w:id="656229580">
      <w:bodyDiv w:val="1"/>
      <w:marLeft w:val="0"/>
      <w:marRight w:val="0"/>
      <w:marTop w:val="0"/>
      <w:marBottom w:val="0"/>
      <w:divBdr>
        <w:top w:val="none" w:sz="0" w:space="0" w:color="auto"/>
        <w:left w:val="none" w:sz="0" w:space="0" w:color="auto"/>
        <w:bottom w:val="none" w:sz="0" w:space="0" w:color="auto"/>
        <w:right w:val="none" w:sz="0" w:space="0" w:color="auto"/>
      </w:divBdr>
    </w:div>
    <w:div w:id="700323342">
      <w:bodyDiv w:val="1"/>
      <w:marLeft w:val="0"/>
      <w:marRight w:val="0"/>
      <w:marTop w:val="0"/>
      <w:marBottom w:val="0"/>
      <w:divBdr>
        <w:top w:val="none" w:sz="0" w:space="0" w:color="auto"/>
        <w:left w:val="none" w:sz="0" w:space="0" w:color="auto"/>
        <w:bottom w:val="none" w:sz="0" w:space="0" w:color="auto"/>
        <w:right w:val="none" w:sz="0" w:space="0" w:color="auto"/>
      </w:divBdr>
    </w:div>
    <w:div w:id="745763491">
      <w:bodyDiv w:val="1"/>
      <w:marLeft w:val="0"/>
      <w:marRight w:val="0"/>
      <w:marTop w:val="0"/>
      <w:marBottom w:val="0"/>
      <w:divBdr>
        <w:top w:val="none" w:sz="0" w:space="0" w:color="auto"/>
        <w:left w:val="none" w:sz="0" w:space="0" w:color="auto"/>
        <w:bottom w:val="none" w:sz="0" w:space="0" w:color="auto"/>
        <w:right w:val="none" w:sz="0" w:space="0" w:color="auto"/>
      </w:divBdr>
    </w:div>
    <w:div w:id="770517773">
      <w:bodyDiv w:val="1"/>
      <w:marLeft w:val="0"/>
      <w:marRight w:val="0"/>
      <w:marTop w:val="0"/>
      <w:marBottom w:val="0"/>
      <w:divBdr>
        <w:top w:val="none" w:sz="0" w:space="0" w:color="auto"/>
        <w:left w:val="none" w:sz="0" w:space="0" w:color="auto"/>
        <w:bottom w:val="none" w:sz="0" w:space="0" w:color="auto"/>
        <w:right w:val="none" w:sz="0" w:space="0" w:color="auto"/>
      </w:divBdr>
    </w:div>
    <w:div w:id="792789992">
      <w:bodyDiv w:val="1"/>
      <w:marLeft w:val="0"/>
      <w:marRight w:val="0"/>
      <w:marTop w:val="0"/>
      <w:marBottom w:val="0"/>
      <w:divBdr>
        <w:top w:val="none" w:sz="0" w:space="0" w:color="auto"/>
        <w:left w:val="none" w:sz="0" w:space="0" w:color="auto"/>
        <w:bottom w:val="none" w:sz="0" w:space="0" w:color="auto"/>
        <w:right w:val="none" w:sz="0" w:space="0" w:color="auto"/>
      </w:divBdr>
    </w:div>
    <w:div w:id="818618794">
      <w:bodyDiv w:val="1"/>
      <w:marLeft w:val="0"/>
      <w:marRight w:val="0"/>
      <w:marTop w:val="0"/>
      <w:marBottom w:val="0"/>
      <w:divBdr>
        <w:top w:val="none" w:sz="0" w:space="0" w:color="auto"/>
        <w:left w:val="none" w:sz="0" w:space="0" w:color="auto"/>
        <w:bottom w:val="none" w:sz="0" w:space="0" w:color="auto"/>
        <w:right w:val="none" w:sz="0" w:space="0" w:color="auto"/>
      </w:divBdr>
    </w:div>
    <w:div w:id="856388434">
      <w:bodyDiv w:val="1"/>
      <w:marLeft w:val="0"/>
      <w:marRight w:val="0"/>
      <w:marTop w:val="0"/>
      <w:marBottom w:val="0"/>
      <w:divBdr>
        <w:top w:val="none" w:sz="0" w:space="0" w:color="auto"/>
        <w:left w:val="none" w:sz="0" w:space="0" w:color="auto"/>
        <w:bottom w:val="none" w:sz="0" w:space="0" w:color="auto"/>
        <w:right w:val="none" w:sz="0" w:space="0" w:color="auto"/>
      </w:divBdr>
    </w:div>
    <w:div w:id="865873868">
      <w:bodyDiv w:val="1"/>
      <w:marLeft w:val="0"/>
      <w:marRight w:val="0"/>
      <w:marTop w:val="0"/>
      <w:marBottom w:val="0"/>
      <w:divBdr>
        <w:top w:val="none" w:sz="0" w:space="0" w:color="auto"/>
        <w:left w:val="none" w:sz="0" w:space="0" w:color="auto"/>
        <w:bottom w:val="none" w:sz="0" w:space="0" w:color="auto"/>
        <w:right w:val="none" w:sz="0" w:space="0" w:color="auto"/>
      </w:divBdr>
      <w:divsChild>
        <w:div w:id="844051871">
          <w:marLeft w:val="0"/>
          <w:marRight w:val="0"/>
          <w:marTop w:val="0"/>
          <w:marBottom w:val="0"/>
          <w:divBdr>
            <w:top w:val="none" w:sz="0" w:space="0" w:color="auto"/>
            <w:left w:val="none" w:sz="0" w:space="0" w:color="auto"/>
            <w:bottom w:val="none" w:sz="0" w:space="0" w:color="auto"/>
            <w:right w:val="none" w:sz="0" w:space="0" w:color="auto"/>
          </w:divBdr>
          <w:divsChild>
            <w:div w:id="1188720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242334">
      <w:bodyDiv w:val="1"/>
      <w:marLeft w:val="0"/>
      <w:marRight w:val="0"/>
      <w:marTop w:val="0"/>
      <w:marBottom w:val="0"/>
      <w:divBdr>
        <w:top w:val="none" w:sz="0" w:space="0" w:color="auto"/>
        <w:left w:val="none" w:sz="0" w:space="0" w:color="auto"/>
        <w:bottom w:val="none" w:sz="0" w:space="0" w:color="auto"/>
        <w:right w:val="none" w:sz="0" w:space="0" w:color="auto"/>
      </w:divBdr>
      <w:divsChild>
        <w:div w:id="1539852271">
          <w:marLeft w:val="0"/>
          <w:marRight w:val="0"/>
          <w:marTop w:val="0"/>
          <w:marBottom w:val="0"/>
          <w:divBdr>
            <w:top w:val="none" w:sz="0" w:space="0" w:color="auto"/>
            <w:left w:val="none" w:sz="0" w:space="0" w:color="auto"/>
            <w:bottom w:val="none" w:sz="0" w:space="0" w:color="auto"/>
            <w:right w:val="none" w:sz="0" w:space="0" w:color="auto"/>
          </w:divBdr>
        </w:div>
      </w:divsChild>
    </w:div>
    <w:div w:id="887716589">
      <w:bodyDiv w:val="1"/>
      <w:marLeft w:val="0"/>
      <w:marRight w:val="0"/>
      <w:marTop w:val="0"/>
      <w:marBottom w:val="0"/>
      <w:divBdr>
        <w:top w:val="none" w:sz="0" w:space="0" w:color="auto"/>
        <w:left w:val="none" w:sz="0" w:space="0" w:color="auto"/>
        <w:bottom w:val="none" w:sz="0" w:space="0" w:color="auto"/>
        <w:right w:val="none" w:sz="0" w:space="0" w:color="auto"/>
      </w:divBdr>
    </w:div>
    <w:div w:id="917901611">
      <w:bodyDiv w:val="1"/>
      <w:marLeft w:val="0"/>
      <w:marRight w:val="0"/>
      <w:marTop w:val="0"/>
      <w:marBottom w:val="0"/>
      <w:divBdr>
        <w:top w:val="none" w:sz="0" w:space="0" w:color="auto"/>
        <w:left w:val="none" w:sz="0" w:space="0" w:color="auto"/>
        <w:bottom w:val="none" w:sz="0" w:space="0" w:color="auto"/>
        <w:right w:val="none" w:sz="0" w:space="0" w:color="auto"/>
      </w:divBdr>
    </w:div>
    <w:div w:id="922185264">
      <w:bodyDiv w:val="1"/>
      <w:marLeft w:val="0"/>
      <w:marRight w:val="0"/>
      <w:marTop w:val="0"/>
      <w:marBottom w:val="0"/>
      <w:divBdr>
        <w:top w:val="none" w:sz="0" w:space="0" w:color="auto"/>
        <w:left w:val="none" w:sz="0" w:space="0" w:color="auto"/>
        <w:bottom w:val="none" w:sz="0" w:space="0" w:color="auto"/>
        <w:right w:val="none" w:sz="0" w:space="0" w:color="auto"/>
      </w:divBdr>
      <w:divsChild>
        <w:div w:id="460653357">
          <w:marLeft w:val="0"/>
          <w:marRight w:val="0"/>
          <w:marTop w:val="0"/>
          <w:marBottom w:val="0"/>
          <w:divBdr>
            <w:top w:val="none" w:sz="0" w:space="0" w:color="auto"/>
            <w:left w:val="none" w:sz="0" w:space="0" w:color="auto"/>
            <w:bottom w:val="none" w:sz="0" w:space="0" w:color="auto"/>
            <w:right w:val="none" w:sz="0" w:space="0" w:color="auto"/>
          </w:divBdr>
        </w:div>
        <w:div w:id="1430932330">
          <w:marLeft w:val="0"/>
          <w:marRight w:val="0"/>
          <w:marTop w:val="0"/>
          <w:marBottom w:val="0"/>
          <w:divBdr>
            <w:top w:val="none" w:sz="0" w:space="0" w:color="auto"/>
            <w:left w:val="none" w:sz="0" w:space="0" w:color="auto"/>
            <w:bottom w:val="none" w:sz="0" w:space="0" w:color="auto"/>
            <w:right w:val="none" w:sz="0" w:space="0" w:color="auto"/>
          </w:divBdr>
        </w:div>
        <w:div w:id="1606116096">
          <w:marLeft w:val="0"/>
          <w:marRight w:val="0"/>
          <w:marTop w:val="0"/>
          <w:marBottom w:val="0"/>
          <w:divBdr>
            <w:top w:val="none" w:sz="0" w:space="0" w:color="auto"/>
            <w:left w:val="none" w:sz="0" w:space="0" w:color="auto"/>
            <w:bottom w:val="none" w:sz="0" w:space="0" w:color="auto"/>
            <w:right w:val="none" w:sz="0" w:space="0" w:color="auto"/>
          </w:divBdr>
        </w:div>
      </w:divsChild>
    </w:div>
    <w:div w:id="950471914">
      <w:bodyDiv w:val="1"/>
      <w:marLeft w:val="0"/>
      <w:marRight w:val="0"/>
      <w:marTop w:val="0"/>
      <w:marBottom w:val="0"/>
      <w:divBdr>
        <w:top w:val="none" w:sz="0" w:space="0" w:color="auto"/>
        <w:left w:val="none" w:sz="0" w:space="0" w:color="auto"/>
        <w:bottom w:val="none" w:sz="0" w:space="0" w:color="auto"/>
        <w:right w:val="none" w:sz="0" w:space="0" w:color="auto"/>
      </w:divBdr>
    </w:div>
    <w:div w:id="972102682">
      <w:bodyDiv w:val="1"/>
      <w:marLeft w:val="0"/>
      <w:marRight w:val="0"/>
      <w:marTop w:val="0"/>
      <w:marBottom w:val="0"/>
      <w:divBdr>
        <w:top w:val="none" w:sz="0" w:space="0" w:color="auto"/>
        <w:left w:val="none" w:sz="0" w:space="0" w:color="auto"/>
        <w:bottom w:val="none" w:sz="0" w:space="0" w:color="auto"/>
        <w:right w:val="none" w:sz="0" w:space="0" w:color="auto"/>
      </w:divBdr>
      <w:divsChild>
        <w:div w:id="67969808">
          <w:marLeft w:val="0"/>
          <w:marRight w:val="0"/>
          <w:marTop w:val="0"/>
          <w:marBottom w:val="0"/>
          <w:divBdr>
            <w:top w:val="none" w:sz="0" w:space="0" w:color="auto"/>
            <w:left w:val="none" w:sz="0" w:space="0" w:color="auto"/>
            <w:bottom w:val="none" w:sz="0" w:space="0" w:color="auto"/>
            <w:right w:val="none" w:sz="0" w:space="0" w:color="auto"/>
          </w:divBdr>
        </w:div>
      </w:divsChild>
    </w:div>
    <w:div w:id="982005204">
      <w:bodyDiv w:val="1"/>
      <w:marLeft w:val="0"/>
      <w:marRight w:val="0"/>
      <w:marTop w:val="0"/>
      <w:marBottom w:val="0"/>
      <w:divBdr>
        <w:top w:val="none" w:sz="0" w:space="0" w:color="auto"/>
        <w:left w:val="none" w:sz="0" w:space="0" w:color="auto"/>
        <w:bottom w:val="none" w:sz="0" w:space="0" w:color="auto"/>
        <w:right w:val="none" w:sz="0" w:space="0" w:color="auto"/>
      </w:divBdr>
    </w:div>
    <w:div w:id="1009526362">
      <w:bodyDiv w:val="1"/>
      <w:marLeft w:val="0"/>
      <w:marRight w:val="0"/>
      <w:marTop w:val="0"/>
      <w:marBottom w:val="0"/>
      <w:divBdr>
        <w:top w:val="none" w:sz="0" w:space="0" w:color="auto"/>
        <w:left w:val="none" w:sz="0" w:space="0" w:color="auto"/>
        <w:bottom w:val="none" w:sz="0" w:space="0" w:color="auto"/>
        <w:right w:val="none" w:sz="0" w:space="0" w:color="auto"/>
      </w:divBdr>
    </w:div>
    <w:div w:id="1017006945">
      <w:bodyDiv w:val="1"/>
      <w:marLeft w:val="0"/>
      <w:marRight w:val="0"/>
      <w:marTop w:val="0"/>
      <w:marBottom w:val="0"/>
      <w:divBdr>
        <w:top w:val="none" w:sz="0" w:space="0" w:color="auto"/>
        <w:left w:val="none" w:sz="0" w:space="0" w:color="auto"/>
        <w:bottom w:val="none" w:sz="0" w:space="0" w:color="auto"/>
        <w:right w:val="none" w:sz="0" w:space="0" w:color="auto"/>
      </w:divBdr>
    </w:div>
    <w:div w:id="1023550409">
      <w:bodyDiv w:val="1"/>
      <w:marLeft w:val="0"/>
      <w:marRight w:val="0"/>
      <w:marTop w:val="0"/>
      <w:marBottom w:val="0"/>
      <w:divBdr>
        <w:top w:val="none" w:sz="0" w:space="0" w:color="auto"/>
        <w:left w:val="none" w:sz="0" w:space="0" w:color="auto"/>
        <w:bottom w:val="none" w:sz="0" w:space="0" w:color="auto"/>
        <w:right w:val="none" w:sz="0" w:space="0" w:color="auto"/>
      </w:divBdr>
    </w:div>
    <w:div w:id="1094087568">
      <w:bodyDiv w:val="1"/>
      <w:marLeft w:val="0"/>
      <w:marRight w:val="0"/>
      <w:marTop w:val="0"/>
      <w:marBottom w:val="0"/>
      <w:divBdr>
        <w:top w:val="none" w:sz="0" w:space="0" w:color="auto"/>
        <w:left w:val="none" w:sz="0" w:space="0" w:color="auto"/>
        <w:bottom w:val="none" w:sz="0" w:space="0" w:color="auto"/>
        <w:right w:val="none" w:sz="0" w:space="0" w:color="auto"/>
      </w:divBdr>
    </w:div>
    <w:div w:id="1094741532">
      <w:bodyDiv w:val="1"/>
      <w:marLeft w:val="0"/>
      <w:marRight w:val="0"/>
      <w:marTop w:val="0"/>
      <w:marBottom w:val="0"/>
      <w:divBdr>
        <w:top w:val="none" w:sz="0" w:space="0" w:color="auto"/>
        <w:left w:val="none" w:sz="0" w:space="0" w:color="auto"/>
        <w:bottom w:val="none" w:sz="0" w:space="0" w:color="auto"/>
        <w:right w:val="none" w:sz="0" w:space="0" w:color="auto"/>
      </w:divBdr>
    </w:div>
    <w:div w:id="1120345780">
      <w:bodyDiv w:val="1"/>
      <w:marLeft w:val="0"/>
      <w:marRight w:val="0"/>
      <w:marTop w:val="0"/>
      <w:marBottom w:val="0"/>
      <w:divBdr>
        <w:top w:val="none" w:sz="0" w:space="0" w:color="auto"/>
        <w:left w:val="none" w:sz="0" w:space="0" w:color="auto"/>
        <w:bottom w:val="none" w:sz="0" w:space="0" w:color="auto"/>
        <w:right w:val="none" w:sz="0" w:space="0" w:color="auto"/>
      </w:divBdr>
    </w:div>
    <w:div w:id="1124157171">
      <w:bodyDiv w:val="1"/>
      <w:marLeft w:val="0"/>
      <w:marRight w:val="0"/>
      <w:marTop w:val="0"/>
      <w:marBottom w:val="0"/>
      <w:divBdr>
        <w:top w:val="none" w:sz="0" w:space="0" w:color="auto"/>
        <w:left w:val="none" w:sz="0" w:space="0" w:color="auto"/>
        <w:bottom w:val="none" w:sz="0" w:space="0" w:color="auto"/>
        <w:right w:val="none" w:sz="0" w:space="0" w:color="auto"/>
      </w:divBdr>
      <w:divsChild>
        <w:div w:id="233249886">
          <w:marLeft w:val="0"/>
          <w:marRight w:val="0"/>
          <w:marTop w:val="0"/>
          <w:marBottom w:val="0"/>
          <w:divBdr>
            <w:top w:val="none" w:sz="0" w:space="0" w:color="auto"/>
            <w:left w:val="none" w:sz="0" w:space="0" w:color="auto"/>
            <w:bottom w:val="none" w:sz="0" w:space="0" w:color="auto"/>
            <w:right w:val="none" w:sz="0" w:space="0" w:color="auto"/>
          </w:divBdr>
        </w:div>
      </w:divsChild>
    </w:div>
    <w:div w:id="1226600143">
      <w:bodyDiv w:val="1"/>
      <w:marLeft w:val="0"/>
      <w:marRight w:val="0"/>
      <w:marTop w:val="0"/>
      <w:marBottom w:val="0"/>
      <w:divBdr>
        <w:top w:val="none" w:sz="0" w:space="0" w:color="auto"/>
        <w:left w:val="none" w:sz="0" w:space="0" w:color="auto"/>
        <w:bottom w:val="none" w:sz="0" w:space="0" w:color="auto"/>
        <w:right w:val="none" w:sz="0" w:space="0" w:color="auto"/>
      </w:divBdr>
    </w:div>
    <w:div w:id="1227566580">
      <w:bodyDiv w:val="1"/>
      <w:marLeft w:val="0"/>
      <w:marRight w:val="0"/>
      <w:marTop w:val="0"/>
      <w:marBottom w:val="0"/>
      <w:divBdr>
        <w:top w:val="none" w:sz="0" w:space="0" w:color="auto"/>
        <w:left w:val="none" w:sz="0" w:space="0" w:color="auto"/>
        <w:bottom w:val="none" w:sz="0" w:space="0" w:color="auto"/>
        <w:right w:val="none" w:sz="0" w:space="0" w:color="auto"/>
      </w:divBdr>
      <w:divsChild>
        <w:div w:id="594944424">
          <w:marLeft w:val="0"/>
          <w:marRight w:val="0"/>
          <w:marTop w:val="0"/>
          <w:marBottom w:val="0"/>
          <w:divBdr>
            <w:top w:val="none" w:sz="0" w:space="0" w:color="auto"/>
            <w:left w:val="none" w:sz="0" w:space="0" w:color="auto"/>
            <w:bottom w:val="none" w:sz="0" w:space="0" w:color="auto"/>
            <w:right w:val="none" w:sz="0" w:space="0" w:color="auto"/>
          </w:divBdr>
        </w:div>
      </w:divsChild>
    </w:div>
    <w:div w:id="1267083344">
      <w:bodyDiv w:val="1"/>
      <w:marLeft w:val="0"/>
      <w:marRight w:val="0"/>
      <w:marTop w:val="0"/>
      <w:marBottom w:val="0"/>
      <w:divBdr>
        <w:top w:val="none" w:sz="0" w:space="0" w:color="auto"/>
        <w:left w:val="none" w:sz="0" w:space="0" w:color="auto"/>
        <w:bottom w:val="none" w:sz="0" w:space="0" w:color="auto"/>
        <w:right w:val="none" w:sz="0" w:space="0" w:color="auto"/>
      </w:divBdr>
    </w:div>
    <w:div w:id="1269896535">
      <w:bodyDiv w:val="1"/>
      <w:marLeft w:val="0"/>
      <w:marRight w:val="0"/>
      <w:marTop w:val="0"/>
      <w:marBottom w:val="0"/>
      <w:divBdr>
        <w:top w:val="none" w:sz="0" w:space="0" w:color="auto"/>
        <w:left w:val="none" w:sz="0" w:space="0" w:color="auto"/>
        <w:bottom w:val="none" w:sz="0" w:space="0" w:color="auto"/>
        <w:right w:val="none" w:sz="0" w:space="0" w:color="auto"/>
      </w:divBdr>
    </w:div>
    <w:div w:id="1281687573">
      <w:bodyDiv w:val="1"/>
      <w:marLeft w:val="0"/>
      <w:marRight w:val="0"/>
      <w:marTop w:val="0"/>
      <w:marBottom w:val="0"/>
      <w:divBdr>
        <w:top w:val="none" w:sz="0" w:space="0" w:color="auto"/>
        <w:left w:val="none" w:sz="0" w:space="0" w:color="auto"/>
        <w:bottom w:val="none" w:sz="0" w:space="0" w:color="auto"/>
        <w:right w:val="none" w:sz="0" w:space="0" w:color="auto"/>
      </w:divBdr>
    </w:div>
    <w:div w:id="1312370221">
      <w:bodyDiv w:val="1"/>
      <w:marLeft w:val="0"/>
      <w:marRight w:val="0"/>
      <w:marTop w:val="0"/>
      <w:marBottom w:val="0"/>
      <w:divBdr>
        <w:top w:val="none" w:sz="0" w:space="0" w:color="auto"/>
        <w:left w:val="none" w:sz="0" w:space="0" w:color="auto"/>
        <w:bottom w:val="none" w:sz="0" w:space="0" w:color="auto"/>
        <w:right w:val="none" w:sz="0" w:space="0" w:color="auto"/>
      </w:divBdr>
    </w:div>
    <w:div w:id="1398817965">
      <w:bodyDiv w:val="1"/>
      <w:marLeft w:val="0"/>
      <w:marRight w:val="0"/>
      <w:marTop w:val="0"/>
      <w:marBottom w:val="0"/>
      <w:divBdr>
        <w:top w:val="none" w:sz="0" w:space="0" w:color="auto"/>
        <w:left w:val="none" w:sz="0" w:space="0" w:color="auto"/>
        <w:bottom w:val="none" w:sz="0" w:space="0" w:color="auto"/>
        <w:right w:val="none" w:sz="0" w:space="0" w:color="auto"/>
      </w:divBdr>
    </w:div>
    <w:div w:id="1444765358">
      <w:bodyDiv w:val="1"/>
      <w:marLeft w:val="0"/>
      <w:marRight w:val="0"/>
      <w:marTop w:val="0"/>
      <w:marBottom w:val="0"/>
      <w:divBdr>
        <w:top w:val="none" w:sz="0" w:space="0" w:color="auto"/>
        <w:left w:val="none" w:sz="0" w:space="0" w:color="auto"/>
        <w:bottom w:val="none" w:sz="0" w:space="0" w:color="auto"/>
        <w:right w:val="none" w:sz="0" w:space="0" w:color="auto"/>
      </w:divBdr>
    </w:div>
    <w:div w:id="1473643921">
      <w:bodyDiv w:val="1"/>
      <w:marLeft w:val="0"/>
      <w:marRight w:val="0"/>
      <w:marTop w:val="0"/>
      <w:marBottom w:val="0"/>
      <w:divBdr>
        <w:top w:val="none" w:sz="0" w:space="0" w:color="auto"/>
        <w:left w:val="none" w:sz="0" w:space="0" w:color="auto"/>
        <w:bottom w:val="none" w:sz="0" w:space="0" w:color="auto"/>
        <w:right w:val="none" w:sz="0" w:space="0" w:color="auto"/>
      </w:divBdr>
      <w:divsChild>
        <w:div w:id="1370492171">
          <w:marLeft w:val="0"/>
          <w:marRight w:val="0"/>
          <w:marTop w:val="0"/>
          <w:marBottom w:val="0"/>
          <w:divBdr>
            <w:top w:val="none" w:sz="0" w:space="0" w:color="auto"/>
            <w:left w:val="none" w:sz="0" w:space="0" w:color="auto"/>
            <w:bottom w:val="none" w:sz="0" w:space="0" w:color="auto"/>
            <w:right w:val="none" w:sz="0" w:space="0" w:color="auto"/>
          </w:divBdr>
        </w:div>
      </w:divsChild>
    </w:div>
    <w:div w:id="1486314891">
      <w:bodyDiv w:val="1"/>
      <w:marLeft w:val="0"/>
      <w:marRight w:val="0"/>
      <w:marTop w:val="0"/>
      <w:marBottom w:val="0"/>
      <w:divBdr>
        <w:top w:val="none" w:sz="0" w:space="0" w:color="auto"/>
        <w:left w:val="none" w:sz="0" w:space="0" w:color="auto"/>
        <w:bottom w:val="none" w:sz="0" w:space="0" w:color="auto"/>
        <w:right w:val="none" w:sz="0" w:space="0" w:color="auto"/>
      </w:divBdr>
    </w:div>
    <w:div w:id="1487015347">
      <w:bodyDiv w:val="1"/>
      <w:marLeft w:val="0"/>
      <w:marRight w:val="0"/>
      <w:marTop w:val="0"/>
      <w:marBottom w:val="0"/>
      <w:divBdr>
        <w:top w:val="none" w:sz="0" w:space="0" w:color="auto"/>
        <w:left w:val="none" w:sz="0" w:space="0" w:color="auto"/>
        <w:bottom w:val="none" w:sz="0" w:space="0" w:color="auto"/>
        <w:right w:val="none" w:sz="0" w:space="0" w:color="auto"/>
      </w:divBdr>
    </w:div>
    <w:div w:id="1498765505">
      <w:bodyDiv w:val="1"/>
      <w:marLeft w:val="0"/>
      <w:marRight w:val="0"/>
      <w:marTop w:val="0"/>
      <w:marBottom w:val="0"/>
      <w:divBdr>
        <w:top w:val="none" w:sz="0" w:space="0" w:color="auto"/>
        <w:left w:val="none" w:sz="0" w:space="0" w:color="auto"/>
        <w:bottom w:val="none" w:sz="0" w:space="0" w:color="auto"/>
        <w:right w:val="none" w:sz="0" w:space="0" w:color="auto"/>
      </w:divBdr>
    </w:div>
    <w:div w:id="1517189133">
      <w:bodyDiv w:val="1"/>
      <w:marLeft w:val="0"/>
      <w:marRight w:val="0"/>
      <w:marTop w:val="0"/>
      <w:marBottom w:val="0"/>
      <w:divBdr>
        <w:top w:val="none" w:sz="0" w:space="0" w:color="auto"/>
        <w:left w:val="none" w:sz="0" w:space="0" w:color="auto"/>
        <w:bottom w:val="none" w:sz="0" w:space="0" w:color="auto"/>
        <w:right w:val="none" w:sz="0" w:space="0" w:color="auto"/>
      </w:divBdr>
    </w:div>
    <w:div w:id="1560283675">
      <w:bodyDiv w:val="1"/>
      <w:marLeft w:val="0"/>
      <w:marRight w:val="0"/>
      <w:marTop w:val="0"/>
      <w:marBottom w:val="0"/>
      <w:divBdr>
        <w:top w:val="none" w:sz="0" w:space="0" w:color="auto"/>
        <w:left w:val="none" w:sz="0" w:space="0" w:color="auto"/>
        <w:bottom w:val="none" w:sz="0" w:space="0" w:color="auto"/>
        <w:right w:val="none" w:sz="0" w:space="0" w:color="auto"/>
      </w:divBdr>
    </w:div>
    <w:div w:id="1585845384">
      <w:bodyDiv w:val="1"/>
      <w:marLeft w:val="0"/>
      <w:marRight w:val="0"/>
      <w:marTop w:val="0"/>
      <w:marBottom w:val="0"/>
      <w:divBdr>
        <w:top w:val="none" w:sz="0" w:space="0" w:color="auto"/>
        <w:left w:val="none" w:sz="0" w:space="0" w:color="auto"/>
        <w:bottom w:val="none" w:sz="0" w:space="0" w:color="auto"/>
        <w:right w:val="none" w:sz="0" w:space="0" w:color="auto"/>
      </w:divBdr>
      <w:divsChild>
        <w:div w:id="263463404">
          <w:marLeft w:val="0"/>
          <w:marRight w:val="0"/>
          <w:marTop w:val="0"/>
          <w:marBottom w:val="0"/>
          <w:divBdr>
            <w:top w:val="none" w:sz="0" w:space="0" w:color="auto"/>
            <w:left w:val="none" w:sz="0" w:space="0" w:color="auto"/>
            <w:bottom w:val="none" w:sz="0" w:space="0" w:color="auto"/>
            <w:right w:val="none" w:sz="0" w:space="0" w:color="auto"/>
          </w:divBdr>
        </w:div>
      </w:divsChild>
    </w:div>
    <w:div w:id="1588424675">
      <w:bodyDiv w:val="1"/>
      <w:marLeft w:val="0"/>
      <w:marRight w:val="0"/>
      <w:marTop w:val="0"/>
      <w:marBottom w:val="0"/>
      <w:divBdr>
        <w:top w:val="none" w:sz="0" w:space="0" w:color="auto"/>
        <w:left w:val="none" w:sz="0" w:space="0" w:color="auto"/>
        <w:bottom w:val="none" w:sz="0" w:space="0" w:color="auto"/>
        <w:right w:val="none" w:sz="0" w:space="0" w:color="auto"/>
      </w:divBdr>
      <w:divsChild>
        <w:div w:id="795224132">
          <w:marLeft w:val="0"/>
          <w:marRight w:val="0"/>
          <w:marTop w:val="0"/>
          <w:marBottom w:val="0"/>
          <w:divBdr>
            <w:top w:val="none" w:sz="0" w:space="0" w:color="auto"/>
            <w:left w:val="none" w:sz="0" w:space="0" w:color="auto"/>
            <w:bottom w:val="none" w:sz="0" w:space="0" w:color="auto"/>
            <w:right w:val="none" w:sz="0" w:space="0" w:color="auto"/>
          </w:divBdr>
        </w:div>
      </w:divsChild>
    </w:div>
    <w:div w:id="1613324607">
      <w:bodyDiv w:val="1"/>
      <w:marLeft w:val="0"/>
      <w:marRight w:val="0"/>
      <w:marTop w:val="0"/>
      <w:marBottom w:val="0"/>
      <w:divBdr>
        <w:top w:val="none" w:sz="0" w:space="0" w:color="auto"/>
        <w:left w:val="none" w:sz="0" w:space="0" w:color="auto"/>
        <w:bottom w:val="none" w:sz="0" w:space="0" w:color="auto"/>
        <w:right w:val="none" w:sz="0" w:space="0" w:color="auto"/>
      </w:divBdr>
    </w:div>
    <w:div w:id="1627344749">
      <w:bodyDiv w:val="1"/>
      <w:marLeft w:val="0"/>
      <w:marRight w:val="0"/>
      <w:marTop w:val="0"/>
      <w:marBottom w:val="0"/>
      <w:divBdr>
        <w:top w:val="none" w:sz="0" w:space="0" w:color="auto"/>
        <w:left w:val="none" w:sz="0" w:space="0" w:color="auto"/>
        <w:bottom w:val="none" w:sz="0" w:space="0" w:color="auto"/>
        <w:right w:val="none" w:sz="0" w:space="0" w:color="auto"/>
      </w:divBdr>
      <w:divsChild>
        <w:div w:id="1017846988">
          <w:marLeft w:val="0"/>
          <w:marRight w:val="0"/>
          <w:marTop w:val="0"/>
          <w:marBottom w:val="0"/>
          <w:divBdr>
            <w:top w:val="none" w:sz="0" w:space="0" w:color="auto"/>
            <w:left w:val="none" w:sz="0" w:space="0" w:color="auto"/>
            <w:bottom w:val="none" w:sz="0" w:space="0" w:color="auto"/>
            <w:right w:val="none" w:sz="0" w:space="0" w:color="auto"/>
          </w:divBdr>
        </w:div>
      </w:divsChild>
    </w:div>
    <w:div w:id="1645894059">
      <w:bodyDiv w:val="1"/>
      <w:marLeft w:val="0"/>
      <w:marRight w:val="0"/>
      <w:marTop w:val="0"/>
      <w:marBottom w:val="0"/>
      <w:divBdr>
        <w:top w:val="none" w:sz="0" w:space="0" w:color="auto"/>
        <w:left w:val="none" w:sz="0" w:space="0" w:color="auto"/>
        <w:bottom w:val="none" w:sz="0" w:space="0" w:color="auto"/>
        <w:right w:val="none" w:sz="0" w:space="0" w:color="auto"/>
      </w:divBdr>
    </w:div>
    <w:div w:id="1696274470">
      <w:bodyDiv w:val="1"/>
      <w:marLeft w:val="0"/>
      <w:marRight w:val="0"/>
      <w:marTop w:val="0"/>
      <w:marBottom w:val="0"/>
      <w:divBdr>
        <w:top w:val="none" w:sz="0" w:space="0" w:color="auto"/>
        <w:left w:val="none" w:sz="0" w:space="0" w:color="auto"/>
        <w:bottom w:val="none" w:sz="0" w:space="0" w:color="auto"/>
        <w:right w:val="none" w:sz="0" w:space="0" w:color="auto"/>
      </w:divBdr>
    </w:div>
    <w:div w:id="1704937485">
      <w:bodyDiv w:val="1"/>
      <w:marLeft w:val="0"/>
      <w:marRight w:val="0"/>
      <w:marTop w:val="0"/>
      <w:marBottom w:val="0"/>
      <w:divBdr>
        <w:top w:val="none" w:sz="0" w:space="0" w:color="auto"/>
        <w:left w:val="none" w:sz="0" w:space="0" w:color="auto"/>
        <w:bottom w:val="none" w:sz="0" w:space="0" w:color="auto"/>
        <w:right w:val="none" w:sz="0" w:space="0" w:color="auto"/>
      </w:divBdr>
    </w:div>
    <w:div w:id="1719737839">
      <w:bodyDiv w:val="1"/>
      <w:marLeft w:val="0"/>
      <w:marRight w:val="0"/>
      <w:marTop w:val="0"/>
      <w:marBottom w:val="0"/>
      <w:divBdr>
        <w:top w:val="none" w:sz="0" w:space="0" w:color="auto"/>
        <w:left w:val="none" w:sz="0" w:space="0" w:color="auto"/>
        <w:bottom w:val="none" w:sz="0" w:space="0" w:color="auto"/>
        <w:right w:val="none" w:sz="0" w:space="0" w:color="auto"/>
      </w:divBdr>
    </w:div>
    <w:div w:id="1731806939">
      <w:bodyDiv w:val="1"/>
      <w:marLeft w:val="0"/>
      <w:marRight w:val="0"/>
      <w:marTop w:val="0"/>
      <w:marBottom w:val="0"/>
      <w:divBdr>
        <w:top w:val="none" w:sz="0" w:space="0" w:color="auto"/>
        <w:left w:val="none" w:sz="0" w:space="0" w:color="auto"/>
        <w:bottom w:val="none" w:sz="0" w:space="0" w:color="auto"/>
        <w:right w:val="none" w:sz="0" w:space="0" w:color="auto"/>
      </w:divBdr>
    </w:div>
    <w:div w:id="1737390887">
      <w:bodyDiv w:val="1"/>
      <w:marLeft w:val="0"/>
      <w:marRight w:val="0"/>
      <w:marTop w:val="0"/>
      <w:marBottom w:val="0"/>
      <w:divBdr>
        <w:top w:val="none" w:sz="0" w:space="0" w:color="auto"/>
        <w:left w:val="none" w:sz="0" w:space="0" w:color="auto"/>
        <w:bottom w:val="none" w:sz="0" w:space="0" w:color="auto"/>
        <w:right w:val="none" w:sz="0" w:space="0" w:color="auto"/>
      </w:divBdr>
    </w:div>
    <w:div w:id="1762943447">
      <w:bodyDiv w:val="1"/>
      <w:marLeft w:val="0"/>
      <w:marRight w:val="0"/>
      <w:marTop w:val="0"/>
      <w:marBottom w:val="0"/>
      <w:divBdr>
        <w:top w:val="none" w:sz="0" w:space="0" w:color="auto"/>
        <w:left w:val="none" w:sz="0" w:space="0" w:color="auto"/>
        <w:bottom w:val="none" w:sz="0" w:space="0" w:color="auto"/>
        <w:right w:val="none" w:sz="0" w:space="0" w:color="auto"/>
      </w:divBdr>
    </w:div>
    <w:div w:id="1837456459">
      <w:bodyDiv w:val="1"/>
      <w:marLeft w:val="0"/>
      <w:marRight w:val="0"/>
      <w:marTop w:val="0"/>
      <w:marBottom w:val="0"/>
      <w:divBdr>
        <w:top w:val="none" w:sz="0" w:space="0" w:color="auto"/>
        <w:left w:val="none" w:sz="0" w:space="0" w:color="auto"/>
        <w:bottom w:val="none" w:sz="0" w:space="0" w:color="auto"/>
        <w:right w:val="none" w:sz="0" w:space="0" w:color="auto"/>
      </w:divBdr>
      <w:divsChild>
        <w:div w:id="927466662">
          <w:marLeft w:val="0"/>
          <w:marRight w:val="0"/>
          <w:marTop w:val="0"/>
          <w:marBottom w:val="0"/>
          <w:divBdr>
            <w:top w:val="none" w:sz="0" w:space="0" w:color="auto"/>
            <w:left w:val="none" w:sz="0" w:space="0" w:color="auto"/>
            <w:bottom w:val="none" w:sz="0" w:space="0" w:color="auto"/>
            <w:right w:val="none" w:sz="0" w:space="0" w:color="auto"/>
          </w:divBdr>
        </w:div>
      </w:divsChild>
    </w:div>
    <w:div w:id="1861358375">
      <w:bodyDiv w:val="1"/>
      <w:marLeft w:val="0"/>
      <w:marRight w:val="0"/>
      <w:marTop w:val="0"/>
      <w:marBottom w:val="0"/>
      <w:divBdr>
        <w:top w:val="none" w:sz="0" w:space="0" w:color="auto"/>
        <w:left w:val="none" w:sz="0" w:space="0" w:color="auto"/>
        <w:bottom w:val="none" w:sz="0" w:space="0" w:color="auto"/>
        <w:right w:val="none" w:sz="0" w:space="0" w:color="auto"/>
      </w:divBdr>
    </w:div>
    <w:div w:id="1872567391">
      <w:bodyDiv w:val="1"/>
      <w:marLeft w:val="0"/>
      <w:marRight w:val="0"/>
      <w:marTop w:val="0"/>
      <w:marBottom w:val="0"/>
      <w:divBdr>
        <w:top w:val="none" w:sz="0" w:space="0" w:color="auto"/>
        <w:left w:val="none" w:sz="0" w:space="0" w:color="auto"/>
        <w:bottom w:val="none" w:sz="0" w:space="0" w:color="auto"/>
        <w:right w:val="none" w:sz="0" w:space="0" w:color="auto"/>
      </w:divBdr>
    </w:div>
    <w:div w:id="1891454448">
      <w:bodyDiv w:val="1"/>
      <w:marLeft w:val="0"/>
      <w:marRight w:val="0"/>
      <w:marTop w:val="0"/>
      <w:marBottom w:val="0"/>
      <w:divBdr>
        <w:top w:val="none" w:sz="0" w:space="0" w:color="auto"/>
        <w:left w:val="none" w:sz="0" w:space="0" w:color="auto"/>
        <w:bottom w:val="none" w:sz="0" w:space="0" w:color="auto"/>
        <w:right w:val="none" w:sz="0" w:space="0" w:color="auto"/>
      </w:divBdr>
    </w:div>
    <w:div w:id="1946225666">
      <w:bodyDiv w:val="1"/>
      <w:marLeft w:val="0"/>
      <w:marRight w:val="0"/>
      <w:marTop w:val="0"/>
      <w:marBottom w:val="0"/>
      <w:divBdr>
        <w:top w:val="none" w:sz="0" w:space="0" w:color="auto"/>
        <w:left w:val="none" w:sz="0" w:space="0" w:color="auto"/>
        <w:bottom w:val="none" w:sz="0" w:space="0" w:color="auto"/>
        <w:right w:val="none" w:sz="0" w:space="0" w:color="auto"/>
      </w:divBdr>
    </w:div>
    <w:div w:id="1953857273">
      <w:bodyDiv w:val="1"/>
      <w:marLeft w:val="0"/>
      <w:marRight w:val="0"/>
      <w:marTop w:val="0"/>
      <w:marBottom w:val="0"/>
      <w:divBdr>
        <w:top w:val="none" w:sz="0" w:space="0" w:color="auto"/>
        <w:left w:val="none" w:sz="0" w:space="0" w:color="auto"/>
        <w:bottom w:val="none" w:sz="0" w:space="0" w:color="auto"/>
        <w:right w:val="none" w:sz="0" w:space="0" w:color="auto"/>
      </w:divBdr>
    </w:div>
    <w:div w:id="1968387977">
      <w:bodyDiv w:val="1"/>
      <w:marLeft w:val="0"/>
      <w:marRight w:val="0"/>
      <w:marTop w:val="0"/>
      <w:marBottom w:val="0"/>
      <w:divBdr>
        <w:top w:val="none" w:sz="0" w:space="0" w:color="auto"/>
        <w:left w:val="none" w:sz="0" w:space="0" w:color="auto"/>
        <w:bottom w:val="none" w:sz="0" w:space="0" w:color="auto"/>
        <w:right w:val="none" w:sz="0" w:space="0" w:color="auto"/>
      </w:divBdr>
    </w:div>
    <w:div w:id="1974824904">
      <w:bodyDiv w:val="1"/>
      <w:marLeft w:val="0"/>
      <w:marRight w:val="0"/>
      <w:marTop w:val="0"/>
      <w:marBottom w:val="0"/>
      <w:divBdr>
        <w:top w:val="none" w:sz="0" w:space="0" w:color="auto"/>
        <w:left w:val="none" w:sz="0" w:space="0" w:color="auto"/>
        <w:bottom w:val="none" w:sz="0" w:space="0" w:color="auto"/>
        <w:right w:val="none" w:sz="0" w:space="0" w:color="auto"/>
      </w:divBdr>
      <w:divsChild>
        <w:div w:id="304357619">
          <w:marLeft w:val="0"/>
          <w:marRight w:val="0"/>
          <w:marTop w:val="0"/>
          <w:marBottom w:val="0"/>
          <w:divBdr>
            <w:top w:val="none" w:sz="0" w:space="0" w:color="auto"/>
            <w:left w:val="none" w:sz="0" w:space="0" w:color="auto"/>
            <w:bottom w:val="none" w:sz="0" w:space="0" w:color="auto"/>
            <w:right w:val="none" w:sz="0" w:space="0" w:color="auto"/>
          </w:divBdr>
        </w:div>
        <w:div w:id="323238125">
          <w:marLeft w:val="0"/>
          <w:marRight w:val="0"/>
          <w:marTop w:val="0"/>
          <w:marBottom w:val="0"/>
          <w:divBdr>
            <w:top w:val="none" w:sz="0" w:space="0" w:color="auto"/>
            <w:left w:val="none" w:sz="0" w:space="0" w:color="auto"/>
            <w:bottom w:val="none" w:sz="0" w:space="0" w:color="auto"/>
            <w:right w:val="none" w:sz="0" w:space="0" w:color="auto"/>
          </w:divBdr>
        </w:div>
        <w:div w:id="445121920">
          <w:marLeft w:val="0"/>
          <w:marRight w:val="0"/>
          <w:marTop w:val="0"/>
          <w:marBottom w:val="0"/>
          <w:divBdr>
            <w:top w:val="none" w:sz="0" w:space="0" w:color="auto"/>
            <w:left w:val="none" w:sz="0" w:space="0" w:color="auto"/>
            <w:bottom w:val="none" w:sz="0" w:space="0" w:color="auto"/>
            <w:right w:val="none" w:sz="0" w:space="0" w:color="auto"/>
          </w:divBdr>
        </w:div>
        <w:div w:id="1545825965">
          <w:marLeft w:val="0"/>
          <w:marRight w:val="0"/>
          <w:marTop w:val="0"/>
          <w:marBottom w:val="0"/>
          <w:divBdr>
            <w:top w:val="none" w:sz="0" w:space="0" w:color="auto"/>
            <w:left w:val="none" w:sz="0" w:space="0" w:color="auto"/>
            <w:bottom w:val="none" w:sz="0" w:space="0" w:color="auto"/>
            <w:right w:val="none" w:sz="0" w:space="0" w:color="auto"/>
          </w:divBdr>
        </w:div>
        <w:div w:id="2046711960">
          <w:marLeft w:val="0"/>
          <w:marRight w:val="0"/>
          <w:marTop w:val="0"/>
          <w:marBottom w:val="0"/>
          <w:divBdr>
            <w:top w:val="none" w:sz="0" w:space="0" w:color="auto"/>
            <w:left w:val="none" w:sz="0" w:space="0" w:color="auto"/>
            <w:bottom w:val="none" w:sz="0" w:space="0" w:color="auto"/>
            <w:right w:val="none" w:sz="0" w:space="0" w:color="auto"/>
          </w:divBdr>
        </w:div>
      </w:divsChild>
    </w:div>
    <w:div w:id="1976057372">
      <w:bodyDiv w:val="1"/>
      <w:marLeft w:val="0"/>
      <w:marRight w:val="0"/>
      <w:marTop w:val="0"/>
      <w:marBottom w:val="0"/>
      <w:divBdr>
        <w:top w:val="none" w:sz="0" w:space="0" w:color="auto"/>
        <w:left w:val="none" w:sz="0" w:space="0" w:color="auto"/>
        <w:bottom w:val="none" w:sz="0" w:space="0" w:color="auto"/>
        <w:right w:val="none" w:sz="0" w:space="0" w:color="auto"/>
      </w:divBdr>
    </w:div>
    <w:div w:id="2033876643">
      <w:bodyDiv w:val="1"/>
      <w:marLeft w:val="0"/>
      <w:marRight w:val="0"/>
      <w:marTop w:val="0"/>
      <w:marBottom w:val="0"/>
      <w:divBdr>
        <w:top w:val="none" w:sz="0" w:space="0" w:color="auto"/>
        <w:left w:val="none" w:sz="0" w:space="0" w:color="auto"/>
        <w:bottom w:val="none" w:sz="0" w:space="0" w:color="auto"/>
        <w:right w:val="none" w:sz="0" w:space="0" w:color="auto"/>
      </w:divBdr>
    </w:div>
    <w:div w:id="2045405049">
      <w:bodyDiv w:val="1"/>
      <w:marLeft w:val="0"/>
      <w:marRight w:val="0"/>
      <w:marTop w:val="0"/>
      <w:marBottom w:val="0"/>
      <w:divBdr>
        <w:top w:val="none" w:sz="0" w:space="0" w:color="auto"/>
        <w:left w:val="none" w:sz="0" w:space="0" w:color="auto"/>
        <w:bottom w:val="none" w:sz="0" w:space="0" w:color="auto"/>
        <w:right w:val="none" w:sz="0" w:space="0" w:color="auto"/>
      </w:divBdr>
    </w:div>
    <w:div w:id="2068986798">
      <w:bodyDiv w:val="1"/>
      <w:marLeft w:val="0"/>
      <w:marRight w:val="0"/>
      <w:marTop w:val="0"/>
      <w:marBottom w:val="0"/>
      <w:divBdr>
        <w:top w:val="none" w:sz="0" w:space="0" w:color="auto"/>
        <w:left w:val="none" w:sz="0" w:space="0" w:color="auto"/>
        <w:bottom w:val="none" w:sz="0" w:space="0" w:color="auto"/>
        <w:right w:val="none" w:sz="0" w:space="0" w:color="auto"/>
      </w:divBdr>
    </w:div>
    <w:div w:id="2093816456">
      <w:bodyDiv w:val="1"/>
      <w:marLeft w:val="0"/>
      <w:marRight w:val="0"/>
      <w:marTop w:val="0"/>
      <w:marBottom w:val="0"/>
      <w:divBdr>
        <w:top w:val="none" w:sz="0" w:space="0" w:color="auto"/>
        <w:left w:val="none" w:sz="0" w:space="0" w:color="auto"/>
        <w:bottom w:val="none" w:sz="0" w:space="0" w:color="auto"/>
        <w:right w:val="none" w:sz="0" w:space="0" w:color="auto"/>
      </w:divBdr>
    </w:div>
    <w:div w:id="2143494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0.png"/><Relationship Id="rId21" Type="http://schemas.openxmlformats.org/officeDocument/2006/relationships/hyperlink" Target="http://creativecommons.org/licenses/by/3.0/au/" TargetMode="External"/><Relationship Id="rId42" Type="http://schemas.openxmlformats.org/officeDocument/2006/relationships/image" Target="media/image27.emf"/><Relationship Id="rId47" Type="http://schemas.openxmlformats.org/officeDocument/2006/relationships/image" Target="media/image32.pn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chart" Target="charts/chart3.xml"/><Relationship Id="rId89" Type="http://schemas.openxmlformats.org/officeDocument/2006/relationships/chart" Target="charts/chart8.xml"/><Relationship Id="rId112" Type="http://schemas.openxmlformats.org/officeDocument/2006/relationships/oleObject" Target="embeddings/oleObject1.bin"/><Relationship Id="rId16" Type="http://schemas.openxmlformats.org/officeDocument/2006/relationships/image" Target="media/image3.jpeg"/><Relationship Id="rId107" Type="http://schemas.openxmlformats.org/officeDocument/2006/relationships/image" Target="media/image82.emf"/><Relationship Id="rId11" Type="http://schemas.openxmlformats.org/officeDocument/2006/relationships/footer" Target="footer2.xm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78.emf"/><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chart" Target="charts/chart1.xml"/><Relationship Id="rId90" Type="http://schemas.openxmlformats.org/officeDocument/2006/relationships/image" Target="media/image67.emf"/><Relationship Id="rId95" Type="http://schemas.openxmlformats.org/officeDocument/2006/relationships/image" Target="media/image72.png"/><Relationship Id="rId19" Type="http://schemas.openxmlformats.org/officeDocument/2006/relationships/image" Target="media/image6.jpeg"/><Relationship Id="rId14" Type="http://schemas.openxmlformats.org/officeDocument/2006/relationships/image" Target="media/image1.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footer" Target="footer4.xml"/><Relationship Id="rId35" Type="http://schemas.openxmlformats.org/officeDocument/2006/relationships/image" Target="media/image20.jpeg"/><Relationship Id="rId43" Type="http://schemas.openxmlformats.org/officeDocument/2006/relationships/image" Target="media/image28.png"/><Relationship Id="rId48" Type="http://schemas.openxmlformats.org/officeDocument/2006/relationships/image" Target="media/image33.emf"/><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100" Type="http://schemas.openxmlformats.org/officeDocument/2006/relationships/hyperlink" Target="http://en.cnki.com.cn/Article_en/CJFDTotal-SSDB200905007.htm" TargetMode="External"/><Relationship Id="rId105" Type="http://schemas.openxmlformats.org/officeDocument/2006/relationships/footer" Target="footer5.xml"/><Relationship Id="rId113" Type="http://schemas.openxmlformats.org/officeDocument/2006/relationships/image" Target="media/image87.wmf"/><Relationship Id="rId118" Type="http://schemas.openxmlformats.org/officeDocument/2006/relationships/image" Target="media/image91.emf"/><Relationship Id="rId8" Type="http://schemas.openxmlformats.org/officeDocument/2006/relationships/header" Target="header1.xml"/><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chart" Target="charts/chart4.xml"/><Relationship Id="rId93" Type="http://schemas.openxmlformats.org/officeDocument/2006/relationships/image" Target="media/image70.tiff"/><Relationship Id="rId98" Type="http://schemas.openxmlformats.org/officeDocument/2006/relationships/image" Target="media/image75.pn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emf"/><Relationship Id="rId59" Type="http://schemas.openxmlformats.org/officeDocument/2006/relationships/image" Target="media/image44.jpeg"/><Relationship Id="rId67" Type="http://schemas.openxmlformats.org/officeDocument/2006/relationships/image" Target="media/image52.jpeg"/><Relationship Id="rId103" Type="http://schemas.openxmlformats.org/officeDocument/2006/relationships/image" Target="media/image79.emf"/><Relationship Id="rId108" Type="http://schemas.openxmlformats.org/officeDocument/2006/relationships/image" Target="media/image83.emf"/><Relationship Id="rId116" Type="http://schemas.openxmlformats.org/officeDocument/2006/relationships/image" Target="media/image89.png"/><Relationship Id="rId20" Type="http://schemas.openxmlformats.org/officeDocument/2006/relationships/image" Target="media/image7.pn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png"/><Relationship Id="rId70" Type="http://schemas.openxmlformats.org/officeDocument/2006/relationships/image" Target="media/image55.jpeg"/><Relationship Id="rId75" Type="http://schemas.openxmlformats.org/officeDocument/2006/relationships/image" Target="media/image60.emf"/><Relationship Id="rId83" Type="http://schemas.openxmlformats.org/officeDocument/2006/relationships/chart" Target="charts/chart2.xml"/><Relationship Id="rId88" Type="http://schemas.openxmlformats.org/officeDocument/2006/relationships/chart" Target="charts/chart7.xml"/><Relationship Id="rId91" Type="http://schemas.openxmlformats.org/officeDocument/2006/relationships/image" Target="media/image68.jpeg"/><Relationship Id="rId96" Type="http://schemas.openxmlformats.org/officeDocument/2006/relationships/image" Target="media/image73.png"/><Relationship Id="rId111" Type="http://schemas.openxmlformats.org/officeDocument/2006/relationships/image" Target="media/image86.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1.jpeg"/><Relationship Id="rId49" Type="http://schemas.openxmlformats.org/officeDocument/2006/relationships/image" Target="media/image34.png"/><Relationship Id="rId57" Type="http://schemas.openxmlformats.org/officeDocument/2006/relationships/image" Target="media/image42.jpeg"/><Relationship Id="rId106" Type="http://schemas.openxmlformats.org/officeDocument/2006/relationships/image" Target="media/image81.png"/><Relationship Id="rId114" Type="http://schemas.openxmlformats.org/officeDocument/2006/relationships/oleObject" Target="embeddings/oleObject2.bin"/><Relationship Id="rId119" Type="http://schemas.openxmlformats.org/officeDocument/2006/relationships/image" Target="media/image92.png"/><Relationship Id="rId10" Type="http://schemas.openxmlformats.org/officeDocument/2006/relationships/footer" Target="footer1.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png"/><Relationship Id="rId78" Type="http://schemas.openxmlformats.org/officeDocument/2006/relationships/image" Target="media/image63.jpeg"/><Relationship Id="rId81" Type="http://schemas.openxmlformats.org/officeDocument/2006/relationships/image" Target="media/image66.png"/><Relationship Id="rId86" Type="http://schemas.openxmlformats.org/officeDocument/2006/relationships/chart" Target="charts/chart5.xml"/><Relationship Id="rId94" Type="http://schemas.openxmlformats.org/officeDocument/2006/relationships/image" Target="media/image71.jpeg"/><Relationship Id="rId99" Type="http://schemas.openxmlformats.org/officeDocument/2006/relationships/image" Target="media/image76.png"/><Relationship Id="rId101" Type="http://schemas.openxmlformats.org/officeDocument/2006/relationships/image" Target="media/image77.wmf"/><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jpeg"/><Relationship Id="rId39" Type="http://schemas.openxmlformats.org/officeDocument/2006/relationships/image" Target="media/image24.jpeg"/><Relationship Id="rId109" Type="http://schemas.openxmlformats.org/officeDocument/2006/relationships/image" Target="media/image84.emf"/><Relationship Id="rId34" Type="http://schemas.openxmlformats.org/officeDocument/2006/relationships/image" Target="media/image19.jpe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jpeg"/><Relationship Id="rId97" Type="http://schemas.openxmlformats.org/officeDocument/2006/relationships/image" Target="media/image74.png"/><Relationship Id="rId104" Type="http://schemas.openxmlformats.org/officeDocument/2006/relationships/image" Target="media/image80.emf"/><Relationship Id="rId120" Type="http://schemas.openxmlformats.org/officeDocument/2006/relationships/image" Target="media/image93.png"/><Relationship Id="rId7" Type="http://schemas.openxmlformats.org/officeDocument/2006/relationships/endnotes" Target="endnotes.xml"/><Relationship Id="rId71" Type="http://schemas.openxmlformats.org/officeDocument/2006/relationships/image" Target="media/image56.wmf"/><Relationship Id="rId9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5.jpeg"/><Relationship Id="rId45" Type="http://schemas.openxmlformats.org/officeDocument/2006/relationships/image" Target="media/image30.emf"/><Relationship Id="rId66" Type="http://schemas.openxmlformats.org/officeDocument/2006/relationships/image" Target="media/image51.jpeg"/><Relationship Id="rId87" Type="http://schemas.openxmlformats.org/officeDocument/2006/relationships/chart" Target="charts/chart6.xml"/><Relationship Id="rId110" Type="http://schemas.openxmlformats.org/officeDocument/2006/relationships/image" Target="media/image85.jpeg"/><Relationship Id="rId115" Type="http://schemas.openxmlformats.org/officeDocument/2006/relationships/image" Target="media/image88.png"/></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openxmlformats.org/officeDocument/2006/relationships/oleObject" Target="file:///D:\Users\rwatts\Documents\mean%20+%20SE%20percent%20cover%20of%20vegetation%20-%20transects%20pooled%20-%20species%20trends.xlsx" TargetMode="External"/><Relationship Id="rId1" Type="http://schemas.openxmlformats.org/officeDocument/2006/relationships/themeOverride" Target="../theme/themeOverride1.xml"/><Relationship Id="rId4"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openxmlformats.org/officeDocument/2006/relationships/oleObject" Target="file:///D:\Users\rwatts\Documents\mean%20+%20SE%20percent%20cover%20of%20vegetation%20-%20transects%20pooled%20-%20species%20trends.xlsx" TargetMode="External"/><Relationship Id="rId1" Type="http://schemas.openxmlformats.org/officeDocument/2006/relationships/themeOverride" Target="../theme/themeOverride2.xml"/><Relationship Id="rId4"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microsoft.com/office/2011/relationships/chartColorStyle" Target="colors3.xml"/><Relationship Id="rId2" Type="http://schemas.openxmlformats.org/officeDocument/2006/relationships/oleObject" Target="file:///D:\Users\rwatts\Documents\mean%20+%20SE%20percent%20cover%20of%20vegetation%20-%20transects%20pooled%20-%20species%20trends.xlsx" TargetMode="External"/><Relationship Id="rId1" Type="http://schemas.openxmlformats.org/officeDocument/2006/relationships/themeOverride" Target="../theme/themeOverride3.xml"/><Relationship Id="rId4"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microsoft.com/office/2011/relationships/chartStyle" Target="style4.xml"/><Relationship Id="rId2" Type="http://schemas.microsoft.com/office/2011/relationships/chartColorStyle" Target="colors4.xml"/><Relationship Id="rId1" Type="http://schemas.openxmlformats.org/officeDocument/2006/relationships/oleObject" Target="file:///D:\arobyn\projects%20-%20ongoing\LTIM\veg%20data\analysis%20for%20report\percent%20cover%20-%20transect%20+%20species%20pooled.xlsx" TargetMode="External"/></Relationships>
</file>

<file path=word/charts/_rels/chart5.xml.rels><?xml version="1.0" encoding="UTF-8" standalone="yes"?>
<Relationships xmlns="http://schemas.openxmlformats.org/package/2006/relationships"><Relationship Id="rId3" Type="http://schemas.microsoft.com/office/2011/relationships/chartColorStyle" Target="colors5.xml"/><Relationship Id="rId2" Type="http://schemas.openxmlformats.org/officeDocument/2006/relationships/oleObject" Target="file:///D:\Users\rwatts\Documents\mean%20+%20SE%20percent%20cover%20of%20vegetation%20-%20transects%20pooled%20-%20species%20trends.xlsx" TargetMode="External"/><Relationship Id="rId1" Type="http://schemas.openxmlformats.org/officeDocument/2006/relationships/themeOverride" Target="../theme/themeOverride4.xml"/><Relationship Id="rId4"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microsoft.com/office/2011/relationships/chartColorStyle" Target="colors6.xml"/><Relationship Id="rId2" Type="http://schemas.openxmlformats.org/officeDocument/2006/relationships/oleObject" Target="file:///D:\Users\rwatts\Documents\mean%20+%20SE%20percent%20cover%20of%20vegetation%20-%20transects%20pooled%20-%20species%20trends.xlsx" TargetMode="External"/><Relationship Id="rId1" Type="http://schemas.openxmlformats.org/officeDocument/2006/relationships/themeOverride" Target="../theme/themeOverride5.xml"/><Relationship Id="rId4"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microsoft.com/office/2011/relationships/chartColorStyle" Target="colors7.xml"/><Relationship Id="rId2" Type="http://schemas.openxmlformats.org/officeDocument/2006/relationships/oleObject" Target="file:///D:\Users\rwatts\Documents\mean%20+%20SE%20percent%20cover%20of%20vegetation%20-%20transects%20pooled%20-%20species%20trends.xlsx" TargetMode="External"/><Relationship Id="rId1" Type="http://schemas.openxmlformats.org/officeDocument/2006/relationships/themeOverride" Target="../theme/themeOverride6.xml"/><Relationship Id="rId4"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microsoft.com/office/2011/relationships/chartStyle" Target="style8.xml"/><Relationship Id="rId2" Type="http://schemas.microsoft.com/office/2011/relationships/chartColorStyle" Target="colors8.xml"/><Relationship Id="rId1" Type="http://schemas.openxmlformats.org/officeDocument/2006/relationships/oleObject" Target="file:///D:\arobyn\projects%20-%20ongoing\LTIM\veg%20data\analysis%20for%20report\percent%20cover%20-%20transect%20+%20species%20poole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en-AU"/>
  <c:style val="1"/>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'percentcover_indiv species'!$C$118:$C$121</c:f>
              <c:strCache>
                <c:ptCount val="4"/>
                <c:pt idx="0">
                  <c:v>4.62</c:v>
                </c:pt>
                <c:pt idx="1">
                  <c:v>6.33</c:v>
                </c:pt>
                <c:pt idx="2">
                  <c:v>5.63</c:v>
                </c:pt>
                <c:pt idx="3">
                  <c:v>6.67</c:v>
                </c:pt>
              </c:strCache>
            </c:strRef>
          </c:tx>
          <c:spPr>
            <a:solidFill>
              <a:schemeClr val="dk1">
                <a:tint val="88500"/>
              </a:schemeClr>
            </a:solidFill>
            <a:ln>
              <a:noFill/>
            </a:ln>
            <a:effectLst/>
          </c:spPr>
          <c:dLbls>
            <c:dLbl>
              <c:idx val="0"/>
              <c:layout>
                <c:manualLayout>
                  <c:x val="-2.4346774963544509E-17"/>
                  <c:y val="-7.2944134606594338E-2"/>
                </c:manualLayout>
              </c:layout>
              <c:tx>
                <c:rich>
                  <a:bodyPr/>
                  <a:lstStyle/>
                  <a:p>
                    <a:r>
                      <a:rPr lang="en-US"/>
                      <a:t>a</a:t>
                    </a:r>
                  </a:p>
                </c:rich>
              </c:tx>
              <c:dLblPos val="outEnd"/>
              <c:showVal val="1"/>
              <c:extLst>
                <c:ext xmlns:c15="http://schemas.microsoft.com/office/drawing/2012/chart" uri="{CE6537A1-D6FC-4f65-9D91-7224C49458BB}"/>
              </c:extLst>
            </c:dLbl>
            <c:dLbl>
              <c:idx val="1"/>
              <c:layout>
                <c:manualLayout>
                  <c:x val="2.6560424966798881E-3"/>
                  <c:y val="-7.8000365148787595E-2"/>
                </c:manualLayout>
              </c:layout>
              <c:tx>
                <c:rich>
                  <a:bodyPr/>
                  <a:lstStyle/>
                  <a:p>
                    <a:r>
                      <a:rPr lang="en-US"/>
                      <a:t>a</a:t>
                    </a:r>
                  </a:p>
                </c:rich>
              </c:tx>
              <c:dLblPos val="outEnd"/>
              <c:showVal val="1"/>
              <c:extLst>
                <c:ext xmlns:c15="http://schemas.microsoft.com/office/drawing/2012/chart" uri="{CE6537A1-D6FC-4f65-9D91-7224C49458BB}"/>
              </c:extLst>
            </c:dLbl>
            <c:dLbl>
              <c:idx val="2"/>
              <c:layout>
                <c:manualLayout>
                  <c:x val="0"/>
                  <c:y val="-4.5930501067915332E-2"/>
                </c:manualLayout>
              </c:layout>
              <c:tx>
                <c:rich>
                  <a:bodyPr/>
                  <a:lstStyle/>
                  <a:p>
                    <a:r>
                      <a:rPr lang="en-US"/>
                      <a:t>a</a:t>
                    </a:r>
                  </a:p>
                </c:rich>
              </c:tx>
              <c:dLblPos val="outEnd"/>
              <c:showVal val="1"/>
              <c:extLst>
                <c:ext xmlns:c15="http://schemas.microsoft.com/office/drawing/2012/chart" uri="{CE6537A1-D6FC-4f65-9D91-7224C49458BB}"/>
              </c:extLst>
            </c:dLbl>
            <c:dLbl>
              <c:idx val="3"/>
              <c:layout>
                <c:manualLayout>
                  <c:x val="-1.3280212483400709E-3"/>
                  <c:y val="-4.9787615660088103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mn-lt"/>
                        <a:ea typeface="+mn-ea"/>
                        <a:cs typeface="+mn-cs"/>
                      </a:defRPr>
                    </a:pPr>
                    <a:r>
                      <a:rPr lang="en-US"/>
                      <a:t>a</a:t>
                    </a:r>
                  </a:p>
                </c:rich>
              </c:tx>
              <c:spPr>
                <a:noFill/>
                <a:ln>
                  <a:noFill/>
                </a:ln>
                <a:effectLst/>
              </c:spPr>
              <c:dLblPos val="outEnd"/>
              <c:showVal val="1"/>
              <c:extLst>
                <c:ext xmlns:c15="http://schemas.microsoft.com/office/drawing/2012/chart" uri="{CE6537A1-D6FC-4f65-9D91-7224C49458BB}">
                  <c15:layout>
                    <c:manualLayout>
                      <c:w val="4.7742468446424276E-2"/>
                      <c:h val="4.7489004459367587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Val val="1"/>
            <c:extLst>
              <c:ext xmlns:c15="http://schemas.microsoft.com/office/drawing/2012/chart" uri="{CE6537A1-D6FC-4f65-9D91-7224C49458BB}">
                <c15:showLeaderLines val="0"/>
              </c:ext>
            </c:extLst>
          </c:dLbls>
          <c:errBars>
            <c:errBarType val="plus"/>
            <c:errValType val="cust"/>
            <c:plus>
              <c:numRef>
                <c:f>'percentcover_indiv species'!$F$118:$F$121</c:f>
                <c:numCache>
                  <c:formatCode>General</c:formatCode>
                  <c:ptCount val="4"/>
                  <c:pt idx="0">
                    <c:v>0.71288525979112694</c:v>
                  </c:pt>
                  <c:pt idx="1">
                    <c:v>0.84526171358294799</c:v>
                  </c:pt>
                  <c:pt idx="2">
                    <c:v>0.47312190113166935</c:v>
                  </c:pt>
                  <c:pt idx="3">
                    <c:v>0.61864998286270345</c:v>
                  </c:pt>
                </c:numCache>
              </c:numRef>
            </c:plus>
            <c:minus>
              <c:numRef>
                <c:f>'percentcover_indiv species'!$F$118:$F$121</c:f>
                <c:numCache>
                  <c:formatCode>General</c:formatCode>
                  <c:ptCount val="4"/>
                  <c:pt idx="0">
                    <c:v>0.71288525979112694</c:v>
                  </c:pt>
                  <c:pt idx="1">
                    <c:v>0.84526171358294799</c:v>
                  </c:pt>
                  <c:pt idx="2">
                    <c:v>0.47312190113166935</c:v>
                  </c:pt>
                  <c:pt idx="3">
                    <c:v>0.61864998286270345</c:v>
                  </c:pt>
                </c:numCache>
              </c:numRef>
            </c:minus>
            <c:spPr>
              <a:noFill/>
              <a:ln w="9525" cap="flat" cmpd="sng" algn="ctr">
                <a:solidFill>
                  <a:schemeClr val="tx1">
                    <a:lumMod val="65000"/>
                    <a:lumOff val="35000"/>
                  </a:schemeClr>
                </a:solidFill>
                <a:round/>
              </a:ln>
              <a:effectLst/>
            </c:spPr>
          </c:errBars>
          <c:cat>
            <c:strRef>
              <c:f>[2]percentcover_transpecies_pooled!$K$5:$K$8</c:f>
              <c:strCache>
                <c:ptCount val="4"/>
                <c:pt idx="0">
                  <c:v>Yallakool Ck</c:v>
                </c:pt>
                <c:pt idx="1">
                  <c:v>Wakool R zone 2</c:v>
                </c:pt>
                <c:pt idx="2">
                  <c:v>Wakool R zone 3</c:v>
                </c:pt>
                <c:pt idx="3">
                  <c:v>Wakool R zone 4</c:v>
                </c:pt>
              </c:strCache>
            </c:strRef>
          </c:cat>
          <c:val>
            <c:numRef>
              <c:f>'percentcover_indiv species'!$C$118:$C$121</c:f>
              <c:numCache>
                <c:formatCode>###0.00</c:formatCode>
                <c:ptCount val="4"/>
                <c:pt idx="0">
                  <c:v>4.6228668208888744</c:v>
                </c:pt>
                <c:pt idx="1">
                  <c:v>6.3325117507777655</c:v>
                </c:pt>
                <c:pt idx="2">
                  <c:v>5.6341005237777626</c:v>
                </c:pt>
                <c:pt idx="3">
                  <c:v>6.6703320445555558</c:v>
                </c:pt>
              </c:numCache>
            </c:numRef>
          </c:val>
        </c:ser>
        <c:dLbls>
          <c:showVal val="1"/>
        </c:dLbls>
        <c:axId val="96414720"/>
        <c:axId val="96461952"/>
      </c:barChart>
      <c:catAx>
        <c:axId val="96414720"/>
        <c:scaling>
          <c:orientation val="minMax"/>
        </c:scaling>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AU" b="1">
                    <a:solidFill>
                      <a:schemeClr val="tx1"/>
                    </a:solidFill>
                    <a:latin typeface="Arial" panose="020B0604020202020204" pitchFamily="34" charset="0"/>
                    <a:cs typeface="Arial" panose="020B0604020202020204" pitchFamily="34" charset="0"/>
                  </a:rPr>
                  <a:t>Hydrological zone</a:t>
                </a:r>
              </a:p>
            </c:rich>
          </c:tx>
          <c:spPr>
            <a:noFill/>
            <a:ln>
              <a:noFill/>
            </a:ln>
            <a:effectLst/>
          </c:spPr>
        </c:title>
        <c:numFmt formatCode="General" sourceLinked="1"/>
        <c:maj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96461952"/>
        <c:crosses val="autoZero"/>
        <c:auto val="1"/>
        <c:lblAlgn val="ctr"/>
        <c:lblOffset val="100"/>
        <c:tickLblSkip val="1"/>
      </c:catAx>
      <c:valAx>
        <c:axId val="96461952"/>
        <c:scaling>
          <c:orientation val="minMax"/>
          <c:max val="9"/>
          <c:min val="0"/>
        </c:scaling>
        <c:axPos val="l"/>
        <c:title>
          <c:tx>
            <c:rich>
              <a:bodyPr rot="-540000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r>
                  <a:rPr lang="en-AU" b="1">
                    <a:solidFill>
                      <a:schemeClr val="tx1"/>
                    </a:solidFill>
                    <a:latin typeface="Arial" panose="020B0604020202020204" pitchFamily="34" charset="0"/>
                    <a:cs typeface="Arial" panose="020B0604020202020204" pitchFamily="34" charset="0"/>
                  </a:rPr>
                  <a:t>Mean percent</a:t>
                </a:r>
                <a:r>
                  <a:rPr lang="en-AU" b="1" baseline="0">
                    <a:solidFill>
                      <a:schemeClr val="tx1"/>
                    </a:solidFill>
                    <a:latin typeface="Arial" panose="020B0604020202020204" pitchFamily="34" charset="0"/>
                    <a:cs typeface="Arial" panose="020B0604020202020204" pitchFamily="34" charset="0"/>
                  </a:rPr>
                  <a:t> cover </a:t>
                </a:r>
                <a:r>
                  <a:rPr lang="en-AU" b="1" i="1" baseline="0">
                    <a:solidFill>
                      <a:schemeClr val="tx1"/>
                    </a:solidFill>
                    <a:latin typeface="Arial" panose="020B0604020202020204" pitchFamily="34" charset="0"/>
                    <a:cs typeface="Arial" panose="020B0604020202020204" pitchFamily="34" charset="0"/>
                  </a:rPr>
                  <a:t>Juncus</a:t>
                </a:r>
                <a:endParaRPr lang="en-AU" b="1">
                  <a:solidFill>
                    <a:schemeClr val="tx1"/>
                  </a:solidFill>
                  <a:latin typeface="Arial" panose="020B0604020202020204" pitchFamily="34" charset="0"/>
                  <a:cs typeface="Arial" panose="020B0604020202020204" pitchFamily="34" charset="0"/>
                </a:endParaRPr>
              </a:p>
            </c:rich>
          </c:tx>
          <c:spPr>
            <a:noFill/>
            <a:ln>
              <a:noFill/>
            </a:ln>
            <a:effectLst/>
          </c:spPr>
        </c:title>
        <c:numFmt formatCode="###0" sourceLinked="0"/>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96414720"/>
        <c:crossesAt val="1"/>
        <c:crossBetween val="between"/>
      </c:valAx>
      <c:spPr>
        <a:noFill/>
        <a:ln>
          <a:noFill/>
        </a:ln>
        <a:effectLst/>
      </c:spPr>
    </c:plotArea>
    <c:plotVisOnly val="1"/>
    <c:dispBlanksAs val="gap"/>
  </c:chart>
  <c:spPr>
    <a:solidFill>
      <a:schemeClr val="bg1"/>
    </a:solidFill>
    <a:ln w="9525" cap="flat" cmpd="sng" algn="ctr">
      <a:solidFill>
        <a:schemeClr val="bg1"/>
      </a:solidFill>
      <a:round/>
    </a:ln>
    <a:effectLst/>
  </c:spPr>
  <c:txPr>
    <a:bodyPr/>
    <a:lstStyle/>
    <a:p>
      <a:pPr>
        <a:defRPr/>
      </a:pPr>
      <a:endParaRPr lang="en-US"/>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AU"/>
  <c:style val="1"/>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'percentcover_indiv species'!$C$5:$C$8</c:f>
              <c:strCache>
                <c:ptCount val="4"/>
                <c:pt idx="0">
                  <c:v>0.000</c:v>
                </c:pt>
                <c:pt idx="1">
                  <c:v>0.000</c:v>
                </c:pt>
                <c:pt idx="2">
                  <c:v>8.253</c:v>
                </c:pt>
                <c:pt idx="3">
                  <c:v>.409</c:v>
                </c:pt>
              </c:strCache>
            </c:strRef>
          </c:tx>
          <c:spPr>
            <a:solidFill>
              <a:schemeClr val="dk1">
                <a:tint val="88500"/>
              </a:schemeClr>
            </a:solidFill>
            <a:ln>
              <a:noFill/>
            </a:ln>
            <a:effectLst/>
          </c:spPr>
          <c:dLbls>
            <c:dLbl>
              <c:idx val="0"/>
              <c:layout>
                <c:manualLayout>
                  <c:x val="-2.4346774963544509E-17"/>
                  <c:y val="-8.1462836807961431E-2"/>
                </c:manualLayout>
              </c:layout>
              <c:tx>
                <c:rich>
                  <a:bodyPr/>
                  <a:lstStyle/>
                  <a:p>
                    <a:r>
                      <a:rPr lang="en-US"/>
                      <a:t>a</a:t>
                    </a:r>
                  </a:p>
                </c:rich>
              </c:tx>
              <c:dLblPos val="outEnd"/>
              <c:showVal val="1"/>
              <c:extLst>
                <c:ext xmlns:c15="http://schemas.microsoft.com/office/drawing/2012/chart" uri="{CE6537A1-D6FC-4f65-9D91-7224C49458BB}"/>
              </c:extLst>
            </c:dLbl>
            <c:dLbl>
              <c:idx val="1"/>
              <c:layout>
                <c:manualLayout>
                  <c:x val="-4.8693549927089103E-17"/>
                  <c:y val="-7.2753405604540508E-2"/>
                </c:manualLayout>
              </c:layout>
              <c:tx>
                <c:rich>
                  <a:bodyPr/>
                  <a:lstStyle/>
                  <a:p>
                    <a:r>
                      <a:rPr lang="en-US"/>
                      <a:t>a</a:t>
                    </a:r>
                  </a:p>
                </c:rich>
              </c:tx>
              <c:dLblPos val="outEnd"/>
              <c:showVal val="1"/>
              <c:extLst>
                <c:ext xmlns:c15="http://schemas.microsoft.com/office/drawing/2012/chart" uri="{CE6537A1-D6FC-4f65-9D91-7224C49458BB}"/>
              </c:extLst>
            </c:dLbl>
            <c:dLbl>
              <c:idx val="2"/>
              <c:layout>
                <c:manualLayout>
                  <c:x val="2.6560424966799467E-3"/>
                  <c:y val="-3.9060750737312924E-2"/>
                </c:manualLayout>
              </c:layout>
              <c:tx>
                <c:rich>
                  <a:bodyPr/>
                  <a:lstStyle/>
                  <a:p>
                    <a:r>
                      <a:rPr lang="en-US"/>
                      <a:t>b</a:t>
                    </a:r>
                  </a:p>
                </c:rich>
              </c:tx>
              <c:dLblPos val="outEnd"/>
              <c:showVal val="1"/>
              <c:extLst>
                <c:ext xmlns:c15="http://schemas.microsoft.com/office/drawing/2012/chart" uri="{CE6537A1-D6FC-4f65-9D91-7224C49458BB}"/>
              </c:extLst>
            </c:dLbl>
            <c:dLbl>
              <c:idx val="3"/>
              <c:layout>
                <c:manualLayout>
                  <c:x val="0"/>
                  <c:y val="-5.3962890952116011E-2"/>
                </c:manualLayout>
              </c:layout>
              <c:tx>
                <c:rich>
                  <a:bodyPr/>
                  <a:lstStyle/>
                  <a:p>
                    <a:r>
                      <a:rPr lang="en-US"/>
                      <a:t>a</a:t>
                    </a:r>
                  </a:p>
                </c:rich>
              </c:tx>
              <c:dLblPos val="outEnd"/>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Val val="1"/>
            <c:extLst>
              <c:ext xmlns:c15="http://schemas.microsoft.com/office/drawing/2012/chart" uri="{CE6537A1-D6FC-4f65-9D91-7224C49458BB}">
                <c15:showLeaderLines val="0"/>
              </c:ext>
            </c:extLst>
          </c:dLbls>
          <c:errBars>
            <c:errBarType val="plus"/>
            <c:errValType val="cust"/>
            <c:plus>
              <c:numLit>
                <c:formatCode>General</c:formatCode>
                <c:ptCount val="1"/>
                <c:pt idx="0">
                  <c:v>1</c:v>
                </c:pt>
              </c:numLit>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[1]percentcover_transpecies_pooled!$K$5:$K$8</c:f>
              <c:strCache>
                <c:ptCount val="4"/>
                <c:pt idx="0">
                  <c:v>Yallakool Ck</c:v>
                </c:pt>
                <c:pt idx="1">
                  <c:v>Wakool R zone 2</c:v>
                </c:pt>
                <c:pt idx="2">
                  <c:v>Wakool R zone 3</c:v>
                </c:pt>
                <c:pt idx="3">
                  <c:v>Wakool R zone 4</c:v>
                </c:pt>
              </c:strCache>
            </c:strRef>
          </c:cat>
          <c:val>
            <c:numRef>
              <c:f>'percentcover_indiv species'!$C$5:$C$8</c:f>
              <c:numCache>
                <c:formatCode>###0.000</c:formatCode>
                <c:ptCount val="4"/>
                <c:pt idx="0">
                  <c:v>0</c:v>
                </c:pt>
                <c:pt idx="1">
                  <c:v>0</c:v>
                </c:pt>
                <c:pt idx="2">
                  <c:v>8.2533032315555559</c:v>
                </c:pt>
                <c:pt idx="3" formatCode="####.000">
                  <c:v>0.40911282577778085</c:v>
                </c:pt>
              </c:numCache>
            </c:numRef>
          </c:val>
        </c:ser>
        <c:dLbls>
          <c:showVal val="1"/>
        </c:dLbls>
        <c:axId val="59917440"/>
        <c:axId val="59919360"/>
      </c:barChart>
      <c:catAx>
        <c:axId val="59917440"/>
        <c:scaling>
          <c:orientation val="minMax"/>
        </c:scaling>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AU" b="1">
                    <a:solidFill>
                      <a:schemeClr val="tx1"/>
                    </a:solidFill>
                    <a:latin typeface="Arial" panose="020B0604020202020204" pitchFamily="34" charset="0"/>
                    <a:cs typeface="Arial" panose="020B0604020202020204" pitchFamily="34" charset="0"/>
                  </a:rPr>
                  <a:t>Hydrological zone</a:t>
                </a:r>
              </a:p>
            </c:rich>
          </c:tx>
          <c:spPr>
            <a:noFill/>
            <a:ln>
              <a:noFill/>
            </a:ln>
            <a:effectLst/>
          </c:spPr>
        </c:title>
        <c:numFmt formatCode="General" sourceLinked="1"/>
        <c:maj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59919360"/>
        <c:crosses val="autoZero"/>
        <c:auto val="1"/>
        <c:lblAlgn val="ctr"/>
        <c:lblOffset val="100"/>
        <c:tickLblSkip val="1"/>
      </c:catAx>
      <c:valAx>
        <c:axId val="59919360"/>
        <c:scaling>
          <c:orientation val="minMax"/>
          <c:max val="9"/>
          <c:min val="0"/>
        </c:scaling>
        <c:axPos val="l"/>
        <c:title>
          <c:tx>
            <c:rich>
              <a:bodyPr rot="-540000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r>
                  <a:rPr lang="en-AU" b="1">
                    <a:solidFill>
                      <a:schemeClr val="tx1"/>
                    </a:solidFill>
                    <a:latin typeface="Arial" panose="020B0604020202020204" pitchFamily="34" charset="0"/>
                    <a:cs typeface="Arial" panose="020B0604020202020204" pitchFamily="34" charset="0"/>
                  </a:rPr>
                  <a:t>Mean percent</a:t>
                </a:r>
                <a:r>
                  <a:rPr lang="en-AU" b="1" baseline="0">
                    <a:solidFill>
                      <a:schemeClr val="tx1"/>
                    </a:solidFill>
                    <a:latin typeface="Arial" panose="020B0604020202020204" pitchFamily="34" charset="0"/>
                    <a:cs typeface="Arial" panose="020B0604020202020204" pitchFamily="34" charset="0"/>
                  </a:rPr>
                  <a:t> cover </a:t>
                </a:r>
                <a:r>
                  <a:rPr lang="en-AU" b="1" i="1" baseline="0">
                    <a:solidFill>
                      <a:schemeClr val="tx1"/>
                    </a:solidFill>
                    <a:latin typeface="Arial" panose="020B0604020202020204" pitchFamily="34" charset="0"/>
                    <a:cs typeface="Arial" panose="020B0604020202020204" pitchFamily="34" charset="0"/>
                  </a:rPr>
                  <a:t>Potamogeton</a:t>
                </a:r>
                <a:endParaRPr lang="en-AU" b="1">
                  <a:solidFill>
                    <a:schemeClr val="tx1"/>
                  </a:solidFill>
                  <a:latin typeface="Arial" panose="020B0604020202020204" pitchFamily="34" charset="0"/>
                  <a:cs typeface="Arial" panose="020B0604020202020204" pitchFamily="34" charset="0"/>
                </a:endParaRPr>
              </a:p>
            </c:rich>
          </c:tx>
          <c:spPr>
            <a:noFill/>
            <a:ln>
              <a:noFill/>
            </a:ln>
            <a:effectLst/>
          </c:spPr>
        </c:title>
        <c:numFmt formatCode="###0" sourceLinked="0"/>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59917440"/>
        <c:crossesAt val="1"/>
        <c:crossBetween val="between"/>
      </c:valAx>
      <c:spPr>
        <a:noFill/>
        <a:ln>
          <a:noFill/>
        </a:ln>
        <a:effectLst/>
      </c:spPr>
    </c:plotArea>
    <c:plotVisOnly val="1"/>
    <c:dispBlanksAs val="gap"/>
  </c:chart>
  <c:spPr>
    <a:solidFill>
      <a:schemeClr val="bg1"/>
    </a:solidFill>
    <a:ln w="9525" cap="flat" cmpd="sng" algn="ctr">
      <a:solidFill>
        <a:schemeClr val="bg1"/>
      </a:solidFill>
      <a:round/>
    </a:ln>
    <a:effectLst/>
  </c:spPr>
  <c:txPr>
    <a:bodyPr/>
    <a:lstStyle/>
    <a:p>
      <a:pPr>
        <a:defRPr/>
      </a:pPr>
      <a:endParaRPr lang="en-US"/>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AU"/>
  <c:style val="1"/>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'percentcover_indiv species'!$C$39:$C$42</c:f>
              <c:strCache>
                <c:ptCount val="4"/>
                <c:pt idx="0">
                  <c:v>2.882</c:v>
                </c:pt>
                <c:pt idx="1">
                  <c:v>1.915</c:v>
                </c:pt>
                <c:pt idx="2">
                  <c:v>.782</c:v>
                </c:pt>
                <c:pt idx="3">
                  <c:v>3.743</c:v>
                </c:pt>
              </c:strCache>
            </c:strRef>
          </c:tx>
          <c:spPr>
            <a:solidFill>
              <a:schemeClr val="dk1">
                <a:tint val="88500"/>
              </a:schemeClr>
            </a:solidFill>
            <a:ln>
              <a:noFill/>
            </a:ln>
            <a:effectLst/>
          </c:spPr>
          <c:dLbls>
            <c:dLbl>
              <c:idx val="0"/>
              <c:layout>
                <c:manualLayout>
                  <c:x val="-2.4346774963544509E-17"/>
                  <c:y val="-2.2484537896714892E-2"/>
                </c:manualLayout>
              </c:layout>
              <c:tx>
                <c:rich>
                  <a:bodyPr/>
                  <a:lstStyle/>
                  <a:p>
                    <a:r>
                      <a:rPr lang="en-US"/>
                      <a:t>b.c</a:t>
                    </a:r>
                  </a:p>
                </c:rich>
              </c:tx>
              <c:dLblPos val="outEnd"/>
              <c:showVal val="1"/>
              <c:extLst>
                <c:ext xmlns:c15="http://schemas.microsoft.com/office/drawing/2012/chart" uri="{CE6537A1-D6FC-4f65-9D91-7224C49458BB}"/>
              </c:extLst>
            </c:dLbl>
            <c:dLbl>
              <c:idx val="1"/>
              <c:layout>
                <c:manualLayout>
                  <c:x val="-4.8693549927089103E-17"/>
                  <c:y val="-2.9271047644488856E-2"/>
                </c:manualLayout>
              </c:layout>
              <c:tx>
                <c:rich>
                  <a:bodyPr/>
                  <a:lstStyle/>
                  <a:p>
                    <a:r>
                      <a:rPr lang="en-US"/>
                      <a:t>a,b</a:t>
                    </a:r>
                  </a:p>
                </c:rich>
              </c:tx>
              <c:dLblPos val="outEnd"/>
              <c:showVal val="1"/>
              <c:extLst>
                <c:ext xmlns:c15="http://schemas.microsoft.com/office/drawing/2012/chart" uri="{CE6537A1-D6FC-4f65-9D91-7224C49458BB}"/>
              </c:extLst>
            </c:dLbl>
            <c:dLbl>
              <c:idx val="2"/>
              <c:layout>
                <c:manualLayout>
                  <c:x val="-9.7387099854177898E-17"/>
                  <c:y val="-3.0660013451349253E-2"/>
                </c:manualLayout>
              </c:layout>
              <c:tx>
                <c:rich>
                  <a:bodyPr/>
                  <a:lstStyle/>
                  <a:p>
                    <a:r>
                      <a:rPr lang="en-US"/>
                      <a:t>a</a:t>
                    </a:r>
                  </a:p>
                </c:rich>
              </c:tx>
              <c:dLblPos val="outEnd"/>
              <c:showVal val="1"/>
              <c:extLst>
                <c:ext xmlns:c15="http://schemas.microsoft.com/office/drawing/2012/chart" uri="{CE6537A1-D6FC-4f65-9D91-7224C49458BB}"/>
              </c:extLst>
            </c:dLbl>
            <c:dLbl>
              <c:idx val="3"/>
              <c:layout>
                <c:manualLayout>
                  <c:x val="1.3280212483400709E-3"/>
                  <c:y val="-3.5358360582038874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mn-lt"/>
                        <a:ea typeface="+mn-ea"/>
                        <a:cs typeface="+mn-cs"/>
                      </a:defRPr>
                    </a:pPr>
                    <a:r>
                      <a:rPr lang="en-US"/>
                      <a:t>c</a:t>
                    </a:r>
                  </a:p>
                </c:rich>
              </c:tx>
              <c:spPr>
                <a:noFill/>
                <a:ln>
                  <a:noFill/>
                </a:ln>
                <a:effectLst/>
              </c:spPr>
              <c:dLblPos val="outEnd"/>
              <c:showVal val="1"/>
              <c:extLst>
                <c:ext xmlns:c15="http://schemas.microsoft.com/office/drawing/2012/chart" uri="{CE6537A1-D6FC-4f65-9D91-7224C49458BB}">
                  <c15:layout>
                    <c:manualLayout>
                      <c:w val="4.7742468446424276E-2"/>
                      <c:h val="4.7489004459367587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Val val="1"/>
            <c:extLst>
              <c:ext xmlns:c15="http://schemas.microsoft.com/office/drawing/2012/chart" uri="{CE6537A1-D6FC-4f65-9D91-7224C49458BB}">
                <c15:showLeaderLines val="0"/>
              </c:ext>
            </c:extLst>
          </c:dLbls>
          <c:errBars>
            <c:errBarType val="both"/>
            <c:errValType val="cust"/>
            <c:plus>
              <c:numRef>
                <c:f>'percentcover_indiv species'!$F$47:$F$50</c:f>
                <c:numCache>
                  <c:formatCode>General</c:formatCode>
                  <c:ptCount val="4"/>
                  <c:pt idx="0">
                    <c:v>0.25384877266768041</c:v>
                  </c:pt>
                  <c:pt idx="1">
                    <c:v>0.47401413101229467</c:v>
                  </c:pt>
                  <c:pt idx="2">
                    <c:v>0.15317078334286571</c:v>
                  </c:pt>
                  <c:pt idx="3">
                    <c:v>0.28180296609816624</c:v>
                  </c:pt>
                </c:numCache>
              </c:numRef>
            </c:plus>
            <c:minus>
              <c:numRef>
                <c:f>'percentcover_indiv species'!$F$47:$F$50</c:f>
                <c:numCache>
                  <c:formatCode>General</c:formatCode>
                  <c:ptCount val="4"/>
                  <c:pt idx="0">
                    <c:v>0.25384877266768041</c:v>
                  </c:pt>
                  <c:pt idx="1">
                    <c:v>0.47401413101229467</c:v>
                  </c:pt>
                  <c:pt idx="2">
                    <c:v>0.15317078334286571</c:v>
                  </c:pt>
                  <c:pt idx="3">
                    <c:v>0.28180296609816624</c:v>
                  </c:pt>
                </c:numCache>
              </c:numRef>
            </c:minus>
            <c:spPr>
              <a:noFill/>
              <a:ln w="9525" cap="flat" cmpd="sng" algn="ctr">
                <a:solidFill>
                  <a:schemeClr val="tx1">
                    <a:lumMod val="65000"/>
                    <a:lumOff val="35000"/>
                  </a:schemeClr>
                </a:solidFill>
                <a:round/>
              </a:ln>
              <a:effectLst/>
            </c:spPr>
          </c:errBars>
          <c:cat>
            <c:strRef>
              <c:f>[2]percentcover_transpecies_pooled!$K$5:$K$8</c:f>
              <c:strCache>
                <c:ptCount val="4"/>
                <c:pt idx="0">
                  <c:v>Yallakool Ck</c:v>
                </c:pt>
                <c:pt idx="1">
                  <c:v>Wakool R zone 2</c:v>
                </c:pt>
                <c:pt idx="2">
                  <c:v>Wakool R zone 3</c:v>
                </c:pt>
                <c:pt idx="3">
                  <c:v>Wakool R zone 4</c:v>
                </c:pt>
              </c:strCache>
            </c:strRef>
          </c:cat>
          <c:val>
            <c:numRef>
              <c:f>'percentcover_indiv species'!$C$39:$C$42</c:f>
              <c:numCache>
                <c:formatCode>###0.000</c:formatCode>
                <c:ptCount val="4"/>
                <c:pt idx="0">
                  <c:v>2.8819786196666586</c:v>
                </c:pt>
                <c:pt idx="1">
                  <c:v>1.9152460167777769</c:v>
                </c:pt>
                <c:pt idx="2" formatCode="####.000">
                  <c:v>0.78177860666666665</c:v>
                </c:pt>
                <c:pt idx="3">
                  <c:v>3.7427886998888793</c:v>
                </c:pt>
              </c:numCache>
            </c:numRef>
          </c:val>
        </c:ser>
        <c:dLbls>
          <c:showVal val="1"/>
        </c:dLbls>
        <c:axId val="98127232"/>
        <c:axId val="98162176"/>
      </c:barChart>
      <c:catAx>
        <c:axId val="98127232"/>
        <c:scaling>
          <c:orientation val="minMax"/>
        </c:scaling>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AU" b="1">
                    <a:solidFill>
                      <a:schemeClr val="tx1"/>
                    </a:solidFill>
                    <a:latin typeface="Arial" panose="020B0604020202020204" pitchFamily="34" charset="0"/>
                    <a:cs typeface="Arial" panose="020B0604020202020204" pitchFamily="34" charset="0"/>
                  </a:rPr>
                  <a:t>Hydrological zone</a:t>
                </a:r>
              </a:p>
            </c:rich>
          </c:tx>
          <c:spPr>
            <a:noFill/>
            <a:ln>
              <a:noFill/>
            </a:ln>
            <a:effectLst/>
          </c:spPr>
        </c:title>
        <c:numFmt formatCode="General" sourceLinked="1"/>
        <c:maj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98162176"/>
        <c:crosses val="autoZero"/>
        <c:auto val="1"/>
        <c:lblAlgn val="ctr"/>
        <c:lblOffset val="100"/>
        <c:tickLblSkip val="1"/>
      </c:catAx>
      <c:valAx>
        <c:axId val="98162176"/>
        <c:scaling>
          <c:orientation val="minMax"/>
          <c:max val="9"/>
          <c:min val="0"/>
        </c:scaling>
        <c:axPos val="l"/>
        <c:title>
          <c:tx>
            <c:rich>
              <a:bodyPr rot="-540000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r>
                  <a:rPr lang="en-AU" b="1">
                    <a:solidFill>
                      <a:schemeClr val="tx1"/>
                    </a:solidFill>
                    <a:latin typeface="Arial" panose="020B0604020202020204" pitchFamily="34" charset="0"/>
                    <a:cs typeface="Arial" panose="020B0604020202020204" pitchFamily="34" charset="0"/>
                  </a:rPr>
                  <a:t>Mean percent</a:t>
                </a:r>
                <a:r>
                  <a:rPr lang="en-AU" b="1" baseline="0">
                    <a:solidFill>
                      <a:schemeClr val="tx1"/>
                    </a:solidFill>
                    <a:latin typeface="Arial" panose="020B0604020202020204" pitchFamily="34" charset="0"/>
                    <a:cs typeface="Arial" panose="020B0604020202020204" pitchFamily="34" charset="0"/>
                  </a:rPr>
                  <a:t> cover </a:t>
                </a:r>
                <a:r>
                  <a:rPr lang="en-AU" b="1" i="1" baseline="0">
                    <a:solidFill>
                      <a:schemeClr val="tx1"/>
                    </a:solidFill>
                    <a:latin typeface="Arial" panose="020B0604020202020204" pitchFamily="34" charset="0"/>
                    <a:cs typeface="Arial" panose="020B0604020202020204" pitchFamily="34" charset="0"/>
                  </a:rPr>
                  <a:t>Centipeda</a:t>
                </a:r>
                <a:endParaRPr lang="en-AU" b="1">
                  <a:solidFill>
                    <a:schemeClr val="tx1"/>
                  </a:solidFill>
                  <a:latin typeface="Arial" panose="020B0604020202020204" pitchFamily="34" charset="0"/>
                  <a:cs typeface="Arial" panose="020B0604020202020204" pitchFamily="34" charset="0"/>
                </a:endParaRPr>
              </a:p>
            </c:rich>
          </c:tx>
          <c:spPr>
            <a:noFill/>
            <a:ln>
              <a:noFill/>
            </a:ln>
            <a:effectLst/>
          </c:spPr>
        </c:title>
        <c:numFmt formatCode="###0" sourceLinked="0"/>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98127232"/>
        <c:crossesAt val="1"/>
        <c:crossBetween val="between"/>
      </c:valAx>
      <c:spPr>
        <a:noFill/>
        <a:ln>
          <a:noFill/>
        </a:ln>
        <a:effectLst/>
      </c:spPr>
    </c:plotArea>
    <c:plotVisOnly val="1"/>
    <c:dispBlanksAs val="gap"/>
  </c:chart>
  <c:spPr>
    <a:solidFill>
      <a:schemeClr val="bg1"/>
    </a:solidFill>
    <a:ln w="9525" cap="flat" cmpd="sng" algn="ctr">
      <a:solidFill>
        <a:schemeClr val="bg1"/>
      </a:solidFill>
      <a:round/>
    </a:ln>
    <a:effectLst/>
  </c:spPr>
  <c:txPr>
    <a:bodyPr/>
    <a:lstStyle/>
    <a:p>
      <a:pPr>
        <a:defRPr/>
      </a:pPr>
      <a:endParaRPr lang="en-US"/>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AU"/>
  <c:style val="1"/>
  <c:chart>
    <c:autoTitleDeleted val="1"/>
    <c:plotArea>
      <c:layout/>
      <c:barChart>
        <c:barDir val="col"/>
        <c:grouping val="clustered"/>
        <c:ser>
          <c:idx val="0"/>
          <c:order val="0"/>
          <c:tx>
            <c:strRef>
              <c:f>'percentcover_indiv species'!$C$23:$C$26</c:f>
              <c:strCache>
                <c:ptCount val="4"/>
                <c:pt idx="0">
                  <c:v>2.828</c:v>
                </c:pt>
                <c:pt idx="1">
                  <c:v>.015</c:v>
                </c:pt>
                <c:pt idx="2">
                  <c:v>3.490</c:v>
                </c:pt>
                <c:pt idx="3">
                  <c:v>.905</c:v>
                </c:pt>
              </c:strCache>
            </c:strRef>
          </c:tx>
          <c:spPr>
            <a:solidFill>
              <a:schemeClr val="dk1">
                <a:tint val="88500"/>
              </a:schemeClr>
            </a:solidFill>
            <a:ln>
              <a:noFill/>
            </a:ln>
            <a:effectLst/>
          </c:spPr>
          <c:dLbls>
            <c:dLbl>
              <c:idx val="0"/>
              <c:layout>
                <c:manualLayout>
                  <c:x val="-4.8693549927089103E-17"/>
                  <c:y val="-6.8892463095782938E-2"/>
                </c:manualLayout>
              </c:layout>
              <c:tx>
                <c:rich>
                  <a:bodyPr/>
                  <a:lstStyle/>
                  <a:p>
                    <a:r>
                      <a:rPr lang="en-US"/>
                      <a:t>a,b</a:t>
                    </a:r>
                  </a:p>
                </c:rich>
              </c:tx>
              <c:dLblPos val="outEnd"/>
              <c:showVal val="1"/>
              <c:extLst>
                <c:ext xmlns:c15="http://schemas.microsoft.com/office/drawing/2012/chart" uri="{CE6537A1-D6FC-4f65-9D91-7224C49458BB}"/>
              </c:extLst>
            </c:dLbl>
            <c:dLbl>
              <c:idx val="1"/>
              <c:layout>
                <c:manualLayout>
                  <c:x val="-4.8693549927089103E-17"/>
                  <c:y val="-7.8674933691029E-2"/>
                </c:manualLayout>
              </c:layout>
              <c:tx>
                <c:rich>
                  <a:bodyPr/>
                  <a:lstStyle/>
                  <a:p>
                    <a:r>
                      <a:rPr lang="en-US"/>
                      <a:t>a</a:t>
                    </a:r>
                  </a:p>
                </c:rich>
              </c:tx>
              <c:dLblPos val="outEnd"/>
              <c:showVal val="1"/>
              <c:extLst>
                <c:ext xmlns:c15="http://schemas.microsoft.com/office/drawing/2012/chart" uri="{CE6537A1-D6FC-4f65-9D91-7224C49458BB}"/>
              </c:extLst>
            </c:dLbl>
            <c:dLbl>
              <c:idx val="2"/>
              <c:layout>
                <c:manualLayout>
                  <c:x val="-9.7387099854177898E-17"/>
                  <c:y val="-6.7315270908267194E-2"/>
                </c:manualLayout>
              </c:layout>
              <c:tx>
                <c:rich>
                  <a:bodyPr/>
                  <a:lstStyle/>
                  <a:p>
                    <a:r>
                      <a:rPr lang="en-US"/>
                      <a:t>b</a:t>
                    </a:r>
                  </a:p>
                </c:rich>
              </c:tx>
              <c:dLblPos val="outEnd"/>
              <c:showVal val="1"/>
              <c:extLst>
                <c:ext xmlns:c15="http://schemas.microsoft.com/office/drawing/2012/chart" uri="{CE6537A1-D6FC-4f65-9D91-7224C49458BB}"/>
              </c:extLst>
            </c:dLbl>
            <c:dLbl>
              <c:idx val="3"/>
              <c:layout>
                <c:manualLayout>
                  <c:x val="-1.3280212483399718E-3"/>
                  <c:y val="-7.2204538580633859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mn-lt"/>
                        <a:ea typeface="+mn-ea"/>
                        <a:cs typeface="+mn-cs"/>
                      </a:defRPr>
                    </a:pPr>
                    <a:r>
                      <a:rPr lang="en-US"/>
                      <a:t>a,b</a:t>
                    </a:r>
                  </a:p>
                </c:rich>
              </c:tx>
              <c:spPr>
                <a:noFill/>
                <a:ln>
                  <a:noFill/>
                </a:ln>
                <a:effectLst/>
              </c:spPr>
              <c:dLblPos val="outEnd"/>
              <c:showVal val="1"/>
              <c:extLst>
                <c:ext xmlns:c15="http://schemas.microsoft.com/office/drawing/2012/chart" uri="{CE6537A1-D6FC-4f65-9D91-7224C49458BB}">
                  <c15:layout>
                    <c:manualLayout>
                      <c:w val="4.7742468446424276E-2"/>
                      <c:h val="4.7489004459367587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Val val="1"/>
            <c:extLst>
              <c:ext xmlns:c15="http://schemas.microsoft.com/office/drawing/2012/chart" uri="{CE6537A1-D6FC-4f65-9D91-7224C49458BB}">
                <c15:showLeaderLines val="0"/>
              </c:ext>
            </c:extLst>
          </c:dLbls>
          <c:errBars>
            <c:errBarType val="plus"/>
            <c:errValType val="cust"/>
            <c:plus>
              <c:numLit>
                <c:formatCode>General</c:formatCode>
                <c:ptCount val="1"/>
                <c:pt idx="0">
                  <c:v>1</c:v>
                </c:pt>
              </c:numLit>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'[percent cover - transect + species pooled 7_8_2015.xlsx]percentcover_transpecies_pooled'!$K$5:$K$8</c:f>
              <c:strCache>
                <c:ptCount val="4"/>
                <c:pt idx="0">
                  <c:v>Yallakool Ck</c:v>
                </c:pt>
                <c:pt idx="1">
                  <c:v>Wakool R zone 2</c:v>
                </c:pt>
                <c:pt idx="2">
                  <c:v>Wakool R zone 3</c:v>
                </c:pt>
                <c:pt idx="3">
                  <c:v>Wakool R zone 4</c:v>
                </c:pt>
              </c:strCache>
            </c:strRef>
          </c:cat>
          <c:val>
            <c:numRef>
              <c:f>'percentcover_indiv species'!$C$23:$C$26</c:f>
              <c:numCache>
                <c:formatCode>####.000</c:formatCode>
                <c:ptCount val="4"/>
                <c:pt idx="0" formatCode="###0.000">
                  <c:v>2.8277501956666669</c:v>
                </c:pt>
                <c:pt idx="1">
                  <c:v>1.4775413666666903E-2</c:v>
                </c:pt>
                <c:pt idx="2" formatCode="###0.000">
                  <c:v>3.4895198567777812</c:v>
                </c:pt>
                <c:pt idx="3">
                  <c:v>0.90544476488888725</c:v>
                </c:pt>
              </c:numCache>
            </c:numRef>
          </c:val>
        </c:ser>
        <c:dLbls>
          <c:showVal val="1"/>
        </c:dLbls>
        <c:axId val="98137984"/>
        <c:axId val="98209792"/>
      </c:barChart>
      <c:catAx>
        <c:axId val="98137984"/>
        <c:scaling>
          <c:orientation val="minMax"/>
        </c:scaling>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AU" b="1">
                    <a:solidFill>
                      <a:schemeClr val="tx1"/>
                    </a:solidFill>
                    <a:latin typeface="Arial" panose="020B0604020202020204" pitchFamily="34" charset="0"/>
                    <a:cs typeface="Arial" panose="020B0604020202020204" pitchFamily="34" charset="0"/>
                  </a:rPr>
                  <a:t>Hydrological zone</a:t>
                </a:r>
              </a:p>
            </c:rich>
          </c:tx>
          <c:spPr>
            <a:noFill/>
            <a:ln>
              <a:noFill/>
            </a:ln>
            <a:effectLst/>
          </c:spPr>
        </c:title>
        <c:numFmt formatCode="General" sourceLinked="1"/>
        <c:maj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98209792"/>
        <c:crosses val="autoZero"/>
        <c:auto val="1"/>
        <c:lblAlgn val="ctr"/>
        <c:lblOffset val="100"/>
        <c:tickLblSkip val="1"/>
      </c:catAx>
      <c:valAx>
        <c:axId val="98209792"/>
        <c:scaling>
          <c:orientation val="minMax"/>
          <c:max val="9"/>
          <c:min val="0"/>
        </c:scaling>
        <c:axPos val="l"/>
        <c:title>
          <c:tx>
            <c:rich>
              <a:bodyPr rot="-540000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r>
                  <a:rPr lang="en-AU" b="1">
                    <a:solidFill>
                      <a:schemeClr val="tx1"/>
                    </a:solidFill>
                    <a:latin typeface="Arial" panose="020B0604020202020204" pitchFamily="34" charset="0"/>
                    <a:cs typeface="Arial" panose="020B0604020202020204" pitchFamily="34" charset="0"/>
                  </a:rPr>
                  <a:t>Mean percent</a:t>
                </a:r>
                <a:r>
                  <a:rPr lang="en-AU" b="1" baseline="0">
                    <a:solidFill>
                      <a:schemeClr val="tx1"/>
                    </a:solidFill>
                    <a:latin typeface="Arial" panose="020B0604020202020204" pitchFamily="34" charset="0"/>
                    <a:cs typeface="Arial" panose="020B0604020202020204" pitchFamily="34" charset="0"/>
                  </a:rPr>
                  <a:t> cover </a:t>
                </a:r>
                <a:r>
                  <a:rPr lang="en-AU" b="1" i="1" baseline="0">
                    <a:solidFill>
                      <a:schemeClr val="tx1"/>
                    </a:solidFill>
                    <a:latin typeface="Arial" panose="020B0604020202020204" pitchFamily="34" charset="0"/>
                    <a:cs typeface="Arial" panose="020B0604020202020204" pitchFamily="34" charset="0"/>
                  </a:rPr>
                  <a:t>Chara</a:t>
                </a:r>
                <a:endParaRPr lang="en-AU" b="1">
                  <a:solidFill>
                    <a:schemeClr val="tx1"/>
                  </a:solidFill>
                  <a:latin typeface="Arial" panose="020B0604020202020204" pitchFamily="34" charset="0"/>
                  <a:cs typeface="Arial" panose="020B0604020202020204" pitchFamily="34" charset="0"/>
                </a:endParaRPr>
              </a:p>
            </c:rich>
          </c:tx>
          <c:spPr>
            <a:noFill/>
            <a:ln>
              <a:noFill/>
            </a:ln>
            <a:effectLst/>
          </c:spPr>
        </c:title>
        <c:numFmt formatCode="###0" sourceLinked="0"/>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98137984"/>
        <c:crossesAt val="1"/>
        <c:crossBetween val="between"/>
      </c:valAx>
      <c:spPr>
        <a:noFill/>
        <a:ln>
          <a:noFill/>
        </a:ln>
        <a:effectLst/>
      </c:spPr>
    </c:plotArea>
    <c:plotVisOnly val="1"/>
    <c:dispBlanksAs val="gap"/>
  </c:chart>
  <c:spPr>
    <a:solidFill>
      <a:schemeClr val="bg1"/>
    </a:solidFill>
    <a:ln w="9525" cap="flat" cmpd="sng" algn="ctr">
      <a:solidFill>
        <a:schemeClr val="bg1"/>
      </a:solidFill>
      <a:round/>
    </a:ln>
    <a:effectLst/>
  </c:spPr>
  <c:txPr>
    <a:bodyPr/>
    <a:lstStyle/>
    <a:p>
      <a:pPr>
        <a:defRPr/>
      </a:pPr>
      <a:endParaRPr lang="en-U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en-AU"/>
  <c:style val="1"/>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'percentcover_indiv species'!$C$59:$C$62</c:f>
              <c:strCache>
                <c:ptCount val="4"/>
                <c:pt idx="0">
                  <c:v>2.592</c:v>
                </c:pt>
                <c:pt idx="1">
                  <c:v>.143</c:v>
                </c:pt>
                <c:pt idx="2">
                  <c:v>.327</c:v>
                </c:pt>
                <c:pt idx="3">
                  <c:v>3.727</c:v>
                </c:pt>
              </c:strCache>
            </c:strRef>
          </c:tx>
          <c:spPr>
            <a:solidFill>
              <a:schemeClr val="dk1">
                <a:tint val="88500"/>
              </a:schemeClr>
            </a:solidFill>
            <a:ln>
              <a:noFill/>
            </a:ln>
            <a:effectLst/>
          </c:spPr>
          <c:dLbls>
            <c:dLbl>
              <c:idx val="0"/>
              <c:layout>
                <c:manualLayout>
                  <c:x val="-4.8693549927089103E-17"/>
                  <c:y val="-8.7087379024896744E-2"/>
                </c:manualLayout>
              </c:layout>
              <c:tx>
                <c:rich>
                  <a:bodyPr/>
                  <a:lstStyle/>
                  <a:p>
                    <a:r>
                      <a:rPr lang="en-US"/>
                      <a:t>a,b</a:t>
                    </a:r>
                  </a:p>
                </c:rich>
              </c:tx>
              <c:dLblPos val="outEnd"/>
              <c:showVal val="1"/>
              <c:extLst>
                <c:ext xmlns:c15="http://schemas.microsoft.com/office/drawing/2012/chart" uri="{CE6537A1-D6FC-4f65-9D91-7224C49458BB}"/>
              </c:extLst>
            </c:dLbl>
            <c:dLbl>
              <c:idx val="1"/>
              <c:layout>
                <c:manualLayout>
                  <c:x val="-4.8693549927089103E-17"/>
                  <c:y val="-7.7368110784737914E-3"/>
                </c:manualLayout>
              </c:layout>
              <c:tx>
                <c:rich>
                  <a:bodyPr/>
                  <a:lstStyle/>
                  <a:p>
                    <a:r>
                      <a:rPr lang="en-US"/>
                      <a:t>a</a:t>
                    </a:r>
                  </a:p>
                </c:rich>
              </c:tx>
              <c:dLblPos val="outEnd"/>
              <c:showVal val="1"/>
              <c:extLst>
                <c:ext xmlns:c15="http://schemas.microsoft.com/office/drawing/2012/chart" uri="{CE6537A1-D6FC-4f65-9D91-7224C49458BB}"/>
              </c:extLst>
            </c:dLbl>
            <c:dLbl>
              <c:idx val="2"/>
              <c:layout>
                <c:manualLayout>
                  <c:x val="-2.6560424966800378E-3"/>
                  <c:y val="-9.125802803304682E-3"/>
                </c:manualLayout>
              </c:layout>
              <c:tx>
                <c:rich>
                  <a:bodyPr/>
                  <a:lstStyle/>
                  <a:p>
                    <a:r>
                      <a:rPr lang="en-US"/>
                      <a:t>a</a:t>
                    </a:r>
                  </a:p>
                </c:rich>
              </c:tx>
              <c:dLblPos val="outEnd"/>
              <c:showVal val="1"/>
              <c:extLst>
                <c:ext xmlns:c15="http://schemas.microsoft.com/office/drawing/2012/chart" uri="{CE6537A1-D6FC-4f65-9D91-7224C49458BB}"/>
              </c:extLst>
            </c:dLbl>
            <c:dLbl>
              <c:idx val="3"/>
              <c:layout>
                <c:manualLayout>
                  <c:x val="1.3280212483400709E-3"/>
                  <c:y val="-5.6892564104158445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mn-lt"/>
                        <a:ea typeface="+mn-ea"/>
                        <a:cs typeface="+mn-cs"/>
                      </a:defRPr>
                    </a:pPr>
                    <a:r>
                      <a:rPr lang="en-US"/>
                      <a:t>b</a:t>
                    </a:r>
                  </a:p>
                </c:rich>
              </c:tx>
              <c:spPr>
                <a:noFill/>
                <a:ln>
                  <a:noFill/>
                </a:ln>
                <a:effectLst/>
              </c:spPr>
              <c:dLblPos val="outEnd"/>
              <c:showVal val="1"/>
              <c:extLst>
                <c:ext xmlns:c15="http://schemas.microsoft.com/office/drawing/2012/chart" uri="{CE6537A1-D6FC-4f65-9D91-7224C49458BB}">
                  <c15:layout>
                    <c:manualLayout>
                      <c:w val="4.7742468446424276E-2"/>
                      <c:h val="4.7489004459367587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Val val="1"/>
            <c:extLst>
              <c:ext xmlns:c15="http://schemas.microsoft.com/office/drawing/2012/chart" uri="{CE6537A1-D6FC-4f65-9D91-7224C49458BB}">
                <c15:showLeaderLines val="0"/>
              </c:ext>
            </c:extLst>
          </c:dLbls>
          <c:errBars>
            <c:errBarType val="plus"/>
            <c:errValType val="cust"/>
            <c:plus>
              <c:numRef>
                <c:f>'percentcover_indiv species'!$F$67:$F$70</c:f>
                <c:numCache>
                  <c:formatCode>General</c:formatCode>
                  <c:ptCount val="4"/>
                  <c:pt idx="0">
                    <c:v>1.1775560285046582</c:v>
                  </c:pt>
                  <c:pt idx="1">
                    <c:v>4.7891867043552402E-2</c:v>
                  </c:pt>
                  <c:pt idx="2">
                    <c:v>8.4599210489063548E-2</c:v>
                  </c:pt>
                  <c:pt idx="3">
                    <c:v>0.92838882922043098</c:v>
                  </c:pt>
                </c:numCache>
              </c:numRef>
            </c:plus>
            <c:minus>
              <c:numRef>
                <c:f>'percentcover_indiv species'!$F$67:$F$70</c:f>
                <c:numCache>
                  <c:formatCode>General</c:formatCode>
                  <c:ptCount val="4"/>
                  <c:pt idx="0">
                    <c:v>1.1775560285046582</c:v>
                  </c:pt>
                  <c:pt idx="1">
                    <c:v>4.7891867043552402E-2</c:v>
                  </c:pt>
                  <c:pt idx="2">
                    <c:v>8.4599210489063548E-2</c:v>
                  </c:pt>
                  <c:pt idx="3">
                    <c:v>0.92838882922043098</c:v>
                  </c:pt>
                </c:numCache>
              </c:numRef>
            </c:minus>
            <c:spPr>
              <a:noFill/>
              <a:ln w="9525" cap="flat" cmpd="sng" algn="ctr">
                <a:solidFill>
                  <a:schemeClr val="tx1">
                    <a:lumMod val="65000"/>
                    <a:lumOff val="35000"/>
                  </a:schemeClr>
                </a:solidFill>
                <a:round/>
              </a:ln>
              <a:effectLst/>
            </c:spPr>
          </c:errBars>
          <c:cat>
            <c:strRef>
              <c:f>[1]percentcover_transpecies_pooled!$K$5:$K$8</c:f>
              <c:strCache>
                <c:ptCount val="4"/>
                <c:pt idx="0">
                  <c:v>Yallakool Ck</c:v>
                </c:pt>
                <c:pt idx="1">
                  <c:v>Wakool R zone 2</c:v>
                </c:pt>
                <c:pt idx="2">
                  <c:v>Wakool R zone 3</c:v>
                </c:pt>
                <c:pt idx="3">
                  <c:v>Wakool R zone 4</c:v>
                </c:pt>
              </c:strCache>
            </c:strRef>
          </c:cat>
          <c:val>
            <c:numRef>
              <c:f>'percentcover_indiv species'!$C$59:$C$62</c:f>
              <c:numCache>
                <c:formatCode>####.000</c:formatCode>
                <c:ptCount val="4"/>
                <c:pt idx="0" formatCode="###0.000">
                  <c:v>2.5917595437777781</c:v>
                </c:pt>
                <c:pt idx="1">
                  <c:v>0.14339161588888905</c:v>
                </c:pt>
                <c:pt idx="2">
                  <c:v>0.32675305544444488</c:v>
                </c:pt>
                <c:pt idx="3" formatCode="###0.000">
                  <c:v>3.7274466983333352</c:v>
                </c:pt>
              </c:numCache>
            </c:numRef>
          </c:val>
        </c:ser>
        <c:dLbls>
          <c:showVal val="1"/>
        </c:dLbls>
        <c:axId val="98337152"/>
        <c:axId val="98339072"/>
      </c:barChart>
      <c:catAx>
        <c:axId val="98337152"/>
        <c:scaling>
          <c:orientation val="minMax"/>
        </c:scaling>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AU" b="1">
                    <a:solidFill>
                      <a:schemeClr val="tx1"/>
                    </a:solidFill>
                    <a:latin typeface="Arial" panose="020B0604020202020204" pitchFamily="34" charset="0"/>
                    <a:cs typeface="Arial" panose="020B0604020202020204" pitchFamily="34" charset="0"/>
                  </a:rPr>
                  <a:t>Hydrological zone</a:t>
                </a:r>
              </a:p>
            </c:rich>
          </c:tx>
          <c:spPr>
            <a:noFill/>
            <a:ln>
              <a:noFill/>
            </a:ln>
            <a:effectLst/>
          </c:spPr>
        </c:title>
        <c:numFmt formatCode="General" sourceLinked="1"/>
        <c:maj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98339072"/>
        <c:crosses val="autoZero"/>
        <c:auto val="1"/>
        <c:lblAlgn val="ctr"/>
        <c:lblOffset val="100"/>
        <c:tickLblSkip val="1"/>
      </c:catAx>
      <c:valAx>
        <c:axId val="98339072"/>
        <c:scaling>
          <c:orientation val="minMax"/>
          <c:max val="9"/>
          <c:min val="0"/>
        </c:scaling>
        <c:axPos val="l"/>
        <c:title>
          <c:tx>
            <c:rich>
              <a:bodyPr rot="-540000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r>
                  <a:rPr lang="en-AU" b="1">
                    <a:solidFill>
                      <a:schemeClr val="tx1"/>
                    </a:solidFill>
                    <a:latin typeface="Arial" panose="020B0604020202020204" pitchFamily="34" charset="0"/>
                    <a:cs typeface="Arial" panose="020B0604020202020204" pitchFamily="34" charset="0"/>
                  </a:rPr>
                  <a:t>Mean percent</a:t>
                </a:r>
                <a:r>
                  <a:rPr lang="en-AU" b="1" baseline="0">
                    <a:solidFill>
                      <a:schemeClr val="tx1"/>
                    </a:solidFill>
                    <a:latin typeface="Arial" panose="020B0604020202020204" pitchFamily="34" charset="0"/>
                    <a:cs typeface="Arial" panose="020B0604020202020204" pitchFamily="34" charset="0"/>
                  </a:rPr>
                  <a:t> cover </a:t>
                </a:r>
                <a:r>
                  <a:rPr lang="en-AU" b="1" i="1" baseline="0">
                    <a:solidFill>
                      <a:schemeClr val="tx1"/>
                    </a:solidFill>
                    <a:latin typeface="Arial" panose="020B0604020202020204" pitchFamily="34" charset="0"/>
                    <a:cs typeface="Arial" panose="020B0604020202020204" pitchFamily="34" charset="0"/>
                  </a:rPr>
                  <a:t>Couch</a:t>
                </a:r>
                <a:endParaRPr lang="en-AU" b="1">
                  <a:solidFill>
                    <a:schemeClr val="tx1"/>
                  </a:solidFill>
                  <a:latin typeface="Arial" panose="020B0604020202020204" pitchFamily="34" charset="0"/>
                  <a:cs typeface="Arial" panose="020B0604020202020204" pitchFamily="34" charset="0"/>
                </a:endParaRPr>
              </a:p>
            </c:rich>
          </c:tx>
          <c:spPr>
            <a:noFill/>
            <a:ln>
              <a:noFill/>
            </a:ln>
            <a:effectLst/>
          </c:spPr>
        </c:title>
        <c:numFmt formatCode="###0" sourceLinked="0"/>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98337152"/>
        <c:crossesAt val="1"/>
        <c:crossBetween val="between"/>
      </c:valAx>
      <c:spPr>
        <a:noFill/>
        <a:ln>
          <a:noFill/>
        </a:ln>
        <a:effectLst/>
      </c:spPr>
    </c:plotArea>
    <c:plotVisOnly val="1"/>
    <c:dispBlanksAs val="gap"/>
  </c:chart>
  <c:spPr>
    <a:solidFill>
      <a:schemeClr val="bg1"/>
    </a:solidFill>
    <a:ln w="9525" cap="flat" cmpd="sng" algn="ctr">
      <a:solidFill>
        <a:schemeClr val="bg1"/>
      </a:solidFill>
      <a:round/>
    </a:ln>
    <a:effectLst/>
  </c:spPr>
  <c:txPr>
    <a:bodyPr/>
    <a:lstStyle/>
    <a:p>
      <a:pPr>
        <a:defRPr/>
      </a:pPr>
      <a:endParaRPr lang="en-US"/>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AU"/>
  <c:style val="1"/>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'percentcover_indiv species'!$C$137:$C$140</c:f>
              <c:strCache>
                <c:ptCount val="4"/>
                <c:pt idx="0">
                  <c:v>2.269</c:v>
                </c:pt>
                <c:pt idx="1">
                  <c:v>1.190</c:v>
                </c:pt>
                <c:pt idx="2">
                  <c:v>.538</c:v>
                </c:pt>
                <c:pt idx="3">
                  <c:v>1.589</c:v>
                </c:pt>
              </c:strCache>
            </c:strRef>
          </c:tx>
          <c:spPr>
            <a:solidFill>
              <a:schemeClr val="dk1">
                <a:tint val="88500"/>
              </a:schemeClr>
            </a:solidFill>
            <a:ln>
              <a:noFill/>
            </a:ln>
            <a:effectLst/>
          </c:spPr>
          <c:dLbls>
            <c:dLbl>
              <c:idx val="0"/>
              <c:layout>
                <c:manualLayout>
                  <c:x val="-2.4346774963544509E-17"/>
                  <c:y val="-4.1529929574358276E-2"/>
                </c:manualLayout>
              </c:layout>
              <c:tx>
                <c:rich>
                  <a:bodyPr/>
                  <a:lstStyle/>
                  <a:p>
                    <a:r>
                      <a:rPr lang="en-US"/>
                      <a:t>a</a:t>
                    </a:r>
                  </a:p>
                </c:rich>
              </c:tx>
              <c:dLblPos val="outEnd"/>
              <c:showVal val="1"/>
              <c:extLst>
                <c:ext xmlns:c15="http://schemas.microsoft.com/office/drawing/2012/chart" uri="{CE6537A1-D6FC-4f65-9D91-7224C49458BB}"/>
              </c:extLst>
            </c:dLbl>
            <c:dLbl>
              <c:idx val="1"/>
              <c:layout>
                <c:manualLayout>
                  <c:x val="-4.8693549927089103E-17"/>
                  <c:y val="-7.7368110784737914E-3"/>
                </c:manualLayout>
              </c:layout>
              <c:tx>
                <c:rich>
                  <a:bodyPr/>
                  <a:lstStyle/>
                  <a:p>
                    <a:r>
                      <a:rPr lang="en-US"/>
                      <a:t>a,b</a:t>
                    </a:r>
                  </a:p>
                </c:rich>
              </c:tx>
              <c:dLblPos val="outEnd"/>
              <c:showVal val="1"/>
              <c:extLst>
                <c:ext xmlns:c15="http://schemas.microsoft.com/office/drawing/2012/chart" uri="{CE6537A1-D6FC-4f65-9D91-7224C49458BB}"/>
              </c:extLst>
            </c:dLbl>
            <c:dLbl>
              <c:idx val="2"/>
              <c:layout>
                <c:manualLayout>
                  <c:x val="-9.7387099854177898E-17"/>
                  <c:y val="-2.7301121733591487E-2"/>
                </c:manualLayout>
              </c:layout>
              <c:tx>
                <c:rich>
                  <a:bodyPr/>
                  <a:lstStyle/>
                  <a:p>
                    <a:r>
                      <a:rPr lang="en-US"/>
                      <a:t>b</a:t>
                    </a:r>
                  </a:p>
                </c:rich>
              </c:tx>
              <c:dLblPos val="outEnd"/>
              <c:showVal val="1"/>
              <c:extLst>
                <c:ext xmlns:c15="http://schemas.microsoft.com/office/drawing/2012/chart" uri="{CE6537A1-D6FC-4f65-9D91-7224C49458BB}"/>
              </c:extLst>
            </c:dLbl>
            <c:dLbl>
              <c:idx val="3"/>
              <c:layout>
                <c:manualLayout>
                  <c:x val="1.3280212483400709E-3"/>
                  <c:y val="-3.3058215939930136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mn-lt"/>
                        <a:ea typeface="+mn-ea"/>
                        <a:cs typeface="+mn-cs"/>
                      </a:defRPr>
                    </a:pPr>
                    <a:r>
                      <a:rPr lang="en-US"/>
                      <a:t>a,b</a:t>
                    </a:r>
                  </a:p>
                </c:rich>
              </c:tx>
              <c:spPr>
                <a:noFill/>
                <a:ln>
                  <a:noFill/>
                </a:ln>
                <a:effectLst/>
              </c:spPr>
              <c:dLblPos val="outEnd"/>
              <c:showVal val="1"/>
              <c:extLst>
                <c:ext xmlns:c15="http://schemas.microsoft.com/office/drawing/2012/chart" uri="{CE6537A1-D6FC-4f65-9D91-7224C49458BB}">
                  <c15:layout>
                    <c:manualLayout>
                      <c:w val="4.7742468446424276E-2"/>
                      <c:h val="4.7489004459367587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Val val="1"/>
            <c:extLst>
              <c:ext xmlns:c15="http://schemas.microsoft.com/office/drawing/2012/chart" uri="{CE6537A1-D6FC-4f65-9D91-7224C49458BB}">
                <c15:showLeaderLines val="0"/>
              </c:ext>
            </c:extLst>
          </c:dLbls>
          <c:errBars>
            <c:errBarType val="plus"/>
            <c:errValType val="cust"/>
            <c:plus>
              <c:numRef>
                <c:f>'percentcover_indiv species'!$F$145:$F$148</c:f>
                <c:numCache>
                  <c:formatCode>General</c:formatCode>
                  <c:ptCount val="4"/>
                  <c:pt idx="0">
                    <c:v>0.5575699395430046</c:v>
                  </c:pt>
                  <c:pt idx="1">
                    <c:v>0.22089455839181935</c:v>
                  </c:pt>
                  <c:pt idx="2">
                    <c:v>0.17445085772193233</c:v>
                  </c:pt>
                  <c:pt idx="3">
                    <c:v>0.38362857628008329</c:v>
                  </c:pt>
                </c:numCache>
              </c:numRef>
            </c:plus>
            <c:minus>
              <c:numRef>
                <c:f>'percentcover_indiv species'!$F$145:$F$148</c:f>
                <c:numCache>
                  <c:formatCode>General</c:formatCode>
                  <c:ptCount val="4"/>
                  <c:pt idx="0">
                    <c:v>0.5575699395430046</c:v>
                  </c:pt>
                  <c:pt idx="1">
                    <c:v>0.22089455839181935</c:v>
                  </c:pt>
                  <c:pt idx="2">
                    <c:v>0.17445085772193233</c:v>
                  </c:pt>
                  <c:pt idx="3">
                    <c:v>0.38362857628008329</c:v>
                  </c:pt>
                </c:numCache>
              </c:numRef>
            </c:minus>
            <c:spPr>
              <a:noFill/>
              <a:ln w="9525" cap="flat" cmpd="sng" algn="ctr">
                <a:solidFill>
                  <a:schemeClr val="tx1">
                    <a:lumMod val="65000"/>
                    <a:lumOff val="35000"/>
                  </a:schemeClr>
                </a:solidFill>
                <a:round/>
              </a:ln>
              <a:effectLst/>
            </c:spPr>
          </c:errBars>
          <c:cat>
            <c:strRef>
              <c:f>[2]percentcover_transpecies_pooled!$K$5:$K$8</c:f>
              <c:strCache>
                <c:ptCount val="4"/>
                <c:pt idx="0">
                  <c:v>Yallakool Ck</c:v>
                </c:pt>
                <c:pt idx="1">
                  <c:v>Wakool R zone 2</c:v>
                </c:pt>
                <c:pt idx="2">
                  <c:v>Wakool R zone 3</c:v>
                </c:pt>
                <c:pt idx="3">
                  <c:v>Wakool R zone 4</c:v>
                </c:pt>
              </c:strCache>
            </c:strRef>
          </c:cat>
          <c:val>
            <c:numRef>
              <c:f>'percentcover_indiv species'!$C$137:$C$140</c:f>
              <c:numCache>
                <c:formatCode>###0.000</c:formatCode>
                <c:ptCount val="4"/>
                <c:pt idx="0">
                  <c:v>2.2690778770000071</c:v>
                </c:pt>
                <c:pt idx="1">
                  <c:v>1.1901563950000003</c:v>
                </c:pt>
                <c:pt idx="2" formatCode="####.000">
                  <c:v>0.53837976566666657</c:v>
                </c:pt>
                <c:pt idx="3">
                  <c:v>1.588599061111112</c:v>
                </c:pt>
              </c:numCache>
            </c:numRef>
          </c:val>
        </c:ser>
        <c:dLbls>
          <c:showVal val="1"/>
        </c:dLbls>
        <c:axId val="98367744"/>
        <c:axId val="98386688"/>
      </c:barChart>
      <c:catAx>
        <c:axId val="98367744"/>
        <c:scaling>
          <c:orientation val="minMax"/>
        </c:scaling>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AU" b="1">
                    <a:solidFill>
                      <a:schemeClr val="tx1"/>
                    </a:solidFill>
                    <a:latin typeface="Arial" panose="020B0604020202020204" pitchFamily="34" charset="0"/>
                    <a:cs typeface="Arial" panose="020B0604020202020204" pitchFamily="34" charset="0"/>
                  </a:rPr>
                  <a:t>Hydrological zone</a:t>
                </a:r>
              </a:p>
            </c:rich>
          </c:tx>
          <c:spPr>
            <a:noFill/>
            <a:ln>
              <a:noFill/>
            </a:ln>
            <a:effectLst/>
          </c:spPr>
        </c:title>
        <c:numFmt formatCode="General" sourceLinked="1"/>
        <c:maj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98386688"/>
        <c:crosses val="autoZero"/>
        <c:auto val="1"/>
        <c:lblAlgn val="ctr"/>
        <c:lblOffset val="100"/>
        <c:tickLblSkip val="1"/>
      </c:catAx>
      <c:valAx>
        <c:axId val="98386688"/>
        <c:scaling>
          <c:orientation val="minMax"/>
          <c:max val="9"/>
          <c:min val="0"/>
        </c:scaling>
        <c:axPos val="l"/>
        <c:title>
          <c:tx>
            <c:rich>
              <a:bodyPr rot="-540000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r>
                  <a:rPr lang="en-AU" b="1">
                    <a:solidFill>
                      <a:schemeClr val="tx1"/>
                    </a:solidFill>
                    <a:latin typeface="Arial" panose="020B0604020202020204" pitchFamily="34" charset="0"/>
                    <a:cs typeface="Arial" panose="020B0604020202020204" pitchFamily="34" charset="0"/>
                  </a:rPr>
                  <a:t>Mean percent</a:t>
                </a:r>
                <a:r>
                  <a:rPr lang="en-AU" b="1" baseline="0">
                    <a:solidFill>
                      <a:schemeClr val="tx1"/>
                    </a:solidFill>
                    <a:latin typeface="Arial" panose="020B0604020202020204" pitchFamily="34" charset="0"/>
                    <a:cs typeface="Arial" panose="020B0604020202020204" pitchFamily="34" charset="0"/>
                  </a:rPr>
                  <a:t> cover grass</a:t>
                </a:r>
                <a:endParaRPr lang="en-AU" b="1">
                  <a:solidFill>
                    <a:schemeClr val="tx1"/>
                  </a:solidFill>
                  <a:latin typeface="Arial" panose="020B0604020202020204" pitchFamily="34" charset="0"/>
                  <a:cs typeface="Arial" panose="020B0604020202020204" pitchFamily="34" charset="0"/>
                </a:endParaRPr>
              </a:p>
            </c:rich>
          </c:tx>
          <c:spPr>
            <a:noFill/>
            <a:ln>
              <a:noFill/>
            </a:ln>
            <a:effectLst/>
          </c:spPr>
        </c:title>
        <c:numFmt formatCode="###0" sourceLinked="0"/>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98367744"/>
        <c:crossesAt val="1"/>
        <c:crossBetween val="between"/>
      </c:valAx>
      <c:spPr>
        <a:noFill/>
        <a:ln>
          <a:noFill/>
        </a:ln>
        <a:effectLst/>
      </c:spPr>
    </c:plotArea>
    <c:plotVisOnly val="1"/>
    <c:dispBlanksAs val="gap"/>
  </c:chart>
  <c:spPr>
    <a:solidFill>
      <a:schemeClr val="bg1"/>
    </a:solidFill>
    <a:ln w="9525" cap="flat" cmpd="sng" algn="ctr">
      <a:solidFill>
        <a:schemeClr val="bg1"/>
      </a:solidFill>
      <a:round/>
    </a:ln>
    <a:effectLst/>
  </c:spPr>
  <c:txPr>
    <a:bodyPr/>
    <a:lstStyle/>
    <a:p>
      <a:pPr>
        <a:defRPr/>
      </a:pPr>
      <a:endParaRPr lang="en-US"/>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AU"/>
  <c:style val="1"/>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'percentcover_indiv species'!$D$78:$D$81</c:f>
              <c:strCache>
                <c:ptCount val="4"/>
                <c:pt idx="0">
                  <c:v>.1757</c:v>
                </c:pt>
                <c:pt idx="1">
                  <c:v>.0567</c:v>
                </c:pt>
                <c:pt idx="2">
                  <c:v>1.4401</c:v>
                </c:pt>
                <c:pt idx="3">
                  <c:v>4.3926</c:v>
                </c:pt>
              </c:strCache>
            </c:strRef>
          </c:tx>
          <c:spPr>
            <a:solidFill>
              <a:schemeClr val="dk1">
                <a:tint val="88500"/>
              </a:schemeClr>
            </a:solidFill>
            <a:ln>
              <a:noFill/>
            </a:ln>
            <a:effectLst/>
          </c:spPr>
          <c:dLbls>
            <c:dLbl>
              <c:idx val="0"/>
              <c:layout>
                <c:manualLayout>
                  <c:x val="-2.4346774963544509E-17"/>
                  <c:y val="-1.2718328754158693E-2"/>
                </c:manualLayout>
              </c:layout>
              <c:tx>
                <c:rich>
                  <a:bodyPr/>
                  <a:lstStyle/>
                  <a:p>
                    <a:r>
                      <a:rPr lang="en-US"/>
                      <a:t>a</a:t>
                    </a:r>
                  </a:p>
                </c:rich>
              </c:tx>
              <c:dLblPos val="outEnd"/>
              <c:showVal val="1"/>
              <c:extLst>
                <c:ext xmlns:c15="http://schemas.microsoft.com/office/drawing/2012/chart" uri="{CE6537A1-D6FC-4f65-9D91-7224C49458BB}"/>
              </c:extLst>
            </c:dLbl>
            <c:dLbl>
              <c:idx val="1"/>
              <c:layout>
                <c:manualLayout>
                  <c:x val="-4.8693549927089103E-17"/>
                  <c:y val="-7.7368110784737914E-3"/>
                </c:manualLayout>
              </c:layout>
              <c:tx>
                <c:rich>
                  <a:bodyPr/>
                  <a:lstStyle/>
                  <a:p>
                    <a:r>
                      <a:rPr lang="en-US"/>
                      <a:t>a</a:t>
                    </a:r>
                  </a:p>
                </c:rich>
              </c:tx>
              <c:dLblPos val="outEnd"/>
              <c:showVal val="1"/>
              <c:extLst>
                <c:ext xmlns:c15="http://schemas.microsoft.com/office/drawing/2012/chart" uri="{CE6537A1-D6FC-4f65-9D91-7224C49458BB}"/>
              </c:extLst>
            </c:dLbl>
            <c:dLbl>
              <c:idx val="2"/>
              <c:layout>
                <c:manualLayout>
                  <c:x val="-2.6560424966800378E-3"/>
                  <c:y val="-9.125802803304682E-3"/>
                </c:manualLayout>
              </c:layout>
              <c:tx>
                <c:rich>
                  <a:bodyPr/>
                  <a:lstStyle/>
                  <a:p>
                    <a:r>
                      <a:rPr lang="en-US"/>
                      <a:t>a</a:t>
                    </a:r>
                  </a:p>
                </c:rich>
              </c:tx>
              <c:dLblPos val="outEnd"/>
              <c:showVal val="1"/>
              <c:extLst>
                <c:ext xmlns:c15="http://schemas.microsoft.com/office/drawing/2012/chart" uri="{CE6537A1-D6FC-4f65-9D91-7224C49458BB}"/>
              </c:extLst>
            </c:dLbl>
            <c:dLbl>
              <c:idx val="3"/>
              <c:layout>
                <c:manualLayout>
                  <c:x val="1.3280212483400709E-3"/>
                  <c:y val="-0.11001340429868919"/>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mn-lt"/>
                        <a:ea typeface="+mn-ea"/>
                        <a:cs typeface="+mn-cs"/>
                      </a:defRPr>
                    </a:pPr>
                    <a:r>
                      <a:rPr lang="en-US"/>
                      <a:t>b</a:t>
                    </a:r>
                  </a:p>
                </c:rich>
              </c:tx>
              <c:spPr>
                <a:noFill/>
                <a:ln>
                  <a:noFill/>
                </a:ln>
                <a:effectLst/>
              </c:spPr>
              <c:dLblPos val="outEnd"/>
              <c:showVal val="1"/>
              <c:extLst>
                <c:ext xmlns:c15="http://schemas.microsoft.com/office/drawing/2012/chart" uri="{CE6537A1-D6FC-4f65-9D91-7224C49458BB}">
                  <c15:layout>
                    <c:manualLayout>
                      <c:w val="4.7742468446424276E-2"/>
                      <c:h val="4.7489004459367587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Val val="1"/>
            <c:extLst>
              <c:ext xmlns:c15="http://schemas.microsoft.com/office/drawing/2012/chart" uri="{CE6537A1-D6FC-4f65-9D91-7224C49458BB}">
                <c15:showLeaderLines val="0"/>
              </c:ext>
            </c:extLst>
          </c:dLbls>
          <c:errBars>
            <c:errBarType val="plus"/>
            <c:errValType val="cust"/>
            <c:plus>
              <c:numRef>
                <c:f>'percentcover_indiv species'!$G$78:$G$81</c:f>
                <c:numCache>
                  <c:formatCode>General</c:formatCode>
                  <c:ptCount val="4"/>
                  <c:pt idx="0">
                    <c:v>7.5034192953714884E-2</c:v>
                  </c:pt>
                  <c:pt idx="1">
                    <c:v>5.6689342444444346E-2</c:v>
                  </c:pt>
                  <c:pt idx="2">
                    <c:v>0.13796303091407691</c:v>
                  </c:pt>
                  <c:pt idx="3">
                    <c:v>1.4518352029343451</c:v>
                  </c:pt>
                </c:numCache>
              </c:numRef>
            </c:plus>
            <c:minus>
              <c:numRef>
                <c:f>'percentcover_indiv species'!$G$78:$G$81</c:f>
                <c:numCache>
                  <c:formatCode>General</c:formatCode>
                  <c:ptCount val="4"/>
                  <c:pt idx="0">
                    <c:v>7.5034192953714884E-2</c:v>
                  </c:pt>
                  <c:pt idx="1">
                    <c:v>5.6689342444444346E-2</c:v>
                  </c:pt>
                  <c:pt idx="2">
                    <c:v>0.13796303091407691</c:v>
                  </c:pt>
                  <c:pt idx="3">
                    <c:v>1.4518352029343451</c:v>
                  </c:pt>
                </c:numCache>
              </c:numRef>
            </c:minus>
            <c:spPr>
              <a:noFill/>
              <a:ln w="9525" cap="flat" cmpd="sng" algn="ctr">
                <a:solidFill>
                  <a:schemeClr val="tx1">
                    <a:lumMod val="65000"/>
                    <a:lumOff val="35000"/>
                  </a:schemeClr>
                </a:solidFill>
                <a:round/>
              </a:ln>
              <a:effectLst/>
            </c:spPr>
          </c:errBars>
          <c:cat>
            <c:strRef>
              <c:f>[1]percentcover_transpecies_pooled!$K$5:$K$8</c:f>
              <c:strCache>
                <c:ptCount val="4"/>
                <c:pt idx="0">
                  <c:v>Yallakool Ck</c:v>
                </c:pt>
                <c:pt idx="1">
                  <c:v>Wakool R zone 2</c:v>
                </c:pt>
                <c:pt idx="2">
                  <c:v>Wakool R zone 3</c:v>
                </c:pt>
                <c:pt idx="3">
                  <c:v>Wakool R zone 4</c:v>
                </c:pt>
              </c:strCache>
            </c:strRef>
          </c:cat>
          <c:val>
            <c:numRef>
              <c:f>'percentcover_indiv species'!$D$78:$D$81</c:f>
              <c:numCache>
                <c:formatCode>####.0000</c:formatCode>
                <c:ptCount val="4"/>
                <c:pt idx="0">
                  <c:v>0.1757462357777787</c:v>
                </c:pt>
                <c:pt idx="1">
                  <c:v>5.6689342444444346E-2</c:v>
                </c:pt>
                <c:pt idx="2" formatCode="###0.0000">
                  <c:v>1.4401212925555495</c:v>
                </c:pt>
                <c:pt idx="3" formatCode="###0.0000">
                  <c:v>4.3925944607777616</c:v>
                </c:pt>
              </c:numCache>
            </c:numRef>
          </c:val>
        </c:ser>
        <c:dLbls>
          <c:showVal val="1"/>
        </c:dLbls>
        <c:axId val="98403456"/>
        <c:axId val="98405376"/>
      </c:barChart>
      <c:catAx>
        <c:axId val="98403456"/>
        <c:scaling>
          <c:orientation val="minMax"/>
        </c:scaling>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AU" b="1">
                    <a:solidFill>
                      <a:schemeClr val="tx1"/>
                    </a:solidFill>
                    <a:latin typeface="Arial" panose="020B0604020202020204" pitchFamily="34" charset="0"/>
                    <a:cs typeface="Arial" panose="020B0604020202020204" pitchFamily="34" charset="0"/>
                  </a:rPr>
                  <a:t>Hydrological zone</a:t>
                </a:r>
              </a:p>
            </c:rich>
          </c:tx>
          <c:spPr>
            <a:noFill/>
            <a:ln>
              <a:noFill/>
            </a:ln>
            <a:effectLst/>
          </c:spPr>
        </c:title>
        <c:numFmt formatCode="General" sourceLinked="1"/>
        <c:maj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98405376"/>
        <c:crosses val="autoZero"/>
        <c:auto val="1"/>
        <c:lblAlgn val="ctr"/>
        <c:lblOffset val="100"/>
        <c:tickLblSkip val="1"/>
      </c:catAx>
      <c:valAx>
        <c:axId val="98405376"/>
        <c:scaling>
          <c:orientation val="minMax"/>
          <c:max val="9"/>
          <c:min val="0"/>
        </c:scaling>
        <c:axPos val="l"/>
        <c:title>
          <c:tx>
            <c:rich>
              <a:bodyPr rot="-540000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r>
                  <a:rPr lang="en-AU" b="1">
                    <a:solidFill>
                      <a:schemeClr val="tx1"/>
                    </a:solidFill>
                    <a:latin typeface="Arial" panose="020B0604020202020204" pitchFamily="34" charset="0"/>
                    <a:cs typeface="Arial" panose="020B0604020202020204" pitchFamily="34" charset="0"/>
                  </a:rPr>
                  <a:t>Mean percent</a:t>
                </a:r>
                <a:r>
                  <a:rPr lang="en-AU" b="1" baseline="0">
                    <a:solidFill>
                      <a:schemeClr val="tx1"/>
                    </a:solidFill>
                    <a:latin typeface="Arial" panose="020B0604020202020204" pitchFamily="34" charset="0"/>
                    <a:cs typeface="Arial" panose="020B0604020202020204" pitchFamily="34" charset="0"/>
                  </a:rPr>
                  <a:t> cover </a:t>
                </a:r>
                <a:r>
                  <a:rPr lang="en-AU" b="1" i="1" baseline="0">
                    <a:solidFill>
                      <a:schemeClr val="tx1"/>
                    </a:solidFill>
                    <a:latin typeface="Arial" panose="020B0604020202020204" pitchFamily="34" charset="0"/>
                    <a:cs typeface="Arial" panose="020B0604020202020204" pitchFamily="34" charset="0"/>
                  </a:rPr>
                  <a:t>Eleocharis</a:t>
                </a:r>
                <a:endParaRPr lang="en-AU" b="1">
                  <a:solidFill>
                    <a:schemeClr val="tx1"/>
                  </a:solidFill>
                  <a:latin typeface="Arial" panose="020B0604020202020204" pitchFamily="34" charset="0"/>
                  <a:cs typeface="Arial" panose="020B0604020202020204" pitchFamily="34" charset="0"/>
                </a:endParaRPr>
              </a:p>
            </c:rich>
          </c:tx>
          <c:spPr>
            <a:noFill/>
            <a:ln>
              <a:noFill/>
            </a:ln>
            <a:effectLst/>
          </c:spPr>
        </c:title>
        <c:numFmt formatCode="###0" sourceLinked="0"/>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98403456"/>
        <c:crossesAt val="1"/>
        <c:crossBetween val="between"/>
      </c:valAx>
      <c:spPr>
        <a:noFill/>
        <a:ln>
          <a:noFill/>
        </a:ln>
        <a:effectLst/>
      </c:spPr>
    </c:plotArea>
    <c:plotVisOnly val="1"/>
    <c:dispBlanksAs val="gap"/>
  </c:chart>
  <c:spPr>
    <a:solidFill>
      <a:schemeClr val="bg1"/>
    </a:solidFill>
    <a:ln w="9525" cap="flat" cmpd="sng" algn="ctr">
      <a:solidFill>
        <a:schemeClr val="bg1"/>
      </a:solidFill>
      <a:round/>
    </a:ln>
    <a:effectLst/>
  </c:spPr>
  <c:txPr>
    <a:bodyPr/>
    <a:lstStyle/>
    <a:p>
      <a:pPr>
        <a:defRPr/>
      </a:pPr>
      <a:endParaRPr lang="en-US"/>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AU"/>
  <c:style val="1"/>
  <c:chart>
    <c:autoTitleDeleted val="1"/>
    <c:plotArea>
      <c:layout/>
      <c:barChart>
        <c:barDir val="col"/>
        <c:grouping val="clustered"/>
        <c:ser>
          <c:idx val="0"/>
          <c:order val="0"/>
          <c:tx>
            <c:strRef>
              <c:f>'percentcover_indiv species'!$C$94:$C$97</c:f>
              <c:strCache>
                <c:ptCount val="4"/>
                <c:pt idx="0">
                  <c:v>.8128</c:v>
                </c:pt>
                <c:pt idx="1">
                  <c:v>0.0000</c:v>
                </c:pt>
                <c:pt idx="2">
                  <c:v>3.6817</c:v>
                </c:pt>
                <c:pt idx="3">
                  <c:v>.8656</c:v>
                </c:pt>
              </c:strCache>
            </c:strRef>
          </c:tx>
          <c:spPr>
            <a:solidFill>
              <a:schemeClr val="dk1">
                <a:tint val="88500"/>
              </a:schemeClr>
            </a:solidFill>
            <a:ln>
              <a:noFill/>
            </a:ln>
            <a:effectLst/>
          </c:spPr>
          <c:dLbls>
            <c:dLbl>
              <c:idx val="0"/>
              <c:layout>
                <c:manualLayout>
                  <c:x val="-2.4346774963544268E-17"/>
                  <c:y val="-1.2718328754158693E-2"/>
                </c:manualLayout>
              </c:layout>
              <c:tx>
                <c:rich>
                  <a:bodyPr/>
                  <a:lstStyle/>
                  <a:p>
                    <a:r>
                      <a:rPr lang="en-US"/>
                      <a:t>a</a:t>
                    </a:r>
                  </a:p>
                </c:rich>
              </c:tx>
              <c:dLblPos val="outEnd"/>
              <c:showVal val="1"/>
              <c:extLst>
                <c:ext xmlns:c15="http://schemas.microsoft.com/office/drawing/2012/chart" uri="{CE6537A1-D6FC-4f65-9D91-7224C49458BB}"/>
              </c:extLst>
            </c:dLbl>
            <c:dLbl>
              <c:idx val="1"/>
              <c:layout>
                <c:manualLayout>
                  <c:x val="-4.8693549927088555E-17"/>
                  <c:y val="-7.7368110784737871E-3"/>
                </c:manualLayout>
              </c:layout>
              <c:tx>
                <c:rich>
                  <a:bodyPr/>
                  <a:lstStyle/>
                  <a:p>
                    <a:r>
                      <a:rPr lang="en-US"/>
                      <a:t>a</a:t>
                    </a:r>
                  </a:p>
                </c:rich>
              </c:tx>
              <c:dLblPos val="outEnd"/>
              <c:showVal val="1"/>
              <c:extLst>
                <c:ext xmlns:c15="http://schemas.microsoft.com/office/drawing/2012/chart" uri="{CE6537A1-D6FC-4f65-9D91-7224C49458BB}"/>
              </c:extLst>
            </c:dLbl>
            <c:dLbl>
              <c:idx val="2"/>
              <c:layout>
                <c:manualLayout>
                  <c:x val="-2.6560424966799467E-3"/>
                  <c:y val="-5.9314020844041797E-2"/>
                </c:manualLayout>
              </c:layout>
              <c:tx>
                <c:rich>
                  <a:bodyPr/>
                  <a:lstStyle/>
                  <a:p>
                    <a:r>
                      <a:rPr lang="en-US"/>
                      <a:t>b</a:t>
                    </a:r>
                  </a:p>
                </c:rich>
              </c:tx>
              <c:dLblPos val="outEnd"/>
              <c:showVal val="1"/>
              <c:extLst>
                <c:ext xmlns:c15="http://schemas.microsoft.com/office/drawing/2012/chart" uri="{CE6537A1-D6FC-4f65-9D91-7224C49458BB}"/>
              </c:extLst>
            </c:dLbl>
            <c:dLbl>
              <c:idx val="3"/>
              <c:layout>
                <c:manualLayout>
                  <c:x val="1.3280212483400709E-3"/>
                  <c:y val="-3.3058215939930136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mn-lt"/>
                        <a:ea typeface="+mn-ea"/>
                        <a:cs typeface="+mn-cs"/>
                      </a:defRPr>
                    </a:pPr>
                    <a:r>
                      <a:rPr lang="en-US"/>
                      <a:t>a</a:t>
                    </a:r>
                  </a:p>
                </c:rich>
              </c:tx>
              <c:spPr>
                <a:noFill/>
                <a:ln>
                  <a:noFill/>
                </a:ln>
                <a:effectLst/>
              </c:spPr>
              <c:dLblPos val="outEnd"/>
              <c:showVal val="1"/>
              <c:extLst>
                <c:ext xmlns:c15="http://schemas.microsoft.com/office/drawing/2012/chart" uri="{CE6537A1-D6FC-4f65-9D91-7224C49458BB}">
                  <c15:layout>
                    <c:manualLayout>
                      <c:w val="4.7742468446424276E-2"/>
                      <c:h val="4.7489004459367587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Val val="1"/>
            <c:extLst>
              <c:ext xmlns:c15="http://schemas.microsoft.com/office/drawing/2012/chart" uri="{CE6537A1-D6FC-4f65-9D91-7224C49458BB}">
                <c15:showLeaderLines val="0"/>
              </c:ext>
            </c:extLst>
          </c:dLbls>
          <c:errBars>
            <c:errBarType val="plus"/>
            <c:errValType val="cust"/>
            <c:plus>
              <c:numRef>
                <c:f>'percentcover_indiv species'!$L$95:$L$98</c:f>
                <c:numCache>
                  <c:formatCode>General</c:formatCode>
                  <c:ptCount val="4"/>
                  <c:pt idx="0">
                    <c:v>0.1799937439144586</c:v>
                  </c:pt>
                  <c:pt idx="1">
                    <c:v>0</c:v>
                  </c:pt>
                  <c:pt idx="2">
                    <c:v>0.74081678325593159</c:v>
                  </c:pt>
                  <c:pt idx="3">
                    <c:v>0.30016539994671931</c:v>
                  </c:pt>
                </c:numCache>
              </c:numRef>
            </c:plus>
            <c:minus>
              <c:numRef>
                <c:f>'percentcover_indiv species'!$L$95:$L$98</c:f>
                <c:numCache>
                  <c:formatCode>General</c:formatCode>
                  <c:ptCount val="4"/>
                  <c:pt idx="0">
                    <c:v>0.1799937439144586</c:v>
                  </c:pt>
                  <c:pt idx="1">
                    <c:v>0</c:v>
                  </c:pt>
                  <c:pt idx="2">
                    <c:v>0.74081678325593159</c:v>
                  </c:pt>
                  <c:pt idx="3">
                    <c:v>0.30016539994671931</c:v>
                  </c:pt>
                </c:numCache>
              </c:numRef>
            </c:minus>
            <c:spPr>
              <a:noFill/>
              <a:ln w="9525" cap="flat" cmpd="sng" algn="ctr">
                <a:solidFill>
                  <a:schemeClr val="tx1">
                    <a:lumMod val="65000"/>
                    <a:lumOff val="35000"/>
                  </a:schemeClr>
                </a:solidFill>
                <a:round/>
              </a:ln>
              <a:effectLst/>
            </c:spPr>
          </c:errBars>
          <c:cat>
            <c:strRef>
              <c:f>'[percent cover - transect + species pooled 7_8_2015.xlsx]percentcover_transpecies_pooled'!$K$5:$K$8</c:f>
              <c:strCache>
                <c:ptCount val="4"/>
                <c:pt idx="0">
                  <c:v>Yallakool Ck</c:v>
                </c:pt>
                <c:pt idx="1">
                  <c:v>Wakool R zone 2</c:v>
                </c:pt>
                <c:pt idx="2">
                  <c:v>Wakool R zone 3</c:v>
                </c:pt>
                <c:pt idx="3">
                  <c:v>Wakool R zone 4</c:v>
                </c:pt>
              </c:strCache>
            </c:strRef>
          </c:cat>
          <c:val>
            <c:numRef>
              <c:f>'percentcover_indiv species'!$C$94:$C$97</c:f>
              <c:numCache>
                <c:formatCode>###0.0000</c:formatCode>
                <c:ptCount val="4"/>
                <c:pt idx="0" formatCode="####.0000">
                  <c:v>0.81275883855555608</c:v>
                </c:pt>
                <c:pt idx="1">
                  <c:v>0</c:v>
                </c:pt>
                <c:pt idx="2">
                  <c:v>3.6816643173333348</c:v>
                </c:pt>
                <c:pt idx="3" formatCode="####.0000">
                  <c:v>0.86561158444444464</c:v>
                </c:pt>
              </c:numCache>
            </c:numRef>
          </c:val>
        </c:ser>
        <c:dLbls>
          <c:showVal val="1"/>
        </c:dLbls>
        <c:axId val="98729344"/>
        <c:axId val="98747904"/>
      </c:barChart>
      <c:catAx>
        <c:axId val="98729344"/>
        <c:scaling>
          <c:orientation val="minMax"/>
        </c:scaling>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AU" b="1">
                    <a:solidFill>
                      <a:schemeClr val="tx1"/>
                    </a:solidFill>
                    <a:latin typeface="Arial" panose="020B0604020202020204" pitchFamily="34" charset="0"/>
                    <a:cs typeface="Arial" panose="020B0604020202020204" pitchFamily="34" charset="0"/>
                  </a:rPr>
                  <a:t>Hydrological zone</a:t>
                </a:r>
              </a:p>
            </c:rich>
          </c:tx>
          <c:spPr>
            <a:noFill/>
            <a:ln>
              <a:noFill/>
            </a:ln>
            <a:effectLst/>
          </c:spPr>
        </c:title>
        <c:numFmt formatCode="General" sourceLinked="1"/>
        <c:maj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98747904"/>
        <c:crosses val="autoZero"/>
        <c:auto val="1"/>
        <c:lblAlgn val="ctr"/>
        <c:lblOffset val="100"/>
        <c:tickLblSkip val="1"/>
      </c:catAx>
      <c:valAx>
        <c:axId val="98747904"/>
        <c:scaling>
          <c:orientation val="minMax"/>
          <c:max val="9"/>
          <c:min val="0"/>
        </c:scaling>
        <c:axPos val="l"/>
        <c:title>
          <c:tx>
            <c:rich>
              <a:bodyPr rot="-540000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r>
                  <a:rPr lang="en-AU" b="1">
                    <a:solidFill>
                      <a:schemeClr val="tx1"/>
                    </a:solidFill>
                    <a:latin typeface="Arial" panose="020B0604020202020204" pitchFamily="34" charset="0"/>
                    <a:cs typeface="Arial" panose="020B0604020202020204" pitchFamily="34" charset="0"/>
                  </a:rPr>
                  <a:t>Mean percent</a:t>
                </a:r>
                <a:r>
                  <a:rPr lang="en-AU" b="1" baseline="0">
                    <a:solidFill>
                      <a:schemeClr val="tx1"/>
                    </a:solidFill>
                    <a:latin typeface="Arial" panose="020B0604020202020204" pitchFamily="34" charset="0"/>
                    <a:cs typeface="Arial" panose="020B0604020202020204" pitchFamily="34" charset="0"/>
                  </a:rPr>
                  <a:t> cover </a:t>
                </a:r>
                <a:r>
                  <a:rPr lang="en-AU" b="1" i="1" baseline="0">
                    <a:solidFill>
                      <a:schemeClr val="tx1"/>
                    </a:solidFill>
                    <a:latin typeface="Arial" panose="020B0604020202020204" pitchFamily="34" charset="0"/>
                    <a:cs typeface="Arial" panose="020B0604020202020204" pitchFamily="34" charset="0"/>
                  </a:rPr>
                  <a:t>Myriophyllum</a:t>
                </a:r>
                <a:endParaRPr lang="en-AU" b="1">
                  <a:solidFill>
                    <a:schemeClr val="tx1"/>
                  </a:solidFill>
                  <a:latin typeface="Arial" panose="020B0604020202020204" pitchFamily="34" charset="0"/>
                  <a:cs typeface="Arial" panose="020B0604020202020204" pitchFamily="34" charset="0"/>
                </a:endParaRPr>
              </a:p>
            </c:rich>
          </c:tx>
          <c:spPr>
            <a:noFill/>
            <a:ln>
              <a:noFill/>
            </a:ln>
            <a:effectLst/>
          </c:spPr>
        </c:title>
        <c:numFmt formatCode="###0" sourceLinked="0"/>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98729344"/>
        <c:crossesAt val="1"/>
        <c:crossBetween val="between"/>
      </c:valAx>
      <c:spPr>
        <a:noFill/>
        <a:ln>
          <a:noFill/>
        </a:ln>
        <a:effectLst/>
      </c:spPr>
    </c:plotArea>
    <c:plotVisOnly val="1"/>
    <c:dispBlanksAs val="gap"/>
  </c:chart>
  <c:spPr>
    <a:solidFill>
      <a:schemeClr val="bg1"/>
    </a:solidFill>
    <a:ln w="9525" cap="flat" cmpd="sng" algn="ctr">
      <a:solidFill>
        <a:schemeClr val="bg1"/>
      </a:solidFill>
      <a:round/>
    </a:ln>
    <a:effectLst/>
  </c:spPr>
  <c:txPr>
    <a:bodyPr/>
    <a:lstStyle/>
    <a:p>
      <a:pPr>
        <a:defRPr/>
      </a:pPr>
      <a:endParaRPr lang="en-US"/>
    </a:p>
  </c:txPr>
  <c:externalData r:id="rId1"/>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7.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8.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F243E5-651E-47F3-8808-6455F1134F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185</Pages>
  <Words>51121</Words>
  <Characters>299475</Characters>
  <Application>Microsoft Office Word</Application>
  <DocSecurity>0</DocSecurity>
  <Lines>2495</Lines>
  <Paragraphs>699</Paragraphs>
  <ScaleCrop>false</ScaleCrop>
  <Company/>
  <LinksUpToDate>false</LinksUpToDate>
  <CharactersWithSpaces>349897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Edward Wakool 2014-15 LTIM annual technical report</dc:title>
  <dc:creator/>
  <cp:lastModifiedBy/>
  <cp:revision>1</cp:revision>
  <dcterms:created xsi:type="dcterms:W3CDTF">2016-06-14T05:56:00Z</dcterms:created>
  <dcterms:modified xsi:type="dcterms:W3CDTF">2016-06-14T05:56:00Z</dcterms:modified>
  <cp:contentStatus/>
</cp:coreProperties>
</file>